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helvetica" w:hAnsi="helvetica"/>
          <w:b/>
          <w:sz w:val="20"/>
        </w:rPr>
      </w:pPr>
      <w:bookmarkStart w:id="0" w:name="immy_424b1.htm"/>
      <w:bookmarkStart w:id="1" w:name="ksimmy_424b1"/>
      <w:bookmarkEnd w:id="0"/>
      <w:bookmarkEnd w:id="1"/>
      <w:r>
        <w:rPr>
          <w:rFonts w:ascii="helvetica" w:hAnsi="helvetica"/>
          <w:b/>
          <w:sz w:val="20"/>
        </w:rPr>
        <w:t>Filed pursuant to Rule 424(b)(4)</w:t>
      </w:r>
    </w:p>
    <w:p>
      <w:pPr>
        <w:pStyle w:val="TextBody"/>
        <w:spacing w:before="0" w:after="0"/>
        <w:ind w:left="0" w:right="0" w:hanging="0"/>
        <w:jc w:val="right"/>
        <w:rPr>
          <w:rFonts w:ascii="helvetica" w:hAnsi="helvetica"/>
          <w:b/>
          <w:sz w:val="20"/>
        </w:rPr>
      </w:pPr>
      <w:r>
        <w:rPr>
          <w:rFonts w:ascii="helvetica" w:hAnsi="helvetica"/>
          <w:b/>
          <w:sz w:val="20"/>
        </w:rPr>
        <w:t>Registration No. 333-182846</w:t>
      </w:r>
    </w:p>
    <w:p>
      <w:pPr>
        <w:pStyle w:val="TextBody"/>
        <w:spacing w:before="0" w:after="0"/>
        <w:ind w:left="0" w:right="0" w:hanging="0"/>
        <w:jc w:val="right"/>
        <w:rPr/>
      </w:pPr>
      <w:r>
        <w:rPr/>
        <w:t>       </w:t>
      </w:r>
    </w:p>
    <w:p>
      <w:pPr>
        <w:pStyle w:val="TextBody"/>
        <w:spacing w:before="0" w:after="0"/>
        <w:rPr/>
      </w:pPr>
      <w:r>
        <w:rPr/>
        <w:t> </w:t>
      </w:r>
    </w:p>
    <w:p>
      <w:pPr>
        <w:pStyle w:val="TextBody"/>
        <w:spacing w:before="0" w:after="0"/>
        <w:ind w:left="0" w:right="0" w:hanging="0"/>
        <w:jc w:val="both"/>
        <w:rPr>
          <w:rFonts w:ascii="Helvetica" w:hAnsi="Helvetica"/>
          <w:b/>
          <w:sz w:val="20"/>
        </w:rPr>
      </w:pPr>
      <w:r>
        <w:rPr>
          <w:rFonts w:ascii="Helvetica" w:hAnsi="Helvetica"/>
          <w:b/>
          <w:sz w:val="20"/>
        </w:rPr>
        <w:t>PROSPECTUS</w:t>
      </w:r>
    </w:p>
    <w:p>
      <w:pPr>
        <w:pStyle w:val="TextBody"/>
        <w:spacing w:before="0" w:after="0"/>
        <w:ind w:left="0" w:right="0" w:hanging="0"/>
        <w:jc w:val="center"/>
        <w:rPr>
          <w:rFonts w:ascii="helvetica" w:hAnsi="helvetica"/>
          <w:b/>
          <w:sz w:val="24"/>
        </w:rPr>
      </w:pPr>
      <w:r>
        <w:rPr>
          <w:rFonts w:ascii="helvetica" w:hAnsi="helvetica"/>
          <w:b/>
          <w:sz w:val="24"/>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1,840,000 Shares of Common Stock</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offering 1,840,000 shares of our common stock in a firm commitment offering, which share number reflects our one-for-five reverse stock split described further in this prospectus.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is quoted on The NASDAQ Capital Market under the symbol "IMMY". On February 7, 2013, prior to the listing of our common stock on The NASDQ Capital Market, we effected a one-for-five reverse split of our issued and outstanding common stock. Giving effect to the reverse split, the last reported sales price of our comon stock on the OTC Market Group's OTCQB tier was $8.00 per share.</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Investing in our common stock involves a high degree of risk. Before making any investment in our common stock, you should read and carefully consider the risks described in this prospectus under “Risk Factors” beginning on page 8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You should rely only on the information contained in this prospectus or any prospectus supplement or amendment thereto. We have not authorized anyone to provide you with different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before="0" w:after="0"/>
        <w:ind w:left="0" w:right="0" w:hanging="0"/>
        <w:jc w:val="both"/>
        <w:rPr/>
      </w:pPr>
      <w:r>
        <w:rPr/>
        <w:t> </w:t>
      </w:r>
    </w:p>
    <w:tbl>
      <w:tblPr>
        <w:tblW w:w="4250" w:type="pct"/>
        <w:jc w:val="center"/>
        <w:tblInd w:w="0" w:type="dxa"/>
        <w:tblCellMar>
          <w:top w:w="0" w:type="dxa"/>
          <w:left w:w="0" w:type="dxa"/>
          <w:bottom w:w="0" w:type="dxa"/>
          <w:right w:w="0" w:type="dxa"/>
        </w:tblCellMar>
      </w:tblPr>
      <w:tblGrid>
        <w:gridCol w:w="6013"/>
        <w:gridCol w:w="97"/>
        <w:gridCol w:w="126"/>
        <w:gridCol w:w="937"/>
        <w:gridCol w:w="97"/>
        <w:gridCol w:w="97"/>
        <w:gridCol w:w="126"/>
        <w:gridCol w:w="1073"/>
        <w:gridCol w:w="108"/>
      </w:tblGrid>
      <w:tr>
        <w:trPr/>
        <w:tc>
          <w:tcPr>
            <w:tcW w:w="6013"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Per Share</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jc w:val="left"/>
              <w:rPr/>
            </w:pPr>
            <w:r>
              <w:rPr/>
              <w:t> </w:t>
            </w:r>
          </w:p>
        </w:tc>
        <w:tc>
          <w:tcPr>
            <w:tcW w:w="11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8" w:type="dxa"/>
            <w:tcBorders/>
            <w:shd w:fill="auto"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Initial price to public</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CCEEFF" w:val="clear"/>
            <w:vAlign w:val="bottom"/>
          </w:tcPr>
          <w:p>
            <w:pPr>
              <w:pStyle w:val="TableContents"/>
              <w:spacing w:before="0" w:after="283"/>
              <w:jc w:val="right"/>
              <w:rPr/>
            </w:pPr>
            <w:r>
              <w:rPr/>
              <w:t>5.25</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CCEEFF" w:val="clear"/>
            <w:vAlign w:val="bottom"/>
          </w:tcPr>
          <w:p>
            <w:pPr>
              <w:pStyle w:val="TableContents"/>
              <w:spacing w:before="0" w:after="283"/>
              <w:jc w:val="right"/>
              <w:rPr/>
            </w:pPr>
            <w:r>
              <w:rPr/>
              <w:t>9,660,000</w:t>
            </w:r>
          </w:p>
        </w:tc>
        <w:tc>
          <w:tcPr>
            <w:tcW w:w="108" w:type="dxa"/>
            <w:tcBorders/>
            <w:shd w:fill="CCEEFF" w:val="clear"/>
            <w:vAlign w:val="bottom"/>
          </w:tcPr>
          <w:p>
            <w:pPr>
              <w:pStyle w:val="TableContents"/>
              <w:spacing w:before="0" w:after="283"/>
              <w:jc w:val="left"/>
              <w:rPr/>
            </w:pPr>
            <w:r>
              <w:rPr/>
              <w:t> </w:t>
            </w:r>
          </w:p>
        </w:tc>
      </w:tr>
      <w:tr>
        <w:trPr/>
        <w:tc>
          <w:tcPr>
            <w:tcW w:w="6013"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Underwriting discount</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FFFFFF" w:val="clear"/>
            <w:vAlign w:val="bottom"/>
          </w:tcPr>
          <w:p>
            <w:pPr>
              <w:pStyle w:val="TableContents"/>
              <w:spacing w:before="0" w:after="283"/>
              <w:jc w:val="right"/>
              <w:rPr/>
            </w:pPr>
            <w:r>
              <w:rPr/>
              <w:t>0.4463</w:t>
            </w:r>
          </w:p>
        </w:tc>
        <w:tc>
          <w:tcPr>
            <w:tcW w:w="97"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FFFFFF" w:val="clear"/>
            <w:vAlign w:val="bottom"/>
          </w:tcPr>
          <w:p>
            <w:pPr>
              <w:pStyle w:val="TableContents"/>
              <w:spacing w:before="0" w:after="283"/>
              <w:jc w:val="right"/>
              <w:rPr/>
            </w:pPr>
            <w:r>
              <w:rPr/>
              <w:t>821,100</w:t>
            </w:r>
          </w:p>
        </w:tc>
        <w:tc>
          <w:tcPr>
            <w:tcW w:w="108" w:type="dxa"/>
            <w:tcBorders/>
            <w:shd w:fill="FFFFFF" w:val="clear"/>
            <w:vAlign w:val="bottom"/>
          </w:tcPr>
          <w:p>
            <w:pPr>
              <w:pStyle w:val="TableContents"/>
              <w:spacing w:before="0" w:after="283"/>
              <w:jc w:val="left"/>
              <w:rPr/>
            </w:pPr>
            <w:r>
              <w:rPr/>
              <w:t> </w:t>
            </w:r>
          </w:p>
        </w:tc>
      </w:tr>
      <w:tr>
        <w:trPr/>
        <w:tc>
          <w:tcPr>
            <w:tcW w:w="601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Imprimis Pharmaceuticals(1)</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37" w:type="dxa"/>
            <w:tcBorders/>
            <w:shd w:fill="CCEEFF" w:val="clear"/>
            <w:vAlign w:val="bottom"/>
          </w:tcPr>
          <w:p>
            <w:pPr>
              <w:pStyle w:val="TableContents"/>
              <w:spacing w:before="0" w:after="283"/>
              <w:jc w:val="right"/>
              <w:rPr/>
            </w:pPr>
            <w:r>
              <w:rPr/>
              <w:t>4.8037</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3" w:type="dxa"/>
            <w:tcBorders/>
            <w:shd w:fill="CCEEFF" w:val="clear"/>
            <w:vAlign w:val="bottom"/>
          </w:tcPr>
          <w:p>
            <w:pPr>
              <w:pStyle w:val="TableContents"/>
              <w:spacing w:before="0" w:after="283"/>
              <w:jc w:val="right"/>
              <w:rPr/>
            </w:pPr>
            <w:r>
              <w:rPr/>
              <w:t>8,838,900</w:t>
            </w:r>
          </w:p>
        </w:tc>
        <w:tc>
          <w:tcPr>
            <w:tcW w:w="10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713"/>
        <w:gridCol w:w="306"/>
        <w:gridCol w:w="9186"/>
      </w:tblGrid>
      <w:tr>
        <w:trPr/>
        <w:tc>
          <w:tcPr>
            <w:tcW w:w="713" w:type="dxa"/>
            <w:tcBorders/>
            <w:shd w:fill="FFFFFF" w:val="clear"/>
            <w:vAlign w:val="center"/>
          </w:tcPr>
          <w:p>
            <w:pPr>
              <w:pStyle w:val="TableContents"/>
              <w:spacing w:before="0" w:after="283"/>
              <w:rPr/>
            </w:pPr>
            <w:r>
              <w:rPr/>
              <w:t> </w:t>
            </w:r>
          </w:p>
        </w:tc>
        <w:tc>
          <w:tcPr>
            <w:tcW w:w="306" w:type="dxa"/>
            <w:tcBorders/>
            <w:shd w:fill="FFFFFF" w:val="clear"/>
          </w:tcPr>
          <w:p>
            <w:pPr>
              <w:pStyle w:val="TableContents"/>
              <w:spacing w:before="0" w:after="283"/>
              <w:rPr/>
            </w:pPr>
            <w:r>
              <w:rPr/>
              <w:t> </w:t>
            </w:r>
            <w:r>
              <w:rPr>
                <w:rFonts w:ascii="helvetica" w:hAnsi="helvetica"/>
                <w:sz w:val="20"/>
              </w:rPr>
              <w:t>(1)</w:t>
            </w:r>
          </w:p>
        </w:tc>
        <w:tc>
          <w:tcPr>
            <w:tcW w:w="9186" w:type="dxa"/>
            <w:tcBorders/>
            <w:shd w:fill="FFFFFF" w:val="clear"/>
            <w:vAlign w:val="center"/>
          </w:tcPr>
          <w:p>
            <w:pPr>
              <w:pStyle w:val="TableContents"/>
              <w:spacing w:before="0" w:after="283"/>
              <w:rPr>
                <w:rFonts w:ascii="helvetica" w:hAnsi="helvetica"/>
                <w:sz w:val="20"/>
              </w:rPr>
            </w:pPr>
            <w:r>
              <w:rPr>
                <w:rFonts w:ascii="helvetica" w:hAnsi="helvetica"/>
                <w:sz w:val="20"/>
              </w:rPr>
              <w:t>Does not include a non-accountable expense amount of $150,000 payable to the underwriters and up to $10,000 in accountable expenses of the underwriters. See "Underwriting" for a description of compensation payable to the underwriters.</w:t>
            </w:r>
          </w:p>
        </w:tc>
      </w:tr>
    </w:tbl>
    <w:p>
      <w:pPr>
        <w:pStyle w:val="TextBody"/>
        <w:spacing w:before="0" w:after="0"/>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underwriters sell more than 1,840,000 shares of common stock, the underwriters have the option to purchase up to an additional 276,000 shares from us at the initial price to the public less the underwriting discount.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expect to deliver the shares on or about February 13, 2013.</w:t>
      </w:r>
    </w:p>
    <w:p>
      <w:pPr>
        <w:pStyle w:val="TextBody"/>
        <w:spacing w:before="0" w:after="0"/>
        <w:ind w:left="0" w:right="0" w:hanging="0"/>
        <w:jc w:val="center"/>
        <w:rPr>
          <w:rFonts w:ascii="helvetica" w:hAnsi="helvetica"/>
          <w:sz w:val="20"/>
        </w:rPr>
      </w:pPr>
      <w:r>
        <w:rPr>
          <w:rFonts w:ascii="helvetica" w:hAnsi="helvetica"/>
          <w:sz w:val="20"/>
        </w:rPr>
        <w:t>___________________</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jc w:val="center"/>
              <w:rPr>
                <w:rFonts w:ascii="helvetica" w:hAnsi="helvetica"/>
                <w:b/>
                <w:sz w:val="20"/>
              </w:rPr>
            </w:pPr>
            <w:r>
              <w:rPr>
                <w:rFonts w:ascii="helvetica" w:hAnsi="helvetica"/>
                <w:b/>
                <w:sz w:val="20"/>
              </w:rPr>
              <w:t>MDB Capital Group LLC</w:t>
            </w:r>
          </w:p>
        </w:tc>
        <w:tc>
          <w:tcPr>
            <w:tcW w:w="5103" w:type="dxa"/>
            <w:tcBorders/>
            <w:shd w:fill="FFFFFF" w:val="clear"/>
            <w:vAlign w:val="center"/>
          </w:tcPr>
          <w:p>
            <w:pPr>
              <w:pStyle w:val="TableContents"/>
              <w:spacing w:before="0" w:after="283"/>
              <w:jc w:val="center"/>
              <w:rPr/>
            </w:pPr>
            <w:r>
              <w:rPr/>
              <w:t> </w:t>
            </w:r>
            <w:r>
              <w:rPr>
                <w:rFonts w:ascii="helvetica" w:hAnsi="helvetica"/>
                <w:b/>
                <w:sz w:val="20"/>
              </w:rPr>
              <w:t>Aegis Capital Corp</w:t>
            </w:r>
          </w:p>
        </w:tc>
      </w:tr>
    </w:tbl>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This prospectus is dated February 11, 2013</w:t>
      </w:r>
    </w:p>
    <w:p>
      <w:pPr>
        <w:pStyle w:val="TextBody"/>
        <w:spacing w:before="0" w:after="0"/>
        <w:ind w:left="0" w:right="0" w:hanging="0"/>
        <w:jc w:val="center"/>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15" w:hanging="0"/>
        <w:jc w:val="center"/>
        <w:rPr/>
      </w:pPr>
      <w:r>
        <w:rPr/>
        <w:t> </w:t>
      </w:r>
    </w:p>
    <w:p>
      <w:pPr>
        <w:pStyle w:val="TextBody"/>
        <w:spacing w:before="0" w:after="0"/>
        <w:ind w:left="0" w:right="115" w:hanging="0"/>
        <w:jc w:val="center"/>
        <w:rPr>
          <w:rFonts w:ascii="helvetica" w:hAnsi="helvetica"/>
          <w:b/>
          <w:sz w:val="20"/>
        </w:rPr>
      </w:pPr>
      <w:r>
        <w:rPr>
          <w:rFonts w:ascii="helvetica" w:hAnsi="helvetica"/>
          <w:b/>
          <w:sz w:val="20"/>
        </w:rPr>
        <w:t>TABLE OF CONTENTS</w:t>
      </w:r>
    </w:p>
    <w:p>
      <w:pPr>
        <w:pStyle w:val="TextBody"/>
        <w:spacing w:before="0" w:after="0"/>
        <w:ind w:left="0" w:right="115" w:hanging="0"/>
        <w:jc w:val="center"/>
        <w:rPr/>
      </w:pPr>
      <w:r>
        <w:rPr/>
        <w:t> </w:t>
      </w:r>
    </w:p>
    <w:tbl>
      <w:tblPr>
        <w:tblW w:w="5000" w:type="pct"/>
        <w:jc w:val="left"/>
        <w:tblInd w:w="0" w:type="dxa"/>
        <w:tblCellMar>
          <w:top w:w="0" w:type="dxa"/>
          <w:left w:w="0" w:type="dxa"/>
          <w:bottom w:w="0" w:type="dxa"/>
          <w:right w:w="0" w:type="dxa"/>
        </w:tblCellMar>
      </w:tblPr>
      <w:tblGrid>
        <w:gridCol w:w="8983"/>
        <w:gridCol w:w="101"/>
        <w:gridCol w:w="101"/>
        <w:gridCol w:w="918"/>
        <w:gridCol w:w="102"/>
      </w:tblGrid>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3"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PROSPECTUS SUMMARY</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 FACTORS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SPECIAL NOTE REGARDING FORWARD-LOOKING STATEMENTS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USE OF PROCEEDS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CAPITAL STOCK</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CAPITALIZATION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UNDERWRITING</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MARKET PRICE OF AND DIVIDENDS ON COMMON STOCK AND RELATED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SHARES AVAILABLE FOR FUTURE SALE</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MANAGEMENT'S DISCUSSION AND ANALYSIS OF FINANCIAL CONDITION AND RESULTS OF OPERATIONS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DESCRIPTION OF THE BUSINESS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EXECUTIVE OFFICERS AND CORPORATE GOVERNANCE</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EXECUTIVE COMPENSATION</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CERTAIN RELATIONSHIPS AND RELATED TRANSACTIONS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67</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SECURITY OWNERSHIP OF CERTAIN BENEFICIAL OWNERS AND MANAGEMENT AND RELATED STOCKHOLDER MATTERS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LEGAL MATTERS</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EXPERTS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WHERE YOU CAN FIND MORE INFORMATION</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w:t>
            </w:r>
          </w:p>
        </w:tc>
        <w:tc>
          <w:tcPr>
            <w:tcW w:w="102"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FINANCIAL STATEMENTS</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F-1</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About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pending trademark applications for Imprimis Pharmaceuticals, Accudel, Impracor and Generecycle.  All other trademarks, tradenames and service marks included in this prospectus or any related prospectus supplement, are the property of their respective owners.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 w:name="PN"/>
      <w:bookmarkEnd w:id="7"/>
      <w:r>
        <w:rPr>
          <w:rFonts w:ascii="helvetica" w:hAnsi="helvetica"/>
          <w:sz w:val="20"/>
        </w:rPr>
        <w:t>- i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 SUMMARY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used in this prospectus, unless the context requires otherwise, the “Company”, “we”, “us”, and “our” refer to Imprimis Pharmaceuticals, Inc., a Delaware corporation.</w:t>
      </w:r>
    </w:p>
    <w:p>
      <w:pPr>
        <w:pStyle w:val="TextBody"/>
        <w:spacing w:before="0" w:after="0"/>
        <w:ind w:left="0" w:right="0" w:hanging="0"/>
        <w:jc w:val="both"/>
        <w:rPr/>
      </w:pPr>
      <w:r>
        <w:rPr/>
        <w:t> </w:t>
      </w:r>
    </w:p>
    <w:p>
      <w:pPr>
        <w:pStyle w:val="TextBody"/>
        <w:spacing w:before="0" w:after="0"/>
        <w:ind w:left="0" w:right="0" w:hanging="0"/>
        <w:rPr/>
      </w:pPr>
      <w:bookmarkStart w:id="11" w:name="TAB2"/>
      <w:bookmarkEnd w:id="11"/>
      <w:r>
        <w:rPr>
          <w:color w:val="000000"/>
          <w:spacing w:val="180"/>
        </w:rPr>
        <w:t> </w:t>
      </w:r>
      <w:r>
        <w:rPr>
          <w:rFonts w:ascii="helvetica" w:hAnsi="helvetica"/>
          <w:b/>
          <w:sz w:val="20"/>
        </w:rPr>
        <w:t>Our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To better enable us to analyze the myriad of PCCA and PCCA-related development opportunities, we have designed a comprehensive drug development selection methodology.  In determining the viability of a potential opportunity, we group all development candidates according to delivery modality and health category.  We review intellectual property related to a respective opportunity, as well as manufacturing considerations, various market-related criterion and other clinical development issues.  We believe that our review process will aid us in identifying viable development candidates and assist us in determining whether to internally develop a program or seek an appropriate commercialization partner.</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executive offices are located at 437 S. Hwy 101, Suite 209, Solana Beach, CA 92075 and our telephone number is (858) 433-2800.  Our website address is www.imprimispharma.com.  Information contained on our website is not deemed part of this prospectus.</w:t>
      </w:r>
    </w:p>
    <w:p>
      <w:pPr>
        <w:pStyle w:val="TextBody"/>
        <w:spacing w:before="0" w:after="0"/>
        <w:ind w:left="0" w:right="0" w:hanging="0"/>
        <w:jc w:val="both"/>
        <w:rPr/>
      </w:pPr>
      <w:r>
        <w:rPr/>
        <w:t> </w:t>
      </w:r>
    </w:p>
    <w:p>
      <w:pPr>
        <w:pStyle w:val="TextBody"/>
        <w:spacing w:before="0" w:after="0"/>
        <w:ind w:left="0" w:right="0" w:hanging="0"/>
        <w:rPr/>
      </w:pPr>
      <w:bookmarkStart w:id="12" w:name="TAB21"/>
      <w:bookmarkEnd w:id="12"/>
      <w:r>
        <w:rPr>
          <w:color w:val="000000"/>
          <w:spacing w:val="180"/>
        </w:rPr>
        <w:t> </w:t>
      </w:r>
      <w:r>
        <w:rPr>
          <w:rFonts w:ascii="helvetica" w:hAnsi="helvetica"/>
          <w:b/>
          <w:sz w:val="20"/>
        </w:rPr>
        <w:t>Reverse Stock Split and NASDAQ Listing</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(the “Board of Directors” or the “Board”)</w:t>
      </w:r>
      <w:r>
        <w:rPr>
          <w:rFonts w:ascii="times new roman" w:hAnsi="times new roman"/>
          <w:sz w:val="20"/>
        </w:rPr>
        <w:t xml:space="preserve"> </w:t>
      </w:r>
      <w:r>
        <w:rPr>
          <w:rFonts w:ascii="helvetica" w:hAnsi="helvetica"/>
          <w:sz w:val="20"/>
        </w:rPr>
        <w:t>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Effective at 5:02 pm Eastern time on February 7, 2013, we amended our certificate of incorporation to effect a reverse split of our common stock at a ratio of one-for-five (the "reverse stock split"). On February 8, 2013, our common stock began trading on  The NASDAQ Capital Market under the symbol "IMMY".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Other than as otherwise indicated and except in our consolidated financial statements, all information regarding share amounts of common stock and prices per share of common stock contained in this prospectus reflects the one-for-five reverse stock split.</w:t>
      </w:r>
    </w:p>
    <w:p>
      <w:pPr>
        <w:pStyle w:val="TextBody"/>
        <w:spacing w:before="0" w:after="0"/>
        <w:ind w:left="0" w:right="0" w:hanging="0"/>
        <w:jc w:val="both"/>
        <w:rPr/>
      </w:pPr>
      <w:r>
        <w:rPr/>
        <w:t> </w:t>
      </w:r>
    </w:p>
    <w:p>
      <w:pPr>
        <w:pStyle w:val="TextBody"/>
        <w:spacing w:before="0" w:after="0"/>
        <w:ind w:left="0" w:right="0" w:hanging="0"/>
        <w:rPr/>
      </w:pPr>
      <w:bookmarkStart w:id="13" w:name="TAB22"/>
      <w:bookmarkEnd w:id="13"/>
      <w:r>
        <w:rPr>
          <w:color w:val="000000"/>
          <w:spacing w:val="180"/>
        </w:rPr>
        <w:t> </w:t>
      </w: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non-steroidal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 w:name="GLFTR1"/>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9" w:name="PN1"/>
      <w:bookmarkEnd w:id="19"/>
      <w:r>
        <w:rPr>
          <w:rFonts w:ascii="helvetica" w:hAnsi="helvetica"/>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 w:name="GLHDR1"/>
      <w:bookmarkEnd w:id="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Completed Clinical Studies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both"/>
        <w:rPr/>
      </w:pPr>
      <w:r>
        <w:rPr/>
        <w:t> </w:t>
      </w:r>
    </w:p>
    <w:p>
      <w:pPr>
        <w:pStyle w:val="TextBody"/>
        <w:spacing w:before="0" w:after="0"/>
        <w:ind w:left="0" w:right="0" w:firstLine="720"/>
        <w:jc w:val="both"/>
        <w:rPr>
          <w:rFonts w:ascii="helvetica" w:hAnsi="helvetica"/>
          <w:sz w:val="20"/>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endpoint assessment and 4 patients who were misdiagnosed.  This mPP analysis on 250 patients demonstrated statistical significance of the primary endpoint (p=0.034).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Proposed Clinical Program for Impracor</w:t>
      </w:r>
    </w:p>
    <w:p>
      <w:pPr>
        <w:pStyle w:val="TextBody"/>
        <w:spacing w:before="0" w:after="0"/>
        <w:jc w:val="left"/>
        <w:rPr/>
      </w:pPr>
      <w:r>
        <w:rPr/>
        <w:t xml:space="preserve">   </w:t>
      </w:r>
    </w:p>
    <w:p>
      <w:pPr>
        <w:pStyle w:val="TextBody"/>
        <w:spacing w:before="0" w:after="0"/>
        <w:ind w:left="0" w:right="0" w:firstLine="720"/>
        <w:jc w:val="left"/>
        <w:rPr>
          <w:rFonts w:ascii="helvetica" w:hAnsi="helvetica"/>
          <w:sz w:val="20"/>
        </w:rPr>
      </w:pPr>
      <w:r>
        <w:rPr>
          <w:rFonts w:ascii="helvetica" w:hAnsi="helvetica"/>
          <w:sz w:val="20"/>
        </w:rPr>
        <w:t>For Impracor to be approved by the U.S. Food and Drug Administration ("FDA"), two confirmatory Phase 3 trials with exposure of at least 300 to 500 patients and supportive dermal safety studies are required.  We plan to commence two adequate and well-controlled Phase 3 trials of Impracor in patients experiencing pain from osteoarthritis flare in their knees.  We plan to discuss the clinical development program for those trials, which has been endorsed by our scientific and regulatory advisory board, with the FDA at a Type C meeting scheduled to occur in April 2013.</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Also as required by the FDA, we recently completed a clinical study that measured the amount of ketoprofen found in the bloodstream following topical application of two different doses of the anti-inflammatory cream under different conditions, including normal activities, heat exposure to the application site and standardized exercise, as well as the amount of the drug in the bloodstream after taking an oral dose of ketoprofen (the relative oral bioavailability).  The study included a total of 40 healthy volunteers (36 of which completed the study) assigned to one of two cohorts (2g or 4g applications).  Subjects were dosed according to a four-sequence, four-treatment randomization schedule in which they received topical Impracor applications under each of the three conditions and an oral ketoprofen dose in weekly intervals.  Overall the pharmacokinetic parameters were observed to be consistent between the two different dose cohorts.  The application of an occlusive knee bandage with either heat or exercise following topical administration showed faster initial, but lower overall plasma exposure of ketoprofen relative to non-occluded topical administration with no heat or exercise.  The extent of bioavailability over 48 hours as measured by the area under the concentration curve from time zero to the time of last measurable concentration (AUC0-t) was 2% or less in cohort 1 (2 g single dose applied to one knee) and 4% or less in cohort 2 (2 g single dose applied to each knee) for the topical treatments relative to the oral treatment.  All treatments were observed to be well tolerated.  We also expect to initiate a routine supportive trial in healthy subjects related to the potential of contact sensitization.  We expect that all of our planned clinical studies for Impracor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 </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Following completion of our clinical trials, we expect to file a New Drug Application for marketing authorization for Impracor under Section 505(b)(2) of the Hatch-Waxman Act of 1984, a regulatory route towards U.S. approval that leverages previously established safety and/or effectiveness of already approved ketoprofen products in other dosage forms.  This regulatory path also improves the chances of success over a completely new drug chemical entity.</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Upon receipt of such financing, we anticipate initiating the supportive studies and Phase 3 trials in mid and late 2013, respectively.  Assuming successful timely completion and outcome of the additional Phase 3 trials, we would expect to file the New Drug Application for Impracor in the second half of 2014.</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2"/>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8" w:name="PN2"/>
      <w:bookmarkEnd w:id="28"/>
      <w:r>
        <w:rPr>
          <w:rFonts w:ascii="helvetica" w:hAnsi="helvetica"/>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pPr>
      <w:r>
        <w:rPr/>
        <w:t xml:space="preserve">  </w:t>
      </w:r>
    </w:p>
    <w:p>
      <w:pPr>
        <w:pStyle w:val="TextBody"/>
        <w:spacing w:before="0" w:after="0"/>
        <w:ind w:left="0" w:right="0" w:hanging="0"/>
        <w:jc w:val="both"/>
        <w:rPr>
          <w:caps w:val="false"/>
          <w:smallCaps w:val="false"/>
        </w:rPr>
      </w:pPr>
      <w:r>
        <w:rPr>
          <w:caps w:val="false"/>
          <w:smallCaps w:val="false"/>
        </w:rPr>
        <w:drawing>
          <wp:inline distT="0" distB="0" distL="0" distR="0">
            <wp:extent cx="382905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 w:name="list"/>
      <w:bookmarkStart w:id="33" w:name="list"/>
      <w:bookmarkEnd w:id="3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 w:name="list1"/>
      <w:bookmarkStart w:id="35" w:name="list1"/>
      <w:bookmarkEnd w:id="35"/>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 w:name="list2"/>
      <w:bookmarkStart w:id="37" w:name="list2"/>
      <w:bookmarkEnd w:id="37"/>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 w:name="list3"/>
      <w:bookmarkStart w:id="39" w:name="list3"/>
      <w:bookmarkEnd w:id="39"/>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 w:name="list4"/>
      <w:bookmarkStart w:id="41" w:name="list4"/>
      <w:bookmarkEnd w:id="41"/>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w:t>
            </w:r>
          </w:p>
        </w:tc>
        <w:tc>
          <w:tcPr>
            <w:tcW w:w="980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 w:name="list5"/>
      <w:bookmarkStart w:id="43" w:name="list5"/>
      <w:bookmarkEnd w:id="43"/>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 w:name="list6"/>
      <w:bookmarkStart w:id="45" w:name="list6"/>
      <w:bookmarkEnd w:id="45"/>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 w:name="list7"/>
      <w:bookmarkStart w:id="47" w:name="list7"/>
      <w:bookmarkEnd w:id="47"/>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 w:name="list8"/>
      <w:bookmarkStart w:id="49" w:name="list8"/>
      <w:bookmarkEnd w:id="49"/>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0" w:name="list9"/>
      <w:bookmarkStart w:id="51" w:name="list9"/>
      <w:bookmarkEnd w:id="51"/>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 w:name="PGBRK3"/>
      <w:bookmarkStart w:id="53" w:name="PGBRK3"/>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FTR3"/>
      <w:bookmarkStart w:id="55" w:name="FTR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 w:name="GLFTR3"/>
      <w:bookmarkEnd w:id="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7" w:name="PN3"/>
      <w:bookmarkEnd w:id="57"/>
      <w:r>
        <w:rPr>
          <w:rFonts w:ascii="helvetica" w:hAnsi="helvetica"/>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HDR3"/>
      <w:bookmarkStart w:id="59" w:name="HDR3"/>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 w:name="GLHDR3"/>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was over $500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 almost as many deaths as asthma, cervical cancer and malignant melanona combined, and another 1999 study published in the Journal of Rheumatology found that death resulting from gastro-intestinal complications was the 15th most common cause of death in the U.S.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systemic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more information regarding our business, see “Management’s Discussion and Analysis of Financial Condition and Results of Operations” and “Business,” included elsewhere in this prospectus.</w:t>
      </w:r>
    </w:p>
    <w:p>
      <w:pPr>
        <w:pStyle w:val="TextBody"/>
        <w:spacing w:before="0" w:after="0"/>
        <w:ind w:left="0" w:right="0" w:hanging="0"/>
        <w:jc w:val="both"/>
        <w:rPr/>
      </w:pPr>
      <w:r>
        <w:rPr/>
        <w:t> </w:t>
      </w:r>
    </w:p>
    <w:p>
      <w:pPr>
        <w:pStyle w:val="TextBody"/>
        <w:spacing w:before="0" w:after="0"/>
        <w:ind w:left="0" w:right="0" w:hanging="0"/>
        <w:rPr/>
      </w:pPr>
      <w:bookmarkStart w:id="61" w:name="TAB23"/>
      <w:bookmarkEnd w:id="61"/>
      <w:r>
        <w:rPr>
          <w:color w:val="000000"/>
          <w:spacing w:val="180"/>
        </w:rPr>
        <w:t> </w:t>
      </w: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described below reflects the one-for-five reverse stock split effected on February 7, 2013.</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PCCA Transaction</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August 30, 2012, we entered into a License Agreement (the “PCCA License Agreement") and a Stock Purchase Agreement (the “PCCA Purchase Agreement”) in a strategic transaction with PCCA (the “PCCA Transaction”).</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of 1933 (the “Securities Act”) afforded by Section 4(2) thereof.</w:t>
      </w:r>
    </w:p>
    <w:p>
      <w:pPr>
        <w:pStyle w:val="TextBody"/>
        <w:spacing w:before="0" w:after="0"/>
        <w:ind w:left="0" w:right="0" w:hanging="0"/>
        <w:rPr/>
      </w:pPr>
      <w:r>
        <w:rPr/>
        <w:t> </w:t>
      </w:r>
    </w:p>
    <w:p>
      <w:pPr>
        <w:pStyle w:val="TextBody"/>
        <w:spacing w:before="0" w:after="0"/>
        <w:ind w:left="0" w:right="0" w:hanging="0"/>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afforded by Section 4(2) thereof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4"/>
      <w:bookmarkStart w:id="63" w:name="PGBRK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4"/>
      <w:bookmarkStart w:id="65" w:name="FT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4"/>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7" w:name="PN4"/>
      <w:bookmarkEnd w:id="67"/>
      <w:r>
        <w:rPr>
          <w:rFonts w:ascii="helvetica" w:hAnsi="helvetica"/>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4"/>
      <w:bookmarkStart w:id="69" w:name="HDR4"/>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4"/>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bookmarkStart w:id="71" w:name="TAB24"/>
      <w:bookmarkEnd w:id="71"/>
      <w:r>
        <w:rPr>
          <w:color w:val="000000"/>
          <w:spacing w:val="180"/>
        </w:rPr>
        <w:t> </w:t>
      </w:r>
      <w:r>
        <w:rPr>
          <w:rFonts w:ascii="helvetica" w:hAnsi="helvetica"/>
          <w:b/>
          <w:i/>
          <w:sz w:val="20"/>
        </w:rPr>
        <w:t>Conversion of Convertible Note and Balance Under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rPr/>
      </w:pPr>
      <w:bookmarkStart w:id="72" w:name="TAB25"/>
      <w:bookmarkEnd w:id="72"/>
      <w:r>
        <w:rPr>
          <w:color w:val="000000"/>
          <w:spacing w:val="180"/>
        </w:rPr>
        <w:t> </w:t>
      </w:r>
      <w:r>
        <w:rPr>
          <w:rFonts w:ascii="helvetica" w:hAnsi="helvetica"/>
          <w:b/>
          <w:i/>
          <w:sz w:val="20"/>
        </w:rPr>
        <w:t>Written Consent of the Stockholders Approving Increase in Option Plan Reserve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became effective upon our compliance with certain notice requirements under the Exchange Act.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Going Concern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independent registered public accounting firm issued an unqualified opinion with an explanatory paragraph to the effect that there is substantial doubt about our ability to continue as a going concern in its report included in our consolidated financial statments for the fiscal year ended December 31, 2011.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for the fiscal year ended December 31, 2011 included elsewhere in this prospectus.  We experienced net losses of $(953,936) and $(2,531,228) for the years ended December 31, 2011 and 2010, respectively. As of September 30, 2012, our accumulated deficit was $(22,651,240).</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and until we execute an underwriting agreement with the underwriters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Unless we raise additional funds, either through the sale of equity securities such as through this offering or one or more collaborative arrangements, we will not have sufficient funds to continue operations. Even if we take these actions, the funds we raise may be insufficient, particularly if our costs are higher than projected or unforeseen expenses arise.</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Risks Related to Our Business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 </w:t>
      </w:r>
    </w:p>
    <w:p>
      <w:pPr>
        <w:pStyle w:val="TextBody"/>
        <w:spacing w:before="0" w:after="0"/>
        <w:ind w:left="0" w:right="0" w:hanging="0"/>
        <w:rPr/>
      </w:pPr>
      <w:r>
        <w:rPr/>
        <w:t> </w:t>
      </w:r>
    </w:p>
    <w:p>
      <w:pPr>
        <w:pStyle w:val="Normal"/>
        <w:spacing w:before="0" w:after="0"/>
        <w:rPr>
          <w:sz w:val="4"/>
          <w:szCs w:val="4"/>
        </w:rPr>
      </w:pPr>
      <w:r>
        <w:rPr>
          <w:sz w:val="4"/>
          <w:szCs w:val="4"/>
        </w:rPr>
      </w:r>
      <w:bookmarkStart w:id="73" w:name="list10"/>
      <w:bookmarkStart w:id="74" w:name="list10"/>
      <w:bookmarkEnd w:id="7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 w:name="PGBRK5"/>
      <w:bookmarkStart w:id="76" w:name="PGBRK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FTR5"/>
      <w:bookmarkStart w:id="78" w:name="FTR5"/>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 w:name="GLFTR5"/>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0" w:name="PN5"/>
      <w:bookmarkEnd w:id="80"/>
      <w:r>
        <w:rPr>
          <w:rFonts w:ascii="helvetica" w:hAnsi="helvetica"/>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HDR5"/>
      <w:bookmarkStart w:id="82" w:name="HDR5"/>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 w:name="GLHDR5"/>
      <w:bookmarkEnd w:id="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84" w:name="list11"/>
      <w:bookmarkStart w:id="85" w:name="list11"/>
      <w:bookmarkEnd w:id="8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report of our independent registered public accounting firm on our 2011 consolidated financial statements contains a going concern modification.</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86" w:name="list12"/>
      <w:bookmarkStart w:id="87" w:name="list12"/>
      <w:bookmarkEnd w:id="8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We have incurred losses in the research and development of Impracor and our Accudel technology since inception. We may never generate revenue or become profitable.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 w:name="list13"/>
      <w:bookmarkStart w:id="89" w:name="list13"/>
      <w:bookmarkEnd w:id="8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Timing and results of clinical trials to demonstrate the safety and efficacy of products as well as FDA approval of products are uncertain.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0" w:name="list14"/>
      <w:bookmarkStart w:id="91" w:name="list14"/>
      <w:bookmarkEnd w:id="9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 w:name="list15"/>
      <w:bookmarkStart w:id="93" w:name="list15"/>
      <w:bookmarkEnd w:id="9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we are not successful in introducing our products or if the market does not accept our products, or if our proposed product identification and development strategy is not successful, our business, financial position and results of operations may be materially adversely affected and the market price for our common stock would decline.</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94" w:name="list16"/>
      <w:bookmarkStart w:id="95" w:name="list16"/>
      <w:bookmarkEnd w:id="9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our patents are determined to be unenforceable or expire, or if we are unable to obtain new patents based on current patent applications or for future inventions, we may not be able to prevent others from using our intellectual property.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96" w:name="list17"/>
      <w:bookmarkStart w:id="97" w:name="list17"/>
      <w:bookmarkEnd w:id="9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principal stockholders have the ability to exert significant control in matters requiring a stockholder vote and could delay, deter or prevent a change in control of our company.</w:t>
            </w:r>
          </w:p>
        </w:tc>
      </w:tr>
    </w:tbl>
    <w:p>
      <w:pPr>
        <w:pStyle w:val="TextBody"/>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98" w:name="PGBRK6"/>
      <w:bookmarkStart w:id="99" w:name="PGBRK6"/>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00" w:name="FTR6"/>
      <w:bookmarkStart w:id="101" w:name="FTR6"/>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02" w:name="GLFTR6"/>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03" w:name="PN6"/>
      <w:bookmarkEnd w:id="103"/>
      <w:r>
        <w:rPr>
          <w:rFonts w:ascii="helvetica" w:hAnsi="helvetica"/>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04" w:name="HDR6"/>
      <w:bookmarkStart w:id="105" w:name="HDR6"/>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06" w:name="GLHDR6"/>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r>
      <w:r>
        <w:rPr>
          <w:rFonts w:ascii="helvetica" w:hAnsi="helvetica"/>
          <w:b/>
          <w:sz w:val="20"/>
        </w:rPr>
        <w:t>THE OFFERING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All information regarding share amounts of common stock and prices per share of common stock described below reflects the one-for-five reverse stock split effected on February 7, 2013.</w:t>
      </w:r>
    </w:p>
    <w:p>
      <w:pPr>
        <w:pStyle w:val="TextBody"/>
        <w:spacing w:before="0" w:after="0"/>
        <w:ind w:left="0" w:right="0" w:hanging="0"/>
        <w:rPr/>
      </w:pPr>
      <w:r>
        <w:rPr/>
        <w:t> </w:t>
      </w:r>
    </w:p>
    <w:tbl>
      <w:tblPr>
        <w:tblW w:w="5000" w:type="pct"/>
        <w:jc w:val="left"/>
        <w:tblInd w:w="0" w:type="dxa"/>
        <w:tblCellMar>
          <w:top w:w="45" w:type="dxa"/>
          <w:left w:w="45" w:type="dxa"/>
          <w:bottom w:w="45" w:type="dxa"/>
          <w:right w:w="45"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Issuer</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Imprimis Pharmaceuticals, Inc.</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Securities offered</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1,840,000 shares of common stock</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prior to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6,772,125 (1)</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Common stock outstanding after the offering</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8,612,125 (1)(2)</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Use of Proceeds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We expect to use the net proceeds received from the offering, to fund our clinical trials and for working capital and general corporate purposes. See “Use of Proceeds” for more information.</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OTC Markets Group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Proposed NASDAQ Symbol</w:t>
            </w:r>
          </w:p>
        </w:tc>
        <w:tc>
          <w:tcPr>
            <w:tcW w:w="5103" w:type="dxa"/>
            <w:tcBorders/>
            <w:shd w:fill="auto" w:val="clear"/>
          </w:tcPr>
          <w:p>
            <w:pPr>
              <w:pStyle w:val="TableContents"/>
              <w:spacing w:before="0" w:after="0"/>
              <w:ind w:left="0" w:right="0" w:hanging="0"/>
              <w:jc w:val="left"/>
              <w:rPr/>
            </w:pPr>
            <w:r>
              <w:rPr/>
              <w:t>“</w:t>
            </w:r>
            <w:r>
              <w:rPr>
                <w:rFonts w:ascii="helvetica" w:hAnsi="helvetica"/>
                <w:sz w:val="20"/>
              </w:rPr>
              <w:t>IMMY”</w:t>
            </w:r>
          </w:p>
        </w:tc>
      </w:tr>
      <w:tr>
        <w:trPr/>
        <w:tc>
          <w:tcPr>
            <w:tcW w:w="5102" w:type="dxa"/>
            <w:tcBorders/>
            <w:shd w:fill="auto" w:val="clear"/>
          </w:tcPr>
          <w:p>
            <w:pPr>
              <w:pStyle w:val="TableContents"/>
              <w:spacing w:before="0" w:after="0"/>
              <w:ind w:left="0" w:right="0" w:hanging="0"/>
              <w:rPr>
                <w:rFonts w:ascii="helvetica" w:hAnsi="helvetica"/>
                <w:b/>
                <w:sz w:val="20"/>
              </w:rPr>
            </w:pPr>
            <w:r>
              <w:rPr>
                <w:rFonts w:ascii="helvetica" w:hAnsi="helvetica"/>
                <w:b/>
                <w:sz w:val="20"/>
              </w:rPr>
              <w:t>Risk Factors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See “Risk Factors” beginning on page 8 and other information in this prospectus for a discussion of the factors you should consider before you decide to invest in our common stock.</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Underwriters common stock purchase warrant</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 connection with this offering, we have also agreed to sell to the underwriters and their respective designees a warrant to purchase up to 8.5% of the shares of common stock sold in this offering. If the warrants are exercised, each share may be purchased by the holder thereof at $5.25 per share (100% of the price of the shares sold in this offering.)</w:t>
            </w:r>
          </w:p>
        </w:tc>
      </w:tr>
      <w:tr>
        <w:trPr/>
        <w:tc>
          <w:tcPr>
            <w:tcW w:w="5102" w:type="dxa"/>
            <w:tcBorders/>
            <w:shd w:fill="auto" w:val="clear"/>
          </w:tcPr>
          <w:p>
            <w:pPr>
              <w:pStyle w:val="TableContents"/>
              <w:spacing w:before="0" w:after="0"/>
              <w:ind w:left="0" w:right="0" w:hanging="0"/>
              <w:jc w:val="left"/>
              <w:rPr>
                <w:rFonts w:ascii="helvetica" w:hAnsi="helvetica"/>
                <w:b/>
                <w:sz w:val="20"/>
              </w:rPr>
            </w:pPr>
            <w:r>
              <w:rPr>
                <w:rFonts w:ascii="helvetica" w:hAnsi="helvetica"/>
                <w:b/>
                <w:sz w:val="20"/>
              </w:rPr>
              <w:t>Lock-Up Agreements</w:t>
            </w:r>
          </w:p>
        </w:tc>
        <w:tc>
          <w:tcPr>
            <w:tcW w:w="510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Each of our officers, directors and shareholders beneficially owning 5% or more of our common stock have agreed that for a period of 180 days from the effective date of this offering, they will be subject to a lockup prohibiting any sales, transfers or hedging transactions in our securities held by them. See section titled “Lock-Up Agreements” in this prospectus.</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(1) Excludes (i) 556,872 shares of common stock issuable upon the exercise of outstanding warrants with exercise prices ranging from $5.925 to $176.00 per share, (ii) 917,235 shares of our common stock issuable upon exercise of outstanding options with a weighted average exercise price of $5.30 per share outstanding under the 2007 Plan, and (iii) 200,000 shares of common stock underlying restricted stock units granted outside the 2007 Plan.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(2) Excludes any shares of common stock issuable pursuant to the exercise of the underwriters' over-allotment option and any shares of common stock issuable upon the exercise of warrants issuable to the underwriters upon the closing of this offering.</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7"/>
      <w:bookmarkStart w:id="108" w:name="PGBRK7"/>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7"/>
      <w:bookmarkStart w:id="110" w:name="FTR7"/>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7"/>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12" w:name="PN7"/>
      <w:bookmarkEnd w:id="112"/>
      <w:r>
        <w:rPr>
          <w:rFonts w:ascii="helvetica" w:hAnsi="helvetica"/>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7"/>
      <w:bookmarkStart w:id="114" w:name="HDR7"/>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7"/>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RISK FACTORS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pStyle w:val="TextBody"/>
        <w:spacing w:before="0" w:after="0"/>
        <w:ind w:left="0" w:right="0" w:hanging="0"/>
        <w:jc w:val="both"/>
        <w:rPr/>
      </w:pPr>
      <w:r>
        <w:rPr/>
        <w:t> </w:t>
      </w:r>
    </w:p>
    <w:p>
      <w:pPr>
        <w:pStyle w:val="TextBody"/>
        <w:spacing w:before="0" w:after="0"/>
        <w:ind w:left="0" w:right="0" w:hanging="0"/>
        <w:rPr/>
      </w:pPr>
      <w:bookmarkStart w:id="116" w:name="TAB26"/>
      <w:bookmarkEnd w:id="116"/>
      <w:r>
        <w:rPr>
          <w:color w:val="000000"/>
          <w:spacing w:val="180"/>
        </w:rPr>
        <w:t> </w:t>
      </w:r>
      <w:r>
        <w:rPr>
          <w:rFonts w:ascii="helvetica" w:hAnsi="helvetica"/>
          <w:b/>
          <w:sz w:val="20"/>
        </w:rPr>
        <w:t>Risks Related to Our Business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maintain an effective management team, or hire and retain the additional qualified individuals we will need.  As a result, we may be unable to successfully pursue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must raise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generate any cash from operations and, although we believe we have sufficient cash reserves to execute our business plan for the next twelve months, we must raise additional funds in order to continue operating our business and fully execute our business plan. Even following our recent issuance of securities to PCCA in the PCCA Transaction and the completion of this offering, based on our use of proceeds from the PCCA Transaction and our proposed use of proceeds from this offering, we will likely need significant additional capital, which we may seek to raise through, among other things, public and private equity offerings and debt financings.  If we are not able to generate significant revenues and attain profitable operations, we will need to continue to seek further additional financing.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funding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our total expenditures over the next 12 months to be approximately $9.3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8"/>
      <w:bookmarkStart w:id="118" w:name="PGBRK8"/>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8"/>
      <w:bookmarkStart w:id="120" w:name="FTR8"/>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 w:name="GLFTR8"/>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22" w:name="PN8"/>
      <w:bookmarkEnd w:id="122"/>
      <w:r>
        <w:rPr>
          <w:rFonts w:ascii="helvetica" w:hAnsi="helvetica"/>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8"/>
      <w:bookmarkStart w:id="124" w:name="HDR8"/>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 w:name="GLHDR8"/>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pStyle w:val="TextBody"/>
        <w:spacing w:before="0" w:after="0"/>
        <w:ind w:left="0" w:right="0" w:hanging="0"/>
        <w:jc w:val="both"/>
        <w:rPr/>
      </w:pPr>
      <w:r>
        <w:rPr/>
        <w:t> </w:t>
      </w:r>
    </w:p>
    <w:p>
      <w:pPr>
        <w:pStyle w:val="TextBody"/>
        <w:spacing w:before="0" w:after="0"/>
        <w:ind w:left="0" w:right="0" w:firstLine="720"/>
        <w:jc w:val="left"/>
        <w:rPr/>
      </w:pPr>
      <w:r>
        <w:rPr>
          <w:rFonts w:ascii="helvetica" w:hAnsi="helvetica"/>
          <w:sz w:val="20"/>
        </w:rPr>
        <w:t>We have limited remaining funds to support our operations. We have prepared our consolidated financial statements for the fiscal year ended December 31, 2011 and the nine months ended September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In the nine months ended September 30, 2012, we received proceeds, net of related costs, of approximately $7.93 million in the April Private Placement and $3.98 million in connection with the PCCA Transaction.  We expect to use those funds and any funds we may receive from this offering to pursue obtaining regulatory approval to market Impracor and pursue our business plan, but we will need to secure additional funds in order to complete our clinical trials and pursue other product development opportunities.  As a result of our recent capital raising transactions and in light of our current cash and cash equivalents position as of the date of this prospectus, we expect to have adequate resources in order to operate our business through the next twelve months.  However, our auditors may have doubt about our ability to continue as a going concern in future periods, and our financial statements relating to those periods may not be prepared on a going-concern basis based on any such doubts.  Further, even with our current cash position as a result of our recent financings,</w:t>
      </w:r>
      <w:r>
        <w:rPr/>
        <w:t> </w:t>
      </w:r>
      <w:r>
        <w:rPr>
          <w:rFonts w:ascii="helvetica" w:hAnsi="helvetica"/>
          <w:sz w:val="20"/>
        </w:rPr>
        <w:t>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or in any future report, may materially and adversely affect our stock price or our ability to raise new capital.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losses in every year of our operations, including net losses of $(953,936) and $(2,531,228) for the years ended December 31, 2011 and 2010, respectively. As of September 30, 2012, our accumulated deficit was $(22,651,240).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9"/>
      <w:bookmarkStart w:id="127" w:name="PGBRK9"/>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9"/>
      <w:bookmarkStart w:id="129" w:name="FTR9"/>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0" w:name="GLFTR9"/>
      <w:bookmarkEnd w:id="1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31" w:name="PN9"/>
      <w:bookmarkEnd w:id="131"/>
      <w:r>
        <w:rPr>
          <w:rFonts w:ascii="helvetica" w:hAnsi="helvetica"/>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9"/>
      <w:bookmarkStart w:id="133" w:name="HDR9"/>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4" w:name="GLHDR9"/>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operating expenses may fluctuate significantly in the future as a result of a variety of factors, many of which are outside of our control. These factors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5" w:name="list18"/>
      <w:bookmarkStart w:id="136" w:name="list18"/>
      <w:bookmarkEnd w:id="13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time and resources required to develop, conduct clinical trials and obtain regulatory approvals for our drug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7" w:name="list19"/>
      <w:bookmarkStart w:id="138" w:name="list19"/>
      <w:bookmarkEnd w:id="13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9" w:name="list20"/>
      <w:bookmarkStart w:id="140" w:name="list20"/>
      <w:bookmarkEnd w:id="14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New Drug Application under Section 505(b)(2) of the Hatch-Waxman Act of 1984. We have not yet initiated these Phase 3 clinical trials, although in September 2012 we commenced certain supportive studies relating to Impracor that are also required by the FDA.  The results of any future clinical trials or studies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1" w:name="list21"/>
      <w:bookmarkStart w:id="142" w:name="list21"/>
      <w:bookmarkEnd w:id="142"/>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pPr>
            <w:r>
              <w:rPr/>
              <w:t>●  </w:t>
            </w:r>
          </w:p>
        </w:tc>
        <w:tc>
          <w:tcPr>
            <w:tcW w:w="988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3" w:name="list22"/>
      <w:bookmarkStart w:id="144" w:name="list22"/>
      <w:bookmarkEnd w:id="144"/>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delays in enrolling volunteers in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5" w:name="list23"/>
      <w:bookmarkStart w:id="146" w:name="list23"/>
      <w:bookmarkEnd w:id="146"/>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7" w:name="list24"/>
      <w:bookmarkStart w:id="148" w:name="list24"/>
      <w:bookmarkEnd w:id="148"/>
    </w:p>
    <w:tbl>
      <w:tblPr>
        <w:tblW w:w="5000" w:type="pct"/>
        <w:jc w:val="left"/>
        <w:tblInd w:w="0" w:type="dxa"/>
        <w:tblCellMar>
          <w:top w:w="0" w:type="dxa"/>
          <w:left w:w="0" w:type="dxa"/>
          <w:bottom w:w="0" w:type="dxa"/>
          <w:right w:w="0" w:type="dxa"/>
        </w:tblCellMar>
      </w:tblPr>
      <w:tblGrid>
        <w:gridCol w:w="623"/>
        <w:gridCol w:w="9582"/>
      </w:tblGrid>
      <w:tr>
        <w:trPr/>
        <w:tc>
          <w:tcPr>
            <w:tcW w:w="623" w:type="dxa"/>
            <w:tcBorders/>
            <w:shd w:fill="auto" w:val="clear"/>
          </w:tcPr>
          <w:p>
            <w:pPr>
              <w:pStyle w:val="TableContents"/>
              <w:spacing w:before="0" w:after="0"/>
              <w:jc w:val="right"/>
              <w:rPr/>
            </w:pPr>
            <w:r>
              <w:rPr/>
              <w:t>●  </w:t>
            </w:r>
          </w:p>
        </w:tc>
        <w:tc>
          <w:tcPr>
            <w:tcW w:w="95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negative results of clinical or non-clinical studies;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9" w:name="list25"/>
      <w:bookmarkStart w:id="150" w:name="list25"/>
      <w:bookmarkEnd w:id="150"/>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pPr>
            <w:r>
              <w:rPr/>
              <w:t>●  </w:t>
            </w:r>
          </w:p>
        </w:tc>
        <w:tc>
          <w:tcPr>
            <w:tcW w:w="98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adverse side effects experienced by study participants in clinical trials relating to a specific product.</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1" w:name="PGBRK10"/>
      <w:bookmarkStart w:id="152" w:name="PGBRK10"/>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FTR10"/>
      <w:bookmarkStart w:id="154" w:name="FTR10"/>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5" w:name="GLFTR10"/>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56" w:name="PN10"/>
      <w:bookmarkEnd w:id="156"/>
      <w:r>
        <w:rPr>
          <w:rFonts w:ascii="helvetica" w:hAnsi="helvetica"/>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HDR10"/>
      <w:bookmarkStart w:id="158" w:name="HDR10"/>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9" w:name="GLHDR10"/>
      <w:bookmarkEnd w:id="1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may be other circumstances other than the ones described above, over which we may have no control that could materially delay the successful completion of our clinical and non-clinical studies.Furthermore, we expect to rely on CROs to ensure the proper and timely conduct of our clinical trials, and while we expect to enter into agreements governing their committed activities, we have limited influence over their actual performance.  </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success will depend in part on our ability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0" w:name="list26"/>
      <w:bookmarkStart w:id="161" w:name="list26"/>
      <w:bookmarkEnd w:id="161"/>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pPr>
            <w:r>
              <w:rPr/>
              <w:t>●  </w:t>
            </w:r>
          </w:p>
        </w:tc>
        <w:tc>
          <w:tcPr>
            <w:tcW w:w="96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and maintain patent protection with respect to our products;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2" w:name="list27"/>
      <w:bookmarkStart w:id="163" w:name="list27"/>
      <w:bookmarkEnd w:id="163"/>
    </w:p>
    <w:tbl>
      <w:tblPr>
        <w:tblW w:w="5000" w:type="pct"/>
        <w:jc w:val="left"/>
        <w:tblInd w:w="0" w:type="dxa"/>
        <w:tblCellMar>
          <w:top w:w="0" w:type="dxa"/>
          <w:left w:w="0" w:type="dxa"/>
          <w:bottom w:w="0" w:type="dxa"/>
          <w:right w:w="0" w:type="dxa"/>
        </w:tblCellMar>
      </w:tblPr>
      <w:tblGrid>
        <w:gridCol w:w="542"/>
        <w:gridCol w:w="9663"/>
      </w:tblGrid>
      <w:tr>
        <w:trPr/>
        <w:tc>
          <w:tcPr>
            <w:tcW w:w="542" w:type="dxa"/>
            <w:tcBorders/>
            <w:shd w:fill="auto" w:val="clear"/>
          </w:tcPr>
          <w:p>
            <w:pPr>
              <w:pStyle w:val="TableContents"/>
              <w:spacing w:before="0" w:after="0"/>
              <w:jc w:val="right"/>
              <w:rPr/>
            </w:pPr>
            <w:r>
              <w:rPr/>
              <w:t>●  </w:t>
            </w:r>
          </w:p>
        </w:tc>
        <w:tc>
          <w:tcPr>
            <w:tcW w:w="966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prevent third parties from infringing upon our proprietary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4" w:name="list28"/>
      <w:bookmarkStart w:id="165" w:name="list28"/>
      <w:bookmarkEnd w:id="165"/>
    </w:p>
    <w:tbl>
      <w:tblPr>
        <w:tblW w:w="5000" w:type="pct"/>
        <w:jc w:val="left"/>
        <w:tblInd w:w="0" w:type="dxa"/>
        <w:tblCellMar>
          <w:top w:w="0" w:type="dxa"/>
          <w:left w:w="0" w:type="dxa"/>
          <w:bottom w:w="0" w:type="dxa"/>
          <w:right w:w="0" w:type="dxa"/>
        </w:tblCellMar>
      </w:tblPr>
      <w:tblGrid>
        <w:gridCol w:w="1332"/>
        <w:gridCol w:w="8873"/>
      </w:tblGrid>
      <w:tr>
        <w:trPr/>
        <w:tc>
          <w:tcPr>
            <w:tcW w:w="1332" w:type="dxa"/>
            <w:tcBorders/>
            <w:shd w:fill="auto" w:val="clear"/>
          </w:tcPr>
          <w:p>
            <w:pPr>
              <w:pStyle w:val="TableContents"/>
              <w:spacing w:before="0" w:after="0"/>
              <w:jc w:val="right"/>
              <w:rPr/>
            </w:pPr>
            <w:r>
              <w:rPr/>
              <w:t>●  </w:t>
            </w:r>
          </w:p>
        </w:tc>
        <w:tc>
          <w:tcPr>
            <w:tcW w:w="887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maintain trade secrets;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6" w:name="list29"/>
      <w:bookmarkStart w:id="167" w:name="list29"/>
      <w:bookmarkEnd w:id="167"/>
    </w:p>
    <w:tbl>
      <w:tblPr>
        <w:tblW w:w="5000" w:type="pct"/>
        <w:jc w:val="left"/>
        <w:tblInd w:w="0" w:type="dxa"/>
        <w:tblCellMar>
          <w:top w:w="0" w:type="dxa"/>
          <w:left w:w="0" w:type="dxa"/>
          <w:bottom w:w="0" w:type="dxa"/>
          <w:right w:w="0" w:type="dxa"/>
        </w:tblCellMar>
      </w:tblPr>
      <w:tblGrid>
        <w:gridCol w:w="434"/>
        <w:gridCol w:w="9771"/>
      </w:tblGrid>
      <w:tr>
        <w:trPr/>
        <w:tc>
          <w:tcPr>
            <w:tcW w:w="434" w:type="dxa"/>
            <w:tcBorders/>
            <w:shd w:fill="auto" w:val="clear"/>
          </w:tcPr>
          <w:p>
            <w:pPr>
              <w:pStyle w:val="TableContents"/>
              <w:spacing w:before="0" w:after="0"/>
              <w:jc w:val="right"/>
              <w:rPr/>
            </w:pPr>
            <w:r>
              <w:rPr/>
              <w:t>●  </w:t>
            </w:r>
          </w:p>
        </w:tc>
        <w:tc>
          <w:tcPr>
            <w:tcW w:w="97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operate without infringing upon the patents and proprietary rights of others;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8" w:name="list30"/>
      <w:bookmarkStart w:id="169" w:name="list30"/>
      <w:bookmarkEnd w:id="16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Our product development program may not be successful.</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the development of Impracor, we expect to pursue development of potential products in pain management and other therapeutic areas. In particular, we are currently considering potential new product candidates in the muscle relaxant and neuropathic pain fields. We also expect to utilize our relationship with PCCA to identify development opportunities where we perceive an unmet need for a new drug product, and thereby facilitate our future selection, formulation and development of potential product candidates. In addition, our product development program has included cosmetic products, which utilizes the basis of our patented transdermal delivery system technology, Accudel. Since our primary focus will remain seeking FDA approval for Impracor, we currently expect to use limited resources on our other development programs.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 known and well-financed cosmetic, health care and pharmaceutical companies.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0" w:name="PGBRK11"/>
      <w:bookmarkStart w:id="171" w:name="PGBRK11"/>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FTR11"/>
      <w:bookmarkStart w:id="173" w:name="FTR11"/>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4" w:name="GLFTR11"/>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175" w:name="PN11"/>
      <w:bookmarkEnd w:id="175"/>
      <w:r>
        <w:rPr>
          <w:rFonts w:ascii="helvetica" w:hAnsi="helvetica"/>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HDR11"/>
      <w:bookmarkStart w:id="177" w:name="HDR11"/>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 w:name="GLHDR11"/>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If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79" w:name="list31"/>
      <w:bookmarkStart w:id="180" w:name="list31"/>
      <w:bookmarkEnd w:id="180"/>
    </w:p>
    <w:tbl>
      <w:tblPr>
        <w:tblW w:w="5000" w:type="pct"/>
        <w:jc w:val="left"/>
        <w:tblInd w:w="0" w:type="dxa"/>
        <w:tblCellMar>
          <w:top w:w="0" w:type="dxa"/>
          <w:left w:w="0" w:type="dxa"/>
          <w:bottom w:w="0" w:type="dxa"/>
          <w:right w:w="0" w:type="dxa"/>
        </w:tblCellMar>
      </w:tblPr>
      <w:tblGrid>
        <w:gridCol w:w="1424"/>
        <w:gridCol w:w="8781"/>
      </w:tblGrid>
      <w:tr>
        <w:trPr/>
        <w:tc>
          <w:tcPr>
            <w:tcW w:w="1424" w:type="dxa"/>
            <w:tcBorders/>
            <w:shd w:fill="auto" w:val="clear"/>
          </w:tcPr>
          <w:p>
            <w:pPr>
              <w:pStyle w:val="TableContents"/>
              <w:spacing w:before="0" w:after="0"/>
              <w:jc w:val="right"/>
              <w:rPr/>
            </w:pPr>
            <w:r>
              <w:rPr/>
              <w:t>●  </w:t>
            </w:r>
          </w:p>
        </w:tc>
        <w:tc>
          <w:tcPr>
            <w:tcW w:w="87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issue warning letters;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1" w:name="list32"/>
      <w:bookmarkStart w:id="182" w:name="list32"/>
      <w:bookmarkEnd w:id="182"/>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pPr>
            <w:r>
              <w:rPr/>
              <w:t>●  </w:t>
            </w:r>
          </w:p>
        </w:tc>
        <w:tc>
          <w:tcPr>
            <w:tcW w:w="92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civil or criminal penalties;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3" w:name="list33"/>
      <w:bookmarkStart w:id="184" w:name="list33"/>
      <w:bookmarkEnd w:id="184"/>
    </w:p>
    <w:tbl>
      <w:tblPr>
        <w:tblW w:w="5000" w:type="pct"/>
        <w:jc w:val="left"/>
        <w:tblInd w:w="0" w:type="dxa"/>
        <w:tblCellMar>
          <w:top w:w="0" w:type="dxa"/>
          <w:left w:w="0" w:type="dxa"/>
          <w:bottom w:w="0" w:type="dxa"/>
          <w:right w:w="0" w:type="dxa"/>
        </w:tblCellMar>
      </w:tblPr>
      <w:tblGrid>
        <w:gridCol w:w="739"/>
        <w:gridCol w:w="9466"/>
      </w:tblGrid>
      <w:tr>
        <w:trPr/>
        <w:tc>
          <w:tcPr>
            <w:tcW w:w="739" w:type="dxa"/>
            <w:tcBorders/>
            <w:shd w:fill="auto" w:val="clear"/>
          </w:tcPr>
          <w:p>
            <w:pPr>
              <w:pStyle w:val="TableContents"/>
              <w:spacing w:before="0" w:after="0"/>
              <w:jc w:val="right"/>
              <w:rPr/>
            </w:pPr>
            <w:r>
              <w:rPr/>
              <w:t>●  </w:t>
            </w:r>
          </w:p>
        </w:tc>
        <w:tc>
          <w:tcPr>
            <w:tcW w:w="946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withdraw our regulatory approval;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5" w:name="list34"/>
      <w:bookmarkStart w:id="186" w:name="list34"/>
      <w:bookmarkEnd w:id="186"/>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pPr>
            <w:r>
              <w:rPr/>
              <w:t>●  </w:t>
            </w:r>
          </w:p>
        </w:tc>
        <w:tc>
          <w:tcPr>
            <w:tcW w:w="95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suspend or terminate any of our ongoing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7" w:name="list35"/>
      <w:bookmarkStart w:id="188" w:name="list35"/>
      <w:bookmarkEnd w:id="188"/>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pPr>
            <w:r>
              <w:rPr/>
              <w:t>●  </w:t>
            </w:r>
          </w:p>
        </w:tc>
        <w:tc>
          <w:tcPr>
            <w:tcW w:w="982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refuse to approve pending applications or supplements to approved applications filed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89" w:name="list36"/>
      <w:bookmarkStart w:id="190" w:name="list36"/>
      <w:bookmarkEnd w:id="190"/>
    </w:p>
    <w:tbl>
      <w:tblPr>
        <w:tblW w:w="5000" w:type="pct"/>
        <w:jc w:val="left"/>
        <w:tblInd w:w="0" w:type="dxa"/>
        <w:tblCellMar>
          <w:top w:w="0" w:type="dxa"/>
          <w:left w:w="0" w:type="dxa"/>
          <w:bottom w:w="0" w:type="dxa"/>
          <w:right w:w="0" w:type="dxa"/>
        </w:tblCellMar>
      </w:tblPr>
      <w:tblGrid>
        <w:gridCol w:w="862"/>
        <w:gridCol w:w="9343"/>
      </w:tblGrid>
      <w:tr>
        <w:trPr/>
        <w:tc>
          <w:tcPr>
            <w:tcW w:w="862" w:type="dxa"/>
            <w:tcBorders/>
            <w:shd w:fill="auto" w:val="clear"/>
          </w:tcPr>
          <w:p>
            <w:pPr>
              <w:pStyle w:val="TableContents"/>
              <w:spacing w:before="0" w:after="0"/>
              <w:jc w:val="right"/>
              <w:rPr/>
            </w:pPr>
            <w:r>
              <w:rPr/>
              <w:t>●  </w:t>
            </w:r>
          </w:p>
        </w:tc>
        <w:tc>
          <w:tcPr>
            <w:tcW w:w="934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impose restrictions on our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1" w:name="list37"/>
      <w:bookmarkStart w:id="192" w:name="list37"/>
      <w:bookmarkEnd w:id="192"/>
    </w:p>
    <w:tbl>
      <w:tblPr>
        <w:tblW w:w="5000" w:type="pct"/>
        <w:jc w:val="left"/>
        <w:tblInd w:w="0" w:type="dxa"/>
        <w:tblCellMar>
          <w:top w:w="0" w:type="dxa"/>
          <w:left w:w="0" w:type="dxa"/>
          <w:bottom w:w="0" w:type="dxa"/>
          <w:right w:w="0" w:type="dxa"/>
        </w:tblCellMar>
      </w:tblPr>
      <w:tblGrid>
        <w:gridCol w:w="644"/>
        <w:gridCol w:w="9561"/>
      </w:tblGrid>
      <w:tr>
        <w:trPr/>
        <w:tc>
          <w:tcPr>
            <w:tcW w:w="644" w:type="dxa"/>
            <w:tcBorders/>
            <w:shd w:fill="auto" w:val="clear"/>
          </w:tcPr>
          <w:p>
            <w:pPr>
              <w:pStyle w:val="TableContents"/>
              <w:spacing w:before="0" w:after="0"/>
              <w:jc w:val="right"/>
              <w:rPr/>
            </w:pPr>
            <w:r>
              <w:rPr/>
              <w:t>●  </w:t>
            </w:r>
          </w:p>
        </w:tc>
        <w:tc>
          <w:tcPr>
            <w:tcW w:w="956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close the facilities of our contract manufacturers;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3" w:name="list38"/>
      <w:bookmarkStart w:id="194" w:name="list38"/>
      <w:bookmarkEnd w:id="194"/>
    </w:p>
    <w:tbl>
      <w:tblPr>
        <w:tblW w:w="5000" w:type="pct"/>
        <w:jc w:val="left"/>
        <w:tblInd w:w="0" w:type="dxa"/>
        <w:tblCellMar>
          <w:top w:w="0" w:type="dxa"/>
          <w:left w:w="0" w:type="dxa"/>
          <w:bottom w:w="0" w:type="dxa"/>
          <w:right w:w="0" w:type="dxa"/>
        </w:tblCellMar>
      </w:tblPr>
      <w:tblGrid>
        <w:gridCol w:w="655"/>
        <w:gridCol w:w="9550"/>
      </w:tblGrid>
      <w:tr>
        <w:trPr/>
        <w:tc>
          <w:tcPr>
            <w:tcW w:w="655" w:type="dxa"/>
            <w:tcBorders/>
            <w:shd w:fill="auto" w:val="clear"/>
          </w:tcPr>
          <w:p>
            <w:pPr>
              <w:pStyle w:val="TableContents"/>
              <w:spacing w:before="0" w:after="0"/>
              <w:jc w:val="right"/>
              <w:rPr/>
            </w:pPr>
            <w:r>
              <w:rPr/>
              <w:t>●  </w:t>
            </w:r>
          </w:p>
        </w:tc>
        <w:tc>
          <w:tcPr>
            <w:tcW w:w="95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 w:name="PGBRK12"/>
      <w:bookmarkStart w:id="196" w:name="PGBRK12"/>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FTR12"/>
      <w:bookmarkStart w:id="198" w:name="FTR12"/>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9" w:name="GLFTR12"/>
      <w:bookmarkEnd w:id="1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00" w:name="PN12"/>
      <w:bookmarkEnd w:id="200"/>
      <w:r>
        <w:rPr>
          <w:rFonts w:ascii="helvetica" w:hAnsi="helvetica"/>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HDR12"/>
      <w:bookmarkStart w:id="202" w:name="HDR12"/>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3" w:name="GLHDR12"/>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4" w:name="PGBRK13"/>
      <w:bookmarkStart w:id="205" w:name="PGBRK13"/>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FTR13"/>
      <w:bookmarkStart w:id="207" w:name="FTR13"/>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8" w:name="GLFTR13"/>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09" w:name="PN13"/>
      <w:bookmarkEnd w:id="209"/>
      <w:r>
        <w:rPr>
          <w:rFonts w:ascii="helvetica" w:hAnsi="helvetica"/>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HDR13"/>
      <w:bookmarkStart w:id="211" w:name="HDR13"/>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2" w:name="GLHDR13"/>
      <w:bookmarkEnd w:id="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 w:name="PGBRK14"/>
      <w:bookmarkStart w:id="214" w:name="PGBRK14"/>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FTR14"/>
      <w:bookmarkStart w:id="216" w:name="FTR14"/>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7" w:name="GLFTR14"/>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18" w:name="PN14"/>
      <w:bookmarkEnd w:id="218"/>
      <w:r>
        <w:rPr>
          <w:rFonts w:ascii="helvetica" w:hAnsi="helvetica"/>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HDR14"/>
      <w:bookmarkStart w:id="220" w:name="HDR14"/>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1" w:name="GLHDR14"/>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Risks Relating to Our Industry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If we are unable to compete with other companies that develop rival products to our products, then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 w:name="PGBRK15"/>
      <w:bookmarkStart w:id="223" w:name="PGBRK15"/>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FTR15"/>
      <w:bookmarkStart w:id="225" w:name="FTR15"/>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 w:name="GLFTR15"/>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27" w:name="PN15"/>
      <w:bookmarkEnd w:id="227"/>
      <w:r>
        <w:rPr>
          <w:rFonts w:ascii="helvetica" w:hAnsi="helvetica"/>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HDR15"/>
      <w:bookmarkStart w:id="229" w:name="HDR15"/>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0" w:name="GLHDR15"/>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Risks Relating to the Offering and Ownership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You will experience immediate and substantial dilution as a result of this offering and may experience additional dilution in the future.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You will incur immediate and substantial dilution as a result of this offering. After giving effect to the sale by us of 1,840,000 shares of common stock (assumes that the underwriters do not exercise its over-allotment option), and after deducting underwriting fees and estimated offering expenses payable by us, investors in this offering can expect an immediate dilution of $3.05 per share, or 58.1%, at the public offering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inception we have funded our operations primarily through equity and debt financings and we expect to continue to do so in the future. Any additional equity or convertible debt offerings we may effect in the future will further dilute your ownership interest in the Company.  To the extent any of the warrants and options we have issued is ultimately exercised you will sustain future dilution. In addition to the issuance of equity to PCCA in connection with the recent PCCA Tranaction, we may acquire or license other technologies or finance strategic alliances by issuing additional equity, which may result in additional dilution to our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may allocate the net proceeds from this offering in ways that differ from our estimates based on our current plans and assumptions discussed in the section titled “Use of Proceeds” and with which you may not agree.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Sales of common stock by our stockholders, or the perception that such sales may occur, could depress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 w:name="PGBRK16"/>
      <w:bookmarkStart w:id="232" w:name="PGBRK16"/>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3" w:name="FTR16"/>
      <w:bookmarkStart w:id="234" w:name="FTR16"/>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5" w:name="GLFTR16"/>
      <w:bookmarkEnd w:id="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36" w:name="PN16"/>
      <w:bookmarkEnd w:id="236"/>
      <w:r>
        <w:rPr>
          <w:rFonts w:ascii="helvetica" w:hAnsi="helvetica"/>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HDR16"/>
      <w:bookmarkStart w:id="238" w:name="HDR16"/>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9" w:name="GLHDR16"/>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40" w:name="TAB27"/>
      <w:bookmarkEnd w:id="240"/>
      <w:r>
        <w:rPr>
          <w:color w:val="000000"/>
          <w:spacing w:val="180"/>
        </w:rPr>
        <w:t> </w:t>
      </w:r>
      <w:r>
        <w:rPr>
          <w:rFonts w:ascii="helvetica" w:hAnsi="helvetica"/>
          <w:sz w:val="20"/>
        </w:rPr>
        <w:t xml:space="preserve">Trading in our common stock is sporadic and volatile. We cannot predict the extent to which an active public market for our common stock will develop or be sustained. </w:t>
      </w:r>
      <w:r>
        <w:rPr>
          <w:rFonts w:ascii="Helvetica" w:hAnsi="Helvetica"/>
          <w:sz w:val="20"/>
        </w:rPr>
        <w:t>On February 8, 2013, our common stock began trading on The NASDAQ Capital Market under the symbol "IMMY". However, even though our common stock has commenced trading on T</w:t>
      </w:r>
      <w:r>
        <w:rPr>
          <w:rFonts w:ascii="helvetica" w:hAnsi="helvetica"/>
          <w:sz w:val="20"/>
        </w:rPr>
        <w:t>he NASDAQ Capital Market,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pStyle w:val="TextBody"/>
        <w:spacing w:before="0" w:after="0"/>
        <w:ind w:left="0" w:right="0" w:hanging="0"/>
        <w:jc w:val="both"/>
        <w:rPr/>
      </w:pPr>
      <w:r>
        <w:rPr/>
        <w:t> </w:t>
      </w:r>
    </w:p>
    <w:p>
      <w:pPr>
        <w:pStyle w:val="TextBody"/>
        <w:spacing w:before="0" w:after="0"/>
        <w:ind w:left="0" w:right="0" w:firstLine="720"/>
        <w:rPr/>
      </w:pPr>
      <w:bookmarkStart w:id="241" w:name="TAB28"/>
      <w:bookmarkEnd w:id="241"/>
      <w:r>
        <w:rPr>
          <w:color w:val="000000"/>
          <w:spacing w:val="180"/>
        </w:rPr>
        <w:t> </w:t>
      </w:r>
      <w:r>
        <w:rPr>
          <w:rFonts w:ascii="helvetica" w:hAnsi="helvetica"/>
          <w:sz w:val="20"/>
        </w:rPr>
        <w:t>There may not be any broker interested in making a market for our stock. Therefore, it may be difficult to sell your shares of common stock if you desire or need to sell them. Our underwriters are not obligated to make a market in our securities, and even if they choose to do so they can discontinue at any time without notice.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executive officers and directors own or have the right to acquire within 60 days, in the aggregate, approximately 24% of the shares of common stock outstanding following such issuance to them. In addition, four individual stockholders hold an additional approximately 45%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2" w:name="list39"/>
      <w:bookmarkStart w:id="243" w:name="list39"/>
      <w:bookmarkEnd w:id="243"/>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jc w:val="right"/>
              <w:rPr/>
            </w:pPr>
            <w:r>
              <w:rPr/>
              <w:t>●  </w:t>
            </w:r>
          </w:p>
        </w:tc>
        <w:tc>
          <w:tcPr>
            <w:tcW w:w="971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delaying, deferring, or preventing a change in control of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 w:name="list40"/>
      <w:bookmarkStart w:id="245" w:name="list40"/>
      <w:bookmarkEnd w:id="245"/>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impeding a merger, consolidation, takeover, or other business combination involving our company;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6" w:name="list41"/>
      <w:bookmarkStart w:id="247" w:name="list41"/>
      <w:bookmarkEnd w:id="247"/>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pPr>
            <w:r>
              <w:rPr/>
              <w:t>●  </w:t>
            </w:r>
          </w:p>
        </w:tc>
        <w:tc>
          <w:tcPr>
            <w:tcW w:w="988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causing us to enter into transactions or agreements that are not in the best interests of all stockholders;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 w:name="list42"/>
      <w:bookmarkStart w:id="249" w:name="list42"/>
      <w:bookmarkEnd w:id="24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We have identified material weaknesses in our internal control over financial reporting. If we fail to maintain an effective system of internal controls, we may not be able to accurately report our financial results or prevent fraud.</w:t>
      </w:r>
    </w:p>
    <w:p>
      <w:pPr>
        <w:pStyle w:val="TextBody"/>
        <w:spacing w:before="0" w:after="0"/>
        <w:ind w:left="0" w:right="0" w:hanging="0"/>
        <w:jc w:val="both"/>
        <w:rPr/>
      </w:pPr>
      <w:r>
        <w:rPr/>
        <w:t> </w:t>
      </w:r>
    </w:p>
    <w:p>
      <w:pPr>
        <w:pStyle w:val="TextBody"/>
        <w:spacing w:before="0" w:after="0"/>
        <w:ind w:left="0" w:right="0" w:firstLine="720"/>
        <w:rPr/>
      </w:pPr>
      <w:bookmarkStart w:id="250" w:name="TAB29"/>
      <w:bookmarkEnd w:id="250"/>
      <w:r>
        <w:rPr>
          <w:color w:val="000000"/>
          <w:spacing w:val="180"/>
        </w:rPr>
        <w:t> </w:t>
      </w:r>
      <w:r>
        <w:rPr>
          <w:rFonts w:ascii="helvetica" w:hAnsi="helvetica"/>
          <w:sz w:val="20"/>
        </w:rPr>
        <w:t>As described in our periodic reports filed with the SEC, including Item 4 of Part I of our Quarterly Report on Form 10-Q for the period ended September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17"/>
      <w:bookmarkStart w:id="252" w:name="PGBRK17"/>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17"/>
      <w:bookmarkStart w:id="254" w:name="FTR17"/>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5" w:name="GLFTR17"/>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56" w:name="PN17"/>
      <w:bookmarkEnd w:id="256"/>
      <w:r>
        <w:rPr>
          <w:rFonts w:ascii="helvetica" w:hAnsi="helvetica"/>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17"/>
      <w:bookmarkStart w:id="258" w:name="HDR17"/>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9" w:name="GLHDR17"/>
      <w:bookmarkEnd w:id="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0" w:name="list43"/>
      <w:bookmarkStart w:id="261" w:name="list43"/>
      <w:bookmarkEnd w:id="261"/>
    </w:p>
    <w:tbl>
      <w:tblPr>
        <w:tblW w:w="5000" w:type="pct"/>
        <w:jc w:val="left"/>
        <w:tblInd w:w="0" w:type="dxa"/>
        <w:tblCellMar>
          <w:top w:w="0" w:type="dxa"/>
          <w:left w:w="0" w:type="dxa"/>
          <w:bottom w:w="0" w:type="dxa"/>
          <w:right w:w="0" w:type="dxa"/>
        </w:tblCellMar>
      </w:tblPr>
      <w:tblGrid>
        <w:gridCol w:w="629"/>
        <w:gridCol w:w="9576"/>
      </w:tblGrid>
      <w:tr>
        <w:trPr/>
        <w:tc>
          <w:tcPr>
            <w:tcW w:w="629" w:type="dxa"/>
            <w:tcBorders/>
            <w:shd w:fill="auto" w:val="clear"/>
          </w:tcPr>
          <w:p>
            <w:pPr>
              <w:pStyle w:val="TableContents"/>
              <w:spacing w:before="0" w:after="0"/>
              <w:jc w:val="right"/>
              <w:rPr/>
            </w:pPr>
            <w:r>
              <w:rPr/>
              <w:t>●  </w:t>
            </w:r>
          </w:p>
        </w:tc>
        <w:tc>
          <w:tcPr>
            <w:tcW w:w="957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changes in the pharmaceutical industry and markets;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2" w:name="list44"/>
      <w:bookmarkStart w:id="263" w:name="list44"/>
      <w:bookmarkEnd w:id="263"/>
    </w:p>
    <w:tbl>
      <w:tblPr>
        <w:tblW w:w="5000" w:type="pct"/>
        <w:jc w:val="left"/>
        <w:tblInd w:w="0" w:type="dxa"/>
        <w:tblCellMar>
          <w:top w:w="0" w:type="dxa"/>
          <w:left w:w="0" w:type="dxa"/>
          <w:bottom w:w="0" w:type="dxa"/>
          <w:right w:w="0" w:type="dxa"/>
        </w:tblCellMar>
      </w:tblPr>
      <w:tblGrid>
        <w:gridCol w:w="1055"/>
        <w:gridCol w:w="9150"/>
      </w:tblGrid>
      <w:tr>
        <w:trPr/>
        <w:tc>
          <w:tcPr>
            <w:tcW w:w="1055" w:type="dxa"/>
            <w:tcBorders/>
            <w:shd w:fill="auto" w:val="clear"/>
          </w:tcPr>
          <w:p>
            <w:pPr>
              <w:pStyle w:val="TableContents"/>
              <w:spacing w:before="0" w:after="0"/>
              <w:jc w:val="right"/>
              <w:rPr/>
            </w:pPr>
            <w:r>
              <w:rPr/>
              <w:t>●  </w:t>
            </w:r>
          </w:p>
        </w:tc>
        <w:tc>
          <w:tcPr>
            <w:tcW w:w="915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competitive pricing pressures;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4" w:name="list45"/>
      <w:bookmarkStart w:id="265" w:name="list45"/>
      <w:bookmarkEnd w:id="265"/>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pPr>
            <w:r>
              <w:rPr/>
              <w:t>●  </w:t>
            </w:r>
          </w:p>
        </w:tc>
        <w:tc>
          <w:tcPr>
            <w:tcW w:w="94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working capital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6" w:name="list46"/>
      <w:bookmarkStart w:id="267" w:name="list46"/>
      <w:bookmarkEnd w:id="267"/>
    </w:p>
    <w:tbl>
      <w:tblPr>
        <w:tblW w:w="5000" w:type="pct"/>
        <w:jc w:val="left"/>
        <w:tblInd w:w="0" w:type="dxa"/>
        <w:tblCellMar>
          <w:top w:w="0" w:type="dxa"/>
          <w:left w:w="0" w:type="dxa"/>
          <w:bottom w:w="0" w:type="dxa"/>
          <w:right w:w="0" w:type="dxa"/>
        </w:tblCellMar>
      </w:tblPr>
      <w:tblGrid>
        <w:gridCol w:w="1028"/>
        <w:gridCol w:w="9177"/>
      </w:tblGrid>
      <w:tr>
        <w:trPr/>
        <w:tc>
          <w:tcPr>
            <w:tcW w:w="1028" w:type="dxa"/>
            <w:tcBorders/>
            <w:shd w:fill="auto" w:val="clear"/>
          </w:tcPr>
          <w:p>
            <w:pPr>
              <w:pStyle w:val="TableContents"/>
              <w:spacing w:before="0" w:after="0"/>
              <w:jc w:val="right"/>
              <w:rPr/>
            </w:pPr>
            <w:r>
              <w:rPr/>
              <w:t>●  </w:t>
            </w:r>
          </w:p>
        </w:tc>
        <w:tc>
          <w:tcPr>
            <w:tcW w:w="91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new competitors in our market;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8" w:name="list47"/>
      <w:bookmarkStart w:id="269" w:name="list47"/>
      <w:bookmarkEnd w:id="269"/>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pPr>
            <w:r>
              <w:rPr/>
              <w:t>●  </w:t>
            </w:r>
          </w:p>
        </w:tc>
        <w:tc>
          <w:tcPr>
            <w:tcW w:w="940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additions or departures of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 w:name="list48"/>
      <w:bookmarkStart w:id="271" w:name="list48"/>
      <w:bookmarkEnd w:id="271"/>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2" w:name="list49"/>
      <w:bookmarkStart w:id="273" w:name="list49"/>
      <w:bookmarkEnd w:id="273"/>
    </w:p>
    <w:tbl>
      <w:tblPr>
        <w:tblW w:w="5000" w:type="pct"/>
        <w:jc w:val="left"/>
        <w:tblInd w:w="0" w:type="dxa"/>
        <w:tblCellMar>
          <w:top w:w="0" w:type="dxa"/>
          <w:left w:w="0" w:type="dxa"/>
          <w:bottom w:w="0" w:type="dxa"/>
          <w:right w:w="0" w:type="dxa"/>
        </w:tblCellMar>
      </w:tblPr>
      <w:tblGrid>
        <w:gridCol w:w="1123"/>
        <w:gridCol w:w="9082"/>
      </w:tblGrid>
      <w:tr>
        <w:trPr/>
        <w:tc>
          <w:tcPr>
            <w:tcW w:w="1123" w:type="dxa"/>
            <w:tcBorders/>
            <w:shd w:fill="auto" w:val="clear"/>
          </w:tcPr>
          <w:p>
            <w:pPr>
              <w:pStyle w:val="TableContents"/>
              <w:spacing w:before="0" w:after="0"/>
              <w:jc w:val="right"/>
              <w:rPr/>
            </w:pPr>
            <w:r>
              <w:rPr/>
              <w:t>●  </w:t>
            </w:r>
          </w:p>
        </w:tc>
        <w:tc>
          <w:tcPr>
            <w:tcW w:w="90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sales of our common stock;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4" w:name="list50"/>
      <w:bookmarkStart w:id="275" w:name="list50"/>
      <w:bookmarkEnd w:id="275"/>
    </w:p>
    <w:tbl>
      <w:tblPr>
        <w:tblW w:w="5000" w:type="pct"/>
        <w:jc w:val="left"/>
        <w:tblInd w:w="0" w:type="dxa"/>
        <w:tblCellMar>
          <w:top w:w="0" w:type="dxa"/>
          <w:left w:w="0" w:type="dxa"/>
          <w:bottom w:w="0" w:type="dxa"/>
          <w:right w:w="0" w:type="dxa"/>
        </w:tblCellMar>
      </w:tblPr>
      <w:tblGrid>
        <w:gridCol w:w="818"/>
        <w:gridCol w:w="9387"/>
      </w:tblGrid>
      <w:tr>
        <w:trPr/>
        <w:tc>
          <w:tcPr>
            <w:tcW w:w="818" w:type="dxa"/>
            <w:tcBorders/>
            <w:shd w:fill="auto" w:val="clear"/>
          </w:tcPr>
          <w:p>
            <w:pPr>
              <w:pStyle w:val="TableContents"/>
              <w:spacing w:before="0" w:after="0"/>
              <w:jc w:val="right"/>
              <w:rPr/>
            </w:pPr>
            <w:r>
              <w:rPr/>
              <w:t>●  </w:t>
            </w:r>
          </w:p>
        </w:tc>
        <w:tc>
          <w:tcPr>
            <w:tcW w:w="938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execute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6" w:name="list51"/>
      <w:bookmarkStart w:id="277" w:name="list51"/>
      <w:bookmarkEnd w:id="277"/>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pPr>
            <w:r>
              <w:rPr/>
              <w:t>●  </w:t>
            </w:r>
          </w:p>
        </w:tc>
        <w:tc>
          <w:tcPr>
            <w:tcW w:w="947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operating results that fall below expectations;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 w:name="list52"/>
      <w:bookmarkStart w:id="279" w:name="list52"/>
      <w:bookmarkEnd w:id="27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 w:name="list53"/>
      <w:bookmarkStart w:id="281" w:name="list53"/>
      <w:bookmarkEnd w:id="281"/>
    </w:p>
    <w:tbl>
      <w:tblPr>
        <w:tblW w:w="5000" w:type="pct"/>
        <w:jc w:val="left"/>
        <w:tblInd w:w="0" w:type="dxa"/>
        <w:tblCellMar>
          <w:top w:w="0" w:type="dxa"/>
          <w:left w:w="0" w:type="dxa"/>
          <w:bottom w:w="0" w:type="dxa"/>
          <w:right w:w="0" w:type="dxa"/>
        </w:tblCellMar>
      </w:tblPr>
      <w:tblGrid>
        <w:gridCol w:w="834"/>
        <w:gridCol w:w="9371"/>
      </w:tblGrid>
      <w:tr>
        <w:trPr/>
        <w:tc>
          <w:tcPr>
            <w:tcW w:w="834" w:type="dxa"/>
            <w:tcBorders/>
            <w:shd w:fill="auto" w:val="clear"/>
          </w:tcPr>
          <w:p>
            <w:pPr>
              <w:pStyle w:val="TableContents"/>
              <w:spacing w:before="0" w:after="0"/>
              <w:jc w:val="right"/>
              <w:rPr/>
            </w:pPr>
            <w:r>
              <w:rPr/>
              <w:t>●  </w:t>
            </w:r>
          </w:p>
        </w:tc>
        <w:tc>
          <w:tcPr>
            <w:tcW w:w="937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industry or regulatory developments;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 w:name="list54"/>
      <w:bookmarkStart w:id="283" w:name="list54"/>
      <w:bookmarkEnd w:id="283"/>
    </w:p>
    <w:tbl>
      <w:tblPr>
        <w:tblW w:w="5000" w:type="pct"/>
        <w:jc w:val="left"/>
        <w:tblInd w:w="0" w:type="dxa"/>
        <w:tblCellMar>
          <w:top w:w="0" w:type="dxa"/>
          <w:left w:w="0" w:type="dxa"/>
          <w:bottom w:w="0" w:type="dxa"/>
          <w:right w:w="0" w:type="dxa"/>
        </w:tblCellMar>
      </w:tblPr>
      <w:tblGrid>
        <w:gridCol w:w="884"/>
        <w:gridCol w:w="9321"/>
      </w:tblGrid>
      <w:tr>
        <w:trPr/>
        <w:tc>
          <w:tcPr>
            <w:tcW w:w="884" w:type="dxa"/>
            <w:tcBorders/>
            <w:shd w:fill="auto" w:val="clear"/>
          </w:tcPr>
          <w:p>
            <w:pPr>
              <w:pStyle w:val="TableContents"/>
              <w:spacing w:before="0" w:after="0"/>
              <w:jc w:val="right"/>
              <w:rPr/>
            </w:pPr>
            <w:r>
              <w:rPr/>
              <w:t>●  </w:t>
            </w:r>
          </w:p>
        </w:tc>
        <w:tc>
          <w:tcPr>
            <w:tcW w:w="932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0" w:right="0" w:firstLine="720"/>
        <w:rPr/>
      </w:pPr>
      <w:bookmarkStart w:id="284" w:name="TAB210"/>
      <w:bookmarkEnd w:id="284"/>
      <w:r>
        <w:rPr>
          <w:color w:val="000000"/>
          <w:spacing w:val="180"/>
        </w:rPr>
        <w:t> </w:t>
      </w:r>
      <w:r>
        <w:rPr/>
        <w:t> </w:t>
      </w:r>
      <w:r>
        <w:rPr>
          <w:rFonts w:ascii="helvetica" w:hAnsi="helvetica"/>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firstLine="72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5" w:name="PGBRK18"/>
      <w:bookmarkStart w:id="286" w:name="PGBRK18"/>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7" w:name="FTR18"/>
      <w:bookmarkStart w:id="288" w:name="FTR18"/>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9" w:name="GLFTR18"/>
      <w:bookmarkEnd w:id="2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90" w:name="PN18"/>
      <w:bookmarkEnd w:id="290"/>
      <w:r>
        <w:rPr>
          <w:rFonts w:ascii="helvetica" w:hAnsi="helvetica"/>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HDR18"/>
      <w:bookmarkStart w:id="292" w:name="HDR18"/>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3" w:name="GLHDR18"/>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4" w:name="PGBRK19"/>
      <w:bookmarkStart w:id="295" w:name="PGBRK19"/>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FTR19"/>
      <w:bookmarkStart w:id="297" w:name="FTR19"/>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8" w:name="GLFTR19"/>
      <w:bookmarkEnd w:id="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299" w:name="PN19"/>
      <w:bookmarkEnd w:id="299"/>
      <w:r>
        <w:rPr>
          <w:rFonts w:ascii="helvetica" w:hAnsi="helvetica"/>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HDR19"/>
      <w:bookmarkStart w:id="301" w:name="HDR19"/>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2" w:name="GLHDR19"/>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SPECIAL NOTE REGARDING FORWARD-LOOKING STATEMENTS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3" w:name="list55"/>
      <w:bookmarkStart w:id="304" w:name="list55"/>
      <w:bookmarkEnd w:id="304"/>
    </w:p>
    <w:tbl>
      <w:tblPr>
        <w:tblW w:w="5000" w:type="pct"/>
        <w:jc w:val="left"/>
        <w:tblInd w:w="0" w:type="dxa"/>
        <w:tblCellMar>
          <w:top w:w="0" w:type="dxa"/>
          <w:left w:w="0" w:type="dxa"/>
          <w:bottom w:w="0" w:type="dxa"/>
          <w:right w:w="0" w:type="dxa"/>
        </w:tblCellMar>
      </w:tblPr>
      <w:tblGrid>
        <w:gridCol w:w="348"/>
        <w:gridCol w:w="9857"/>
      </w:tblGrid>
      <w:tr>
        <w:trPr/>
        <w:tc>
          <w:tcPr>
            <w:tcW w:w="348" w:type="dxa"/>
            <w:tcBorders/>
            <w:shd w:fill="auto" w:val="clear"/>
          </w:tcPr>
          <w:p>
            <w:pPr>
              <w:pStyle w:val="TableContents"/>
              <w:spacing w:before="0" w:after="0"/>
              <w:jc w:val="right"/>
              <w:rPr/>
            </w:pPr>
            <w:r>
              <w:rPr/>
              <w:t>●  </w:t>
            </w:r>
          </w:p>
        </w:tc>
        <w:tc>
          <w:tcPr>
            <w:tcW w:w="985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implement our business plan following dismissal of the Chapter 11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 w:name="list56"/>
      <w:bookmarkStart w:id="306" w:name="list56"/>
      <w:bookmarkEnd w:id="306"/>
    </w:p>
    <w:tbl>
      <w:tblPr>
        <w:tblW w:w="5000" w:type="pct"/>
        <w:jc w:val="left"/>
        <w:tblInd w:w="0" w:type="dxa"/>
        <w:tblCellMar>
          <w:top w:w="0" w:type="dxa"/>
          <w:left w:w="0" w:type="dxa"/>
          <w:bottom w:w="0" w:type="dxa"/>
          <w:right w:w="0" w:type="dxa"/>
        </w:tblCellMar>
      </w:tblPr>
      <w:tblGrid>
        <w:gridCol w:w="775"/>
        <w:gridCol w:w="9430"/>
      </w:tblGrid>
      <w:tr>
        <w:trPr/>
        <w:tc>
          <w:tcPr>
            <w:tcW w:w="775" w:type="dxa"/>
            <w:tcBorders/>
            <w:shd w:fill="auto" w:val="clear"/>
          </w:tcPr>
          <w:p>
            <w:pPr>
              <w:pStyle w:val="TableContents"/>
              <w:spacing w:before="0" w:after="0"/>
              <w:jc w:val="right"/>
              <w:rPr/>
            </w:pPr>
            <w:r>
              <w:rPr/>
              <w:t>●  </w:t>
            </w:r>
          </w:p>
        </w:tc>
        <w:tc>
          <w:tcPr>
            <w:tcW w:w="943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success of our proposed clinical trials;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7" w:name="list57"/>
      <w:bookmarkStart w:id="308" w:name="list57"/>
      <w:bookmarkEnd w:id="308"/>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pPr>
            <w:r>
              <w:rPr/>
              <w:t>●  </w:t>
            </w:r>
          </w:p>
        </w:tc>
        <w:tc>
          <w:tcPr>
            <w:tcW w:w="97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research and successfully develop our product candidates;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9" w:name="list58"/>
      <w:bookmarkStart w:id="310" w:name="list58"/>
      <w:bookmarkEnd w:id="310"/>
    </w:p>
    <w:tbl>
      <w:tblPr>
        <w:tblW w:w="5000" w:type="pct"/>
        <w:jc w:val="left"/>
        <w:tblInd w:w="0" w:type="dxa"/>
        <w:tblCellMar>
          <w:top w:w="0" w:type="dxa"/>
          <w:left w:w="0" w:type="dxa"/>
          <w:bottom w:w="0" w:type="dxa"/>
          <w:right w:w="0" w:type="dxa"/>
        </w:tblCellMar>
      </w:tblPr>
      <w:tblGrid>
        <w:gridCol w:w="761"/>
        <w:gridCol w:w="9444"/>
      </w:tblGrid>
      <w:tr>
        <w:trPr/>
        <w:tc>
          <w:tcPr>
            <w:tcW w:w="761" w:type="dxa"/>
            <w:tcBorders/>
            <w:shd w:fill="auto" w:val="clear"/>
          </w:tcPr>
          <w:p>
            <w:pPr>
              <w:pStyle w:val="TableContents"/>
              <w:spacing w:before="0" w:after="0"/>
              <w:jc w:val="right"/>
              <w:rPr/>
            </w:pPr>
            <w:r>
              <w:rPr/>
              <w:t>●  </w:t>
            </w:r>
          </w:p>
        </w:tc>
        <w:tc>
          <w:tcPr>
            <w:tcW w:w="94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general economic and business conditions;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1" w:name="list59"/>
      <w:bookmarkStart w:id="312" w:name="list59"/>
      <w:bookmarkEnd w:id="312"/>
    </w:p>
    <w:tbl>
      <w:tblPr>
        <w:tblW w:w="5000" w:type="pct"/>
        <w:jc w:val="left"/>
        <w:tblInd w:w="0" w:type="dxa"/>
        <w:tblCellMar>
          <w:top w:w="0" w:type="dxa"/>
          <w:left w:w="0" w:type="dxa"/>
          <w:bottom w:w="0" w:type="dxa"/>
          <w:right w:w="0" w:type="dxa"/>
        </w:tblCellMar>
      </w:tblPr>
      <w:tblGrid>
        <w:gridCol w:w="783"/>
        <w:gridCol w:w="9422"/>
      </w:tblGrid>
      <w:tr>
        <w:trPr/>
        <w:tc>
          <w:tcPr>
            <w:tcW w:w="783" w:type="dxa"/>
            <w:tcBorders/>
            <w:shd w:fill="auto" w:val="clear"/>
          </w:tcPr>
          <w:p>
            <w:pPr>
              <w:pStyle w:val="TableContents"/>
              <w:spacing w:before="0" w:after="0"/>
              <w:jc w:val="right"/>
              <w:rPr/>
            </w:pPr>
            <w:r>
              <w:rPr/>
              <w:t>●  </w:t>
            </w:r>
          </w:p>
        </w:tc>
        <w:tc>
          <w:tcPr>
            <w:tcW w:w="942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continue as a going concern;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3" w:name="list60"/>
      <w:bookmarkStart w:id="314" w:name="list60"/>
      <w:bookmarkEnd w:id="314"/>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jc w:val="right"/>
              <w:rPr/>
            </w:pPr>
            <w:r>
              <w:rPr/>
              <w:t>●  </w:t>
            </w:r>
          </w:p>
        </w:tc>
        <w:tc>
          <w:tcPr>
            <w:tcW w:w="9682"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obtain financing necessary to operate our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5" w:name="list61"/>
      <w:bookmarkStart w:id="316" w:name="list61"/>
      <w:bookmarkEnd w:id="316"/>
    </w:p>
    <w:tbl>
      <w:tblPr>
        <w:tblW w:w="5000" w:type="pct"/>
        <w:jc w:val="left"/>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jc w:val="right"/>
              <w:rPr/>
            </w:pPr>
            <w:r>
              <w:rPr/>
              <w:t>●  </w:t>
            </w:r>
          </w:p>
        </w:tc>
        <w:tc>
          <w:tcPr>
            <w:tcW w:w="909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7" w:name="list62"/>
      <w:bookmarkStart w:id="318" w:name="list62"/>
      <w:bookmarkEnd w:id="318"/>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pPr>
            <w:r>
              <w:rPr/>
              <w:t>●  </w:t>
            </w:r>
          </w:p>
        </w:tc>
        <w:tc>
          <w:tcPr>
            <w:tcW w:w="953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recruit and retain qualified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9" w:name="list63"/>
      <w:bookmarkStart w:id="320" w:name="list63"/>
      <w:bookmarkEnd w:id="320"/>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tcPr>
          <w:p>
            <w:pPr>
              <w:pStyle w:val="TableContents"/>
              <w:spacing w:before="0" w:after="0"/>
              <w:jc w:val="right"/>
              <w:rPr/>
            </w:pPr>
            <w:r>
              <w:rPr/>
              <w:t>●  </w:t>
            </w:r>
          </w:p>
        </w:tc>
        <w:tc>
          <w:tcPr>
            <w:tcW w:w="929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manage future growth;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 w:name="list64"/>
      <w:bookmarkStart w:id="322" w:name="list64"/>
      <w:bookmarkEnd w:id="32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our ability to successfully complete and realize the benefits of potential acquisitions and collaborative arrangements (including our arrangement with PCCA);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 w:name="list65"/>
      <w:bookmarkStart w:id="324" w:name="list65"/>
      <w:bookmarkEnd w:id="324"/>
    </w:p>
    <w:tbl>
      <w:tblPr>
        <w:tblW w:w="5000" w:type="pct"/>
        <w:jc w:val="left"/>
        <w:tblInd w:w="0" w:type="dxa"/>
        <w:tblCellMar>
          <w:top w:w="0" w:type="dxa"/>
          <w:left w:w="0" w:type="dxa"/>
          <w:bottom w:w="0" w:type="dxa"/>
          <w:right w:w="0" w:type="dxa"/>
        </w:tblCellMar>
      </w:tblPr>
      <w:tblGrid>
        <w:gridCol w:w="520"/>
        <w:gridCol w:w="9685"/>
      </w:tblGrid>
      <w:tr>
        <w:trPr/>
        <w:tc>
          <w:tcPr>
            <w:tcW w:w="520" w:type="dxa"/>
            <w:tcBorders/>
            <w:shd w:fill="auto" w:val="clear"/>
          </w:tcPr>
          <w:p>
            <w:pPr>
              <w:pStyle w:val="TableContents"/>
              <w:spacing w:before="0" w:after="0"/>
              <w:jc w:val="right"/>
              <w:rPr/>
            </w:pPr>
            <w:r>
              <w:rPr/>
              <w:t>●  </w:t>
            </w:r>
          </w:p>
        </w:tc>
        <w:tc>
          <w:tcPr>
            <w:tcW w:w="968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other factors discussed under the section entitled “Risk Factors”.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20"/>
      <w:bookmarkStart w:id="326" w:name="PGBRK20"/>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20"/>
      <w:bookmarkStart w:id="328" w:name="FTR20"/>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20"/>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30" w:name="PN20"/>
      <w:bookmarkEnd w:id="330"/>
      <w:r>
        <w:rPr>
          <w:rFonts w:ascii="helvetica" w:hAnsi="helvetica"/>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20"/>
      <w:bookmarkStart w:id="332" w:name="HDR20"/>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20"/>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USE OF PROCEEDS</w:t>
      </w:r>
    </w:p>
    <w:p>
      <w:pPr>
        <w:pStyle w:val="TextBody"/>
        <w:spacing w:before="0" w:after="0"/>
        <w:ind w:left="0" w:right="0" w:hanging="0"/>
        <w:jc w:val="both"/>
        <w:rPr/>
      </w:pPr>
      <w:r>
        <w:rPr/>
        <w:t> </w:t>
      </w:r>
    </w:p>
    <w:p>
      <w:pPr>
        <w:pStyle w:val="TextBody"/>
        <w:spacing w:before="0" w:after="0"/>
        <w:ind w:left="0" w:right="0" w:firstLine="720"/>
        <w:rPr/>
      </w:pPr>
      <w:bookmarkStart w:id="334" w:name="TAB211"/>
      <w:bookmarkEnd w:id="334"/>
      <w:r>
        <w:rPr>
          <w:color w:val="000000"/>
          <w:spacing w:val="180"/>
        </w:rPr>
        <w:t> </w:t>
      </w:r>
      <w:r>
        <w:rPr>
          <w:rFonts w:ascii="helvetica" w:hAnsi="helvetica"/>
          <w:sz w:val="20"/>
        </w:rPr>
        <w:t>Based on an assumed offering price of $5.25 per share, we estimate the gross proceeds from the sale of 1,840,000 shares of common stock, prior to deducting underwriting discounts and commissions and the estimated offering expenses payable by us, will be approximately $9.66 million (approximately $11.11 million if the over-allotment option granted to the underwriters is exercised in full).</w:t>
      </w:r>
    </w:p>
    <w:p>
      <w:pPr>
        <w:pStyle w:val="TextBody"/>
        <w:spacing w:before="0" w:after="0"/>
        <w:ind w:left="0" w:right="0" w:firstLine="720"/>
        <w:rPr/>
      </w:pPr>
      <w:r>
        <w:rPr/>
        <w:t> </w:t>
      </w:r>
    </w:p>
    <w:p>
      <w:pPr>
        <w:pStyle w:val="TextBody"/>
        <w:spacing w:before="0" w:after="0"/>
        <w:ind w:left="0" w:right="0" w:firstLine="720"/>
        <w:rPr/>
      </w:pPr>
      <w:bookmarkStart w:id="335" w:name="TAB212"/>
      <w:bookmarkEnd w:id="335"/>
      <w:r>
        <w:rPr>
          <w:color w:val="000000"/>
          <w:spacing w:val="180"/>
        </w:rPr>
        <w:t> </w:t>
      </w:r>
      <w:r>
        <w:rPr>
          <w:rFonts w:ascii="helvetica" w:hAnsi="helvetica"/>
          <w:sz w:val="20"/>
        </w:rPr>
        <w:t>We estimate that we will receive net proceeds of approximately $8.13 million, after deducting underwriting discounts and commissions and our underwriters' expense allowance and estimated expenses of approximately $0.71 million, which includes legal, accounting, printing costs and various fees associated with the registration and listing of our shares. If the underwriters exercise their right to purchase an additional 276,000 shares of common stock to cover over-allotments, we will receive approximately an additional $1.33 million, after deducting approximately $0.12 million for underwriting discounts and commissions.</w:t>
      </w:r>
    </w:p>
    <w:p>
      <w:pPr>
        <w:pStyle w:val="TextBody"/>
        <w:spacing w:before="0" w:after="0"/>
        <w:ind w:left="0" w:right="0" w:firstLine="720"/>
        <w:rPr/>
      </w:pPr>
      <w:r>
        <w:rPr/>
        <w:t> </w:t>
      </w:r>
    </w:p>
    <w:p>
      <w:pPr>
        <w:pStyle w:val="TextBody"/>
        <w:spacing w:before="0" w:after="0"/>
        <w:ind w:left="0" w:right="0" w:firstLine="720"/>
        <w:jc w:val="left"/>
        <w:rPr>
          <w:rFonts w:ascii="helvetica" w:hAnsi="helvetica"/>
          <w:sz w:val="20"/>
        </w:rPr>
      </w:pPr>
      <w:r>
        <w:rPr>
          <w:rFonts w:ascii="helvetica" w:hAnsi="helvetica"/>
          <w:sz w:val="20"/>
        </w:rPr>
        <w:t>We currently expect to use approximately $8.13 million of the funds received in this offering to fund our Phase 3 clinical trials for Impracor and pre-Phase 3 clinical studies for potential drug candidates in the muscle relaxant and neuropathic pain fields.  We also expect to use any funds we receive from the underwriters in connection with its exercise of the over-allotment option, along with the $7.95 million raised in our April Private Placement and the $4 million raised in connection with the PCCA Transaction, to further fund these efforts, and fund additional IP protection and other Accudel related research and development expenses. We may also use a portion of these proceeds for the potential acquisition of, or investment in, product candidates, technologies, formulations or companies that complement our business, although other than as provided in the PCCA License Agreement, we have no current understandings, commitments, or agreements to do so. The following table summarizes our intent regarding use of such proceeds:</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031"/>
        <w:gridCol w:w="104"/>
        <w:gridCol w:w="104"/>
        <w:gridCol w:w="1059"/>
        <w:gridCol w:w="104"/>
        <w:gridCol w:w="104"/>
        <w:gridCol w:w="104"/>
        <w:gridCol w:w="899"/>
        <w:gridCol w:w="104"/>
        <w:gridCol w:w="104"/>
        <w:gridCol w:w="104"/>
        <w:gridCol w:w="1049"/>
        <w:gridCol w:w="104"/>
        <w:gridCol w:w="104"/>
        <w:gridCol w:w="104"/>
        <w:gridCol w:w="899"/>
        <w:gridCol w:w="124"/>
      </w:tblGrid>
      <w:tr>
        <w:trPr/>
        <w:tc>
          <w:tcPr>
            <w:tcW w:w="5031"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374" w:type="dxa"/>
            <w:gridSpan w:val="6"/>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364" w:type="dxa"/>
            <w:gridSpan w:val="6"/>
            <w:tcBorders/>
            <w:shd w:fill="auto" w:val="clear"/>
            <w:vAlign w:val="bottom"/>
          </w:tcPr>
          <w:p>
            <w:pPr>
              <w:pStyle w:val="TableContents"/>
              <w:spacing w:before="0" w:after="0"/>
              <w:ind w:left="0" w:right="0" w:hanging="0"/>
              <w:jc w:val="center"/>
              <w:rPr>
                <w:rFonts w:ascii="helvetica" w:hAnsi="helvetica"/>
                <w:sz w:val="20"/>
              </w:rPr>
            </w:pPr>
            <w:r>
              <w:rPr>
                <w:rFonts w:ascii="helvetica" w:hAnsi="helvetica"/>
                <w:sz w:val="20"/>
              </w:rPr>
              <w:t>Over-Allotment</w:t>
            </w:r>
          </w:p>
        </w:tc>
        <w:tc>
          <w:tcPr>
            <w:tcW w:w="124" w:type="dxa"/>
            <w:tcBorders/>
            <w:shd w:fill="auto" w:val="clear"/>
            <w:vAlign w:val="bottom"/>
          </w:tcPr>
          <w:p>
            <w:pPr>
              <w:pStyle w:val="TableContents"/>
              <w:spacing w:before="0" w:after="283"/>
              <w:jc w:val="left"/>
              <w:rPr/>
            </w:pPr>
            <w:r>
              <w:rPr/>
              <w:t> </w:t>
            </w:r>
          </w:p>
        </w:tc>
      </w:tr>
      <w:tr>
        <w:trPr/>
        <w:tc>
          <w:tcPr>
            <w:tcW w:w="503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Clinical:</w:t>
            </w:r>
          </w:p>
        </w:tc>
        <w:tc>
          <w:tcPr>
            <w:tcW w:w="104" w:type="dxa"/>
            <w:tcBorders/>
            <w:shd w:fill="auto" w:val="clear"/>
            <w:vAlign w:val="bottom"/>
          </w:tcPr>
          <w:p>
            <w:pPr>
              <w:pStyle w:val="TableContents"/>
              <w:spacing w:before="0" w:after="283"/>
              <w:rPr/>
            </w:pPr>
            <w:r>
              <w:rPr/>
              <w:t> </w:t>
            </w:r>
          </w:p>
        </w:tc>
        <w:tc>
          <w:tcPr>
            <w:tcW w:w="23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Use of Proceeds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236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Option</w:t>
            </w:r>
          </w:p>
        </w:tc>
        <w:tc>
          <w:tcPr>
            <w:tcW w:w="124" w:type="dxa"/>
            <w:tcBorders/>
            <w:shd w:fill="auto" w:val="clear"/>
            <w:vAlign w:val="bottom"/>
          </w:tcPr>
          <w:p>
            <w:pPr>
              <w:pStyle w:val="TableContents"/>
              <w:spacing w:before="0" w:after="283"/>
              <w:jc w:val="left"/>
              <w:rPr/>
            </w:pPr>
            <w:r>
              <w:rPr/>
              <w:t> </w:t>
            </w:r>
          </w:p>
        </w:tc>
      </w:tr>
      <w:tr>
        <w:trPr/>
        <w:tc>
          <w:tcPr>
            <w:tcW w:w="503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Phase 3 Impracor Trials</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center"/>
              <w:rPr/>
            </w:pPr>
            <w:r>
              <w:rPr/>
              <w:t> </w:t>
            </w:r>
            <w:r>
              <w:rPr>
                <w:rFonts w:ascii="helvetica" w:hAnsi="helvetica"/>
                <w:sz w:val="20"/>
              </w:rPr>
              <w:t>$4,000,000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49%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$4,000,000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center"/>
              <w:rPr>
                <w:rFonts w:ascii="helvetica" w:hAnsi="helvetica"/>
                <w:sz w:val="20"/>
              </w:rPr>
            </w:pPr>
            <w:r>
              <w:rPr>
                <w:rFonts w:ascii="helvetica" w:hAnsi="helvetica"/>
                <w:sz w:val="20"/>
              </w:rPr>
              <w:t>42%</w:t>
            </w:r>
          </w:p>
        </w:tc>
        <w:tc>
          <w:tcPr>
            <w:tcW w:w="124" w:type="dxa"/>
            <w:tcBorders/>
            <w:shd w:fill="CCEEFF" w:val="clear"/>
            <w:vAlign w:val="bottom"/>
          </w:tcPr>
          <w:p>
            <w:pPr>
              <w:pStyle w:val="TableContents"/>
              <w:spacing w:before="0" w:after="283"/>
              <w:jc w:val="left"/>
              <w:rPr/>
            </w:pPr>
            <w:r>
              <w:rPr/>
              <w:t> </w:t>
            </w:r>
          </w:p>
        </w:tc>
      </w:tr>
      <w:tr>
        <w:trPr/>
        <w:tc>
          <w:tcPr>
            <w:tcW w:w="503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Pre-Phase 3 Trials - Other Drug Candidates</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center"/>
              <w:rPr/>
            </w:pPr>
            <w:r>
              <w:rPr/>
              <w:t>  </w:t>
            </w:r>
            <w:r>
              <w:rPr>
                <w:rFonts w:ascii="helvetica" w:hAnsi="helvetica"/>
                <w:sz w:val="20"/>
              </w:rPr>
              <w:t>4,129,817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9" w:type="dxa"/>
            <w:tcBorders/>
            <w:shd w:fill="FFFFFF" w:val="clear"/>
            <w:vAlign w:val="bottom"/>
          </w:tcPr>
          <w:p>
            <w:pPr>
              <w:pStyle w:val="TableContents"/>
              <w:spacing w:before="0" w:after="283"/>
              <w:jc w:val="center"/>
              <w:rPr>
                <w:rFonts w:ascii="helvetica" w:hAnsi="helvetica"/>
                <w:sz w:val="20"/>
              </w:rPr>
            </w:pPr>
            <w:r>
              <w:rPr>
                <w:rFonts w:ascii="helvetica" w:hAnsi="helvetica"/>
                <w:sz w:val="20"/>
              </w:rPr>
              <w:t>51%</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center"/>
              <w:rPr/>
            </w:pPr>
            <w:r>
              <w:rPr/>
              <w:t>  </w:t>
            </w:r>
            <w:r>
              <w:rPr>
                <w:rFonts w:ascii="helvetica" w:hAnsi="helvetica"/>
                <w:sz w:val="20"/>
              </w:rPr>
              <w:t>5,255,652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899" w:type="dxa"/>
            <w:tcBorders/>
            <w:shd w:fill="FFFFFF" w:val="clear"/>
            <w:vAlign w:val="bottom"/>
          </w:tcPr>
          <w:p>
            <w:pPr>
              <w:pStyle w:val="TableContents"/>
              <w:spacing w:before="0" w:after="283"/>
              <w:jc w:val="center"/>
              <w:rPr>
                <w:rFonts w:ascii="helvetica" w:hAnsi="helvetica"/>
                <w:sz w:val="20"/>
              </w:rPr>
            </w:pPr>
            <w:r>
              <w:rPr>
                <w:rFonts w:ascii="helvetica" w:hAnsi="helvetica"/>
                <w:sz w:val="20"/>
              </w:rPr>
              <w:t>56%</w:t>
            </w:r>
          </w:p>
        </w:tc>
        <w:tc>
          <w:tcPr>
            <w:tcW w:w="124" w:type="dxa"/>
            <w:tcBorders/>
            <w:shd w:fill="FFFFFF" w:val="clear"/>
            <w:vAlign w:val="bottom"/>
          </w:tcPr>
          <w:p>
            <w:pPr>
              <w:pStyle w:val="TableContents"/>
              <w:spacing w:before="0" w:after="283"/>
              <w:jc w:val="left"/>
              <w:rPr/>
            </w:pPr>
            <w:r>
              <w:rPr/>
              <w:t> </w:t>
            </w:r>
          </w:p>
        </w:tc>
      </w:tr>
      <w:tr>
        <w:trPr/>
        <w:tc>
          <w:tcPr>
            <w:tcW w:w="503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IP Protection, Research and Development</w:t>
            </w:r>
          </w:p>
        </w:tc>
        <w:tc>
          <w:tcPr>
            <w:tcW w:w="104" w:type="dxa"/>
            <w:tcBorders/>
            <w:shd w:fill="CCEEFF" w:val="clear"/>
            <w:vAlign w:val="bottom"/>
          </w:tcPr>
          <w:p>
            <w:pPr>
              <w:pStyle w:val="TableContents"/>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center"/>
              <w:rPr/>
            </w:pPr>
            <w:r>
              <w:rPr/>
              <w:t>    </w:t>
            </w:r>
            <w:r>
              <w:rPr>
                <w:rFonts w:ascii="helvetica" w:hAnsi="helvetica"/>
                <w:sz w:val="20"/>
              </w:rPr>
              <w:t>200,000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2%</w:t>
            </w:r>
          </w:p>
        </w:tc>
        <w:tc>
          <w:tcPr>
            <w:tcW w:w="124" w:type="dxa"/>
            <w:tcBorders/>
            <w:shd w:fill="CCEEFF" w:val="clear"/>
            <w:vAlign w:val="bottom"/>
          </w:tcPr>
          <w:p>
            <w:pPr>
              <w:pStyle w:val="TableContents"/>
              <w:spacing w:before="0" w:after="283"/>
              <w:jc w:val="left"/>
              <w:rPr/>
            </w:pPr>
            <w:r>
              <w:rPr/>
              <w:t> </w:t>
            </w:r>
          </w:p>
        </w:tc>
      </w:tr>
      <w:tr>
        <w:trPr/>
        <w:tc>
          <w:tcPr>
            <w:tcW w:w="503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04" w:type="dxa"/>
            <w:tcBorders/>
            <w:shd w:fill="FFFFFF" w:val="clear"/>
            <w:vAlign w:val="bottom"/>
          </w:tcPr>
          <w:p>
            <w:pPr>
              <w:pStyle w:val="TableContents"/>
              <w:spacing w:before="0" w:after="283"/>
              <w:jc w:val="lef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double" w:sz="8" w:space="0" w:color="000000"/>
            </w:tcBorders>
            <w:shd w:fill="FFFFFF" w:val="clear"/>
            <w:tcMar>
              <w:bottom w:w="28" w:type="dxa"/>
            </w:tcMar>
            <w:vAlign w:val="bottom"/>
          </w:tcPr>
          <w:p>
            <w:pPr>
              <w:pStyle w:val="TableContents"/>
              <w:spacing w:before="0" w:after="283"/>
              <w:jc w:val="center"/>
              <w:rPr/>
            </w:pPr>
            <w:r>
              <w:rPr/>
              <w:t> </w:t>
            </w:r>
            <w:r>
              <w:rPr>
                <w:rFonts w:ascii="helvetica" w:hAnsi="helvetica"/>
                <w:sz w:val="20"/>
              </w:rPr>
              <w:t>$8,129,817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9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100%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$9,455,652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899" w:type="dxa"/>
            <w:tcBorders>
              <w:bottom w:val="double" w:sz="8" w:space="0" w:color="000000"/>
            </w:tcBorders>
            <w:shd w:fill="FFFFFF" w:val="clear"/>
            <w:tcMar>
              <w:bottom w:w="28" w:type="dxa"/>
            </w:tcMar>
            <w:vAlign w:val="bottom"/>
          </w:tcPr>
          <w:p>
            <w:pPr>
              <w:pStyle w:val="TableContents"/>
              <w:spacing w:before="0" w:after="283"/>
              <w:jc w:val="center"/>
              <w:rPr>
                <w:rFonts w:ascii="helvetica" w:hAnsi="helvetica"/>
                <w:sz w:val="20"/>
              </w:rPr>
            </w:pPr>
            <w:r>
              <w:rPr>
                <w:rFonts w:ascii="helvetica" w:hAnsi="helvetica"/>
                <w:sz w:val="20"/>
              </w:rPr>
              <w:t>100%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 w:name="PGBRK21"/>
      <w:bookmarkStart w:id="337" w:name="PGBRK21"/>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8" w:name="FTR21"/>
      <w:bookmarkStart w:id="339" w:name="FTR21"/>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0" w:name="GLFTR21"/>
      <w:bookmarkEnd w:id="3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41" w:name="PN21"/>
      <w:bookmarkEnd w:id="341"/>
      <w:r>
        <w:rPr>
          <w:rFonts w:ascii="helvetica" w:hAnsi="helvetica"/>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HDR21"/>
      <w:bookmarkStart w:id="343" w:name="HDR21"/>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4" w:name="GLHDR21"/>
      <w:bookmarkEnd w:id="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Circumstances that may give rise to a change in the use of proceeds and the alternate purposes for which the proceeds may be used include:</w:t>
      </w:r>
    </w:p>
    <w:p>
      <w:pPr>
        <w:pStyle w:val="TextBody"/>
        <w:spacing w:before="0" w:after="0"/>
        <w:ind w:left="0" w:right="0" w:firstLine="720"/>
        <w:jc w:val="left"/>
        <w:rPr/>
      </w:pPr>
      <w:r>
        <w:rPr/>
        <w:t> </w:t>
      </w:r>
    </w:p>
    <w:p>
      <w:pPr>
        <w:pStyle w:val="Normal"/>
        <w:spacing w:before="0" w:after="0"/>
        <w:rPr>
          <w:sz w:val="4"/>
          <w:szCs w:val="4"/>
        </w:rPr>
      </w:pPr>
      <w:r>
        <w:rPr>
          <w:sz w:val="4"/>
          <w:szCs w:val="4"/>
        </w:rPr>
      </w:r>
      <w:bookmarkStart w:id="345" w:name="list66"/>
      <w:bookmarkStart w:id="346" w:name="list66"/>
      <w:bookmarkEnd w:id="346"/>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pPr>
            <w:r>
              <w:rPr/>
              <w:t>●  </w:t>
            </w:r>
          </w:p>
        </w:tc>
        <w:tc>
          <w:tcPr>
            <w:tcW w:w="989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existence of other opportunities or the need to take advantage of changes in timing of our existing activities;</w:t>
            </w:r>
          </w:p>
        </w:tc>
      </w:tr>
    </w:tbl>
    <w:p>
      <w:pPr>
        <w:pStyle w:val="Normal"/>
        <w:spacing w:before="0" w:after="0"/>
        <w:rPr>
          <w:sz w:val="4"/>
          <w:szCs w:val="4"/>
        </w:rPr>
      </w:pPr>
      <w:r>
        <w:rPr>
          <w:sz w:val="4"/>
          <w:szCs w:val="4"/>
        </w:rPr>
      </w:r>
      <w:bookmarkStart w:id="347" w:name="list67"/>
      <w:bookmarkStart w:id="348" w:name="list67"/>
      <w:bookmarkEnd w:id="34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need or desire on our part to accelerate, increase or eliminate existing initiatives due to, among other things, changing market conditions and competitive developments; and/or</w:t>
            </w:r>
          </w:p>
        </w:tc>
      </w:tr>
    </w:tbl>
    <w:p>
      <w:pPr>
        <w:pStyle w:val="Normal"/>
        <w:spacing w:before="0" w:after="0"/>
        <w:rPr>
          <w:sz w:val="4"/>
          <w:szCs w:val="4"/>
        </w:rPr>
      </w:pPr>
      <w:r>
        <w:rPr>
          <w:sz w:val="4"/>
          <w:szCs w:val="4"/>
        </w:rPr>
      </w:r>
      <w:bookmarkStart w:id="349" w:name="list68"/>
      <w:bookmarkStart w:id="350" w:name="list68"/>
      <w:bookmarkEnd w:id="35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if strategic opportunities of which we are not currently aware present themselves (including acquisitions, joint ventures, licensing and other similar transactions).</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From time to time, we evaluate these and other factors and we anticipate continuing to make such evaluations to determine if the existing allocation of resources, including the proceeds of this offering, is being optimized.</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Pending its use, we intend to invest the net proceeds of this offering in direct and guaranteed obligations of the United States, interest-bearing, investment-grade instruments or certificates of deposit.</w:t>
      </w: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351" w:name="TAB1"/>
      <w:bookmarkEnd w:id="351"/>
      <w:r>
        <w:rPr>
          <w:rFonts w:ascii="helvetica" w:hAnsi="helvetica"/>
          <w:b/>
          <w:sz w:val="20"/>
        </w:rPr>
        <w:t>DESCRIPTION OF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On February 7, 2013 we amended our Certificate of Incorporation to effect a reverse split of our common stock at a ratio of one-for-five.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reflects the one-for-five reverse stock split.</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Authorized Capital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Capital Stock Issued and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1, 2013, we had outstanding 6,772,125 shares of common stock held by 175 stockholders of record.  In addition, as of February 1, 2013, we had outstanding (i) options to acquire 917,235 shares of our common stock with a weighted average exercise price of $5.30 per share, all of which are held by current or former employees, directors and consultants, (ii) warrants to purchase 556,872 shares of common stock with exercise prices ranging from $5.925 to $176.00 per share, and (iii) 200,000 shares of common stock underlying restricted stock units granted outside the 2007 Plan.</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22"/>
      <w:bookmarkStart w:id="353" w:name="PGBRK22"/>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22"/>
      <w:bookmarkStart w:id="355" w:name="FTR22"/>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22"/>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57" w:name="PN22"/>
      <w:bookmarkEnd w:id="357"/>
      <w:r>
        <w:rPr>
          <w:rFonts w:ascii="helvetica" w:hAnsi="helvetica"/>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22"/>
      <w:bookmarkStart w:id="359" w:name="HDR22"/>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22"/>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Description of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Description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Undesignated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pStyle w:val="TextBody"/>
        <w:spacing w:before="0" w:after="0"/>
        <w:ind w:left="0" w:right="0" w:hanging="0"/>
        <w:jc w:val="both"/>
        <w:rPr/>
      </w:pPr>
      <w:r>
        <w:rPr/>
        <w:t> </w:t>
      </w:r>
    </w:p>
    <w:p>
      <w:pPr>
        <w:pStyle w:val="TextBody"/>
        <w:spacing w:before="0" w:after="0"/>
        <w:ind w:left="0" w:right="0" w:hanging="0"/>
        <w:rPr>
          <w:rFonts w:ascii="helvetica" w:hAnsi="helvetica"/>
          <w:b/>
          <w:i/>
          <w:sz w:val="20"/>
        </w:rPr>
      </w:pPr>
      <w:r>
        <w:rPr>
          <w:rFonts w:ascii="helvetica" w:hAnsi="helvetica"/>
          <w:b/>
          <w:i/>
          <w:sz w:val="20"/>
        </w:rPr>
        <w:t>Series A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Anti-Takeover Provisions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 w:name="PGBRK23"/>
      <w:bookmarkStart w:id="362" w:name="PGBRK23"/>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FTR23"/>
      <w:bookmarkStart w:id="364" w:name="FTR23"/>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5" w:name="GLFTR23"/>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66" w:name="PN23"/>
      <w:bookmarkEnd w:id="366"/>
      <w:r>
        <w:rPr>
          <w:rFonts w:ascii="helvetica" w:hAnsi="helvetica"/>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 w:name="HDR23"/>
      <w:bookmarkStart w:id="368" w:name="HDR23"/>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9" w:name="GLHDR23"/>
      <w:bookmarkEnd w:id="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Liability and Indemnification of Directors and Officers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Any repeal or modification of these provisions approved by our stockholders shall be prospective only, and shall not adversely affect any limitation on the liability of a director or officer existing as of the time of such repeal or modification.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pStyle w:val="TextBody"/>
        <w:spacing w:before="0" w:after="0"/>
        <w:ind w:left="0" w:right="0" w:hanging="0"/>
        <w:jc w:val="both"/>
        <w:rPr/>
      </w:pPr>
      <w:r>
        <w:rPr/>
        <w:t> </w:t>
      </w:r>
    </w:p>
    <w:p>
      <w:pPr>
        <w:pStyle w:val="TextBody"/>
        <w:spacing w:before="0" w:after="0"/>
        <w:ind w:left="0" w:right="0" w:hanging="0"/>
        <w:rPr>
          <w:rFonts w:ascii="helvetica" w:hAnsi="helvetica"/>
          <w:b/>
          <w:sz w:val="20"/>
        </w:rPr>
      </w:pPr>
      <w:r>
        <w:rPr>
          <w:rFonts w:ascii="helvetica" w:hAnsi="helvetica"/>
          <w:b/>
          <w:sz w:val="20"/>
        </w:rPr>
        <w:t>Transfer Agent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transfer agent and registrar for our common stock is Action Stock Transfer Corporation, 2469 E. Fort Union Blvd., Suite 214, Salt Lake City, UT 84121.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 w:name="PGBRK24"/>
      <w:bookmarkStart w:id="371" w:name="PGBRK24"/>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FTR24"/>
      <w:bookmarkStart w:id="373" w:name="FTR24"/>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4" w:name="GLFTR24"/>
      <w:bookmarkEnd w:id="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75" w:name="PN24"/>
      <w:bookmarkEnd w:id="375"/>
      <w:r>
        <w:rPr>
          <w:rFonts w:ascii="helvetica" w:hAnsi="helvetica"/>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HDR24"/>
      <w:bookmarkStart w:id="377" w:name="HDR24"/>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8" w:name="GLHDR24"/>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379" w:name="TAB11"/>
      <w:bookmarkEnd w:id="379"/>
      <w:r>
        <w:rPr>
          <w:rFonts w:ascii="helvetica" w:hAnsi="helvetica"/>
          <w:b/>
          <w:sz w:val="20"/>
        </w:rPr>
        <w:t>CAPITALIZATION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following table sets forth our cash and cash equivalents and our capitalization as of September 30, 2012, in each case after giving effect to the one-for-five reverse stock split of our common stock and prior to the closing of the offering:</w:t>
      </w:r>
    </w:p>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380" w:name="list69"/>
      <w:bookmarkStart w:id="381" w:name="list69"/>
      <w:bookmarkEnd w:id="381"/>
    </w:p>
    <w:tbl>
      <w:tblPr>
        <w:tblW w:w="5000" w:type="pct"/>
        <w:jc w:val="center"/>
        <w:tblInd w:w="0" w:type="dxa"/>
        <w:tblCellMar>
          <w:top w:w="0" w:type="dxa"/>
          <w:left w:w="0" w:type="dxa"/>
          <w:bottom w:w="0" w:type="dxa"/>
          <w:right w:w="0" w:type="dxa"/>
        </w:tblCellMar>
      </w:tblPr>
      <w:tblGrid>
        <w:gridCol w:w="1564"/>
        <w:gridCol w:w="8641"/>
      </w:tblGrid>
      <w:tr>
        <w:trPr/>
        <w:tc>
          <w:tcPr>
            <w:tcW w:w="1564" w:type="dxa"/>
            <w:tcBorders/>
            <w:shd w:fill="auto" w:val="clear"/>
          </w:tcPr>
          <w:p>
            <w:pPr>
              <w:pStyle w:val="TableContents"/>
              <w:spacing w:before="0" w:after="0"/>
              <w:jc w:val="right"/>
              <w:rPr/>
            </w:pPr>
            <w:r>
              <w:rPr/>
              <w:t>●  </w:t>
            </w:r>
          </w:p>
        </w:tc>
        <w:tc>
          <w:tcPr>
            <w:tcW w:w="864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an actual basis;</w:t>
            </w:r>
          </w:p>
        </w:tc>
      </w:tr>
    </w:tbl>
    <w:p>
      <w:pPr>
        <w:pStyle w:val="TextBody"/>
        <w:spacing w:before="0" w:after="0"/>
        <w:ind w:left="0" w:right="0" w:hanging="0"/>
        <w:jc w:val="both"/>
        <w:rPr/>
      </w:pPr>
      <w:r>
        <w:rPr/>
        <w:t> </w:t>
      </w:r>
    </w:p>
    <w:p>
      <w:pPr>
        <w:pStyle w:val="Normal"/>
        <w:spacing w:before="0" w:after="0"/>
        <w:jc w:val="center"/>
        <w:rPr>
          <w:sz w:val="4"/>
          <w:szCs w:val="4"/>
        </w:rPr>
      </w:pPr>
      <w:r>
        <w:rPr>
          <w:sz w:val="4"/>
          <w:szCs w:val="4"/>
        </w:rPr>
      </w:r>
      <w:bookmarkStart w:id="382" w:name="list70"/>
      <w:bookmarkStart w:id="383" w:name="list70"/>
      <w:bookmarkEnd w:id="383"/>
    </w:p>
    <w:tbl>
      <w:tblPr>
        <w:tblW w:w="5000" w:type="pct"/>
        <w:jc w:val="center"/>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an as adjusted basis, giving effect to the sale by us of 1,840,000 shares of common stock in this offering at a public offering price of $5.25 per share, after deducting the estimated underwriting discounts and commissions and estimated offering expenses payable by us.</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You should read this table together with “Management’s Discussion and Analysis of Financial Condition and Results of Operations” and our consolidated financial statements and the related notes appearing elsewhere in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268"/>
        <w:gridCol w:w="107"/>
        <w:gridCol w:w="126"/>
        <w:gridCol w:w="1117"/>
        <w:gridCol w:w="113"/>
        <w:gridCol w:w="107"/>
        <w:gridCol w:w="126"/>
        <w:gridCol w:w="1117"/>
        <w:gridCol w:w="124"/>
      </w:tblGrid>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270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Actual</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As Adjusted</w:t>
            </w:r>
          </w:p>
        </w:tc>
        <w:tc>
          <w:tcPr>
            <w:tcW w:w="124" w:type="dxa"/>
            <w:tcBorders/>
            <w:shd w:fill="auto" w:val="clear"/>
            <w:vAlign w:val="bottom"/>
          </w:tcPr>
          <w:p>
            <w:pPr>
              <w:pStyle w:val="TableContents"/>
              <w:spacing w:before="0" w:after="283"/>
              <w:jc w:val="left"/>
              <w:rPr/>
            </w:pPr>
            <w:r>
              <w:rPr/>
              <w:t> </w:t>
            </w:r>
          </w:p>
        </w:tc>
      </w:tr>
      <w:tr>
        <w:trPr/>
        <w:tc>
          <w:tcPr>
            <w:tcW w:w="726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4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24" w:type="dxa"/>
            <w:tcBorders/>
            <w:shd w:fill="auto"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7"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19,120,688</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debt</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equity:</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$0.001 par value; 5,000,000 shares authorized,</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 shares issued and outstanding, actual and as adjusted</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395,000,000 shares authorized,</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6,771,926 shares issued and outstanding, actual;</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8,611,926 shares issued and outstanding, as adjusted</w:t>
            </w:r>
          </w:p>
        </w:tc>
        <w:tc>
          <w:tcPr>
            <w:tcW w:w="10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6,772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8,612</w:t>
            </w:r>
          </w:p>
        </w:tc>
        <w:tc>
          <w:tcPr>
            <w:tcW w:w="124" w:type="dxa"/>
            <w:tcBorders/>
            <w:shd w:fill="FFFFFF" w:val="clear"/>
            <w:vAlign w:val="bottom"/>
          </w:tcPr>
          <w:p>
            <w:pPr>
              <w:pStyle w:val="TableContents"/>
              <w:spacing w:before="0" w:after="283"/>
              <w:jc w:val="left"/>
              <w:rPr/>
            </w:pPr>
            <w:r>
              <w:rPr/>
              <w:t> </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paid-in capital</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33,438,601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41,566,578</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1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6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equity</w:t>
            </w:r>
          </w:p>
        </w:tc>
        <w:tc>
          <w:tcPr>
            <w:tcW w:w="10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18,923,950</w:t>
            </w:r>
          </w:p>
        </w:tc>
        <w:tc>
          <w:tcPr>
            <w:tcW w:w="124" w:type="dxa"/>
            <w:tcBorders/>
            <w:shd w:fill="CCEEFF" w:val="clear"/>
            <w:vAlign w:val="bottom"/>
          </w:tcPr>
          <w:p>
            <w:pPr>
              <w:pStyle w:val="TableContents"/>
              <w:spacing w:before="0" w:after="283"/>
              <w:jc w:val="left"/>
              <w:rPr/>
            </w:pPr>
            <w:r>
              <w:rPr/>
              <w:t> </w:t>
            </w:r>
          </w:p>
        </w:tc>
      </w:tr>
      <w:tr>
        <w:trPr/>
        <w:tc>
          <w:tcPr>
            <w:tcW w:w="726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capitalization</w:t>
            </w:r>
          </w:p>
        </w:tc>
        <w:tc>
          <w:tcPr>
            <w:tcW w:w="10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18,923,950</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4" w:name="PGBRK25"/>
      <w:bookmarkStart w:id="385" w:name="PGBRK25"/>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6" w:name="FTR25"/>
      <w:bookmarkStart w:id="387" w:name="FTR25"/>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8" w:name="GLFTR25"/>
      <w:bookmarkEnd w:id="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389" w:name="PN25"/>
      <w:bookmarkEnd w:id="389"/>
      <w:r>
        <w:rPr>
          <w:rFonts w:ascii="helvetica" w:hAnsi="helvetica"/>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0" w:name="HDR25"/>
      <w:bookmarkStart w:id="391" w:name="HDR25"/>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2" w:name="GLHDR25"/>
      <w:bookmarkEnd w:id="3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number of shares of our common stock to be outstanding after this offering is based on 6,771,926 shares outstanding as of September 30, 2012, and excludes:</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3" w:name="list71"/>
      <w:bookmarkStart w:id="394" w:name="list71"/>
      <w:bookmarkEnd w:id="39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898,404 shares of common stock issuable upon the exercise of options outstanding as of September 30, 2012 with exercise prices ranging from $2.40 to $80.00 and a weighted average exercise price of $5.20 per share;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5" w:name="list72"/>
      <w:bookmarkStart w:id="396" w:name="list72"/>
      <w:bookmarkEnd w:id="39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7" w:name="list73"/>
      <w:bookmarkStart w:id="398" w:name="list73"/>
      <w:bookmarkEnd w:id="398"/>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pPr>
            <w:r>
              <w:rPr/>
              <w:t>●  </w:t>
            </w:r>
          </w:p>
        </w:tc>
        <w:tc>
          <w:tcPr>
            <w:tcW w:w="98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200,000 shares of common stock issuable underlying restricted stock units granted outside of our 2007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399" w:name="list74"/>
      <w:bookmarkStart w:id="400" w:name="list74"/>
      <w:bookmarkEnd w:id="40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warrants to purchase shares of our common stock issuable to the underwriters in connection with the completion of this offering;</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01" w:name="list75"/>
      <w:bookmarkStart w:id="402" w:name="list75"/>
      <w:bookmarkEnd w:id="402"/>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pPr>
            <w:r>
              <w:rPr/>
              <w:t>●  </w:t>
            </w:r>
          </w:p>
        </w:tc>
        <w:tc>
          <w:tcPr>
            <w:tcW w:w="988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1,485,491 shares of common stock available for future grant as of September 30, 2012 under our 2007 Plan.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3" w:name="PGBRK26"/>
      <w:bookmarkStart w:id="404" w:name="PGBRK26"/>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FTR26"/>
      <w:bookmarkStart w:id="406" w:name="FTR26"/>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7" w:name="GLFTR26"/>
      <w:bookmarkEnd w:id="4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08" w:name="PN26"/>
      <w:bookmarkEnd w:id="408"/>
      <w:r>
        <w:rPr>
          <w:rFonts w:ascii="helvetica" w:hAnsi="helvetica"/>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9" w:name="HDR26"/>
      <w:bookmarkStart w:id="410" w:name="HDR26"/>
      <w:bookmarkEnd w:id="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1" w:name="GLHDR26"/>
      <w:bookmarkEnd w:id="4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DILUTION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If you invest in the securities offered in this offering, your interest will be diluted immediately to the extent of the difference between the assumed public offering price per share of our common stock and the net tangible book value per share of our common stock after this offering. As of September 30, 2012, our net tangible book value was $10,794,133, or $1.59 share of common stock (after giving effect to the one-for-five reverse stock split).  Net tangible book value  per share represents the total tangible assets of the Company, less all liabilities, divided by the number of shares of common stock outstanding.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Net tangible book value dilution per share represents the difference between the amount per share of common stock paid by the new investors who purchase securities in this offering and the net tangible book value per share of common stock immediately after completion of this offering. After giving effect to our sale of 1,840,000 shares of common stock at a public offering price of $5.25 per share, and after underwriting fees and commissions and estimated offering expenses payable by us, our net tangible book value as of September 30, 2012 would have been $18,923,950, or $2.20 per share. This represents an immediate increase of net tangible book value of $0.61 per share to our existing stockholders and an immediate dilution in net tangible book value of $3.05 per share to purchasers of our common stock in this offering. The following table illustrates this per share dilution:</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298"/>
        <w:gridCol w:w="119"/>
        <w:gridCol w:w="151"/>
        <w:gridCol w:w="1003"/>
        <w:gridCol w:w="119"/>
        <w:gridCol w:w="119"/>
        <w:gridCol w:w="177"/>
        <w:gridCol w:w="1087"/>
        <w:gridCol w:w="132"/>
      </w:tblGrid>
      <w:tr>
        <w:trPr/>
        <w:tc>
          <w:tcPr>
            <w:tcW w:w="7298" w:type="dxa"/>
            <w:tcBorders/>
            <w:shd w:fill="auto" w:val="clear"/>
            <w:vAlign w:val="bottom"/>
          </w:tcPr>
          <w:p>
            <w:pPr>
              <w:pStyle w:val="TableContents"/>
              <w:spacing w:before="0" w:after="283"/>
              <w:rPr/>
            </w:pPr>
            <w:r>
              <w:rPr/>
              <w:t xml:space="preserve">  </w:t>
            </w:r>
          </w:p>
        </w:tc>
        <w:tc>
          <w:tcPr>
            <w:tcW w:w="11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Adjusted</w:t>
            </w:r>
          </w:p>
        </w:tc>
        <w:tc>
          <w:tcPr>
            <w:tcW w:w="132" w:type="dxa"/>
            <w:tcBorders/>
            <w:shd w:fill="auto"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Assumed public offering price per unit</w:t>
            </w:r>
          </w:p>
        </w:tc>
        <w:tc>
          <w:tcPr>
            <w:tcW w:w="119" w:type="dxa"/>
            <w:tcBorders/>
            <w:shd w:fill="CCEEFF" w:val="clear"/>
            <w:vAlign w:val="bottom"/>
          </w:tcPr>
          <w:p>
            <w:pPr>
              <w:pStyle w:val="TableContents"/>
              <w:spacing w:before="0" w:after="283"/>
              <w:rPr/>
            </w:pPr>
            <w:r>
              <w:rPr/>
              <w:t> </w:t>
            </w:r>
          </w:p>
        </w:tc>
        <w:tc>
          <w:tcPr>
            <w:tcW w:w="1154" w:type="dxa"/>
            <w:gridSpan w:val="2"/>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bottom w:val="single" w:sz="12"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5.25</w:t>
            </w:r>
          </w:p>
        </w:tc>
        <w:tc>
          <w:tcPr>
            <w:tcW w:w="132" w:type="dxa"/>
            <w:tcBorders/>
            <w:shd w:fill="CCEEFF" w:val="clear"/>
            <w:vAlign w:val="bottom"/>
          </w:tcPr>
          <w:p>
            <w:pPr>
              <w:pStyle w:val="TableContents"/>
              <w:spacing w:before="0" w:after="283"/>
              <w:jc w:val="left"/>
              <w:rPr/>
            </w:pPr>
            <w:r>
              <w:rPr/>
              <w:t> </w:t>
            </w:r>
          </w:p>
        </w:tc>
      </w:tr>
      <w:tr>
        <w:trPr/>
        <w:tc>
          <w:tcPr>
            <w:tcW w:w="72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tangible book value per share as of September 30, 2012</w:t>
            </w:r>
          </w:p>
        </w:tc>
        <w:tc>
          <w:tcPr>
            <w:tcW w:w="119"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1.59</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8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Increase in net tangible book value per share attributable to new investors</w:t>
            </w:r>
          </w:p>
        </w:tc>
        <w:tc>
          <w:tcPr>
            <w:tcW w:w="119"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0.61</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087"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72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Adjusted net tangible book value per share after this offering</w:t>
            </w:r>
          </w:p>
        </w:tc>
        <w:tc>
          <w:tcPr>
            <w:tcW w:w="119"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rPr/>
            </w:pPr>
            <w:r>
              <w:rPr/>
              <w:t> </w:t>
            </w:r>
          </w:p>
        </w:tc>
        <w:tc>
          <w:tcPr>
            <w:tcW w:w="17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2.20</w:t>
            </w:r>
          </w:p>
        </w:tc>
        <w:tc>
          <w:tcPr>
            <w:tcW w:w="132" w:type="dxa"/>
            <w:tcBorders/>
            <w:shd w:fill="FFFFFF" w:val="clear"/>
            <w:vAlign w:val="bottom"/>
          </w:tcPr>
          <w:p>
            <w:pPr>
              <w:pStyle w:val="TableContents"/>
              <w:spacing w:before="0" w:after="283"/>
              <w:jc w:val="left"/>
              <w:rPr/>
            </w:pPr>
            <w:r>
              <w:rPr/>
              <w:t> </w:t>
            </w:r>
          </w:p>
        </w:tc>
      </w:tr>
      <w:tr>
        <w:trPr/>
        <w:tc>
          <w:tcPr>
            <w:tcW w:w="72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Dilution per share to new investors purchasing common stock in this offering</w:t>
            </w:r>
          </w:p>
        </w:tc>
        <w:tc>
          <w:tcPr>
            <w:tcW w:w="11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7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3.05</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2" w:name="PGBRK27"/>
      <w:bookmarkStart w:id="413" w:name="PGBRK27"/>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 w:name="FTR27"/>
      <w:bookmarkStart w:id="415" w:name="FTR27"/>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6" w:name="GLFTR27"/>
      <w:bookmarkEnd w:id="4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17" w:name="PN27"/>
      <w:bookmarkEnd w:id="417"/>
      <w:r>
        <w:rPr>
          <w:rFonts w:ascii="helvetica" w:hAnsi="helvetica"/>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HDR27"/>
      <w:bookmarkStart w:id="419" w:name="HDR27"/>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0" w:name="GLHDR27"/>
      <w:bookmarkEnd w:id="4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above discussion and table do not include the following:</w:t>
      </w:r>
    </w:p>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1" w:name="list76"/>
      <w:bookmarkStart w:id="422" w:name="list76"/>
      <w:bookmarkEnd w:id="422"/>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898,404 shares of common stock issuable upon the exercise of options outstanding as of September 30, 2012 with exercise prices ranging from $2.40 to $80.00 and a weighted average exercise price of $5.20 per share;</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3" w:name="list77"/>
      <w:bookmarkStart w:id="424" w:name="list77"/>
      <w:bookmarkEnd w:id="42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5" w:name="list78"/>
      <w:bookmarkStart w:id="426" w:name="list78"/>
      <w:bookmarkEnd w:id="426"/>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pPr>
            <w:r>
              <w:rPr/>
              <w:t>●  </w:t>
            </w:r>
          </w:p>
        </w:tc>
        <w:tc>
          <w:tcPr>
            <w:tcW w:w="98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200,000 shares of common stock issuable underlying restricted stock units granted outside of our 2007 Plan;</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7" w:name="list79"/>
      <w:bookmarkStart w:id="428" w:name="list79"/>
      <w:bookmarkEnd w:id="42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warrants to purchase shares of our common stock issuable to the underwriters in connection with the completion of this offering;</w:t>
            </w:r>
          </w:p>
        </w:tc>
      </w:tr>
    </w:tbl>
    <w:p>
      <w:pPr>
        <w:pStyle w:val="TextBody"/>
        <w:spacing w:before="0" w:after="0"/>
        <w:ind w:left="0" w:right="0" w:hanging="0"/>
        <w:jc w:val="both"/>
        <w:rPr/>
      </w:pPr>
      <w:r>
        <w:rPr/>
        <w:t> </w:t>
      </w:r>
    </w:p>
    <w:p>
      <w:pPr>
        <w:pStyle w:val="Normal"/>
        <w:spacing w:before="0" w:after="0"/>
        <w:jc w:val="left"/>
        <w:rPr>
          <w:sz w:val="4"/>
          <w:szCs w:val="4"/>
        </w:rPr>
      </w:pPr>
      <w:r>
        <w:rPr>
          <w:sz w:val="4"/>
          <w:szCs w:val="4"/>
        </w:rPr>
      </w:r>
      <w:bookmarkStart w:id="429" w:name="list80"/>
      <w:bookmarkStart w:id="430" w:name="list80"/>
      <w:bookmarkEnd w:id="430"/>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pPr>
            <w:r>
              <w:rPr/>
              <w:t>●  </w:t>
            </w:r>
          </w:p>
        </w:tc>
        <w:tc>
          <w:tcPr>
            <w:tcW w:w="9886"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1,485,491 shares of common stock available for future grant as of September 30, 2012 under our 2007 Plan.</w:t>
            </w:r>
          </w:p>
        </w:tc>
      </w:tr>
    </w:tbl>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1" w:name="PGBRK28"/>
      <w:bookmarkStart w:id="432" w:name="PGBRK28"/>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 w:name="FTR28"/>
      <w:bookmarkStart w:id="434" w:name="FTR28"/>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5" w:name="GLFTR28"/>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36" w:name="PN28"/>
      <w:bookmarkEnd w:id="436"/>
      <w:r>
        <w:rPr>
          <w:rFonts w:ascii="helvetica" w:hAnsi="helvetica"/>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7" w:name="HDR28"/>
      <w:bookmarkStart w:id="438" w:name="HDR28"/>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9" w:name="GLHDR28"/>
      <w:bookmarkEnd w:id="4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rFonts w:ascii="helvetica" w:hAnsi="helvetica"/>
          <w:b/>
          <w:sz w:val="20"/>
        </w:rPr>
      </w:pPr>
      <w:r>
        <w:rPr>
          <w:rFonts w:ascii="helvetica" w:hAnsi="helvetica"/>
          <w:b/>
          <w:sz w:val="20"/>
        </w:rPr>
        <w:t>UNDERWRITING</w:t>
      </w:r>
    </w:p>
    <w:p>
      <w:pPr>
        <w:pStyle w:val="TextBody"/>
        <w:spacing w:before="0" w:after="0"/>
        <w:jc w:val="center"/>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This is an underwritten offering of our common stock.  MDB Capital Group, LLC is the sole book-running manager of the offering and is acting as the representative of the underwriters named below. We have entered into an underwriting agreement with the underwriters. Subject to the terms and conditions of the underwriting agreement, we have agreed to sell to each of the underwriters, and each of the underwriters has agreed to purchase, at the public offering price less the underwriting discounts and commissions set forth on the cover page of this prospectus, the number of shares of common stock set forth opposite such underwriter’s name below (not including shares that may be issued pursuant to the underwriters’ over-allotment option).  The underwriters are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141"/>
        <w:gridCol w:w="117"/>
        <w:gridCol w:w="2144"/>
        <w:gridCol w:w="803"/>
      </w:tblGrid>
      <w:tr>
        <w:trPr/>
        <w:tc>
          <w:tcPr>
            <w:tcW w:w="7141" w:type="dxa"/>
            <w:tcBorders/>
            <w:shd w:fill="auto" w:val="clear"/>
            <w:vAlign w:val="bottom"/>
          </w:tcPr>
          <w:p>
            <w:pPr>
              <w:pStyle w:val="TableContents"/>
              <w:spacing w:before="0" w:after="0"/>
              <w:ind w:left="0" w:right="0" w:firstLine="720"/>
              <w:jc w:val="left"/>
              <w:rPr>
                <w:rFonts w:ascii="helvetica" w:hAnsi="helvetica"/>
                <w:b/>
                <w:sz w:val="20"/>
              </w:rPr>
            </w:pPr>
            <w:r>
              <w:rPr>
                <w:rFonts w:ascii="helvetica" w:hAnsi="helvetica"/>
                <w:b/>
                <w:sz w:val="20"/>
              </w:rPr>
              <w:t>Underwriters</w:t>
            </w:r>
          </w:p>
        </w:tc>
        <w:tc>
          <w:tcPr>
            <w:tcW w:w="117" w:type="dxa"/>
            <w:tcBorders/>
            <w:shd w:fill="auto" w:val="clear"/>
            <w:vAlign w:val="bottom"/>
          </w:tcPr>
          <w:p>
            <w:pPr>
              <w:pStyle w:val="TableContents"/>
              <w:spacing w:before="0" w:after="283"/>
              <w:rPr/>
            </w:pPr>
            <w:r>
              <w:rPr/>
              <w:t> </w:t>
            </w:r>
          </w:p>
        </w:tc>
        <w:tc>
          <w:tcPr>
            <w:tcW w:w="2144"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803" w:type="dxa"/>
            <w:tcBorders/>
            <w:shd w:fill="auto" w:val="clear"/>
            <w:vAlign w:val="bottom"/>
          </w:tcPr>
          <w:p>
            <w:pPr>
              <w:pStyle w:val="TableContents"/>
              <w:spacing w:before="0" w:after="283"/>
              <w:jc w:val="left"/>
              <w:rPr/>
            </w:pPr>
            <w:r>
              <w:rPr/>
              <w:t> </w:t>
            </w:r>
          </w:p>
        </w:tc>
      </w:tr>
      <w:tr>
        <w:trPr/>
        <w:tc>
          <w:tcPr>
            <w:tcW w:w="7141"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214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jc w:val="left"/>
              <w:rPr/>
            </w:pPr>
            <w:r>
              <w:rPr/>
              <w:t> </w:t>
            </w:r>
          </w:p>
        </w:tc>
      </w:tr>
      <w:tr>
        <w:trPr/>
        <w:tc>
          <w:tcPr>
            <w:tcW w:w="7141" w:type="dxa"/>
            <w:tcBorders/>
            <w:shd w:fill="auto" w:val="clear"/>
            <w:vAlign w:val="bottom"/>
          </w:tcPr>
          <w:p>
            <w:pPr>
              <w:pStyle w:val="TableContents"/>
              <w:spacing w:before="0" w:after="0"/>
              <w:ind w:left="0" w:right="0" w:firstLine="720"/>
              <w:jc w:val="left"/>
              <w:rPr>
                <w:rFonts w:ascii="helvetica" w:hAnsi="helvetica"/>
                <w:sz w:val="20"/>
              </w:rPr>
            </w:pPr>
            <w:r>
              <w:rPr>
                <w:rFonts w:ascii="helvetica" w:hAnsi="helvetica"/>
                <w:sz w:val="20"/>
              </w:rPr>
              <w:t>MDB Capital Group, LLC</w:t>
            </w:r>
          </w:p>
        </w:tc>
        <w:tc>
          <w:tcPr>
            <w:tcW w:w="117" w:type="dxa"/>
            <w:tcBorders/>
            <w:shd w:fill="auto" w:val="clear"/>
            <w:vAlign w:val="bottom"/>
          </w:tcPr>
          <w:p>
            <w:pPr>
              <w:pStyle w:val="TableContents"/>
              <w:spacing w:before="0" w:after="283"/>
              <w:rPr/>
            </w:pPr>
            <w:r>
              <w:rPr/>
              <w:t> </w:t>
            </w:r>
          </w:p>
        </w:tc>
        <w:tc>
          <w:tcPr>
            <w:tcW w:w="2144" w:type="dxa"/>
            <w:tcBorders>
              <w:bottom w:val="single" w:sz="12" w:space="0" w:color="000000"/>
            </w:tcBorders>
            <w:shd w:fill="auto" w:val="clear"/>
            <w:tcMar>
              <w:bottom w:w="28" w:type="dxa"/>
            </w:tcMar>
            <w:vAlign w:val="bottom"/>
          </w:tcPr>
          <w:p>
            <w:pPr>
              <w:pStyle w:val="TableContents"/>
              <w:spacing w:before="0" w:after="283"/>
              <w:rPr/>
            </w:pPr>
            <w:r>
              <w:rPr/>
              <w:t>          </w:t>
            </w:r>
            <w:r>
              <w:rPr/>
              <w:t>1,232,673</w:t>
            </w:r>
          </w:p>
        </w:tc>
        <w:tc>
          <w:tcPr>
            <w:tcW w:w="803" w:type="dxa"/>
            <w:tcBorders/>
            <w:shd w:fill="auto" w:val="clear"/>
            <w:vAlign w:val="bottom"/>
          </w:tcPr>
          <w:p>
            <w:pPr>
              <w:pStyle w:val="TableContents"/>
              <w:spacing w:before="0" w:after="283"/>
              <w:ind w:left="0" w:right="0" w:firstLine="720"/>
              <w:jc w:val="left"/>
              <w:rPr/>
            </w:pPr>
            <w:r>
              <w:rPr/>
              <w:t> </w:t>
            </w:r>
          </w:p>
        </w:tc>
      </w:tr>
      <w:tr>
        <w:trPr/>
        <w:tc>
          <w:tcPr>
            <w:tcW w:w="7141" w:type="dxa"/>
            <w:tcBorders/>
            <w:shd w:fill="auto" w:val="clear"/>
            <w:vAlign w:val="bottom"/>
          </w:tcPr>
          <w:p>
            <w:pPr>
              <w:pStyle w:val="TableContents"/>
              <w:spacing w:before="0" w:after="283"/>
              <w:jc w:val="left"/>
              <w:rPr>
                <w:rFonts w:ascii="helvetica" w:hAnsi="helvetica"/>
                <w:sz w:val="20"/>
              </w:rPr>
            </w:pPr>
            <w:r>
              <w:rPr>
                <w:rFonts w:ascii="helvetica" w:hAnsi="helvetica"/>
                <w:sz w:val="20"/>
              </w:rPr>
              <w:t>Aegis Capital Corp.</w:t>
            </w:r>
          </w:p>
        </w:tc>
        <w:tc>
          <w:tcPr>
            <w:tcW w:w="117" w:type="dxa"/>
            <w:tcBorders/>
            <w:shd w:fill="auto" w:val="clear"/>
            <w:vAlign w:val="bottom"/>
          </w:tcPr>
          <w:p>
            <w:pPr>
              <w:pStyle w:val="TableContents"/>
              <w:spacing w:before="0" w:after="283"/>
              <w:rPr/>
            </w:pPr>
            <w:r>
              <w:rPr/>
              <w:t> </w:t>
            </w:r>
          </w:p>
        </w:tc>
        <w:tc>
          <w:tcPr>
            <w:tcW w:w="2144" w:type="dxa"/>
            <w:tcBorders>
              <w:bottom w:val="single" w:sz="12" w:space="0" w:color="000000"/>
            </w:tcBorders>
            <w:shd w:fill="auto" w:val="clear"/>
            <w:tcMar>
              <w:bottom w:w="28" w:type="dxa"/>
            </w:tcMar>
            <w:vAlign w:val="bottom"/>
          </w:tcPr>
          <w:p>
            <w:pPr>
              <w:pStyle w:val="TableContents"/>
              <w:spacing w:before="0" w:after="283"/>
              <w:rPr/>
            </w:pPr>
            <w:r>
              <w:rPr/>
              <w:t>             </w:t>
            </w:r>
            <w:r>
              <w:rPr/>
              <w:t>607,327</w:t>
            </w:r>
          </w:p>
        </w:tc>
        <w:tc>
          <w:tcPr>
            <w:tcW w:w="803" w:type="dxa"/>
            <w:tcBorders/>
            <w:shd w:fill="auto" w:val="clear"/>
            <w:vAlign w:val="bottom"/>
          </w:tcPr>
          <w:p>
            <w:pPr>
              <w:pStyle w:val="TableContents"/>
              <w:spacing w:before="0" w:after="283"/>
              <w:jc w:val="left"/>
              <w:rPr/>
            </w:pPr>
            <w:r>
              <w:rPr/>
              <w:t> </w:t>
            </w:r>
          </w:p>
        </w:tc>
      </w:tr>
      <w:tr>
        <w:trPr/>
        <w:tc>
          <w:tcPr>
            <w:tcW w:w="7141" w:type="dxa"/>
            <w:tcBorders/>
            <w:shd w:fill="auto" w:val="clear"/>
            <w:vAlign w:val="bottom"/>
          </w:tcPr>
          <w:p>
            <w:pPr>
              <w:pStyle w:val="TableContents"/>
              <w:spacing w:before="0" w:after="0"/>
              <w:ind w:left="0" w:right="0" w:firstLine="720"/>
              <w:jc w:val="left"/>
              <w:rPr/>
            </w:pPr>
            <w:r>
              <w:rPr/>
              <w:t>        </w:t>
            </w:r>
            <w:r>
              <w:rPr>
                <w:rFonts w:ascii="helvetica" w:hAnsi="helvetica"/>
                <w:sz w:val="20"/>
              </w:rPr>
              <w:t>Total</w:t>
            </w:r>
          </w:p>
        </w:tc>
        <w:tc>
          <w:tcPr>
            <w:tcW w:w="117" w:type="dxa"/>
            <w:tcBorders/>
            <w:shd w:fill="auto" w:val="clear"/>
            <w:vAlign w:val="bottom"/>
          </w:tcPr>
          <w:p>
            <w:pPr>
              <w:pStyle w:val="TableContents"/>
              <w:spacing w:before="0" w:after="283"/>
              <w:rPr/>
            </w:pPr>
            <w:r>
              <w:rPr/>
              <w:t> </w:t>
            </w:r>
          </w:p>
        </w:tc>
        <w:tc>
          <w:tcPr>
            <w:tcW w:w="2144" w:type="dxa"/>
            <w:tcBorders>
              <w:bottom w:val="single" w:sz="12" w:space="0" w:color="000000"/>
            </w:tcBorders>
            <w:shd w:fill="auto" w:val="clear"/>
            <w:tcMar>
              <w:bottom w:w="28" w:type="dxa"/>
            </w:tcMar>
            <w:vAlign w:val="bottom"/>
          </w:tcPr>
          <w:p>
            <w:pPr>
              <w:pStyle w:val="TableContents"/>
              <w:spacing w:before="0" w:after="283"/>
              <w:jc w:val="left"/>
              <w:rPr/>
            </w:pPr>
            <w:r>
              <w:rPr/>
              <w:t>          </w:t>
            </w:r>
            <w:r>
              <w:rPr/>
              <w:t>1,840,000</w:t>
            </w:r>
          </w:p>
        </w:tc>
        <w:tc>
          <w:tcPr>
            <w:tcW w:w="803" w:type="dxa"/>
            <w:tcBorders/>
            <w:shd w:fill="auto" w:val="clear"/>
            <w:vAlign w:val="bottom"/>
          </w:tcPr>
          <w:p>
            <w:pPr>
              <w:pStyle w:val="TableContents"/>
              <w:spacing w:before="0" w:after="283"/>
              <w:jc w:val="left"/>
              <w:rPr/>
            </w:pPr>
            <w:r>
              <w:rPr/>
              <w:t> </w:t>
            </w:r>
          </w:p>
        </w:tc>
      </w:tr>
      <w:tr>
        <w:trPr/>
        <w:tc>
          <w:tcPr>
            <w:tcW w:w="7141" w:type="dxa"/>
            <w:tcBorders/>
            <w:shd w:fill="auto" w:val="clear"/>
            <w:vAlign w:val="bottom"/>
          </w:tcPr>
          <w:p>
            <w:pPr>
              <w:pStyle w:val="TableContents"/>
              <w:spacing w:before="0" w:after="0"/>
              <w:ind w:left="0" w:right="0" w:firstLine="720"/>
              <w:jc w:val="left"/>
              <w:rPr/>
            </w:pPr>
            <w:r>
              <w:rPr/>
              <w:t> </w:t>
            </w:r>
          </w:p>
        </w:tc>
        <w:tc>
          <w:tcPr>
            <w:tcW w:w="117" w:type="dxa"/>
            <w:tcBorders/>
            <w:shd w:fill="auto" w:val="clear"/>
            <w:vAlign w:val="bottom"/>
          </w:tcPr>
          <w:p>
            <w:pPr>
              <w:pStyle w:val="TableContents"/>
              <w:spacing w:before="0" w:after="283"/>
              <w:jc w:val="left"/>
              <w:rPr/>
            </w:pPr>
            <w:r>
              <w:rPr/>
              <w:t> </w:t>
            </w:r>
          </w:p>
        </w:tc>
        <w:tc>
          <w:tcPr>
            <w:tcW w:w="2144"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left"/>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have advised us that they propose to offer the shares of our common stock directly to the public at the public offering price set forth on the cover page of this prospectus and to certain dealers that are members of the Financial Industry Regulatory Authority (FINRA). Any securities sold by the underwriter to such securities dealers will be sold at the public offering price less a selling concession not in excess of $0.26775 per share. After the public offering of the shares this figure may be changed by the underwriters.</w:t>
      </w:r>
    </w:p>
    <w:p>
      <w:pPr>
        <w:pStyle w:val="TextBody"/>
        <w:spacing w:before="0" w:after="0"/>
        <w:ind w:left="0" w:right="0" w:hanging="0"/>
        <w:jc w:val="center"/>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underwriting agreement provides that the underwriters’ obligation to purchase shares of our common stock is subject to conditions contained in the underwriting agreement.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have advised us that they do not intend to confirm sales to any accounts over which they exercise discretionary authority.</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Underwriting Discount and Expenses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summarizes the underwriting discount and commission to be paid to the underwriters by us.</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942"/>
        <w:gridCol w:w="110"/>
        <w:gridCol w:w="155"/>
        <w:gridCol w:w="1251"/>
        <w:gridCol w:w="110"/>
        <w:gridCol w:w="110"/>
        <w:gridCol w:w="147"/>
        <w:gridCol w:w="1258"/>
        <w:gridCol w:w="122"/>
      </w:tblGrid>
      <w:tr>
        <w:trPr/>
        <w:tc>
          <w:tcPr>
            <w:tcW w:w="6942"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Without</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10"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With</w:t>
            </w:r>
          </w:p>
          <w:p>
            <w:pPr>
              <w:pStyle w:val="TableContents"/>
              <w:spacing w:before="0" w:after="0"/>
              <w:ind w:left="0" w:right="0" w:hanging="0"/>
              <w:jc w:val="center"/>
              <w:rPr>
                <w:rFonts w:ascii="helvetica" w:hAnsi="helvetica"/>
                <w:b/>
                <w:sz w:val="16"/>
              </w:rPr>
            </w:pPr>
            <w:r>
              <w:rPr>
                <w:rFonts w:ascii="helvetica" w:hAnsi="helvetica"/>
                <w:b/>
                <w:sz w:val="16"/>
              </w:rPr>
              <w:t>Over-Allotment</w:t>
            </w:r>
          </w:p>
        </w:tc>
        <w:tc>
          <w:tcPr>
            <w:tcW w:w="122" w:type="dxa"/>
            <w:tcBorders/>
            <w:shd w:fill="auto" w:val="clear"/>
            <w:vAlign w:val="bottom"/>
          </w:tcPr>
          <w:p>
            <w:pPr>
              <w:pStyle w:val="TableContents"/>
              <w:spacing w:before="0" w:after="283"/>
              <w:jc w:val="left"/>
              <w:rPr/>
            </w:pPr>
            <w:r>
              <w:rPr/>
              <w:t xml:space="preserve">  </w:t>
            </w:r>
          </w:p>
        </w:tc>
      </w:tr>
      <w:tr>
        <w:trPr/>
        <w:tc>
          <w:tcPr>
            <w:tcW w:w="6942"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6" w:type="dxa"/>
            <w:gridSpan w:val="2"/>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xml:space="preserve">  </w:t>
            </w:r>
          </w:p>
        </w:tc>
        <w:tc>
          <w:tcPr>
            <w:tcW w:w="1405" w:type="dxa"/>
            <w:gridSpan w:val="2"/>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jc w:val="left"/>
              <w:rPr/>
            </w:pPr>
            <w:r>
              <w:rPr/>
              <w:t xml:space="preserve">  </w:t>
            </w:r>
          </w:p>
        </w:tc>
      </w:tr>
      <w:tr>
        <w:trPr/>
        <w:tc>
          <w:tcPr>
            <w:tcW w:w="694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Public offering price per share</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5.25</w:t>
            </w:r>
          </w:p>
        </w:tc>
        <w:tc>
          <w:tcPr>
            <w:tcW w:w="110"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14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5.25</w:t>
            </w:r>
          </w:p>
        </w:tc>
        <w:tc>
          <w:tcPr>
            <w:tcW w:w="122" w:type="dxa"/>
            <w:tcBorders/>
            <w:shd w:fill="CCEEFF" w:val="clear"/>
            <w:vAlign w:val="bottom"/>
          </w:tcPr>
          <w:p>
            <w:pPr>
              <w:pStyle w:val="TableContents"/>
              <w:spacing w:before="0" w:after="283"/>
              <w:jc w:val="left"/>
              <w:rPr/>
            </w:pPr>
            <w:r>
              <w:rPr/>
              <w:t xml:space="preserve">  </w:t>
            </w:r>
          </w:p>
        </w:tc>
      </w:tr>
      <w:tr>
        <w:trPr/>
        <w:tc>
          <w:tcPr>
            <w:tcW w:w="694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Underwriting discount per share to be paid to the underwriter by us for the common stock</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pPr>
            <w:r>
              <w:rPr/>
              <w:t xml:space="preserve">  </w:t>
            </w:r>
            <w:r>
              <w:rPr>
                <w:rFonts w:ascii="helvetica" w:hAnsi="helvetica"/>
                <w:sz w:val="20"/>
              </w:rPr>
              <w:t>0.4463</w:t>
            </w:r>
          </w:p>
        </w:tc>
        <w:tc>
          <w:tcPr>
            <w:tcW w:w="110"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14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8" w:type="dxa"/>
            <w:tcBorders/>
            <w:shd w:fill="FFFFFF" w:val="clear"/>
            <w:vAlign w:val="bottom"/>
          </w:tcPr>
          <w:p>
            <w:pPr>
              <w:pStyle w:val="TableContents"/>
              <w:spacing w:before="0" w:after="0"/>
              <w:ind w:left="0" w:right="0" w:hanging="0"/>
              <w:jc w:val="right"/>
              <w:rPr/>
            </w:pPr>
            <w:r>
              <w:rPr/>
              <w:t> </w:t>
            </w:r>
            <w:r>
              <w:rPr>
                <w:rFonts w:ascii="helvetica" w:hAnsi="helvetica"/>
                <w:sz w:val="20"/>
              </w:rPr>
              <w:t>0.4463</w:t>
            </w:r>
          </w:p>
        </w:tc>
        <w:tc>
          <w:tcPr>
            <w:tcW w:w="122" w:type="dxa"/>
            <w:tcBorders/>
            <w:shd w:fill="FFFFFF" w:val="clear"/>
            <w:vAlign w:val="bottom"/>
          </w:tcPr>
          <w:p>
            <w:pPr>
              <w:pStyle w:val="TableContents"/>
              <w:spacing w:before="0" w:after="283"/>
              <w:jc w:val="left"/>
              <w:rPr/>
            </w:pPr>
            <w:r>
              <w:rPr/>
              <w:t xml:space="preserve">  </w:t>
            </w:r>
          </w:p>
        </w:tc>
      </w:tr>
      <w:tr>
        <w:trPr/>
        <w:tc>
          <w:tcPr>
            <w:tcW w:w="694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Non-accountable expense allowance</w:t>
            </w:r>
          </w:p>
        </w:tc>
        <w:tc>
          <w:tcPr>
            <w:tcW w:w="110" w:type="dxa"/>
            <w:tcBorders/>
            <w:shd w:fill="CCEEFF" w:val="clear"/>
            <w:vAlign w:val="bottom"/>
          </w:tcPr>
          <w:p>
            <w:pPr>
              <w:pStyle w:val="TableContents"/>
              <w:spacing w:before="0" w:after="283"/>
              <w:jc w:val="left"/>
              <w:rPr/>
            </w:pPr>
            <w:r>
              <w:rPr/>
              <w:t xml:space="preserve">  </w:t>
            </w:r>
          </w:p>
        </w:tc>
        <w:tc>
          <w:tcPr>
            <w:tcW w:w="155"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150,000</w:t>
            </w:r>
          </w:p>
        </w:tc>
        <w:tc>
          <w:tcPr>
            <w:tcW w:w="110" w:type="dxa"/>
            <w:tcBorders/>
            <w:shd w:fill="CCEEFF" w:val="clear"/>
            <w:vAlign w:val="bottom"/>
          </w:tcPr>
          <w:p>
            <w:pPr>
              <w:pStyle w:val="TableContents"/>
              <w:spacing w:before="0" w:after="283"/>
              <w:jc w:val="left"/>
              <w:rPr/>
            </w:pPr>
            <w:r>
              <w:rPr/>
              <w:t xml:space="preserve">  </w:t>
            </w:r>
          </w:p>
        </w:tc>
        <w:tc>
          <w:tcPr>
            <w:tcW w:w="110" w:type="dxa"/>
            <w:tcBorders/>
            <w:shd w:fill="CCEEFF" w:val="clear"/>
            <w:vAlign w:val="bottom"/>
          </w:tcPr>
          <w:p>
            <w:pPr>
              <w:pStyle w:val="TableContents"/>
              <w:spacing w:before="0" w:after="283"/>
              <w:jc w:val="left"/>
              <w:rPr/>
            </w:pPr>
            <w:r>
              <w:rPr/>
              <w:t xml:space="preserve">  </w:t>
            </w:r>
          </w:p>
        </w:tc>
        <w:tc>
          <w:tcPr>
            <w:tcW w:w="14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150,000</w:t>
            </w:r>
          </w:p>
        </w:tc>
        <w:tc>
          <w:tcPr>
            <w:tcW w:w="122" w:type="dxa"/>
            <w:tcBorders/>
            <w:shd w:fill="CCEEFF" w:val="clear"/>
            <w:vAlign w:val="bottom"/>
          </w:tcPr>
          <w:p>
            <w:pPr>
              <w:pStyle w:val="TableContents"/>
              <w:spacing w:before="0" w:after="283"/>
              <w:jc w:val="left"/>
              <w:rPr/>
            </w:pPr>
            <w:r>
              <w:rPr/>
              <w:t xml:space="preserve">  </w:t>
            </w:r>
          </w:p>
        </w:tc>
      </w:tr>
      <w:tr>
        <w:trPr/>
        <w:tc>
          <w:tcPr>
            <w:tcW w:w="6942"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before expenses, to us</w:t>
            </w:r>
          </w:p>
        </w:tc>
        <w:tc>
          <w:tcPr>
            <w:tcW w:w="110" w:type="dxa"/>
            <w:tcBorders/>
            <w:shd w:fill="FFFFFF" w:val="clear"/>
            <w:vAlign w:val="bottom"/>
          </w:tcPr>
          <w:p>
            <w:pPr>
              <w:pStyle w:val="TableContents"/>
              <w:spacing w:before="0" w:after="283"/>
              <w:jc w:val="left"/>
              <w:rPr/>
            </w:pPr>
            <w:r>
              <w:rPr/>
              <w:t xml:space="preserve">  </w:t>
            </w:r>
          </w:p>
        </w:tc>
        <w:tc>
          <w:tcPr>
            <w:tcW w:w="155"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1"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8,838,900</w:t>
            </w:r>
          </w:p>
        </w:tc>
        <w:tc>
          <w:tcPr>
            <w:tcW w:w="110" w:type="dxa"/>
            <w:tcBorders/>
            <w:shd w:fill="FFFFFF" w:val="clear"/>
            <w:vAlign w:val="bottom"/>
          </w:tcPr>
          <w:p>
            <w:pPr>
              <w:pStyle w:val="TableContents"/>
              <w:spacing w:before="0" w:after="283"/>
              <w:jc w:val="left"/>
              <w:rPr/>
            </w:pPr>
            <w:r>
              <w:rPr/>
              <w:t xml:space="preserve">  </w:t>
            </w:r>
          </w:p>
        </w:tc>
        <w:tc>
          <w:tcPr>
            <w:tcW w:w="110" w:type="dxa"/>
            <w:tcBorders/>
            <w:shd w:fill="FFFFFF" w:val="clear"/>
            <w:vAlign w:val="bottom"/>
          </w:tcPr>
          <w:p>
            <w:pPr>
              <w:pStyle w:val="TableContents"/>
              <w:spacing w:before="0" w:after="283"/>
              <w:jc w:val="left"/>
              <w:rPr/>
            </w:pPr>
            <w:r>
              <w:rPr/>
              <w:t xml:space="preserve">  </w:t>
            </w:r>
          </w:p>
        </w:tc>
        <w:tc>
          <w:tcPr>
            <w:tcW w:w="14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25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10,164,735</w:t>
            </w:r>
          </w:p>
        </w:tc>
        <w:tc>
          <w:tcPr>
            <w:tcW w:w="122"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estimate the expenses payable by us for this offering to be $1.5 million, including the underwriting discount, or $1.7 million if the over-allotment option is exercised in full, and reimbursement of up to $160,000 in expenses of the underwriters as follows:  (i) non-accountable expense amount of $150,000, of which $30,000 we advanced prior to the commencement of this offering, and (ii) up to $10,000 of accountable expenses, which we advanced prior to the commencement of this offering.  We will not reimburse the underwriters more than a total of $160,000 in expenses, including all of the underwriters' legal, road show and out of pocket expenses in connection with this offering.</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0" w:name="PGBRK29"/>
      <w:bookmarkStart w:id="441" w:name="PGBRK29"/>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2" w:name="FTR29"/>
      <w:bookmarkStart w:id="443" w:name="FTR29"/>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4" w:name="GLFTR29"/>
      <w:bookmarkEnd w:id="4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45" w:name="PN29"/>
      <w:bookmarkEnd w:id="445"/>
      <w:r>
        <w:rPr>
          <w:rFonts w:ascii="helvetica" w:hAnsi="helvetica"/>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6" w:name="HDR29"/>
      <w:bookmarkStart w:id="447" w:name="HDR29"/>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8" w:name="GLHDR29"/>
      <w:bookmarkEnd w:id="4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Over-allotment Option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have granted to the underwriters an option, exercisable not later than 45 days after the date of this prospectus, to purchase up to an additional 276,000 shares of our common stock (up to 15% of the shares firmly committed in this offering) at the public offering price, less the underwriting discount, set forth on the cover page of this prospectus.  The underwriters may exercise the option solely to cover over-allotments, if any, made in connection with this offering.  If any additional shares of our common stock are purchased pursuant to the over-allotment option, the underwriters will offer these additional shares of our common stock on the same terms as those on which the other shares of common stock are being offered hereby.</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Determination of Offering Price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public offering price of the common stock was negotiated between us and the underwriters,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Underwriter Warrants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have agreed to issue to the underwriters warrants to purchase up to 8.5% of the shares of common stock sold in this offering.  These warrants are exercisable at $5.25 per share (100% of the price of the common stock sold in this offering), commencing on the effective date of this offering and expiring five years from the effective date of this offering.  The warrants and the shares of common stock underlying the warrants have been deemed compensation by FINRA and are therefore subject to a 180-day lock-up pursuant to Rule 5110(g)(1) of the FINRA.  The underwriters (or permitted assignees under the Rule) will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180 days from the effective date of the registration statement of which this prospectus is a part.</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MDB Capital Group, LLC, except for exercise or conversion of currently outstanding warrants and options, as applicable, and exercise of options under an acceptable stock incentive plan.  MDB Capital Group, LLC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Indemnification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We will agree to indemnify the underwriters against certain liabilities, including certain liabilities arising under the Securities Act, and to contribute to payments that the underwriters may be required to make for these liabilities.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9" w:name="PGBRK30"/>
      <w:bookmarkStart w:id="450" w:name="PGBRK30"/>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1" w:name="FTR30"/>
      <w:bookmarkStart w:id="452" w:name="FTR30"/>
      <w:bookmarkEnd w:id="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3" w:name="GLFTR30"/>
      <w:bookmarkEnd w:id="4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54" w:name="PN30"/>
      <w:bookmarkEnd w:id="454"/>
      <w:r>
        <w:rPr>
          <w:rFonts w:ascii="helvetica" w:hAnsi="helvetica"/>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5" w:name="HDR30"/>
      <w:bookmarkStart w:id="456" w:name="HDR30"/>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7" w:name="GLHDR30"/>
      <w:bookmarkEnd w:id="4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Stabilization, Short Positions and Penalty Bids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 underwriters may engage in over-allotment, stabilizing transactions, syndicate covering transactions, and penalty bids or purchases for the purpose of pegging, fixing or maintaining the price of the common stock, in accordance with Regulation M under the Exchange Act.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 over-allotment option and/or purchasing shares in the open market.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Stabilizing transactions permit bids to purchase the underlying security so long as the stabilizing bids do not exceed a specified maximum.</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Penalty bids permit the underwriters to reclaim a selling concession from a syndicate member when the shares originally sold by the syndicate member are purchased in a stabilizing or syndicate covering transaction to cover syndicate short positions.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Neither we nor the underwriters make any representation or prediction as to the direction or magnitude of any effect that the transactions described above may have on the price of the common stock.  In addition, neither we nor the underwriters make any representation that the underwriters will engage in these stabilizing transactions or that any transaction, once commenced, will not be discontinued without notice.</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Passive Market Making</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 connection with the offering, the underwriters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Electronic Distribution</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 prospectus in electronic format may be made available on the Internet sites or through other online services maintained by the underwriters, or by their affiliates.  In those cases, prospective investors may view offering terms online and, depending upon the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8" w:name="PGBRK31"/>
      <w:bookmarkStart w:id="459" w:name="PGBRK31"/>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FTR31"/>
      <w:bookmarkStart w:id="461" w:name="FTR31"/>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2" w:name="GLFTR31"/>
      <w:bookmarkEnd w:id="4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63" w:name="PN31"/>
      <w:bookmarkEnd w:id="463"/>
      <w:r>
        <w:rPr>
          <w:rFonts w:ascii="helvetica" w:hAnsi="helvetica"/>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HDR31"/>
      <w:bookmarkStart w:id="465" w:name="HDR31"/>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6" w:name="GLHDR31"/>
      <w:bookmarkEnd w:id="4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Other than the prospectus in electronic format, the information on the underwriters' websites and any information contained in any other websites maintained by the underwriters is not part of the prospectus or the registration statement of which this prospectus forms a part, has not been approved and/or endorsed by us or the underwriters in their capacity as underwriters and should not be relied upon by investors.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compensation in connection with this offering is limited to the fees and expenses described in this section under “Underwriting Discount and Expenses.”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United Kingdom</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underwriters have represented and agreed that: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 they have only communicated or caused to be communicated and will only communicate or cause to be communicated an invitation or inducement to engage in investment activity (within the meaning of Section 21 of the Financial Services and Markets Act 2000 or FSMA) received by them in connection with the issue or sale of the shares in circumstances in which Section 21(1) of the FSMA does not apply to us, and</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(b) they have complied with, and will comply with all applicable provisions of FSMA with respect to anything done by them in relation to the shares in, from or otherwise involving the United Kingdom.</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European Economic Area</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relation to each Member State of the European Economic Area which has implemented the Prospectus Directive (each, a “Relevant Member State”), the underwriters have represented and agreed that with effect from and including the date on which the Prospectus Directive is implemented in that Relevant Member State (the “Relevant Implementation Date”) they have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7" w:name="PGBRK32"/>
      <w:bookmarkStart w:id="468" w:name="PGBRK32"/>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FTR32"/>
      <w:bookmarkStart w:id="470" w:name="FTR32"/>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1" w:name="GLFTR32"/>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72" w:name="PN32"/>
      <w:bookmarkEnd w:id="472"/>
      <w:r>
        <w:rPr>
          <w:rFonts w:ascii="helvetica" w:hAnsi="helvetica"/>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 w:name="HDR32"/>
      <w:bookmarkStart w:id="474" w:name="HDR32"/>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5" w:name="GLHDR32"/>
      <w:bookmarkEnd w:id="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 to legal entities which are authorized or regulated to operate in the financial markets or, if not so authorized or regulated, whose corporate purpose is solely to invest in securities,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(b) 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EEA selling restriction is in addition to any other selling restrictions set out below.  In relation to each Relevant Member State, each purchaser of shares of common stock (other than the underwriters)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476" w:name="TAB12"/>
      <w:bookmarkEnd w:id="476"/>
      <w:r>
        <w:rPr>
          <w:rFonts w:ascii="helvetica" w:hAnsi="helvetica"/>
          <w:b/>
          <w:sz w:val="20"/>
        </w:rPr>
        <w:t>MARKET PRICE OF AND DIVIDENDS ON COMMON STOCK AND RELATED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common stock began trading on The NASDAQ Capital Market on February 8, 2013 under the symbol "IMMY". Effective September 21, 2007, our common shares began quotation on the Over-the-Counter Bulletin Board, or OTCBB, under the symbol TDLP.  Due to our failure to comply with SEC filing requirements and following our entry into bankruptcy proceedings (as described in more detail elsewhere in this prospectus), effective May 20, 2011, our common stock ceased being quoted on the OTCBB and, effective on June 28, 2011, began quotation under the symbol TDLPQ.PK on the OTC Markets Group Pink tier, or OTC Pink. On February 24, 2012, our common stock began quotation on the OTCQB under the symbol TDLPD, in connection with the one-for-eight reverse split of our authorized, issued and outstanding common stock effected on February 28, 2012. On March 23, 2012, our common stock began trading under the symbol IMMY in connection with our name change to Imprimis Pharmaceuticals, Inc. The liquidity of our shares on the OTCBB, OTC Pink and OTCQB markets has been extremely limited and any prices quoted may not be a reliable indication of the value of our common stock.  There is no established trading market for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high and low last-bid prices for our common stock for the periods indicated, as reported by the OTCBB, OTC Pink or the OTCQB, as applicable, after giving effect to the one-for-five reverse stock split. The quotations reflect inter-dealer prices, without retail mark-up, mark-down or commission, and may not represent actual transactions.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519"/>
        <w:gridCol w:w="111"/>
        <w:gridCol w:w="127"/>
        <w:gridCol w:w="990"/>
        <w:gridCol w:w="111"/>
        <w:gridCol w:w="111"/>
        <w:gridCol w:w="127"/>
        <w:gridCol w:w="990"/>
        <w:gridCol w:w="119"/>
      </w:tblGrid>
      <w:tr>
        <w:trPr/>
        <w:tc>
          <w:tcPr>
            <w:tcW w:w="7519"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2013</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auto" w:val="clear"/>
            <w:vAlign w:val="bottom"/>
          </w:tcPr>
          <w:p>
            <w:pPr>
              <w:pStyle w:val="TableContents"/>
              <w:spacing w:before="0" w:after="283"/>
              <w:jc w:val="left"/>
              <w:rPr/>
            </w:pPr>
            <w:r>
              <w:rPr/>
              <w:t> </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auto"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First Quarter (through February 7, 2013)</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helvetica" w:hAnsi="helvetica"/>
                <w:b w:val="false"/>
                <w:sz w:val="20"/>
              </w:rPr>
            </w:pPr>
            <w:r>
              <w:rPr>
                <w:rFonts w:ascii="helvetica" w:hAnsi="helvetica"/>
                <w:b w:val="false"/>
                <w:sz w:val="20"/>
              </w:rPr>
              <w:t>$</w:t>
            </w:r>
          </w:p>
        </w:tc>
        <w:tc>
          <w:tcPr>
            <w:tcW w:w="9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8.75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helvetica" w:hAnsi="helvetica"/>
                <w:b w:val="false"/>
                <w:sz w:val="20"/>
              </w:rPr>
            </w:pPr>
            <w:r>
              <w:rPr>
                <w:rFonts w:ascii="helvetica" w:hAnsi="helvetica"/>
                <w:b w:val="false"/>
                <w:sz w:val="20"/>
              </w:rPr>
              <w:t>$</w:t>
            </w:r>
          </w:p>
        </w:tc>
        <w:tc>
          <w:tcPr>
            <w:tcW w:w="9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7.20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auto" w:val="clear"/>
            <w:vAlign w:val="bottom"/>
          </w:tcPr>
          <w:p>
            <w:pPr>
              <w:pStyle w:val="TableContents"/>
              <w:spacing w:before="0" w:after="283"/>
              <w:jc w:val="left"/>
              <w:rPr/>
            </w:pPr>
            <w:r>
              <w:rPr/>
              <w:t> </w:t>
            </w:r>
          </w:p>
        </w:tc>
        <w:tc>
          <w:tcPr>
            <w:tcW w:w="1228" w:type="dxa"/>
            <w:gridSpan w:val="3"/>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228" w:type="dxa"/>
            <w:gridSpan w:val="3"/>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519" w:type="dxa"/>
            <w:tcBorders/>
            <w:shd w:fill="auto"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2012</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auto" w:val="clear"/>
            <w:vAlign w:val="bottom"/>
          </w:tcPr>
          <w:p>
            <w:pPr>
              <w:pStyle w:val="TableContents"/>
              <w:spacing w:before="0" w:after="283"/>
              <w:jc w:val="left"/>
              <w:rPr/>
            </w:pPr>
            <w:r>
              <w:rPr/>
              <w:t> </w:t>
            </w:r>
          </w:p>
        </w:tc>
        <w:tc>
          <w:tcPr>
            <w:tcW w:w="1228"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auto"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0.50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 xml:space="preserve">Third Quarter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 xml:space="preserve">Fourth Quarter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15.25</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4.75</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2011</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FFFFFF" w:val="clear"/>
            <w:vAlign w:val="bottom"/>
          </w:tcPr>
          <w:p>
            <w:pPr>
              <w:pStyle w:val="TableContents"/>
              <w:spacing w:before="0" w:after="283"/>
              <w:jc w:val="left"/>
              <w:rPr/>
            </w:pPr>
            <w:r>
              <w:rPr/>
              <w:t> </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26.00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1.08</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5.64</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9.64</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90"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b/>
                <w:sz w:val="16"/>
              </w:rPr>
            </w:pPr>
            <w:r>
              <w:rPr>
                <w:rFonts w:ascii="helvetica" w:hAnsi="helvetica"/>
                <w:b/>
                <w:sz w:val="16"/>
              </w:rPr>
              <w:t>Fiscal Year 2010</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High</w:t>
            </w:r>
          </w:p>
        </w:tc>
        <w:tc>
          <w:tcPr>
            <w:tcW w:w="111" w:type="dxa"/>
            <w:tcBorders/>
            <w:shd w:fill="FFFFFF" w:val="clear"/>
            <w:vAlign w:val="bottom"/>
          </w:tcPr>
          <w:p>
            <w:pPr>
              <w:pStyle w:val="TableContents"/>
              <w:spacing w:before="0" w:after="283"/>
              <w:jc w:val="left"/>
              <w:rPr/>
            </w:pPr>
            <w:r>
              <w:rPr/>
              <w:t> </w:t>
            </w:r>
          </w:p>
        </w:tc>
        <w:tc>
          <w:tcPr>
            <w:tcW w:w="1228"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helvetica" w:hAnsi="helvetica"/>
                <w:b/>
                <w:sz w:val="16"/>
              </w:rPr>
            </w:pPr>
            <w:r>
              <w:rPr>
                <w:rFonts w:ascii="helvetica" w:hAnsi="helvetica"/>
                <w:b/>
                <w:sz w:val="16"/>
              </w:rPr>
              <w:t>Low</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First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22.40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Second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44.00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22.40</w:t>
            </w:r>
          </w:p>
        </w:tc>
        <w:tc>
          <w:tcPr>
            <w:tcW w:w="119" w:type="dxa"/>
            <w:tcBorders/>
            <w:shd w:fill="FFFFFF" w:val="clear"/>
            <w:vAlign w:val="bottom"/>
          </w:tcPr>
          <w:p>
            <w:pPr>
              <w:pStyle w:val="TableContents"/>
              <w:spacing w:before="0" w:after="283"/>
              <w:jc w:val="left"/>
              <w:rPr/>
            </w:pPr>
            <w:r>
              <w:rPr/>
              <w:t> </w:t>
            </w:r>
          </w:p>
        </w:tc>
      </w:tr>
      <w:tr>
        <w:trPr/>
        <w:tc>
          <w:tcPr>
            <w:tcW w:w="7519"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Third Quarter</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48.40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21.20</w:t>
            </w:r>
          </w:p>
        </w:tc>
        <w:tc>
          <w:tcPr>
            <w:tcW w:w="119" w:type="dxa"/>
            <w:tcBorders/>
            <w:shd w:fill="CCEEFF" w:val="clear"/>
            <w:vAlign w:val="bottom"/>
          </w:tcPr>
          <w:p>
            <w:pPr>
              <w:pStyle w:val="TableContents"/>
              <w:spacing w:before="0" w:after="283"/>
              <w:jc w:val="left"/>
              <w:rPr/>
            </w:pPr>
            <w:r>
              <w:rPr/>
              <w:t> </w:t>
            </w:r>
          </w:p>
        </w:tc>
      </w:tr>
      <w:tr>
        <w:trPr/>
        <w:tc>
          <w:tcPr>
            <w:tcW w:w="7519" w:type="dxa"/>
            <w:tcBorders/>
            <w:shd w:fill="FFFFFF" w:val="clear"/>
            <w:vAlign w:val="bottom"/>
          </w:tcPr>
          <w:p>
            <w:pPr>
              <w:pStyle w:val="TableContents"/>
              <w:spacing w:before="0" w:after="0"/>
              <w:ind w:left="0" w:right="16" w:hanging="0"/>
              <w:jc w:val="left"/>
              <w:rPr>
                <w:rFonts w:ascii="helvetica" w:hAnsi="helvetica"/>
                <w:sz w:val="20"/>
              </w:rPr>
            </w:pPr>
            <w:r>
              <w:rPr>
                <w:rFonts w:ascii="helvetica" w:hAnsi="helvetica"/>
                <w:sz w:val="20"/>
              </w:rPr>
              <w:t>Fourth Quarter</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12.00</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7" w:name="PGBRK33"/>
      <w:bookmarkStart w:id="478" w:name="PGBRK33"/>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9" w:name="FTR33"/>
      <w:bookmarkStart w:id="480" w:name="FTR33"/>
      <w:bookmarkEnd w:id="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1" w:name="GLFTR33"/>
      <w:bookmarkEnd w:id="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82" w:name="PN33"/>
      <w:bookmarkEnd w:id="482"/>
      <w:r>
        <w:rPr>
          <w:rFonts w:ascii="helvetica" w:hAnsi="helvetica"/>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 w:name="HDR33"/>
      <w:bookmarkStart w:id="484" w:name="HDR33"/>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5" w:name="GLHDR33"/>
      <w:bookmarkEnd w:id="4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Holders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7, 2013 we had approximately 6,772,125 shares of common stock issued and outstanding (after giving effect to the one-for-five reverse stock split) held by 175 holders of record (excluding an indeterminable number of stockholders whose shares are held in street or “nominee” name). </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Dividends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We have never paid any dividends on our common stock and do not expect to pay dividends on our common stock in the foreseeable future. </w:t>
      </w:r>
    </w:p>
    <w:p>
      <w:pPr>
        <w:pStyle w:val="TextBody"/>
        <w:spacing w:before="0" w:after="0"/>
        <w:ind w:left="0" w:right="0" w:hanging="0"/>
        <w:rPr/>
      </w:pPr>
      <w:r>
        <w:rPr/>
        <w:t> </w:t>
      </w:r>
    </w:p>
    <w:p>
      <w:pPr>
        <w:pStyle w:val="TextBody"/>
        <w:spacing w:before="0" w:after="0"/>
        <w:ind w:left="0" w:right="0" w:firstLine="720"/>
        <w:jc w:val="center"/>
        <w:rPr>
          <w:rFonts w:ascii="helvetica" w:hAnsi="helvetica"/>
          <w:b/>
          <w:sz w:val="20"/>
        </w:rPr>
      </w:pPr>
      <w:r>
        <w:rPr>
          <w:rFonts w:ascii="helvetica" w:hAnsi="helvetica"/>
          <w:b/>
          <w:sz w:val="20"/>
        </w:rPr>
        <w:t>SHARES ELIGIBLE FOR FUTURE SALE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Unless otherwise stated below, all information regarding share amounts of common stock and prices per share of common stock described below reflects the one-for-five reverse stock split.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Sale of Restricted Shares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Upon completion of this offering, we will have 8,612,125 shares of common stock and no shares of preferred stock outstanding, assuming the underwriters do not exercise their over-allotment option.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6,480,484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 below.  Included in these restricted shares are approximately 4,752,499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 w:name="PGBRK34"/>
      <w:bookmarkStart w:id="487" w:name="PGBRK34"/>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8" w:name="FTR34"/>
      <w:bookmarkStart w:id="489" w:name="FTR34"/>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0" w:name="GLFTR34"/>
      <w:bookmarkEnd w:id="4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491" w:name="PN34"/>
      <w:bookmarkEnd w:id="491"/>
      <w:r>
        <w:rPr>
          <w:rFonts w:ascii="helvetica" w:hAnsi="helvetica"/>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HDR34"/>
      <w:bookmarkStart w:id="493" w:name="HDR34"/>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4" w:name="GLHDR34"/>
      <w:bookmarkEnd w:id="4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Rule 144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5" w:name="list81"/>
      <w:bookmarkStart w:id="496" w:name="list81"/>
      <w:bookmarkEnd w:id="49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1% of the number of shares of our common stock then outstanding, which will equal approximately shares immediately after this offering, based on the number of shares of our common stock outstanding after completion of this offering;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7" w:name="list82"/>
      <w:bookmarkStart w:id="498" w:name="list82"/>
      <w:bookmarkEnd w:id="49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the average weekly trading volume of our common stock during the four calendar weeks preceding the filing of a notice on Form 144 with respect to the sale.</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Sales under Rule 144 by our affiliates are also subject to manner of sale provisions and notice requirements and to the availability of current public information about us.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 Incentive Plans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registration statements on Form S-8 under the Securities Act to register all of the shares of our common stock issued or reserved for issuance under the 2007 Plan, as well as the shares underlying the restricted stock units granted outside of the 2007 Plan as described below.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pStyle w:val="TextBody"/>
        <w:spacing w:before="0" w:after="0"/>
        <w:ind w:left="0" w:right="0" w:hanging="0"/>
        <w:jc w:val="both"/>
        <w:rPr/>
      </w:pPr>
      <w:r>
        <w:rPr/>
        <w:t> </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9" w:name="PGBRK35"/>
      <w:bookmarkStart w:id="500" w:name="PGBRK35"/>
      <w:bookmarkEnd w:id="5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FTR35"/>
      <w:bookmarkStart w:id="502" w:name="FTR35"/>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3" w:name="GLFTR35"/>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04" w:name="PN35"/>
      <w:bookmarkEnd w:id="504"/>
      <w:r>
        <w:rPr>
          <w:rFonts w:ascii="helvetica" w:hAnsi="helvetica"/>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HDR35"/>
      <w:bookmarkStart w:id="506" w:name="HDR35"/>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7" w:name="GLHDR35"/>
      <w:bookmarkEnd w:id="5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Lock-Up Agreements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27, 2012, DermaStar and certain other individuals entered into an agreement whereby all of the equity securities held by such parties (including the 1,499,700 shares of common stock underlying the then-outstanding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51% of our outstanding stock as of February 1, 2013 are bound by these lock-up restrictions, including Mr. Baum and Dr. Kammer.  The restrictions terminate upon our entry into a definitive agreement for certain change in control transactions.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8" w:name="PGBRK36"/>
      <w:bookmarkStart w:id="509" w:name="PGBRK36"/>
      <w:bookmarkEnd w:id="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 w:name="FTR36"/>
      <w:bookmarkStart w:id="511" w:name="FTR3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2" w:name="GLFTR36"/>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13" w:name="PN36"/>
      <w:bookmarkEnd w:id="513"/>
      <w:r>
        <w:rPr>
          <w:rFonts w:ascii="helvetica" w:hAnsi="helvetica"/>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 w:name="HDR36"/>
      <w:bookmarkStart w:id="515" w:name="HDR36"/>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6" w:name="GLHDR36"/>
      <w:bookmarkEnd w:id="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MANAGEMENT’S DISCUSSION AND ANALYSIS OF FINANCIAL CONDITION AND RESULTS OF OPERATIONS</w:t>
      </w:r>
    </w:p>
    <w:p>
      <w:pPr>
        <w:pStyle w:val="TextBody"/>
        <w:spacing w:before="0" w:after="0"/>
        <w:ind w:left="0" w:right="0" w:hanging="0"/>
        <w:rPr/>
      </w:pPr>
      <w:r>
        <w:rPr/>
        <w:t> </w:t>
      </w:r>
    </w:p>
    <w:p>
      <w:pPr>
        <w:pStyle w:val="TextBody"/>
        <w:spacing w:before="0" w:after="0"/>
        <w:ind w:left="0" w:right="0" w:firstLine="720"/>
        <w:jc w:val="left"/>
        <w:rPr>
          <w:rFonts w:ascii="helvetica" w:hAnsi="helvetica"/>
          <w:i/>
          <w:sz w:val="20"/>
        </w:rPr>
      </w:pPr>
      <w:r>
        <w:rPr>
          <w:rFonts w:ascii="helvetica" w:hAnsi="helvetica"/>
          <w:i/>
          <w:sz w:val="20"/>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sz w:val="20"/>
        </w:rPr>
      </w:pPr>
      <w:r>
        <w:rPr>
          <w:rFonts w:ascii="helvetica" w:hAnsi="helvetica"/>
          <w:i/>
          <w:sz w:val="20"/>
        </w:rPr>
        <w:t>Unless otherwise stated below, all information regarding share amounts of common stock and prices per share of common stock described under the heading “Management’s Discussion and Analysis of Financial Condition and Results of Operations” reflects the one-for-five reverse stock split effected on February 7, 2013.</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Overview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 candidates. Our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drug development opportunities. We plan to use our proprietary Accudel drug delivery technology, coupled with these licensed technologies, formulations and market data, to identify pharmaceutical development opportunities where we perceive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the one-for-eight reverse stock split</w:t>
      </w:r>
      <w:r>
        <w:rPr>
          <w:rFonts w:ascii="helvetica" w:hAnsi="helvetica"/>
          <w:b/>
          <w:sz w:val="20"/>
        </w:rPr>
        <w: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incurred recurring operating losses, have had negative operating cash flows and have not recognized any significant revenues since July 24, 1998 (inception).  In addition, we have a deficit accumulated during the development stage of approximately $22.7 million at September 30, 2012.  We have not yet generated commercial sales revenue from any of our product candidates and we will incur further losses through the 2012 fiscal year and beyond as we continue the clinical development of our drug candidates, including Impracor, and conduct preclinical studies on other programs.  Our research and development activities are budgeted to expand over time, and we will require further capital resources to fund the continued operation of our business model for a long enough period to achieve profitable operations.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Plan of Operations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For the next twelve months, our current operating plan is focused on the development of our lead product candidate, Impracor, for the indication of acute musculoskeletal pain, inflammation and swelling associated with soft tissue injuries, and limited development of other potential product candidates and pursuit of co-development opportunities in other therapeutic areas, in each case utilizing our Accudel platform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maintain an effective management team, or hire and retain further qualified individuals.  As a result, we may be unable to successfully pursue our business plan.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7" w:name="PGBRK37"/>
      <w:bookmarkStart w:id="518" w:name="PGBRK37"/>
      <w:bookmarkEnd w:id="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FTR37"/>
      <w:bookmarkStart w:id="520" w:name="FTR37"/>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1" w:name="GLFTR37"/>
      <w:bookmarkEnd w:id="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22" w:name="PN37"/>
      <w:bookmarkEnd w:id="522"/>
      <w:r>
        <w:rPr>
          <w:rFonts w:ascii="helvetica" w:hAnsi="helvetica"/>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 w:name="HDR37"/>
      <w:bookmarkStart w:id="524" w:name="HDR37"/>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5" w:name="GLHDR37"/>
      <w:bookmarkEnd w:id="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Recent Developments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 in Control – Issuance of Preferred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6" w:name="PGBRK38"/>
      <w:bookmarkStart w:id="527" w:name="PGBRK38"/>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8" w:name="FTR38"/>
      <w:bookmarkStart w:id="529" w:name="FTR38"/>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0" w:name="GLFTR38"/>
      <w:bookmarkEnd w:id="5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31" w:name="PN38"/>
      <w:bookmarkEnd w:id="531"/>
      <w:r>
        <w:rPr>
          <w:rFonts w:ascii="helvetica" w:hAnsi="helvetica"/>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2" w:name="HDR38"/>
      <w:bookmarkStart w:id="533" w:name="HDR38"/>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4" w:name="GLHDR38"/>
      <w:bookmarkEnd w:id="5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Settlement with the Holders of the Company’s 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Changes in Management and Board of Directors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Additionally, on December 14, 2012, Mr. August S. Bassani, Pharm.D., was appointed as a director on our Board of Directors. We currently have the following six directors:  Jeffrey Abrams, M.D., Mr. Bassani, Mr. Baum, Dr. Kammer, Dr. Finnegan and Mr. Austin.</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5" w:name="PGBRK39"/>
      <w:bookmarkStart w:id="536" w:name="PGBRK39"/>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7" w:name="FTR39"/>
      <w:bookmarkStart w:id="538" w:name="FTR39"/>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9" w:name="GLFTR39"/>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40" w:name="PN39"/>
      <w:bookmarkEnd w:id="540"/>
      <w:r>
        <w:rPr>
          <w:rFonts w:ascii="helvetica" w:hAnsi="helvetica"/>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HDR39"/>
      <w:bookmarkStart w:id="542" w:name="HDR39"/>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3" w:name="GLHDR39"/>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U.S. Food and Drug Administration ("FDA") regarding the status of Impracor; and (iii) sufficient shares of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i/>
          <w:sz w:val="20"/>
        </w:rPr>
      </w:pPr>
      <w:r>
        <w:rPr>
          <w:rFonts w:ascii="helvetica" w:hAnsi="helvetica"/>
          <w:b w:val="false"/>
          <w:i/>
          <w:sz w:val="20"/>
        </w:rPr>
        <w:t>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On August 30, 2012, we entered into a License Agreement (the “PCCA License Agreement") and a Stock Purchase Agreement (the “PCCA Purchase Agreement”) in a strategic transaction with PCCA (the “PCCA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 xml:space="preserve">Our </w:t>
      </w:r>
      <w:bookmarkStart w:id="544" w:name="V122485_10Q_HTM_V113417_10Q_HTM_EOLPAGE2"/>
      <w:bookmarkEnd w:id="544"/>
      <w:r>
        <w:rPr>
          <w:rFonts w:ascii="Helvetica" w:hAnsi="Helvetica"/>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i/>
          <w:sz w:val="20"/>
        </w:rPr>
        <w:t>Stock-Based Compensation.</w:t>
      </w:r>
      <w:r>
        <w:rPr>
          <w:rFonts w:ascii="helvetica" w:hAnsi="helvetica"/>
          <w:sz w:val="20"/>
        </w:rPr>
        <w:t>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5" w:name="PGBRK40"/>
      <w:bookmarkStart w:id="546" w:name="PGBRK40"/>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7" w:name="FTR40"/>
      <w:bookmarkStart w:id="548" w:name="FTR40"/>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9" w:name="GLFTR40"/>
      <w:bookmarkEnd w:id="5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0" w:name="PN40"/>
      <w:bookmarkEnd w:id="550"/>
      <w:r>
        <w:rPr>
          <w:rFonts w:ascii="helvetica" w:hAnsi="helvetica"/>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1" w:name="HDR40"/>
      <w:bookmarkStart w:id="552" w:name="HDR40"/>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3" w:name="GLHDR40"/>
      <w:bookmarkEnd w:id="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i/>
          <w:sz w:val="20"/>
        </w:rPr>
        <w:t>Income Taxes.</w:t>
      </w:r>
      <w:r>
        <w:rPr>
          <w:rFonts w:ascii="helvetica" w:hAnsi="helvetica"/>
          <w:sz w:val="20"/>
        </w:rPr>
        <w:t>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left"/>
        <w:rPr/>
      </w:pPr>
      <w:r>
        <w:rPr/>
        <w:t> </w:t>
      </w:r>
    </w:p>
    <w:p>
      <w:pPr>
        <w:pStyle w:val="TextBody"/>
        <w:spacing w:before="0" w:after="0"/>
        <w:ind w:left="0" w:right="0" w:firstLine="720"/>
        <w:jc w:val="left"/>
        <w:rPr/>
      </w:pPr>
      <w:r>
        <w:rPr>
          <w:i/>
        </w:rPr>
        <w:t>Research and Development.</w:t>
      </w:r>
      <w:r>
        <w:rPr/>
        <w:t xml:space="preserve"> We expense all costs related to research and development as they are incurred.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Results of Operations</w:t>
      </w:r>
    </w:p>
    <w:p>
      <w:pPr>
        <w:pStyle w:val="TextBody"/>
        <w:spacing w:before="0" w:after="0"/>
        <w:ind w:left="0" w:right="0" w:hanging="0"/>
        <w:jc w:val="both"/>
        <w:rPr/>
      </w:pPr>
      <w:r>
        <w:rPr/>
        <w:t> </w:t>
      </w:r>
    </w:p>
    <w:p>
      <w:pPr>
        <w:pStyle w:val="TextBody"/>
        <w:spacing w:before="0" w:after="0"/>
        <w:ind w:left="0" w:right="0" w:firstLine="540"/>
        <w:jc w:val="left"/>
        <w:rPr>
          <w:rFonts w:ascii="helvetica" w:hAnsi="helvetica"/>
          <w:sz w:val="20"/>
        </w:rPr>
      </w:pPr>
      <w:r>
        <w:rPr>
          <w:rFonts w:ascii="helvetica" w:hAnsi="helvetica"/>
          <w:sz w:val="20"/>
        </w:rPr>
        <w:t>The following period to period comparisons of our financial results and our interim results are not necessarily indicative of future results.</w:t>
      </w:r>
    </w:p>
    <w:p>
      <w:pPr>
        <w:pStyle w:val="TextBody"/>
        <w:spacing w:before="0" w:after="0"/>
        <w:ind w:left="0" w:right="0" w:firstLine="54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For the Three and Nine Months Ended September 30, 2012, Compared to the Three and Nine Months Ended September 30, 2011</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Revenues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No revenues were recognized during the three months ended September 30, 2012 and 2011.  For the nine months ended September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2540"/>
        <w:gridCol w:w="95"/>
        <w:gridCol w:w="125"/>
        <w:gridCol w:w="941"/>
        <w:gridCol w:w="95"/>
        <w:gridCol w:w="95"/>
        <w:gridCol w:w="125"/>
        <w:gridCol w:w="893"/>
        <w:gridCol w:w="95"/>
        <w:gridCol w:w="95"/>
        <w:gridCol w:w="125"/>
        <w:gridCol w:w="941"/>
        <w:gridCol w:w="95"/>
        <w:gridCol w:w="95"/>
        <w:gridCol w:w="124"/>
        <w:gridCol w:w="1016"/>
        <w:gridCol w:w="95"/>
        <w:gridCol w:w="95"/>
        <w:gridCol w:w="125"/>
        <w:gridCol w:w="941"/>
        <w:gridCol w:w="95"/>
        <w:gridCol w:w="95"/>
        <w:gridCol w:w="125"/>
        <w:gridCol w:w="1016"/>
        <w:gridCol w:w="123"/>
      </w:tblGrid>
      <w:tr>
        <w:trPr/>
        <w:tc>
          <w:tcPr>
            <w:tcW w:w="2540"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2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September 30,</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39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jc w:val="left"/>
              <w:rPr/>
            </w:pPr>
            <w:r>
              <w:rPr/>
              <w:t> </w:t>
            </w:r>
          </w:p>
        </w:tc>
      </w:tr>
      <w:tr>
        <w:trPr/>
        <w:tc>
          <w:tcPr>
            <w:tcW w:w="2540"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0"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066"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5"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2540"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946,381</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8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66,496</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879,885</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2,240,004</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514,529</w:t>
            </w:r>
          </w:p>
        </w:tc>
        <w:tc>
          <w:tcPr>
            <w:tcW w:w="95"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1,725,475</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For the three and nine months ended September 30, 2012, there was an increase of $879,885 and $1,725,475, respectively, in selling, general and administrative expenses, as compared to the same periods in the prior year. The increase in selling, general and administrative expenses is largely attributable to the resumption of our operations in December 2011, following the winding down and ceasing of operations during these periods in 2011, including the suspension of payroll beginning in March 2011.  Selling, general and administrative expenses during the three and nine months ended September 30, 2012 were primarily due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nine months ended September 30, 2012, which increased $194,685 and $1,246,961, respectively, as compared to the same periods in the prior year.</w:t>
      </w:r>
    </w:p>
    <w:p>
      <w:pPr>
        <w:pStyle w:val="TextBody"/>
        <w:spacing w:before="0" w:after="0"/>
        <w:ind w:left="0" w:right="0" w:firstLine="720"/>
        <w:jc w:val="left"/>
        <w:rPr/>
      </w:pPr>
      <w:r>
        <w:rPr/>
        <w:t> </w:t>
      </w:r>
    </w:p>
    <w:p>
      <w:pPr>
        <w:pStyle w:val="TextBody"/>
        <w:spacing w:before="0" w:after="0"/>
        <w:jc w:val="both"/>
        <w:rPr>
          <w:b/>
        </w:rPr>
      </w:pPr>
      <w:r>
        <w:rPr>
          <w:b/>
        </w:rPr>
        <w:t xml:space="preserve">Research and Development Expenses </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Our research and development expenses primarily include expenses related to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375"/>
        <w:gridCol w:w="97"/>
        <w:gridCol w:w="150"/>
        <w:gridCol w:w="1018"/>
        <w:gridCol w:w="97"/>
        <w:gridCol w:w="97"/>
        <w:gridCol w:w="256"/>
        <w:gridCol w:w="543"/>
        <w:gridCol w:w="97"/>
        <w:gridCol w:w="96"/>
        <w:gridCol w:w="150"/>
        <w:gridCol w:w="1018"/>
        <w:gridCol w:w="97"/>
        <w:gridCol w:w="97"/>
        <w:gridCol w:w="150"/>
        <w:gridCol w:w="1018"/>
        <w:gridCol w:w="97"/>
        <w:gridCol w:w="97"/>
        <w:gridCol w:w="150"/>
        <w:gridCol w:w="1018"/>
        <w:gridCol w:w="96"/>
        <w:gridCol w:w="97"/>
        <w:gridCol w:w="150"/>
        <w:gridCol w:w="1018"/>
        <w:gridCol w:w="126"/>
      </w:tblGrid>
      <w:tr>
        <w:trPr/>
        <w:tc>
          <w:tcPr>
            <w:tcW w:w="2375"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216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Three months ended September 30,</w:t>
            </w:r>
          </w:p>
        </w:tc>
        <w:tc>
          <w:tcPr>
            <w:tcW w:w="97"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25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6" w:type="dxa"/>
            <w:tcBorders/>
            <w:shd w:fill="auto" w:val="clear"/>
            <w:vAlign w:val="bottom"/>
          </w:tcPr>
          <w:p>
            <w:pPr>
              <w:pStyle w:val="TableContents"/>
              <w:spacing w:before="0" w:after="283"/>
              <w:jc w:val="left"/>
              <w:rPr/>
            </w:pPr>
            <w:r>
              <w:rPr/>
              <w:t> </w:t>
            </w:r>
          </w:p>
        </w:tc>
      </w:tr>
      <w:tr>
        <w:trPr/>
        <w:tc>
          <w:tcPr>
            <w:tcW w:w="2375"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97"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2012</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helvetica" w:hAnsi="helvetica"/>
                <w:b/>
                <w:sz w:val="16"/>
              </w:rPr>
              <w:t>2011</w:t>
            </w:r>
          </w:p>
        </w:tc>
        <w:tc>
          <w:tcPr>
            <w:tcW w:w="9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16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6" w:type="dxa"/>
            <w:tcBorders/>
            <w:shd w:fill="auto" w:val="clear"/>
            <w:vAlign w:val="bottom"/>
          </w:tcPr>
          <w:p>
            <w:pPr>
              <w:pStyle w:val="TableContents"/>
              <w:spacing w:before="0" w:after="283"/>
              <w:jc w:val="left"/>
              <w:rPr/>
            </w:pPr>
            <w:r>
              <w:rPr/>
              <w:t> </w:t>
            </w:r>
          </w:p>
        </w:tc>
      </w:tr>
      <w:tr>
        <w:trPr/>
        <w:tc>
          <w:tcPr>
            <w:tcW w:w="237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303,666</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25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54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w:t>
            </w:r>
          </w:p>
        </w:tc>
        <w:tc>
          <w:tcPr>
            <w:tcW w:w="9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5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303,666</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580,240</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9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left"/>
              <w:rPr/>
            </w:pPr>
            <w:r>
              <w:rPr/>
              <w:t> </w:t>
            </w:r>
          </w:p>
        </w:tc>
        <w:tc>
          <w:tcPr>
            <w:tcW w:w="15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468,686</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For the three and nine months ended September 30, 2012, there was an increase of $303,666 and $468,686,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and costs related to supportive safety studies for Impracor, which began in September 2012.  A significant portion of the increase in research and development personnel costs is associated with stock-based compensation for the three and nine months ended September 30, 2012, which increased $61,299 and $105,957, respectively, as compared to the same periods in the prior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4" w:name="PGBRK41"/>
      <w:bookmarkStart w:id="555" w:name="PGBRK41"/>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6" w:name="FTR41"/>
      <w:bookmarkStart w:id="557" w:name="FTR41"/>
      <w:bookmarkEnd w:id="5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8" w:name="GLFTR41"/>
      <w:bookmarkEnd w:id="5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59" w:name="PN41"/>
      <w:bookmarkEnd w:id="559"/>
      <w:r>
        <w:rPr>
          <w:rFonts w:ascii="helvetica" w:hAnsi="helvetica"/>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0" w:name="HDR41"/>
      <w:bookmarkStart w:id="561" w:name="HDR41"/>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2" w:name="GLHDR41"/>
      <w:bookmarkEnd w:id="5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Interest expense was $0 and $24,658 for the three and nine months ended September 30, 2012, respectively, compared to $18,904 and $56,095 for the three and nine months ended September 30, 2011, respectively.  The 10% promissory notes issued under our Line of Credit Agreement with DermaStar accounted for $0 and $12,535 of interest expense during the three and nine months ended September 30, 2012, respectively, and $0 during the same periods in the prior year.  The 7.5% Convertible Note with a principal balance of $1,000,000, issued in April 2010 (and converted to shares of our common stock in February 2012) accounted for $0 and $12,123 of interest expense during the three and nine months ended September 30, 2012, respectively, and $18,904 and $56,095 during the three and nine months ended September 30, 2011,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Lo</w:t>
      </w:r>
      <w:r>
        <w:rPr>
          <w:rFonts w:ascii="helvetica" w:hAnsi="helvetica"/>
          <w:b/>
          <w:sz w:val="20"/>
        </w:rPr>
        <w:t>ss on Extinguishment of Debt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Loss from extinguishment of debt was $0 and $1,195,410 for the three and nine months ended September 30, 2012,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1,835,830 shares of our common stock, and the Convertible Note was terminated. On February 28, 2012, we received payment from Mr. Ladonnikov of $50,000 and issued 380,868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Convertible Note principal balance less $50,000 cash payment) for the nine months ended September 30, 2012.  On February 28, 2012, we issued 1,454,962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nine months ended September 30, 2012.</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As further described above under the heading “Recent Developments”, on April 20, 2012, DermaStar agreed to convert the promissory notes issued under the Line of Credit Agreement and their related accrued interest, totaling $762,534, into 193,047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Net Loss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val="false"/>
          <w:sz w:val="20"/>
        </w:rPr>
      </w:pPr>
      <w:r>
        <w:rPr>
          <w:rFonts w:ascii="helvetica" w:hAnsi="helvetica"/>
          <w:b w:val="false"/>
          <w:sz w:val="20"/>
        </w:rPr>
        <w:t>Net losses attributable to common stockholders for the three and nine months ended September 30, 2012, were $1,245,826 and $4,130,507, respectively, or $(0.20) and $(1.11), respectively, per basic and diluted share, compared to net losses attributable to common stockholders for the three and nine months ended September 30, 2011 of $85,400 and $682,178, respectively, or $(0.21) and $(1.71), respectively, per basic and diluted share.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3" w:name="PGBRK42"/>
      <w:bookmarkStart w:id="564" w:name="PGBRK42"/>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5" w:name="FTR42"/>
      <w:bookmarkStart w:id="566" w:name="FTR42"/>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7" w:name="GLFTR42"/>
      <w:bookmarkEnd w:id="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68" w:name="PN42"/>
      <w:bookmarkEnd w:id="568"/>
      <w:r>
        <w:rPr>
          <w:rFonts w:ascii="helvetica" w:hAnsi="helvetica"/>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9" w:name="HDR42"/>
      <w:bookmarkStart w:id="570" w:name="HDR42"/>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1" w:name="GLHDR42"/>
      <w:bookmarkEnd w:id="5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Fiscal Year Ended December 31, 2011 Compared to Fiscal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54"/>
        <w:gridCol w:w="105"/>
        <w:gridCol w:w="125"/>
        <w:gridCol w:w="1004"/>
        <w:gridCol w:w="105"/>
        <w:gridCol w:w="105"/>
        <w:gridCol w:w="125"/>
        <w:gridCol w:w="1053"/>
        <w:gridCol w:w="105"/>
        <w:gridCol w:w="105"/>
        <w:gridCol w:w="125"/>
        <w:gridCol w:w="1071"/>
        <w:gridCol w:w="123"/>
      </w:tblGrid>
      <w:tr>
        <w:trPr/>
        <w:tc>
          <w:tcPr>
            <w:tcW w:w="605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ind w:left="0" w:right="0" w:hanging="0"/>
              <w:rPr/>
            </w:pPr>
            <w:r>
              <w:rPr/>
              <w:t> </w:t>
            </w:r>
          </w:p>
        </w:tc>
        <w:tc>
          <w:tcPr>
            <w:tcW w:w="251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 December 31,</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shd w:fill="auto" w:val="clear"/>
            <w:vAlign w:val="bottom"/>
          </w:tcPr>
          <w:p>
            <w:pPr>
              <w:pStyle w:val="TableContents"/>
              <w:spacing w:before="0" w:after="283"/>
              <w:ind w:left="0" w:right="0" w:hanging="0"/>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ind w:left="0" w:right="0" w:hanging="0"/>
              <w:jc w:val="center"/>
              <w:rPr/>
            </w:pPr>
            <w:r>
              <w:rPr/>
              <w:t> </w:t>
            </w:r>
          </w:p>
        </w:tc>
      </w:tr>
      <w:tr>
        <w:trPr/>
        <w:tc>
          <w:tcPr>
            <w:tcW w:w="6054" w:type="dxa"/>
            <w:tcBorders/>
            <w:shd w:fill="auto" w:val="clear"/>
            <w:vAlign w:val="bottom"/>
          </w:tcPr>
          <w:p>
            <w:pPr>
              <w:pStyle w:val="TableContents"/>
              <w:spacing w:before="0" w:after="283"/>
              <w:ind w:left="0" w:right="0" w:hanging="0"/>
              <w:jc w:val="center"/>
              <w:rPr/>
            </w:pPr>
            <w:r>
              <w:rPr/>
              <w:t xml:space="preserve">  </w:t>
            </w:r>
          </w:p>
        </w:tc>
        <w:tc>
          <w:tcPr>
            <w:tcW w:w="105" w:type="dxa"/>
            <w:tcBorders/>
            <w:shd w:fill="auto" w:val="clear"/>
            <w:vAlign w:val="bottom"/>
          </w:tcPr>
          <w:p>
            <w:pPr>
              <w:pStyle w:val="TableContents"/>
              <w:spacing w:before="0" w:after="283"/>
              <w:ind w:left="0" w:right="0" w:hanging="0"/>
              <w:jc w:val="center"/>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5" w:type="dxa"/>
            <w:tcBorders/>
            <w:shd w:fill="auto" w:val="clear"/>
            <w:vAlign w:val="bottom"/>
          </w:tcPr>
          <w:p>
            <w:pPr>
              <w:pStyle w:val="TableContents"/>
              <w:spacing w:before="0" w:after="283"/>
              <w:ind w:left="0" w:right="0" w:hanging="0"/>
              <w:jc w:val="center"/>
              <w:rPr/>
            </w:pPr>
            <w:r>
              <w:rPr/>
              <w:t> </w:t>
            </w:r>
          </w:p>
        </w:tc>
        <w:tc>
          <w:tcPr>
            <w:tcW w:w="105" w:type="dxa"/>
            <w:tcBorders/>
            <w:shd w:fill="auto" w:val="clear"/>
            <w:vAlign w:val="bottom"/>
          </w:tcPr>
          <w:p>
            <w:pPr>
              <w:pStyle w:val="TableContents"/>
              <w:spacing w:before="0" w:after="283"/>
              <w:ind w:left="0" w:right="0" w:hanging="0"/>
              <w:jc w:val="center"/>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5" w:type="dxa"/>
            <w:tcBorders/>
            <w:shd w:fill="auto" w:val="clear"/>
            <w:vAlign w:val="bottom"/>
          </w:tcPr>
          <w:p>
            <w:pPr>
              <w:pStyle w:val="TableContents"/>
              <w:spacing w:before="0" w:after="283"/>
              <w:ind w:left="0" w:right="0" w:hanging="0"/>
              <w:jc w:val="center"/>
              <w:rPr/>
            </w:pPr>
            <w:r>
              <w:rPr/>
              <w:t> </w:t>
            </w:r>
          </w:p>
        </w:tc>
        <w:tc>
          <w:tcPr>
            <w:tcW w:w="130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05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Selling, general and administrative</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0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827,674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2,307,972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(1,480,298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Research and Development Expenses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5"/>
        <w:gridCol w:w="107"/>
        <w:gridCol w:w="126"/>
        <w:gridCol w:w="1019"/>
        <w:gridCol w:w="107"/>
        <w:gridCol w:w="107"/>
        <w:gridCol w:w="126"/>
        <w:gridCol w:w="1019"/>
        <w:gridCol w:w="107"/>
        <w:gridCol w:w="107"/>
        <w:gridCol w:w="126"/>
        <w:gridCol w:w="1006"/>
        <w:gridCol w:w="123"/>
      </w:tblGrid>
      <w:tr>
        <w:trPr/>
        <w:tc>
          <w:tcPr>
            <w:tcW w:w="612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504" w:type="dxa"/>
            <w:gridSpan w:val="6"/>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Year ended December 31,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shd w:fill="auto" w:val="clear"/>
            <w:vAlign w:val="bottom"/>
          </w:tcPr>
          <w:p>
            <w:pPr>
              <w:pStyle w:val="TableContents"/>
              <w:spacing w:before="0" w:after="283"/>
              <w:jc w:val="center"/>
              <w:rPr>
                <w:rFonts w:ascii="helvetica" w:hAnsi="helvetica"/>
                <w:b/>
                <w:sz w:val="16"/>
              </w:rPr>
            </w:pPr>
            <w:r>
              <w:rPr>
                <w:rFonts w:ascii="helvetica" w:hAnsi="helvetica"/>
                <w:b/>
                <w:sz w:val="16"/>
              </w:rPr>
              <w:t>$</w:t>
            </w:r>
          </w:p>
        </w:tc>
        <w:tc>
          <w:tcPr>
            <w:tcW w:w="123" w:type="dxa"/>
            <w:tcBorders/>
            <w:shd w:fill="auto" w:val="clear"/>
            <w:vAlign w:val="bottom"/>
          </w:tcPr>
          <w:p>
            <w:pPr>
              <w:pStyle w:val="TableContents"/>
              <w:spacing w:before="0" w:after="283"/>
              <w:jc w:val="center"/>
              <w:rPr/>
            </w:pPr>
            <w:r>
              <w:rPr/>
              <w:t> </w:t>
            </w:r>
          </w:p>
        </w:tc>
      </w:tr>
      <w:tr>
        <w:trPr/>
        <w:tc>
          <w:tcPr>
            <w:tcW w:w="6125"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Variance</w:t>
            </w:r>
          </w:p>
        </w:tc>
        <w:tc>
          <w:tcPr>
            <w:tcW w:w="123" w:type="dxa"/>
            <w:tcBorders/>
            <w:shd w:fill="auto" w:val="clear"/>
            <w:vAlign w:val="bottom"/>
          </w:tcPr>
          <w:p>
            <w:pPr>
              <w:pStyle w:val="TableContents"/>
              <w:spacing w:before="0" w:after="283"/>
              <w:jc w:val="left"/>
              <w:rPr/>
            </w:pPr>
            <w:r>
              <w:rPr/>
              <w:t> </w:t>
            </w:r>
          </w:p>
        </w:tc>
      </w:tr>
      <w:tr>
        <w:trPr/>
        <w:tc>
          <w:tcPr>
            <w:tcW w:w="6125"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Research and development</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0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 xml:space="preserve">(83,034 </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2" w:name="PGBRK43"/>
      <w:bookmarkStart w:id="573" w:name="PGBRK43"/>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4" w:name="FTR43"/>
      <w:bookmarkStart w:id="575" w:name="FTR43"/>
      <w:bookmarkEnd w:id="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6" w:name="GLFTR43"/>
      <w:bookmarkEnd w:id="5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77" w:name="PN43"/>
      <w:bookmarkEnd w:id="577"/>
      <w:r>
        <w:rPr>
          <w:rFonts w:ascii="helvetica" w:hAnsi="helvetica"/>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8" w:name="HDR43"/>
      <w:bookmarkStart w:id="579" w:name="HDR43"/>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0" w:name="GLHDR43"/>
      <w:bookmarkEnd w:id="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b/>
          <w:sz w:val="20"/>
        </w:rPr>
      </w:pPr>
      <w:r>
        <w:rPr>
          <w:rFonts w:ascii="helvetica" w:hAnsi="helvetica"/>
          <w:b/>
          <w:sz w:val="20"/>
        </w:rPr>
        <w:t>Interest Income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Interest income was $0 and $512, for the years ended December 31, 2011 and 2010, respectively. The decrease was due to a lower average cash balance and lower interest rates during fiscal year 2011 as compared to fiscal year 2010</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Interest Expense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b/>
          <w:sz w:val="20"/>
        </w:rPr>
      </w:pPr>
      <w:r>
        <w:rPr>
          <w:rFonts w:ascii="helvetica" w:hAnsi="helvetica"/>
          <w:b/>
          <w:sz w:val="20"/>
        </w:rPr>
        <w:t>Forgiveness of Liabilities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October 2, 2008, we entered into a payment agreement with a vendor, settling a balance of $52,598, pursuant to which we agreed that 50% of the amount owed, or $26,299 would be forgiven and the remainder would be paid in two installments of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cash on hand at September 30, 2012 was $10,990,871 as compared to $2,154 at September 30, 2011.  The increase in cash on hand is primarily attributable to aggregate net proceeds of approximately $11,916,000 received from our issuance of securities in the April Private Placement and the PCCA Transaction during the nine months ended September 30, 2012, and the $750,000 drawn under our Line of Credit Agreement with DermaStar between December 2011 and April 2012. From inception through September 30, 2012, we have incurred aggregate losses of approximately $(22,351,000).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firstLine="720"/>
        <w:jc w:val="left"/>
        <w:rPr/>
      </w:pPr>
      <w:r>
        <w:rPr/>
        <w:t> </w:t>
      </w:r>
      <w:r>
        <w:rPr>
          <w:rFonts w:ascii="helvetica" w:hAnsi="helvetica"/>
          <w:sz w:val="20"/>
        </w:rPr>
        <w:t>As we described in more detail above under the heading “Recent Developments,”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1" w:name="PGBRK44"/>
      <w:bookmarkStart w:id="582" w:name="PGBRK44"/>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3" w:name="FTR44"/>
      <w:bookmarkStart w:id="584" w:name="FTR44"/>
      <w:bookmarkEnd w:id="5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5" w:name="GLFTR44"/>
      <w:bookmarkEnd w:id="5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86" w:name="PN44"/>
      <w:bookmarkEnd w:id="586"/>
      <w:r>
        <w:rPr>
          <w:rFonts w:ascii="helvetica" w:hAnsi="helvetica"/>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7" w:name="HDR44"/>
      <w:bookmarkStart w:id="588" w:name="HDR44"/>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9" w:name="GLHDR44"/>
      <w:bookmarkEnd w:id="5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Convertible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$300,000 and $750,000, respectively, under the line of credit.  On April 25, 2012, the entire outstanding principal balance and all accrued and unpaid interest under the line of credit, an aggregate of $762,534, was converted into 193,047 shares of common stock and warrants to purchase 48,262 shares of our common stock.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net of offering costs, to us of approximately $7,930,000.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sz w:val="20"/>
        </w:rPr>
      </w:pPr>
      <w:r>
        <w:rPr>
          <w:rFonts w:ascii="helvetica" w:hAnsi="helvetica"/>
          <w:b/>
          <w:i/>
          <w:sz w:val="20"/>
        </w:rPr>
        <w:t>PCCA Transaction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b w:val="false"/>
          <w:i w:val="false"/>
          <w:caps w:val="false"/>
          <w:smallCaps w:val="false"/>
          <w:sz w:val="20"/>
        </w:rPr>
      </w:pPr>
      <w:r>
        <w:rPr>
          <w:rFonts w:ascii="helvetica" w:hAnsi="helvetica"/>
          <w:b w:val="false"/>
          <w:i w:val="false"/>
          <w:caps w:val="false"/>
          <w:smallCaps w:val="false"/>
          <w:sz w:val="20"/>
        </w:rPr>
        <w:t>Pursuant to the terms of the PCCA Purchase Agreement that we entered into with PCCA in connection with the PCCA Transaction, on August 31, 2012, we issued and sold to PCCA 832,683 shares of our common stock at a per share purchase price of $4.8038, for aggregate net proceeds to us of approximately $3,980,000.</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i/>
          <w:sz w:val="20"/>
        </w:rPr>
      </w:pPr>
      <w:r>
        <w:rPr>
          <w:rFonts w:ascii="helvetica" w:hAnsi="helvetica"/>
          <w:b/>
          <w:i/>
          <w:sz w:val="20"/>
        </w:rPr>
        <w:t>Net Cash Flow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nine months ended September 30, 2012 and 2011.</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339"/>
        <w:gridCol w:w="108"/>
        <w:gridCol w:w="127"/>
        <w:gridCol w:w="1108"/>
        <w:gridCol w:w="114"/>
        <w:gridCol w:w="108"/>
        <w:gridCol w:w="127"/>
        <w:gridCol w:w="1049"/>
        <w:gridCol w:w="125"/>
      </w:tblGrid>
      <w:tr>
        <w:trPr/>
        <w:tc>
          <w:tcPr>
            <w:tcW w:w="7339"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Cash Flow</w:t>
            </w:r>
          </w:p>
        </w:tc>
        <w:tc>
          <w:tcPr>
            <w:tcW w:w="108" w:type="dxa"/>
            <w:tcBorders/>
            <w:shd w:fill="auto" w:val="clear"/>
            <w:vAlign w:val="bottom"/>
          </w:tcPr>
          <w:p>
            <w:pPr>
              <w:pStyle w:val="TableContents"/>
              <w:spacing w:before="0" w:after="283"/>
              <w:rPr/>
            </w:pPr>
            <w:r>
              <w:rPr/>
              <w:t> </w:t>
            </w:r>
          </w:p>
        </w:tc>
        <w:tc>
          <w:tcPr>
            <w:tcW w:w="263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25" w:type="dxa"/>
            <w:tcBorders/>
            <w:shd w:fill="auto" w:val="clear"/>
            <w:vAlign w:val="bottom"/>
          </w:tcPr>
          <w:p>
            <w:pPr>
              <w:pStyle w:val="TableContents"/>
              <w:spacing w:before="0" w:after="283"/>
              <w:jc w:val="left"/>
              <w:rPr/>
            </w:pPr>
            <w:r>
              <w:rPr/>
              <w:t> </w:t>
            </w:r>
          </w:p>
        </w:tc>
      </w:tr>
      <w:tr>
        <w:trPr/>
        <w:tc>
          <w:tcPr>
            <w:tcW w:w="7339" w:type="dxa"/>
            <w:tcBorders/>
            <w:shd w:fill="auto" w:val="clear"/>
            <w:vAlign w:val="bottom"/>
          </w:tcPr>
          <w:p>
            <w:pPr>
              <w:pStyle w:val="TableContents"/>
              <w:spacing w:before="0" w:after="283"/>
              <w:jc w:val="left"/>
              <w:rPr/>
            </w:pPr>
            <w:r>
              <w:rPr/>
              <w:t xml:space="preserve">  </w:t>
            </w:r>
          </w:p>
        </w:tc>
        <w:tc>
          <w:tcPr>
            <w:tcW w:w="108" w:type="dxa"/>
            <w:tcBorders/>
            <w:shd w:fill="auto" w:val="clear"/>
            <w:vAlign w:val="bottom"/>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7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5" w:type="dxa"/>
            <w:tcBorders/>
            <w:shd w:fill="auto"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(1,287,127</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(316,845</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3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12,147,146</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5" w:type="dxa"/>
            <w:tcBorders/>
            <w:shd w:fill="CCEEFF" w:val="clear"/>
            <w:vAlign w:val="bottom"/>
          </w:tcPr>
          <w:p>
            <w:pPr>
              <w:pStyle w:val="TableContents"/>
              <w:spacing w:before="0" w:after="283"/>
              <w:jc w:val="left"/>
              <w:rPr/>
            </w:pPr>
            <w:r>
              <w:rPr/>
              <w:t> </w:t>
            </w:r>
          </w:p>
        </w:tc>
      </w:tr>
      <w:tr>
        <w:trPr/>
        <w:tc>
          <w:tcPr>
            <w:tcW w:w="7339" w:type="dxa"/>
            <w:tcBorders/>
            <w:shd w:fill="FFFFFF" w:val="clear"/>
            <w:vAlign w:val="bottom"/>
          </w:tcPr>
          <w:p>
            <w:pPr>
              <w:pStyle w:val="TableContents"/>
              <w:spacing w:before="0" w:after="283"/>
              <w:jc w:val="left"/>
              <w:rPr/>
            </w:pPr>
            <w:r>
              <w:rPr/>
              <w:t xml:space="preserve">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Increase (Decrease) in Cash and Cash Equivalents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10,844,711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(289,308</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3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Period</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5" w:type="dxa"/>
            <w:tcBorders/>
            <w:shd w:fill="FFFFFF" w:val="clear"/>
            <w:vAlign w:val="bottom"/>
          </w:tcPr>
          <w:p>
            <w:pPr>
              <w:pStyle w:val="TableContents"/>
              <w:spacing w:before="0" w:after="283"/>
              <w:jc w:val="left"/>
              <w:rPr/>
            </w:pPr>
            <w:r>
              <w:rPr/>
              <w:t> </w:t>
            </w:r>
          </w:p>
        </w:tc>
      </w:tr>
      <w:tr>
        <w:trPr/>
        <w:tc>
          <w:tcPr>
            <w:tcW w:w="733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Period</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2,154</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0" w:name="PGBRK45"/>
      <w:bookmarkStart w:id="591" w:name="PGBRK45"/>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2" w:name="FTR45"/>
      <w:bookmarkStart w:id="593" w:name="FTR45"/>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4" w:name="GLFTR45"/>
      <w:bookmarkEnd w:id="5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595" w:name="PN45"/>
      <w:bookmarkEnd w:id="595"/>
      <w:r>
        <w:rPr>
          <w:rFonts w:ascii="helvetica" w:hAnsi="helvetica"/>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6" w:name="HDR45"/>
      <w:bookmarkStart w:id="597" w:name="HDR45"/>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8" w:name="GLHDR45"/>
      <w:bookmarkEnd w:id="5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The following table provides detailed information about our net cash flow for the fiscal years ended December 31, 2011 and 2010:</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367"/>
        <w:gridCol w:w="109"/>
        <w:gridCol w:w="126"/>
        <w:gridCol w:w="1044"/>
        <w:gridCol w:w="114"/>
        <w:gridCol w:w="109"/>
        <w:gridCol w:w="126"/>
        <w:gridCol w:w="1088"/>
        <w:gridCol w:w="122"/>
      </w:tblGrid>
      <w:tr>
        <w:trPr/>
        <w:tc>
          <w:tcPr>
            <w:tcW w:w="7367" w:type="dxa"/>
            <w:tcBorders/>
            <w:shd w:fill="auto" w:val="clear"/>
            <w:vAlign w:val="bottom"/>
          </w:tcPr>
          <w:p>
            <w:pPr>
              <w:pStyle w:val="TableContents"/>
              <w:spacing w:before="0" w:after="0"/>
              <w:ind w:left="0" w:right="0" w:hanging="0"/>
              <w:jc w:val="left"/>
              <w:rPr>
                <w:rFonts w:ascii="helvetica" w:hAnsi="helvetica"/>
                <w:sz w:val="16"/>
              </w:rPr>
            </w:pPr>
            <w:r>
              <w:rPr>
                <w:rFonts w:ascii="helvetica" w:hAnsi="helvetica"/>
                <w:b/>
                <w:sz w:val="16"/>
              </w:rPr>
              <w:t xml:space="preserve">Cash Flow </w:t>
            </w:r>
            <w:r>
              <w:rPr>
                <w:rFonts w:ascii="helvetica" w:hAnsi="helvetica"/>
                <w:sz w:val="16"/>
              </w:rPr>
              <w:t>(All amounts in U.S. dollars)</w:t>
            </w:r>
          </w:p>
        </w:tc>
        <w:tc>
          <w:tcPr>
            <w:tcW w:w="109" w:type="dxa"/>
            <w:tcBorders/>
            <w:shd w:fill="auto" w:val="clear"/>
            <w:vAlign w:val="bottom"/>
          </w:tcPr>
          <w:p>
            <w:pPr>
              <w:pStyle w:val="TableContents"/>
              <w:spacing w:before="0" w:after="283"/>
              <w:rPr/>
            </w:pPr>
            <w:r>
              <w:rPr/>
              <w:t xml:space="preserve">  </w:t>
            </w:r>
          </w:p>
        </w:tc>
        <w:tc>
          <w:tcPr>
            <w:tcW w:w="260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Years Ended</w:t>
            </w:r>
          </w:p>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4"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xml:space="preserve">  </w:t>
            </w:r>
          </w:p>
        </w:tc>
        <w:tc>
          <w:tcPr>
            <w:tcW w:w="121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2" w:type="dxa"/>
            <w:tcBorders/>
            <w:shd w:fill="auto"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(291,160</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145,858</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1,000,000</w:t>
            </w:r>
          </w:p>
        </w:tc>
        <w:tc>
          <w:tcPr>
            <w:tcW w:w="122" w:type="dxa"/>
            <w:tcBorders/>
            <w:shd w:fill="CCEEFF" w:val="clear"/>
            <w:vAlign w:val="bottom"/>
          </w:tcPr>
          <w:p>
            <w:pPr>
              <w:pStyle w:val="TableContents"/>
              <w:spacing w:before="0" w:after="283"/>
              <w:rPr/>
            </w:pPr>
            <w:r>
              <w:rPr/>
              <w:t xml:space="preserve">  </w:t>
            </w:r>
          </w:p>
        </w:tc>
      </w:tr>
      <w:tr>
        <w:trPr/>
        <w:tc>
          <w:tcPr>
            <w:tcW w:w="7367"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283"/>
              <w:rPr/>
            </w:pPr>
            <w:r>
              <w:rPr/>
              <w:t xml:space="preserve">  </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283"/>
              <w:rPr/>
            </w:pPr>
            <w:r>
              <w:rPr/>
              <w:t xml:space="preserve">  </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Decrease in Cash and Cash Equivalents</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(145,302</w:t>
            </w:r>
          </w:p>
        </w:tc>
        <w:tc>
          <w:tcPr>
            <w:tcW w:w="11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283"/>
              <w:rPr/>
            </w:pPr>
            <w:r>
              <w:rPr/>
              <w:t xml:space="preserve">  </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(1,298,311</w:t>
            </w:r>
          </w:p>
        </w:tc>
        <w:tc>
          <w:tcPr>
            <w:tcW w:w="12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r>
      <w:tr>
        <w:trPr/>
        <w:tc>
          <w:tcPr>
            <w:tcW w:w="7367"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Beginning of the Year</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44"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14"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1088" w:type="dxa"/>
            <w:tcBorders/>
            <w:shd w:fill="FFFFFF" w:val="clear"/>
            <w:vAlign w:val="bottom"/>
          </w:tcPr>
          <w:p>
            <w:pPr>
              <w:pStyle w:val="TableContents"/>
              <w:spacing w:before="0" w:after="0"/>
              <w:ind w:left="0" w:right="0" w:hanging="0"/>
              <w:jc w:val="right"/>
              <w:rPr>
                <w:rFonts w:ascii="helvetica" w:hAnsi="helvetica"/>
                <w:sz w:val="20"/>
              </w:rPr>
            </w:pPr>
            <w:r>
              <w:rPr>
                <w:rFonts w:ascii="helvetica" w:hAnsi="helvetica"/>
                <w:sz w:val="20"/>
              </w:rPr>
              <w:t>1,589,773</w:t>
            </w:r>
          </w:p>
        </w:tc>
        <w:tc>
          <w:tcPr>
            <w:tcW w:w="122" w:type="dxa"/>
            <w:tcBorders/>
            <w:shd w:fill="FFFFFF" w:val="clear"/>
            <w:vAlign w:val="bottom"/>
          </w:tcPr>
          <w:p>
            <w:pPr>
              <w:pStyle w:val="TableContents"/>
              <w:spacing w:before="0" w:after="283"/>
              <w:rPr/>
            </w:pPr>
            <w:r>
              <w:rPr/>
              <w:t xml:space="preserve">  </w:t>
            </w:r>
          </w:p>
        </w:tc>
      </w:tr>
      <w:tr>
        <w:trPr/>
        <w:tc>
          <w:tcPr>
            <w:tcW w:w="7367"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at End of the Year</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44"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146,160</w:t>
            </w:r>
          </w:p>
        </w:tc>
        <w:tc>
          <w:tcPr>
            <w:tcW w:w="114"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xml:space="preserve">  </w:t>
            </w:r>
          </w:p>
        </w:tc>
        <w:tc>
          <w:tcPr>
            <w:tcW w:w="1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0"/>
              <w:ind w:left="0" w:right="0" w:hanging="0"/>
              <w:jc w:val="right"/>
              <w:rPr>
                <w:rFonts w:ascii="helvetica" w:hAnsi="helvetica"/>
                <w:sz w:val="20"/>
              </w:rPr>
            </w:pPr>
            <w:r>
              <w:rPr>
                <w:rFonts w:ascii="helvetica" w:hAnsi="helvetica"/>
                <w:sz w:val="20"/>
              </w:rPr>
              <w:t>291,462</w:t>
            </w:r>
          </w:p>
        </w:tc>
        <w:tc>
          <w:tcPr>
            <w:tcW w:w="122" w:type="dxa"/>
            <w:tcBorders/>
            <w:shd w:fill="CCEEFF" w:val="clear"/>
            <w:vAlign w:val="bottom"/>
          </w:tcPr>
          <w:p>
            <w:pPr>
              <w:pStyle w:val="TableContents"/>
              <w:spacing w:before="0" w:after="283"/>
              <w:rPr/>
            </w:pPr>
            <w:r>
              <w:rPr/>
              <w:t xml:space="preserve">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i/>
          <w:sz w:val="20"/>
        </w:rPr>
      </w:pPr>
      <w:r>
        <w:rPr>
          <w:rFonts w:ascii="helvetica" w:hAnsi="helvetica"/>
          <w:b/>
          <w:i/>
          <w:sz w:val="20"/>
        </w:rPr>
        <w:t>Operating Activities</w:t>
      </w:r>
    </w:p>
    <w:p>
      <w:pPr>
        <w:pStyle w:val="TextBody"/>
        <w:spacing w:before="0" w:after="0"/>
        <w:ind w:left="0" w:right="0" w:hanging="0"/>
        <w:rPr/>
      </w:pPr>
      <w:r>
        <w:rPr/>
        <w:t> </w:t>
      </w:r>
    </w:p>
    <w:p>
      <w:pPr>
        <w:pStyle w:val="TextBody"/>
        <w:spacing w:before="0" w:after="0"/>
        <w:ind w:left="0" w:right="0" w:firstLine="720"/>
        <w:jc w:val="both"/>
        <w:rPr>
          <w:rFonts w:ascii="helvetica" w:hAnsi="helvetica"/>
          <w:sz w:val="20"/>
        </w:rPr>
      </w:pPr>
      <w:r>
        <w:rPr>
          <w:rFonts w:ascii="helvetica" w:hAnsi="helvetica"/>
          <w:sz w:val="20"/>
        </w:rPr>
        <w:t>Net cash used in operating activities was $1,287,127 for the nine months ended September 30, 2012, as compared to $316,845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i/>
          <w:sz w:val="20"/>
        </w:rPr>
      </w:pPr>
      <w:r>
        <w:rPr>
          <w:rFonts w:ascii="helvetica" w:hAnsi="helvetica"/>
          <w:b/>
          <w:i/>
          <w:sz w:val="20"/>
        </w:rPr>
        <w:t>Investing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Net cash used in investing activities for the nine months ended September 30, 2012 and 2011 was $15,308 and $0, respectively.  Net cash used in investing activities for the year ended December 31, 2011 and 2010 was $0.  The increase in investing activities during the nine months ended September 30, 2012 was due primarily to our move into our new office space and our acquisition of furniture and office equipment to furnish that office space. </w:t>
      </w:r>
    </w:p>
    <w:p>
      <w:pPr>
        <w:pStyle w:val="TextBody"/>
        <w:spacing w:before="0" w:after="0"/>
        <w:ind w:left="0" w:right="0" w:firstLine="720"/>
        <w:jc w:val="left"/>
        <w:rPr/>
      </w:pPr>
      <w:r>
        <w:rPr/>
        <w:br/>
      </w:r>
      <w:r>
        <w:rPr>
          <w:rFonts w:ascii="helvetica" w:hAnsi="helvetica"/>
          <w:b/>
          <w:i/>
          <w:sz w:val="20"/>
        </w:rPr>
        <w:t>Financing Activities</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nine months ended September 30, 2012 and 2011 was $12,147,146 and $27,537, respectively.  The increase in cash is primarily attributable to aggregate proceeds, net of offering costs, of approximately $7,930,000 received from the April Private Placement, $3,980,000 from the PCCA Purchase Agreement, and the $450,000 drawn under our Line of Credit Agreement with DermaStar between January 2012 and April 2012.</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Net cash provided by financing activities for the year ended December 31, 2011 was $145,858, as compared to $1,000,000 net cash provided by financing activities for the year ended December 31, 2010. The decrease in net cash provided by financing activities was attributable to the issuance of the Convertible Note with a principal balance of $1,000,000 issued in exchange for cash of the same amount during April 2010. During the year ended December 31, 2011, we received $100,000 from the sale of Series A Preferred Stock and $300,000 in advances under our line of credit.  This was offset by amounts reimbursed DermaStar for its payment of certain of our expenses incurred prior to the dismissal of the Chapter 11 Case, which totaled $254,142.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9" w:name="PGBRK46"/>
      <w:bookmarkStart w:id="600" w:name="PGBRK46"/>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1" w:name="FTR46"/>
      <w:bookmarkStart w:id="602" w:name="FTR46"/>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3" w:name="GLFTR46"/>
      <w:bookmarkEnd w:id="6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04" w:name="PN46"/>
      <w:bookmarkEnd w:id="604"/>
      <w:r>
        <w:rPr>
          <w:rFonts w:ascii="helvetica" w:hAnsi="helvetica"/>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5" w:name="HDR46"/>
      <w:bookmarkStart w:id="606" w:name="HDR46"/>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7" w:name="GLHDR46"/>
      <w:bookmarkEnd w:id="6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expect to use our current cash position to begin executing on our business plan, including starting additional clinical studies related to our Accudel technology, and otherwise fund our operations.  Management believes we have sufficient cash reserves to execute our business plan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will require additional funds in order to fully conduct our planned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seek funds from equity or debt financings, a corporate partnership, or licensing arrangements (as we did with the PCCA transaction),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additional funds to complete our planned clinical trials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reported in the Report of Independent Registered Public Accounting Firm on our December 31, 2011 consolidated financial statements, we have incurred recurring losses from operations and have an accumulated deficit that raised substantial doubt about our ability to continue as a going concern.  At September 30, 2012, we had increased our cash position by approximately $11 million as compared to our cash position at December 31, 2011.  As of the date of this prospectus, management believes we have sufficient cash reserves to support our operating plan and fund operating cash flow requirements through the next twelve months.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bookmarkStart w:id="608" w:name="v122485_10q_htm_eolpage17"/>
      <w:bookmarkEnd w:id="608"/>
      <w:r>
        <w:rPr>
          <w:rFonts w:ascii="helvetica" w:hAnsi="helvetica"/>
          <w:b/>
          <w:sz w:val="20"/>
        </w:rPr>
        <w:t>Recent Accounting Pronouncements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There are no recent accounting pronouncements issued by the FASB that management believes have had or are reasonably likely to have a material impact on our present or future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9" w:name="PGBRK47"/>
      <w:bookmarkStart w:id="610" w:name="PGBRK47"/>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1" w:name="FTR47"/>
      <w:bookmarkStart w:id="612" w:name="FTR47"/>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3" w:name="GLFTR47"/>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14" w:name="PN47"/>
      <w:bookmarkEnd w:id="614"/>
      <w:r>
        <w:rPr>
          <w:rFonts w:ascii="helvetica" w:hAnsi="helvetica"/>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5" w:name="HDR47"/>
      <w:bookmarkStart w:id="616" w:name="HDR47"/>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7" w:name="GLHDR47"/>
      <w:bookmarkEnd w:id="6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618" w:name="TAB13"/>
      <w:bookmarkEnd w:id="618"/>
      <w:r>
        <w:rPr>
          <w:rFonts w:ascii="helvetica" w:hAnsi="helvetica"/>
          <w:b/>
          <w:sz w:val="20"/>
        </w:rPr>
        <w:t>DESCRIPTION OF THE BUSINESS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General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To better enable us to analyze the myriad of PCCA and PCCA-related development opportunities, we have designed a comprehensive drug development selection methodology.  In determining the viability of a potential opportunity, we group all development candidates according to delivery modality and health category.  We review intellectual property related to a respective opportunity, as well as manufacturing considerations, various market-related criterion and other clinical development issues.  We believe that our review process will aid us in identifying viable development candidates and assist us in determining whether to internally develop a program or seek an appropriate commercialization partner.</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helvetica" w:hAnsi="helvetica"/>
          <w:b/>
          <w:sz w:val="20"/>
        </w:rPr>
        <w:t>.</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On February 7, 2013 we effective a one-for-five reverse stock split, effective at 5:02 pm Eastern time.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Our common stock began quotation on The NASDAQ Capital Market on February 8, 2013. Our common stock was quoted in the over-the-counter market, most recently on OTC Markets Group’s OTCQB tier under the symbol IMMY, through February 7, 2013.  Our executive offices are located at 437 S. Hwy 101, Suite 209, Solana Beach, CA  92075 and our telephone number at such office is (858) 433-2800.  Our website address is </w:t>
      </w:r>
      <w:r>
        <w:rPr>
          <w:rFonts w:ascii="helvetica" w:hAnsi="helvetica"/>
          <w:sz w:val="20"/>
          <w:u w:val="single"/>
        </w:rPr>
        <w:t>www.imprimispharma.com</w:t>
      </w:r>
      <w:r>
        <w:rPr>
          <w:rFonts w:ascii="helvetica" w:hAnsi="helvetica"/>
          <w:sz w:val="20"/>
        </w:rPr>
        <w:t>.  Information contained on our website is not deemed part of this prospectus.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9" w:name="PGBRK48"/>
      <w:bookmarkStart w:id="620" w:name="PGBRK48"/>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1" w:name="FTR48"/>
      <w:bookmarkStart w:id="622" w:name="FTR48"/>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3" w:name="GLFTR48"/>
      <w:bookmarkEnd w:id="6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24" w:name="PN48"/>
      <w:bookmarkEnd w:id="624"/>
      <w:r>
        <w:rPr>
          <w:rFonts w:ascii="helvetica" w:hAnsi="helvetica"/>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HDR48"/>
      <w:bookmarkStart w:id="626" w:name="HDR48"/>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7" w:name="GLHDR48"/>
      <w:bookmarkEnd w:id="6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Completed Clinical Studies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pStyle w:val="TextBody"/>
        <w:spacing w:before="0" w:after="0"/>
        <w:ind w:left="0" w:right="0" w:firstLine="72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Proposed Clinical Program for Impracor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For Impracor to be approved by the FDA, two confirmatory Phase 3 trials with exposure of at least 300 to 500 patients and supportive dermal safety studies are required.  We plan to commence two adequate and well-controlled Phase 3 trials of Impracor in patients experiencing pain from osteoarthritis flare in their knees.  We plan to discuss the clinical development program for those trials, which has been endorsed by our scientific and regulatory advisory board, with the FDA at a Type C meeting scheduled to occur in April 2013.</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Also as required by the FDA, we recently completed a clinical study that measured the amount of ketoprofen found in the bloodstream following topical application of two different doses of the anti-inflammatory cream under different conditions, including normal activities, heat exposure to the application site and standardized exercise, as well as the amount of the drug in the bloodstream after taking an oral dose of ketoprofen (the relative oral bioavailability).  The study included a total of 40 healthy volunteers (36 of which completed the study) assigned to one of two cohorts (2g or 4g applications).  Subjects were dosed according to a four-sequence, four-treatment randomization schedule in which they received topical Impracor applications under each of the three conditions and an oral ketoprofen dose in weekly intervals.  Overall the pharmacokinetic parameters were observed to be consistent between the two different dose cohorts.  The application of an occlusive knee bandage with either heat or exercise following topical administration showed faster initial, but lower overall plasma exposure of ketoprofen relative to non-occluded topical administration with no heat or exercise.  The extent of bioavailability over 48 hours as measured by the area under the concentration curve from time zero to the time of last measurable concentration (AUC0-t) was 2% or less in cohort 1 (2 g single dose applied to one knee) and 4% or less in cohort 2 (2 g single dose applied to each knee) for the topical treatments relative to the oral treatment.  All treatments were observed to be well tolerated.  We also expect to initiate a routine supportive trial in healthy subjects related to the potential of contact sensitization.  We expect that all of our planned clinical studies for Impracor will be executed with the professional help of CROs with experience in clinical trials of similar design.  We are in the process of selecting and negotiating arrangements with potential CROs and other third parties in order to initiate our Phase 3 clinical trials.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Following completion of our clinical trials, we expect to file a New Drug Application for marketing authorization for Impracor under Section 505(b)(2) of the Hatch-Waxman Act of 1984, a regulatory route towards U.S. approval that leverages previously established safety and/or effectiveness of already approved ketoprofen products in other dosage forms.  This regulatory path also improves the chances of success over a completely new drug chemical entity.</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timing of Phase 3 trials and the other supportive studies will be dependent on obtaining adequate financing to support the execution of these activities and for other working capital expenditures.  Upon receipt of such financing, we anticipate initiating the supportive studies and Phase 3 trials in mid and late 2013, respectively.  Assuming successful timely completion and outcome of the additional Phase 3 trials, we would expect to file the New Drug Application for Impracor in the second half of 2014.</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8" w:name="PGBRK49"/>
      <w:bookmarkStart w:id="629" w:name="PGBRK49"/>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0" w:name="FTR49"/>
      <w:bookmarkStart w:id="631" w:name="FTR49"/>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2" w:name="GLFTR49"/>
      <w:bookmarkEnd w:id="6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33" w:name="PN49"/>
      <w:bookmarkEnd w:id="633"/>
      <w:r>
        <w:rPr>
          <w:rFonts w:ascii="helvetica" w:hAnsi="helvetica"/>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HDR49"/>
      <w:bookmarkStart w:id="635" w:name="HDR49"/>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6" w:name="GLHDR49"/>
      <w:bookmarkEnd w:id="6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The Accudel Technology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hanging="0"/>
        <w:jc w:val="both"/>
        <w:rPr/>
      </w:pPr>
      <w:r>
        <w:rPr/>
        <w:t> </w:t>
      </w:r>
    </w:p>
    <w:p>
      <w:pPr>
        <w:pStyle w:val="TextBody"/>
        <w:spacing w:before="0" w:after="0"/>
        <w:ind w:left="0" w:right="0" w:hanging="0"/>
        <w:jc w:val="center"/>
        <w:rPr/>
      </w:pPr>
      <w:r>
        <w:rPr/>
        <w:t xml:space="preserve">  </w:t>
      </w:r>
    </w:p>
    <w:p>
      <w:pPr>
        <w:pStyle w:val="TextBody"/>
        <w:spacing w:before="0" w:after="0"/>
        <w:ind w:left="0" w:right="0" w:hanging="0"/>
        <w:jc w:val="both"/>
        <w:rPr>
          <w:caps w:val="false"/>
          <w:smallCaps w:val="false"/>
        </w:rPr>
      </w:pPr>
      <w:r>
        <w:rPr>
          <w:caps w:val="false"/>
          <w:smallCaps w:val="false"/>
        </w:rPr>
        <w:drawing>
          <wp:inline distT="0" distB="0" distL="0" distR="0">
            <wp:extent cx="3829050" cy="2790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29050" cy="2790825"/>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Accudel has the following properties, which make it a highly versatile vehicle for topical drug administration: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37" w:name="list83"/>
      <w:bookmarkStart w:id="638" w:name="list83"/>
      <w:bookmarkEnd w:id="63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utilizes a pluronic lecithin organogel based matrix which is known to penetrate the stratum corneum and aid in the diffusion of active ingredients through the skin;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9" w:name="list84"/>
      <w:bookmarkStart w:id="640" w:name="list84"/>
      <w:bookmarkEnd w:id="640"/>
    </w:p>
    <w:tbl>
      <w:tblPr>
        <w:tblW w:w="5000" w:type="pct"/>
        <w:jc w:val="left"/>
        <w:tblInd w:w="0" w:type="dxa"/>
        <w:tblCellMar>
          <w:top w:w="0" w:type="dxa"/>
          <w:left w:w="0" w:type="dxa"/>
          <w:bottom w:w="0" w:type="dxa"/>
          <w:right w:w="0" w:type="dxa"/>
        </w:tblCellMar>
      </w:tblPr>
      <w:tblGrid>
        <w:gridCol w:w="350"/>
        <w:gridCol w:w="9855"/>
      </w:tblGrid>
      <w:tr>
        <w:trPr/>
        <w:tc>
          <w:tcPr>
            <w:tcW w:w="350" w:type="dxa"/>
            <w:tcBorders/>
            <w:shd w:fill="auto" w:val="clear"/>
          </w:tcPr>
          <w:p>
            <w:pPr>
              <w:pStyle w:val="TableContents"/>
              <w:spacing w:before="0" w:after="0"/>
              <w:jc w:val="right"/>
              <w:rPr/>
            </w:pPr>
            <w:r>
              <w:rPr/>
              <w:t>●  </w:t>
            </w:r>
          </w:p>
        </w:tc>
        <w:tc>
          <w:tcPr>
            <w:tcW w:w="985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helps solubilize various types of drugs and its components (lipophilic, hydrophilic and amphiphilic);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1" w:name="list85"/>
      <w:bookmarkStart w:id="642" w:name="list85"/>
      <w:bookmarkEnd w:id="642"/>
    </w:p>
    <w:tbl>
      <w:tblPr>
        <w:tblW w:w="5000" w:type="pct"/>
        <w:jc w:val="left"/>
        <w:tblInd w:w="0" w:type="dxa"/>
        <w:tblCellMar>
          <w:top w:w="0" w:type="dxa"/>
          <w:left w:w="0" w:type="dxa"/>
          <w:bottom w:w="0" w:type="dxa"/>
          <w:right w:w="0" w:type="dxa"/>
        </w:tblCellMar>
      </w:tblPr>
      <w:tblGrid>
        <w:gridCol w:w="588"/>
        <w:gridCol w:w="9617"/>
      </w:tblGrid>
      <w:tr>
        <w:trPr/>
        <w:tc>
          <w:tcPr>
            <w:tcW w:w="588" w:type="dxa"/>
            <w:tcBorders/>
            <w:shd w:fill="auto" w:val="clear"/>
          </w:tcPr>
          <w:p>
            <w:pPr>
              <w:pStyle w:val="TableContents"/>
              <w:spacing w:before="0" w:after="0"/>
              <w:jc w:val="right"/>
              <w:rPr/>
            </w:pPr>
            <w:r>
              <w:rPr/>
              <w:t>●  </w:t>
            </w:r>
          </w:p>
        </w:tc>
        <w:tc>
          <w:tcPr>
            <w:tcW w:w="961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uses penetration enhancers in a synergistic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3" w:name="list86"/>
      <w:bookmarkStart w:id="644" w:name="list86"/>
      <w:bookmarkEnd w:id="644"/>
    </w:p>
    <w:tbl>
      <w:tblPr>
        <w:tblW w:w="5000" w:type="pct"/>
        <w:jc w:val="left"/>
        <w:tblInd w:w="0" w:type="dxa"/>
        <w:tblCellMar>
          <w:top w:w="0" w:type="dxa"/>
          <w:left w:w="0" w:type="dxa"/>
          <w:bottom w:w="0" w:type="dxa"/>
          <w:right w:w="0" w:type="dxa"/>
        </w:tblCellMar>
      </w:tblPr>
      <w:tblGrid>
        <w:gridCol w:w="605"/>
        <w:gridCol w:w="9600"/>
      </w:tblGrid>
      <w:tr>
        <w:trPr/>
        <w:tc>
          <w:tcPr>
            <w:tcW w:w="605" w:type="dxa"/>
            <w:tcBorders/>
            <w:shd w:fill="auto" w:val="clear"/>
          </w:tcPr>
          <w:p>
            <w:pPr>
              <w:pStyle w:val="TableContents"/>
              <w:spacing w:before="0" w:after="0"/>
              <w:jc w:val="right"/>
              <w:rPr/>
            </w:pPr>
            <w:r>
              <w:rPr/>
              <w:t>●  </w:t>
            </w:r>
          </w:p>
        </w:tc>
        <w:tc>
          <w:tcPr>
            <w:tcW w:w="9600"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can incorporate compounds of various molecular sizes;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5" w:name="list87"/>
      <w:bookmarkStart w:id="646" w:name="list87"/>
      <w:bookmarkEnd w:id="646"/>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pPr>
            <w:r>
              <w:rPr/>
              <w:t>●  </w:t>
            </w:r>
          </w:p>
        </w:tc>
        <w:tc>
          <w:tcPr>
            <w:tcW w:w="980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contains biocompatible components which are generally regarded as safe by the FDA;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7" w:name="list88"/>
      <w:bookmarkStart w:id="648" w:name="list88"/>
      <w:bookmarkEnd w:id="648"/>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pPr>
            <w:r>
              <w:rPr/>
              <w:t>●  </w:t>
            </w:r>
          </w:p>
        </w:tc>
        <w:tc>
          <w:tcPr>
            <w:tcW w:w="9837"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thermodynamically stable, insensitive to moisture and resistant to microbial contamination;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9" w:name="list89"/>
      <w:bookmarkStart w:id="650" w:name="list89"/>
      <w:bookmarkEnd w:id="650"/>
    </w:p>
    <w:tbl>
      <w:tblPr>
        <w:tblW w:w="5000" w:type="pct"/>
        <w:jc w:val="left"/>
        <w:tblInd w:w="0" w:type="dxa"/>
        <w:tblCellMar>
          <w:top w:w="0" w:type="dxa"/>
          <w:left w:w="0" w:type="dxa"/>
          <w:bottom w:w="0" w:type="dxa"/>
          <w:right w:w="0" w:type="dxa"/>
        </w:tblCellMar>
      </w:tblPr>
      <w:tblGrid>
        <w:gridCol w:w="380"/>
        <w:gridCol w:w="9825"/>
      </w:tblGrid>
      <w:tr>
        <w:trPr/>
        <w:tc>
          <w:tcPr>
            <w:tcW w:w="380" w:type="dxa"/>
            <w:tcBorders/>
            <w:shd w:fill="auto" w:val="clear"/>
          </w:tcPr>
          <w:p>
            <w:pPr>
              <w:pStyle w:val="TableContents"/>
              <w:spacing w:before="0" w:after="0"/>
              <w:jc w:val="right"/>
              <w:rPr/>
            </w:pPr>
            <w:r>
              <w:rPr/>
              <w:t>●  </w:t>
            </w:r>
          </w:p>
        </w:tc>
        <w:tc>
          <w:tcPr>
            <w:tcW w:w="9825"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results in decreased safety concerns associated with oral or intravenous drugs;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1" w:name="list90"/>
      <w:bookmarkStart w:id="652" w:name="list90"/>
      <w:bookmarkEnd w:id="652"/>
    </w:p>
    <w:tbl>
      <w:tblPr>
        <w:tblW w:w="5000" w:type="pct"/>
        <w:jc w:val="left"/>
        <w:tblInd w:w="0" w:type="dxa"/>
        <w:tblCellMar>
          <w:top w:w="0" w:type="dxa"/>
          <w:left w:w="0" w:type="dxa"/>
          <w:bottom w:w="0" w:type="dxa"/>
          <w:right w:w="0" w:type="dxa"/>
        </w:tblCellMar>
      </w:tblPr>
      <w:tblGrid>
        <w:gridCol w:w="536"/>
        <w:gridCol w:w="9669"/>
      </w:tblGrid>
      <w:tr>
        <w:trPr/>
        <w:tc>
          <w:tcPr>
            <w:tcW w:w="536" w:type="dxa"/>
            <w:tcBorders/>
            <w:shd w:fill="auto" w:val="clear"/>
          </w:tcPr>
          <w:p>
            <w:pPr>
              <w:pStyle w:val="TableContents"/>
              <w:spacing w:before="0" w:after="0"/>
              <w:jc w:val="right"/>
              <w:rPr/>
            </w:pPr>
            <w:r>
              <w:rPr/>
              <w:t>●  </w:t>
            </w:r>
          </w:p>
        </w:tc>
        <w:tc>
          <w:tcPr>
            <w:tcW w:w="966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avoids certain limitations associated with transdermal patches;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3" w:name="list91"/>
      <w:bookmarkStart w:id="654" w:name="list91"/>
      <w:bookmarkEnd w:id="654"/>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pPr>
            <w:r>
              <w:rPr/>
              <w:t>●  </w:t>
            </w:r>
          </w:p>
        </w:tc>
        <w:tc>
          <w:tcPr>
            <w:tcW w:w="9644"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is easy to apply, aesthetically acceptable and odorless;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5" w:name="list92"/>
      <w:bookmarkStart w:id="656" w:name="list92"/>
      <w:bookmarkEnd w:id="656"/>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pPr>
            <w:r>
              <w:rPr/>
              <w:t>●  </w:t>
            </w:r>
          </w:p>
        </w:tc>
        <w:tc>
          <w:tcPr>
            <w:tcW w:w="9833"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potentially produces patentable new products when combined with established or new drugs.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7" w:name="PGBRK50"/>
      <w:bookmarkStart w:id="658" w:name="PGBRK50"/>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9" w:name="FTR50"/>
      <w:bookmarkStart w:id="660" w:name="FTR50"/>
      <w:bookmarkEnd w:id="6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1" w:name="GLFTR50"/>
      <w:bookmarkEnd w:id="6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62" w:name="PN50"/>
      <w:bookmarkEnd w:id="662"/>
      <w:r>
        <w:rPr>
          <w:rFonts w:ascii="helvetica" w:hAnsi="helvetica"/>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3" w:name="HDR50"/>
      <w:bookmarkStart w:id="664" w:name="HDR50"/>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5" w:name="GLHDR50"/>
      <w:bookmarkEnd w:id="6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6" w:name="PGBRK51"/>
      <w:bookmarkStart w:id="667" w:name="PGBRK51"/>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8" w:name="FTR51"/>
      <w:bookmarkStart w:id="669" w:name="FTR51"/>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0" w:name="GLFTR51"/>
      <w:bookmarkEnd w:id="6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71" w:name="PN51"/>
      <w:bookmarkEnd w:id="671"/>
      <w:r>
        <w:rPr>
          <w:rFonts w:ascii="helvetica" w:hAnsi="helvetica"/>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2" w:name="HDR51"/>
      <w:bookmarkStart w:id="673" w:name="HDR51"/>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4" w:name="GLHDR51"/>
      <w:bookmarkEnd w:id="6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Market and Opportunity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the U.S. pain market was approximately $39.8 billion in 2011.  Of that total, the NSAID market made up approximately $13.5 billion from approximately 155 million written prescriptions.  The topical NSAID market in 2011 over $500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caused almost as many deaths as asthma, cervical cancer and malignant melanoma combined, and another 1999 sutdy publinshed in the Journal of Rheumatology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helvetica" w:hAnsi="helvetica"/>
          <w:i/>
          <w:sz w:val="20"/>
        </w:rPr>
        <w:t>J Rheumatol</w:t>
      </w:r>
      <w:r>
        <w:rPr>
          <w:rFonts w:ascii="helvetica" w:hAnsi="helvetica"/>
          <w:sz w:val="20"/>
        </w:rPr>
        <w:t>. 1999, the hospitalizations and deaths related to sytemic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Competition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 xml:space="preserve">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The three FDA approved topical NSAID products currently in the US market are all diclofenac-based.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5" w:name="PGBRK52"/>
      <w:bookmarkStart w:id="676" w:name="PGBRK52"/>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7" w:name="FTR52"/>
      <w:bookmarkStart w:id="678" w:name="FTR52"/>
      <w:bookmarkEnd w:id="6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9" w:name="GLFTR52"/>
      <w:bookmarkEnd w:id="6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80" w:name="PN52"/>
      <w:bookmarkEnd w:id="680"/>
      <w:r>
        <w:rPr>
          <w:rFonts w:ascii="helvetica" w:hAnsi="helvetica"/>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1" w:name="HDR52"/>
      <w:bookmarkStart w:id="682" w:name="HDR52"/>
      <w:bookmarkEnd w:id="6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3" w:name="GLHDR52"/>
      <w:bookmarkEnd w:id="6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Governmental Regulation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bookmarkStart w:id="684" w:name="eolpage9"/>
      <w:bookmarkEnd w:id="684"/>
      <w:r>
        <w:rPr>
          <w:rFonts w:ascii="helvetica" w:hAnsi="helvetica"/>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5" w:name="PGBRK53"/>
      <w:bookmarkStart w:id="686" w:name="PGBRK53"/>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7" w:name="FTR53"/>
      <w:bookmarkStart w:id="688" w:name="FTR53"/>
      <w:bookmarkEnd w:id="6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9" w:name="GLFTR53"/>
      <w:bookmarkEnd w:id="6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690" w:name="PN53"/>
      <w:bookmarkEnd w:id="690"/>
      <w:r>
        <w:rPr>
          <w:rFonts w:ascii="helvetica" w:hAnsi="helvetica"/>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1" w:name="HDR53"/>
      <w:bookmarkStart w:id="692" w:name="HDR53"/>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3" w:name="GLHDR53"/>
      <w:bookmarkEnd w:id="6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FDA Approval Process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sponsor typically conducts human clinical trials in the following three sequential phases, but the phases may overlap</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94" w:name="list93"/>
      <w:bookmarkStart w:id="695" w:name="list93"/>
      <w:bookmarkEnd w:id="695"/>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6" w:name="list94"/>
      <w:bookmarkStart w:id="697" w:name="list94"/>
      <w:bookmarkEnd w:id="697"/>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8" w:name="list95"/>
      <w:bookmarkStart w:id="699" w:name="list95"/>
      <w:bookmarkEnd w:id="699"/>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0" w:name="PGBRK54"/>
      <w:bookmarkStart w:id="701" w:name="PGBRK54"/>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2" w:name="FTR54"/>
      <w:bookmarkStart w:id="703" w:name="FTR54"/>
      <w:bookmarkEnd w:id="7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4" w:name="GLFTR54"/>
      <w:bookmarkEnd w:id="7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05" w:name="PN54"/>
      <w:bookmarkEnd w:id="705"/>
      <w:r>
        <w:rPr>
          <w:rFonts w:ascii="helvetica" w:hAnsi="helvetica"/>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HDR54"/>
      <w:bookmarkStart w:id="707" w:name="HDR54"/>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8" w:name="GLHDR54"/>
      <w:bookmarkEnd w:id="7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Section 505(b)(2) New Drug Applications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9" w:name="PGBRK55"/>
      <w:bookmarkStart w:id="710" w:name="PGBRK55"/>
      <w:bookmarkEnd w:id="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1" w:name="FTR55"/>
      <w:bookmarkStart w:id="712" w:name="FTR55"/>
      <w:bookmarkEnd w:id="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3" w:name="GLFTR55"/>
      <w:bookmarkEnd w:id="7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14" w:name="PN55"/>
      <w:bookmarkEnd w:id="714"/>
      <w:r>
        <w:rPr>
          <w:rFonts w:ascii="helvetica" w:hAnsi="helvetica"/>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5" w:name="HDR55"/>
      <w:bookmarkStart w:id="716" w:name="HDR55"/>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7" w:name="GLHDR55"/>
      <w:bookmarkEnd w:id="7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t> </w:t>
      </w:r>
      <w:bookmarkStart w:id="718" w:name="eolPage11"/>
      <w:bookmarkEnd w:id="718"/>
      <w:r>
        <w:rPr>
          <w:rFonts w:ascii="Helvetica" w:hAnsi="Helvetica"/>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that we and our suppliers and outside manufacturers are currently in compliance with all FDA requirements.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 </w:t>
      </w:r>
    </w:p>
    <w:p>
      <w:pPr>
        <w:pStyle w:val="TextBody"/>
        <w:spacing w:before="0" w:after="0"/>
        <w:ind w:left="0" w:right="0" w:hanging="0"/>
        <w:rPr/>
      </w:pPr>
      <w:r>
        <w:rPr/>
        <w:t> </w:t>
      </w:r>
    </w:p>
    <w:p>
      <w:pPr>
        <w:pStyle w:val="TextBody"/>
        <w:spacing w:before="0" w:after="0"/>
        <w:ind w:left="0" w:right="0" w:hanging="0"/>
        <w:jc w:val="left"/>
        <w:rPr/>
      </w:pPr>
      <w:r>
        <w:rPr/>
        <w:t> </w:t>
      </w:r>
      <w:r>
        <w:rPr>
          <w:rFonts w:ascii="helvetica" w:hAnsi="helvetica"/>
          <w:b/>
          <w:sz w:val="20"/>
        </w:rPr>
        <w:t>Other FDA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9" w:name="PGBRK56"/>
      <w:bookmarkStart w:id="720" w:name="PGBRK56"/>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1" w:name="FTR56"/>
      <w:bookmarkStart w:id="722" w:name="FTR56"/>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3" w:name="GLFTR56"/>
      <w:bookmarkEnd w:id="7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24" w:name="PN56"/>
      <w:bookmarkEnd w:id="724"/>
      <w:r>
        <w:rPr>
          <w:rFonts w:ascii="helvetica" w:hAnsi="helvetica"/>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5" w:name="HDR56"/>
      <w:bookmarkStart w:id="726" w:name="HDR56"/>
      <w:bookmarkEnd w:id="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7" w:name="GLHDR56"/>
      <w:bookmarkEnd w:id="7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year ended December 31, 2011, we incurred $111,554 on research and development expenses, as compared to $194,588 during the year ended December 31, 2010. During the nine months ended September 30, 2012, we incurred $580,240 on research and development expenses, as compared to $111,554 during the nine months ended September 30, 2011. We expect research and development activities will increase significantly as we execute on our business plan and begin Phase 3 studies.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Intellectual Property</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We have pending trademark applications for Imprimis Pharmaceuticals, Accudel, Impracor and Generecycle.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Employees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As of February 1, 2013,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firstLine="720"/>
        <w:jc w:val="left"/>
        <w:rPr/>
      </w:pPr>
      <w:r>
        <w:rPr/>
        <w:t> </w:t>
      </w:r>
    </w:p>
    <w:p>
      <w:pPr>
        <w:pStyle w:val="TextBody"/>
        <w:spacing w:before="0" w:after="0"/>
        <w:rPr>
          <w:b/>
        </w:rPr>
      </w:pPr>
      <w:r>
        <w:rPr>
          <w:b/>
        </w:rPr>
        <w:t>Scientific and Regulatory Advisors</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October 25, 2012, the Board approved the establishment of a scientific and regulatory advisory board to provide guidance to our management team relating to clinical trial procedures and product development.  The members of our advisory board are not members of our Board of Directors and do not otherwise hold management roles with the Company.</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Our advisory board currently has six members as follows:  Dr. Gerald J. Yakatan, Dr. Lee S. Simon, Dr. Allan Green, Dr. Marc Hochberg, Dr. Roy Altman and Dr. Roland Moskowitz.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 Dr. Altman has over 35 years of clinical experience in osteoarthritis and rheumatology and has been internationally recognized for his life work in the area of rheumatology and immunology.  Dr. Hochberg serves in academic surroundings in connection with rheumatology and clinical immunology, where his research focuses on the clinical epidemiology of musculoskeletal diseases, particularly osteoarthritis and osteoporosis.  Dr. Moskowitz has over 30 years of experience, where he has conducted extensive research in the pathophysiology and genetics of osteoarthritis. We believe that the experience and know-how of Dr. Altman, Dr. Moskowitz,  and Dr. Hochberg, particularly in the areas of rheumatology and osteoarthritis, will provide our management with vital knowledge in order to serve our needs in those clinical areas. We have also entered into consulting agreements with the members of our advisory board.  On August 28, 2012, we entered into an independent contractor services agreement with SDG, LLC (“SDG”), of which Dr. Simon and Dr. Green are principals, pursuant to which SDG will provide consulting services for us relating to our clinical development strategy for clinical trial design and management and regulatory affairs.  In 2012, we entered into separate consulting agreements with each of Dr. Yakatan, Dr. Moskowitz, Dr. Hochberg and Dr. Altman, pursuant to which each has agreed to provide services for us relating to our regulatory and development strategy in connection with the FDA approval process.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Properties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believe our current facility is adequate for our immediate and near-term needs. Additional space may be required as we expand our activities. We do not currently foresee any significant difficulties in obtaining any required additional facilities.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8" w:name="PGBRK57"/>
      <w:bookmarkStart w:id="729" w:name="PGBRK57"/>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0" w:name="FTR57"/>
      <w:bookmarkStart w:id="731" w:name="FTR57"/>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2" w:name="GLFTR57"/>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33" w:name="PN57"/>
      <w:bookmarkEnd w:id="733"/>
      <w:r>
        <w:rPr>
          <w:rFonts w:ascii="helvetica" w:hAnsi="helvetica"/>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4" w:name="HDR57"/>
      <w:bookmarkStart w:id="735" w:name="HDR57"/>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6" w:name="GLHDR57"/>
      <w:bookmarkEnd w:id="7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center"/>
        <w:rPr>
          <w:rFonts w:ascii="helvetica" w:hAnsi="helvetica"/>
          <w:b/>
          <w:sz w:val="20"/>
        </w:rPr>
      </w:pPr>
      <w:bookmarkStart w:id="737" w:name="TAB14"/>
      <w:bookmarkEnd w:id="737"/>
      <w:r>
        <w:rPr>
          <w:rFonts w:ascii="helvetica" w:hAnsi="helvetica"/>
          <w:b/>
          <w:sz w:val="20"/>
        </w:rPr>
        <w:t>DIRECTORS, EXECUTIVE OFFICERS AND CORPORATE GOVERNANCE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266"/>
        <w:gridCol w:w="101"/>
        <w:gridCol w:w="1020"/>
        <w:gridCol w:w="101"/>
        <w:gridCol w:w="5717"/>
      </w:tblGrid>
      <w:tr>
        <w:trPr/>
        <w:tc>
          <w:tcPr>
            <w:tcW w:w="3266"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1" w:type="dxa"/>
            <w:tcBorders/>
            <w:shd w:fill="auto" w:val="clear"/>
            <w:tcMar>
              <w:bottom w:w="0" w:type="dxa"/>
            </w:tcMar>
          </w:tcPr>
          <w:p>
            <w:pPr>
              <w:pStyle w:val="TableContents"/>
              <w:spacing w:before="0" w:after="283"/>
              <w:rPr/>
            </w:pPr>
            <w:r>
              <w:rPr/>
              <w:t xml:space="preserve">  </w:t>
            </w:r>
          </w:p>
        </w:tc>
        <w:tc>
          <w:tcPr>
            <w:tcW w:w="1020" w:type="dxa"/>
            <w:tcBorders>
              <w:bottom w:val="single" w:sz="12" w:space="0" w:color="000000"/>
            </w:tcBorders>
            <w:shd w:fill="auto" w:val="clear"/>
          </w:tcPr>
          <w:p>
            <w:pPr>
              <w:pStyle w:val="TableContents"/>
              <w:spacing w:before="0" w:after="0"/>
              <w:ind w:left="0" w:right="0" w:hanging="0"/>
              <w:jc w:val="center"/>
              <w:rPr>
                <w:rFonts w:ascii="helvetica" w:hAnsi="helvetica"/>
                <w:b/>
                <w:sz w:val="16"/>
              </w:rPr>
            </w:pPr>
            <w:r>
              <w:rPr>
                <w:rFonts w:ascii="helvetica" w:hAnsi="helvetica"/>
                <w:b/>
                <w:sz w:val="16"/>
              </w:rPr>
              <w:t>Age</w:t>
            </w:r>
          </w:p>
        </w:tc>
        <w:tc>
          <w:tcPr>
            <w:tcW w:w="101" w:type="dxa"/>
            <w:tcBorders/>
            <w:shd w:fill="auto" w:val="clear"/>
            <w:tcMar>
              <w:bottom w:w="0" w:type="dxa"/>
            </w:tcMar>
          </w:tcPr>
          <w:p>
            <w:pPr>
              <w:pStyle w:val="TableContents"/>
              <w:spacing w:before="0" w:after="283"/>
              <w:rPr/>
            </w:pPr>
            <w:r>
              <w:rPr/>
              <w:t xml:space="preserve">  </w:t>
            </w:r>
          </w:p>
        </w:tc>
        <w:tc>
          <w:tcPr>
            <w:tcW w:w="5717" w:type="dxa"/>
            <w:tcBorders>
              <w:bottom w:val="single" w:sz="12" w:space="0" w:color="000000"/>
            </w:tcBorders>
            <w:shd w:fill="auto" w:val="clear"/>
          </w:tcPr>
          <w:p>
            <w:pPr>
              <w:pStyle w:val="TableContents"/>
              <w:spacing w:before="0" w:after="0"/>
              <w:ind w:left="0" w:right="0" w:hanging="0"/>
              <w:jc w:val="left"/>
              <w:rPr>
                <w:rFonts w:ascii="helvetica" w:hAnsi="helvetica"/>
                <w:b/>
                <w:sz w:val="16"/>
              </w:rPr>
            </w:pPr>
            <w:r>
              <w:rPr>
                <w:rFonts w:ascii="helvetica" w:hAnsi="helvetica"/>
                <w:b/>
                <w:sz w:val="16"/>
              </w:rPr>
              <w:t>Position</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Joachim Schupp, M.D.</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59</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Medical Officer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76</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 xml:space="preserve">President </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30</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Vice President of Accounting and Public Reporting</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40</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Chief Executive Officer and 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Paul Finnegan, M.D., M.B.A.</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52</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1" w:type="dxa"/>
            <w:tcBorders/>
            <w:shd w:fill="FFFFFF" w:val="clear"/>
            <w:tcMar>
              <w:bottom w:w="0" w:type="dxa"/>
            </w:tcMar>
          </w:tcPr>
          <w:p>
            <w:pPr>
              <w:pStyle w:val="TableContents"/>
              <w:spacing w:before="0" w:after="283"/>
              <w:rPr/>
            </w:pPr>
            <w:r>
              <w:rPr/>
              <w:t xml:space="preserve">  </w:t>
            </w:r>
          </w:p>
        </w:tc>
        <w:tc>
          <w:tcPr>
            <w:tcW w:w="1020" w:type="dxa"/>
            <w:tcBorders/>
            <w:shd w:fill="FFFF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65</w:t>
            </w:r>
          </w:p>
        </w:tc>
        <w:tc>
          <w:tcPr>
            <w:tcW w:w="101" w:type="dxa"/>
            <w:tcBorders/>
            <w:shd w:fill="FFFFFF" w:val="clear"/>
            <w:tcMar>
              <w:bottom w:w="0" w:type="dxa"/>
            </w:tcMar>
          </w:tcPr>
          <w:p>
            <w:pPr>
              <w:pStyle w:val="TableContents"/>
              <w:spacing w:before="0" w:after="283"/>
              <w:rPr/>
            </w:pPr>
            <w:r>
              <w:rPr/>
              <w:t xml:space="preserve">  </w:t>
            </w:r>
          </w:p>
        </w:tc>
        <w:tc>
          <w:tcPr>
            <w:tcW w:w="5717" w:type="dxa"/>
            <w:tcBorders/>
            <w:shd w:fill="FFFF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Robert Kammer, D.D.S.</w:t>
            </w:r>
          </w:p>
        </w:tc>
        <w:tc>
          <w:tcPr>
            <w:tcW w:w="101" w:type="dxa"/>
            <w:tcBorders/>
            <w:shd w:fill="CCEEFF" w:val="clear"/>
            <w:tcMar>
              <w:bottom w:w="0" w:type="dxa"/>
            </w:tcMar>
          </w:tcPr>
          <w:p>
            <w:pPr>
              <w:pStyle w:val="TableContents"/>
              <w:spacing w:before="0" w:after="283"/>
              <w:rPr/>
            </w:pPr>
            <w:r>
              <w:rPr/>
              <w:t xml:space="preserve">  </w:t>
            </w:r>
          </w:p>
        </w:tc>
        <w:tc>
          <w:tcPr>
            <w:tcW w:w="1020" w:type="dxa"/>
            <w:tcBorders/>
            <w:shd w:fill="CCEEFF" w:val="clear"/>
            <w:tcMar>
              <w:bottom w:w="0" w:type="dxa"/>
            </w:tcMar>
          </w:tcPr>
          <w:p>
            <w:pPr>
              <w:pStyle w:val="TableContents"/>
              <w:spacing w:before="0" w:after="0"/>
              <w:ind w:left="0" w:right="0" w:hanging="0"/>
              <w:jc w:val="center"/>
              <w:rPr>
                <w:rFonts w:ascii="helvetica" w:hAnsi="helvetica"/>
                <w:sz w:val="20"/>
              </w:rPr>
            </w:pPr>
            <w:r>
              <w:rPr>
                <w:rFonts w:ascii="helvetica" w:hAnsi="helvetica"/>
                <w:sz w:val="20"/>
              </w:rPr>
              <w:t>63</w:t>
            </w:r>
          </w:p>
        </w:tc>
        <w:tc>
          <w:tcPr>
            <w:tcW w:w="101" w:type="dxa"/>
            <w:tcBorders/>
            <w:shd w:fill="CCEEFF" w:val="clear"/>
            <w:tcMar>
              <w:bottom w:w="0" w:type="dxa"/>
            </w:tcMar>
          </w:tcPr>
          <w:p>
            <w:pPr>
              <w:pStyle w:val="TableContents"/>
              <w:spacing w:before="0" w:after="283"/>
              <w:rPr/>
            </w:pPr>
            <w:r>
              <w:rPr/>
              <w:t xml:space="preserve">  </w:t>
            </w:r>
          </w:p>
        </w:tc>
        <w:tc>
          <w:tcPr>
            <w:tcW w:w="5717" w:type="dxa"/>
            <w:tcBorders/>
            <w:shd w:fill="CCEEFF" w:val="clear"/>
            <w:tcMar>
              <w:bottom w:w="0" w:type="dxa"/>
            </w:tcMar>
          </w:tcPr>
          <w:p>
            <w:pPr>
              <w:pStyle w:val="TableContents"/>
              <w:spacing w:before="0" w:after="0"/>
              <w:ind w:left="0" w:right="0" w:hanging="0"/>
              <w:jc w:val="left"/>
              <w:rPr>
                <w:rFonts w:ascii="helvetica" w:hAnsi="helvetica"/>
                <w:sz w:val="20"/>
              </w:rPr>
            </w:pPr>
            <w:r>
              <w:rPr>
                <w:rFonts w:ascii="helvetica" w:hAnsi="helvetica"/>
                <w:sz w:val="20"/>
              </w:rPr>
              <w:t>Chairman of the Board of Directors</w:t>
            </w:r>
          </w:p>
        </w:tc>
      </w:tr>
      <w:tr>
        <w:trPr/>
        <w:tc>
          <w:tcPr>
            <w:tcW w:w="3266"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Stephen G. Austin, C.P.A.</w:t>
            </w:r>
          </w:p>
        </w:tc>
        <w:tc>
          <w:tcPr>
            <w:tcW w:w="101" w:type="dxa"/>
            <w:tcBorders/>
            <w:shd w:fill="FFFFFF" w:val="clear"/>
            <w:tcMar>
              <w:bottom w:w="0" w:type="dxa"/>
            </w:tcMar>
          </w:tcPr>
          <w:p>
            <w:pPr>
              <w:pStyle w:val="TableContents"/>
              <w:spacing w:before="0" w:after="283"/>
              <w:rPr/>
            </w:pPr>
            <w:r>
              <w:rPr/>
              <w:t> </w:t>
            </w:r>
          </w:p>
        </w:tc>
        <w:tc>
          <w:tcPr>
            <w:tcW w:w="1020" w:type="dxa"/>
            <w:tcBorders/>
            <w:shd w:fill="FFFFFF" w:val="clear"/>
            <w:tcMar>
              <w:bottom w:w="0" w:type="dxa"/>
            </w:tcMar>
          </w:tcPr>
          <w:p>
            <w:pPr>
              <w:pStyle w:val="TableContents"/>
              <w:spacing w:before="0" w:after="283"/>
              <w:jc w:val="center"/>
              <w:rPr/>
            </w:pPr>
            <w:r>
              <w:rPr/>
              <w:t>60</w:t>
            </w:r>
          </w:p>
        </w:tc>
        <w:tc>
          <w:tcPr>
            <w:tcW w:w="101" w:type="dxa"/>
            <w:tcBorders/>
            <w:shd w:fill="FFFFFF" w:val="clear"/>
            <w:tcMar>
              <w:bottom w:w="0" w:type="dxa"/>
            </w:tcMar>
          </w:tcPr>
          <w:p>
            <w:pPr>
              <w:pStyle w:val="TableContents"/>
              <w:spacing w:before="0" w:after="283"/>
              <w:rPr/>
            </w:pPr>
            <w:r>
              <w:rPr/>
              <w:t> </w:t>
            </w:r>
          </w:p>
        </w:tc>
        <w:tc>
          <w:tcPr>
            <w:tcW w:w="5717" w:type="dxa"/>
            <w:tcBorders/>
            <w:shd w:fill="FFFFFF" w:val="clear"/>
            <w:tcMar>
              <w:bottom w:w="0" w:type="dxa"/>
            </w:tcMar>
          </w:tcPr>
          <w:p>
            <w:pPr>
              <w:pStyle w:val="TableContents"/>
              <w:spacing w:before="0" w:after="283"/>
              <w:jc w:val="left"/>
              <w:rPr>
                <w:rFonts w:ascii="helvetica" w:hAnsi="helvetica"/>
                <w:sz w:val="20"/>
              </w:rPr>
            </w:pPr>
            <w:r>
              <w:rPr>
                <w:rFonts w:ascii="helvetica" w:hAnsi="helvetica"/>
                <w:sz w:val="20"/>
              </w:rPr>
              <w:t>Director</w:t>
            </w:r>
          </w:p>
        </w:tc>
      </w:tr>
      <w:tr>
        <w:trPr/>
        <w:tc>
          <w:tcPr>
            <w:tcW w:w="3266" w:type="dxa"/>
            <w:tcBorders/>
            <w:shd w:fill="CCEEFF" w:val="clear"/>
            <w:tcMar>
              <w:bottom w:w="0" w:type="dxa"/>
            </w:tcMar>
          </w:tcPr>
          <w:p>
            <w:pPr>
              <w:pStyle w:val="TableContents"/>
              <w:spacing w:before="0" w:after="283"/>
              <w:jc w:val="left"/>
              <w:rPr>
                <w:rFonts w:ascii="helvetica" w:hAnsi="helvetica"/>
                <w:sz w:val="20"/>
              </w:rPr>
            </w:pPr>
            <w:r>
              <w:rPr>
                <w:rFonts w:ascii="helvetica" w:hAnsi="helvetica"/>
                <w:sz w:val="20"/>
              </w:rPr>
              <w:t>August S. Bassani, Pharm.D.</w:t>
            </w:r>
          </w:p>
        </w:tc>
        <w:tc>
          <w:tcPr>
            <w:tcW w:w="101" w:type="dxa"/>
            <w:tcBorders/>
            <w:shd w:fill="CCEEFF" w:val="clear"/>
            <w:tcMar>
              <w:bottom w:w="0" w:type="dxa"/>
            </w:tcMar>
          </w:tcPr>
          <w:p>
            <w:pPr>
              <w:pStyle w:val="TableContents"/>
              <w:spacing w:before="0" w:after="283"/>
              <w:rPr/>
            </w:pPr>
            <w:r>
              <w:rPr/>
              <w:t> </w:t>
            </w:r>
          </w:p>
        </w:tc>
        <w:tc>
          <w:tcPr>
            <w:tcW w:w="1020" w:type="dxa"/>
            <w:tcBorders/>
            <w:shd w:fill="CCEEFF" w:val="clear"/>
            <w:tcMar>
              <w:bottom w:w="0" w:type="dxa"/>
            </w:tcMar>
          </w:tcPr>
          <w:p>
            <w:pPr>
              <w:pStyle w:val="TableContents"/>
              <w:spacing w:before="0" w:after="283"/>
              <w:jc w:val="center"/>
              <w:rPr/>
            </w:pPr>
            <w:r>
              <w:rPr/>
              <w:t>40</w:t>
            </w:r>
          </w:p>
        </w:tc>
        <w:tc>
          <w:tcPr>
            <w:tcW w:w="101" w:type="dxa"/>
            <w:tcBorders/>
            <w:shd w:fill="CCEEFF" w:val="clear"/>
            <w:tcMar>
              <w:bottom w:w="0" w:type="dxa"/>
            </w:tcMar>
          </w:tcPr>
          <w:p>
            <w:pPr>
              <w:pStyle w:val="TableContents"/>
              <w:spacing w:before="0" w:after="283"/>
              <w:rPr/>
            </w:pPr>
            <w:r>
              <w:rPr/>
              <w:t> </w:t>
            </w:r>
          </w:p>
        </w:tc>
        <w:tc>
          <w:tcPr>
            <w:tcW w:w="5717" w:type="dxa"/>
            <w:tcBorders/>
            <w:shd w:fill="CCEEFF" w:val="clear"/>
            <w:tcMar>
              <w:bottom w:w="0" w:type="dxa"/>
            </w:tcMar>
          </w:tcPr>
          <w:p>
            <w:pPr>
              <w:pStyle w:val="TableContents"/>
              <w:spacing w:before="0" w:after="283"/>
              <w:jc w:val="left"/>
              <w:rPr>
                <w:rFonts w:ascii="helvetica" w:hAnsi="helvetica"/>
                <w:sz w:val="20"/>
              </w:rPr>
            </w:pPr>
            <w:r>
              <w:rPr>
                <w:rFonts w:ascii="helvetica" w:hAnsi="helvetica"/>
                <w:sz w:val="20"/>
              </w:rPr>
              <w:t>Director</w:t>
            </w:r>
          </w:p>
        </w:tc>
      </w:tr>
    </w:tbl>
    <w:p>
      <w:pPr>
        <w:pStyle w:val="TextBody"/>
        <w:spacing w:before="0" w:after="0"/>
        <w:ind w:left="0" w:right="0" w:hanging="0"/>
        <w:rPr/>
      </w:pPr>
      <w:r>
        <w:rPr/>
        <w:t> </w:t>
      </w:r>
    </w:p>
    <w:p>
      <w:pPr>
        <w:pStyle w:val="TextBody"/>
        <w:spacing w:before="0" w:after="0"/>
        <w:ind w:left="0" w:right="0" w:hanging="0"/>
        <w:rPr/>
      </w:pPr>
      <w:bookmarkStart w:id="738" w:name="TAB213"/>
      <w:bookmarkEnd w:id="738"/>
      <w:r>
        <w:rPr>
          <w:color w:val="000000"/>
          <w:spacing w:val="180"/>
        </w:rPr>
        <w:t> </w:t>
      </w:r>
      <w:r>
        <w:rPr>
          <w:rFonts w:ascii="helvetica" w:hAnsi="helvetica"/>
          <w:b/>
          <w:sz w:val="20"/>
        </w:rPr>
        <w:t>Business Experience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is a brief account of the education and business experience of our current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Joachim Schupp, M.D. </w:t>
      </w:r>
      <w:r>
        <w:rPr>
          <w:rFonts w:ascii="helvetica" w:hAnsi="helvetica"/>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Balbir Brar, D.V.M., Ph.D.,</w:t>
      </w:r>
      <w:r>
        <w:rPr>
          <w:rFonts w:ascii="helvetica" w:hAnsi="helvetica"/>
          <w:sz w:val="20"/>
        </w:rPr>
        <w:t xml:space="preserve"> has been President of the Company since January 2012 and served as a director from February 15, 2012 until July 25, 2012.  Dr. Brar served as our Vice 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9" w:name="PGBRK58"/>
      <w:bookmarkStart w:id="740" w:name="PGBRK58"/>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1" w:name="FTR58"/>
      <w:bookmarkStart w:id="742" w:name="FTR58"/>
      <w:bookmarkEnd w:id="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3" w:name="GLFTR58"/>
      <w:bookmarkEnd w:id="7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44" w:name="PN58"/>
      <w:bookmarkEnd w:id="744"/>
      <w:r>
        <w:rPr>
          <w:rFonts w:ascii="helvetica" w:hAnsi="helvetica"/>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5" w:name="HDR58"/>
      <w:bookmarkStart w:id="746" w:name="HDR58"/>
      <w:bookmarkEnd w:id="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7" w:name="GLHDR58"/>
      <w:bookmarkEnd w:id="7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Andrew R. Boll </w:t>
      </w:r>
      <w:r>
        <w:rPr>
          <w:rFonts w:ascii="helvetica" w:hAnsi="helvetica"/>
          <w:sz w:val="20"/>
        </w:rPr>
        <w:t xml:space="preserve">has been our Vice President of Accounting and Financial Reporting since February 2012 and was a consultant to the Company from December 2011 to February 2012. Mr. Boll has several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helvetica" w:hAnsi="helvetica"/>
          <w:i/>
          <w:sz w:val="20"/>
        </w:rPr>
        <w:t>summa cum laude,</w:t>
      </w:r>
      <w:r>
        <w:rPr>
          <w:rFonts w:ascii="helvetica" w:hAnsi="helvetica"/>
          <w:sz w:val="20"/>
        </w:rPr>
        <w:t xml:space="preserve"> from Huron University.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Mark L. Baum, Esq</w:t>
      </w:r>
      <w:r>
        <w:rPr>
          <w:rFonts w:ascii="helvetica" w:hAnsi="helvetica"/>
          <w:sz w:val="20"/>
        </w:rPr>
        <w:t>. has served as a director since December 2011 and as our Chairman of our Board of Directors from December 16, 2011 through 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 Applied Natural Gas Fuels, Inc. (formerly AGAS), Shrink Nanotechnologies, Inc. (INKN), You on Demand, Inc. (CBBD) and CoConnect, Inc. (CCON), as well as boards of advisors for domestic and international private and public companies. Mr. Baum founded and capitalized the Mark L. Baum Scholarship which has funded tuition grants to college students in Texas.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Paul Finnegan, M.D., M.B.A.</w:t>
      </w:r>
      <w:r>
        <w:rPr>
          <w:rFonts w:ascii="helvetica" w:hAnsi="helvetica"/>
          <w:sz w:val="20"/>
        </w:rPr>
        <w:t> has served as a director since February 15, 2012 and currently serves as the Chair of our Compensation Committee and our Nomination and Corporate Governance Committee and as a 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8" w:name="PGBRK59"/>
      <w:bookmarkStart w:id="749" w:name="PGBRK59"/>
      <w:bookmarkEnd w:id="7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0" w:name="FTR59"/>
      <w:bookmarkStart w:id="751" w:name="FTR59"/>
      <w:bookmarkEnd w:id="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2" w:name="GLFTR59"/>
      <w:bookmarkEnd w:id="7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53" w:name="PN59"/>
      <w:bookmarkEnd w:id="753"/>
      <w:r>
        <w:rPr>
          <w:rFonts w:ascii="helvetica" w:hAnsi="helvetica"/>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4" w:name="HDR59"/>
      <w:bookmarkStart w:id="755" w:name="HDR59"/>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6" w:name="GLHDR59"/>
      <w:bookmarkEnd w:id="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Jeffrey J. Abrams, M.D., MPH,</w:t>
      </w:r>
      <w:r>
        <w:rPr>
          <w:rFonts w:ascii="helvetica" w:hAnsi="helvetica"/>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 xml:space="preserve">Robert Kammer, D.D.S., </w:t>
      </w:r>
      <w:r>
        <w:rPr>
          <w:rFonts w:ascii="helvetica" w:hAnsi="helvetica"/>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helvetica" w:hAnsi="helvetica"/>
          <w:sz w:val="20"/>
          <w:u w:val="single"/>
        </w:rPr>
        <w:t>Osteoperiosteal Flap</w:t>
      </w:r>
      <w:r>
        <w:rPr>
          <w:rFonts w:ascii="helvetica" w:hAnsi="helvetica"/>
          <w:i/>
          <w:sz w:val="20"/>
          <w:u w:val="single"/>
        </w:rPr>
        <w:t>,</w:t>
      </w:r>
      <w:r>
        <w:rPr>
          <w:rFonts w:ascii="helvetica" w:hAnsi="helvetica"/>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b/>
          <w:sz w:val="20"/>
        </w:rPr>
        <w:t>Stephen G. Austin, CPA,</w:t>
      </w:r>
      <w:r>
        <w:rPr>
          <w:rFonts w:ascii="helvetica" w:hAnsi="helvetica"/>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serves as a director on the board of Avanir Pharmaceuticals, Inc. (NASDAQ: AVNR). In 2004, Mr. Austin published a book on business ethics entitled “Rise of the New Ethics Class,” and in 2005 and 2006 he published articles in Asia discussing The Sarbanes-Oxley Act of 2002. In 2010 and 2011, Mr. Austin authored articles for the AICPA. Mr. Austin holds a B.S. degree in accounting from Bob Jones University and an M.B.A. degree from the University of Georgia. Mr. Austin brings to our Board financial and accounting expertise and extensive experience serving as a director of other companies.</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sz w:val="20"/>
        </w:rPr>
      </w:pPr>
      <w:r>
        <w:rPr>
          <w:rFonts w:ascii="helvetica" w:hAnsi="helvetica"/>
          <w:b/>
          <w:sz w:val="20"/>
        </w:rPr>
        <w:t>August (“Gus”) S. Bassani, Pharm.D.,</w:t>
      </w:r>
      <w:r>
        <w:rPr>
          <w:rFonts w:ascii="helvetica" w:hAnsi="helvetica"/>
          <w:sz w:val="20"/>
        </w:rPr>
        <w:t xml:space="preserve"> has served as a director since December 2012.  He currently serves as Vice-President of Consulting, R&amp;D and Formulations at PCCA and has been with PCCA since September 2002.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American Society of Health Systems Pharmacists (ASHP) and the American Association of Pharmaceutical Scientists (AAPS).  Mr. Bassani's widespread experience in the pharmaceutical industry and his formulation expertise provides valued guidance to our management and board.</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There are no family relationships among our directors and executive officers.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Committees of the Board of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August 7, 2012, the Board established the following committees:  the Audit Committee, the Compensation Committee and the Nomination and Corporate Governance Committee.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Audit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 (iii) 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is provided on our website, http://www.imprimispharma.com.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Compensation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is provided on our website, http://www.imprimispharma.com.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57" w:name="PGBRK60"/>
      <w:bookmarkStart w:id="758" w:name="PGBRK60"/>
      <w:bookmarkEnd w:id="7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9" w:name="FTR60"/>
      <w:bookmarkStart w:id="760" w:name="FTR60"/>
      <w:bookmarkEnd w:id="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1" w:name="GLFTR60"/>
      <w:bookmarkEnd w:id="7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62" w:name="PN60"/>
      <w:bookmarkEnd w:id="762"/>
      <w:r>
        <w:rPr>
          <w:rFonts w:ascii="helvetica" w:hAnsi="helvetica"/>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3" w:name="HDR60"/>
      <w:bookmarkStart w:id="764" w:name="HDR60"/>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5" w:name="GLHDR60"/>
      <w:bookmarkEnd w:id="7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i/>
          <w:sz w:val="20"/>
        </w:rPr>
      </w:pPr>
      <w:r>
        <w:rPr>
          <w:rFonts w:ascii="helvetica" w:hAnsi="helvetica"/>
          <w:i/>
          <w:sz w:val="20"/>
        </w:rPr>
        <w:t>Nomination and Corporate Governance Committee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Dr. Finnegan, Dr. Abrams and Mr. Austin have been appointed to serve on our Nomination and Corporate Governance Committee, and Dr. Finnegan has been appointed as the Chair of that committee. Each member of our Nomination and Corporate Governance Committee is independent within the meaning of applicable NASDAQ Rules.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 (vii) recommending to the Board and monitoring compliance with our code of business conduct and ethics. A copy of the Nomination and Corporate Governance Committee’s charter is provided on our website, http://www.imprimispharma.com.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i w:val="false"/>
          <w:caps w:val="false"/>
          <w:smallCaps w:val="false"/>
          <w:sz w:val="20"/>
        </w:rPr>
      </w:pPr>
      <w:r>
        <w:rPr>
          <w:rFonts w:ascii="helvetica" w:hAnsi="helvetica"/>
          <w:b/>
          <w:i w:val="false"/>
          <w:caps w:val="false"/>
          <w:smallCaps w:val="false"/>
          <w:sz w:val="20"/>
        </w:rPr>
        <w:t>Director Independence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Current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Our Board of Directors has determined that Mr. Austin, Dr. Abrams, Mr. Bassani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Former Directors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i w:val="false"/>
          <w:caps w:val="false"/>
          <w:smallCaps w:val="false"/>
          <w:sz w:val="20"/>
        </w:rPr>
      </w:pPr>
      <w:r>
        <w:rPr>
          <w:rFonts w:ascii="helvetica" w:hAnsi="helvetica"/>
          <w:i w:val="false"/>
          <w:caps w:val="false"/>
          <w:smallCaps w:val="false"/>
          <w:sz w:val="20"/>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p>
    <w:p>
      <w:pPr>
        <w:pStyle w:val="TextBody"/>
        <w:spacing w:before="0" w:after="0"/>
        <w:ind w:left="0" w:right="0" w:hanging="0"/>
        <w:jc w:val="left"/>
        <w:rPr/>
      </w:pPr>
      <w:r>
        <w:rPr/>
        <w:t> </w:t>
      </w:r>
    </w:p>
    <w:p>
      <w:pPr>
        <w:pStyle w:val="TextBody"/>
        <w:spacing w:before="0" w:after="0"/>
        <w:ind w:left="0" w:right="0" w:hanging="0"/>
        <w:jc w:val="center"/>
        <w:rPr>
          <w:rFonts w:ascii="helvetica" w:hAnsi="helvetica"/>
          <w:b/>
          <w:sz w:val="20"/>
        </w:rPr>
      </w:pPr>
      <w:r>
        <w:rPr>
          <w:rFonts w:ascii="helvetica" w:hAnsi="helvetica"/>
          <w:b/>
          <w:sz w:val="20"/>
        </w:rPr>
        <w:t>EXECUTIVE COMPENSATION</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“Executive Compensation” reflects the one-for-five reverse stock split effected on February 7, 2013.</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Summary Compensation Table</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bookmarkStart w:id="766" w:name="fis_compensation_table"/>
      <w:bookmarkEnd w:id="766"/>
      <w:r>
        <w:rPr>
          <w:rFonts w:ascii="helvetica" w:hAnsi="helvetica"/>
          <w:sz w:val="20"/>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p>
    <w:p>
      <w:pPr>
        <w:pStyle w:val="TextBody"/>
        <w:spacing w:before="0" w:after="0"/>
        <w:ind w:left="0" w:right="0" w:firstLine="720"/>
        <w:jc w:val="left"/>
        <w:rPr/>
      </w:pPr>
      <w:r>
        <w:rPr/>
        <w:t> </w:t>
      </w:r>
    </w:p>
    <w:tbl>
      <w:tblPr>
        <w:tblW w:w="5000" w:type="pct"/>
        <w:jc w:val="left"/>
        <w:tblInd w:w="0" w:type="dxa"/>
        <w:tblCellMar>
          <w:top w:w="0" w:type="dxa"/>
          <w:left w:w="0" w:type="dxa"/>
          <w:bottom w:w="28" w:type="dxa"/>
          <w:right w:w="0" w:type="dxa"/>
        </w:tblCellMar>
      </w:tblPr>
      <w:tblGrid>
        <w:gridCol w:w="2540"/>
        <w:gridCol w:w="550"/>
        <w:gridCol w:w="86"/>
        <w:gridCol w:w="141"/>
        <w:gridCol w:w="921"/>
        <w:gridCol w:w="86"/>
        <w:gridCol w:w="86"/>
        <w:gridCol w:w="141"/>
        <w:gridCol w:w="921"/>
        <w:gridCol w:w="245"/>
        <w:gridCol w:w="86"/>
        <w:gridCol w:w="141"/>
        <w:gridCol w:w="921"/>
        <w:gridCol w:w="245"/>
        <w:gridCol w:w="86"/>
        <w:gridCol w:w="207"/>
        <w:gridCol w:w="1159"/>
        <w:gridCol w:w="245"/>
        <w:gridCol w:w="86"/>
        <w:gridCol w:w="141"/>
        <w:gridCol w:w="1062"/>
        <w:gridCol w:w="109"/>
      </w:tblGrid>
      <w:tr>
        <w:trPr/>
        <w:tc>
          <w:tcPr>
            <w:tcW w:w="2540"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 and</w:t>
            </w:r>
          </w:p>
          <w:p>
            <w:pPr>
              <w:pStyle w:val="TableContents"/>
              <w:spacing w:before="0" w:after="0"/>
              <w:ind w:left="0" w:right="0" w:hanging="0"/>
              <w:jc w:val="left"/>
              <w:rPr>
                <w:rFonts w:ascii="helvetica" w:hAnsi="helvetica"/>
                <w:b/>
                <w:sz w:val="16"/>
              </w:rPr>
            </w:pPr>
            <w:r>
              <w:rPr>
                <w:rFonts w:ascii="helvetica" w:hAnsi="helvetica"/>
                <w:b/>
                <w:sz w:val="16"/>
              </w:rPr>
              <w:t>Principal Position</w:t>
            </w:r>
          </w:p>
        </w:tc>
        <w:tc>
          <w:tcPr>
            <w:tcW w:w="550"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Salary</w:t>
            </w:r>
          </w:p>
        </w:tc>
        <w:tc>
          <w:tcPr>
            <w:tcW w:w="86"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 (1)</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06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(2)</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36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All Other Compensation</w:t>
            </w:r>
          </w:p>
        </w:tc>
        <w:tc>
          <w:tcPr>
            <w:tcW w:w="245" w:type="dxa"/>
            <w:tcBorders/>
            <w:shd w:fill="auto" w:val="clear"/>
            <w:tcMar>
              <w:bottom w:w="0" w:type="dxa"/>
            </w:tcMar>
            <w:vAlign w:val="bottom"/>
          </w:tcPr>
          <w:p>
            <w:pPr>
              <w:pStyle w:val="TableContents"/>
              <w:spacing w:before="0" w:after="283"/>
              <w:jc w:val="left"/>
              <w:rPr/>
            </w:pPr>
            <w:r>
              <w:rPr/>
              <w:t> </w:t>
            </w:r>
          </w:p>
        </w:tc>
        <w:tc>
          <w:tcPr>
            <w:tcW w:w="86" w:type="dxa"/>
            <w:tcBorders/>
            <w:shd w:fill="auto" w:val="clear"/>
            <w:tcMar>
              <w:bottom w:w="0" w:type="dxa"/>
            </w:tcMar>
            <w:vAlign w:val="bottom"/>
          </w:tcPr>
          <w:p>
            <w:pPr>
              <w:pStyle w:val="TableContents"/>
              <w:spacing w:before="0" w:after="283"/>
              <w:rPr/>
            </w:pPr>
            <w:r>
              <w:rPr/>
              <w:t> </w:t>
            </w:r>
          </w:p>
        </w:tc>
        <w:tc>
          <w:tcPr>
            <w:tcW w:w="1203"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9" w:type="dxa"/>
            <w:tcBorders/>
            <w:shd w:fill="auto"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150,300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520,000</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655,773</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1,326,073</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Chief Executive Officer</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283"/>
              <w:rPr/>
            </w:pPr>
            <w:r>
              <w:rPr/>
              <w:t xml:space="preserve">  </w:t>
            </w:r>
          </w:p>
        </w:tc>
        <w:tc>
          <w:tcPr>
            <w:tcW w:w="550" w:type="dxa"/>
            <w:tcBorders/>
            <w:shd w:fill="CCEEFF" w:val="clear"/>
            <w:tcMar>
              <w:bottom w:w="0" w:type="dxa"/>
            </w:tcMar>
            <w:vAlign w:val="bottom"/>
          </w:tcPr>
          <w:p>
            <w:pPr>
              <w:pStyle w:val="TableContents"/>
              <w:spacing w:before="0" w:after="283"/>
              <w:rPr/>
            </w:pPr>
            <w:r>
              <w:rPr/>
              <w:t xml:space="preserve">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178,500</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260,100</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29,134</w:t>
            </w:r>
          </w:p>
        </w:tc>
        <w:tc>
          <w:tcPr>
            <w:tcW w:w="245"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467,734</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pPr>
            <w:r>
              <w:rPr/>
              <w:t>  </w:t>
            </w:r>
            <w:r>
              <w:rPr>
                <w:rFonts w:ascii="helvetica" w:hAnsi="helvetica"/>
                <w:sz w:val="20"/>
              </w:rPr>
              <w:t>Chief Medical Officer</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38,800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2,192</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40,992</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283"/>
              <w:rPr/>
            </w:pPr>
            <w:r>
              <w:rPr/>
              <w:t xml:space="preserve">  </w:t>
            </w:r>
          </w:p>
        </w:tc>
        <w:tc>
          <w:tcPr>
            <w:tcW w:w="550" w:type="dxa"/>
            <w:tcBorders/>
            <w:shd w:fill="FFFFFF" w:val="clear"/>
            <w:tcMar>
              <w:bottom w:w="0" w:type="dxa"/>
            </w:tcMar>
            <w:vAlign w:val="bottom"/>
          </w:tcPr>
          <w:p>
            <w:pPr>
              <w:pStyle w:val="TableContents"/>
              <w:spacing w:before="0" w:after="283"/>
              <w:rPr/>
            </w:pPr>
            <w:r>
              <w:rPr/>
              <w:t xml:space="preserve">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pPr>
            <w:r>
              <w:rPr/>
              <w:t> </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84,000</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669,300</w:t>
            </w:r>
          </w:p>
        </w:tc>
        <w:tc>
          <w:tcPr>
            <w:tcW w:w="245"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753,300</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pPr>
            <w:r>
              <w:rPr/>
              <w:t>  </w:t>
            </w:r>
            <w:r>
              <w:rPr>
                <w:rFonts w:ascii="helvetica" w:hAnsi="helvetica"/>
                <w:sz w:val="20"/>
              </w:rPr>
              <w:t>President</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pPr>
            <w:r>
              <w:rPr/>
              <w:t> </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283"/>
              <w:rPr/>
            </w:pPr>
            <w:r>
              <w:rPr/>
              <w:t xml:space="preserve">  </w:t>
            </w:r>
          </w:p>
        </w:tc>
        <w:tc>
          <w:tcPr>
            <w:tcW w:w="550" w:type="dxa"/>
            <w:tcBorders/>
            <w:shd w:fill="CCEEFF" w:val="clear"/>
            <w:tcMar>
              <w:bottom w:w="0" w:type="dxa"/>
            </w:tcMar>
            <w:vAlign w:val="bottom"/>
          </w:tcPr>
          <w:p>
            <w:pPr>
              <w:pStyle w:val="TableContents"/>
              <w:spacing w:before="0" w:after="283"/>
              <w:rPr/>
            </w:pPr>
            <w:r>
              <w:rPr/>
              <w:t xml:space="preserve">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pPr>
            <w:r>
              <w:rPr/>
              <w:t> </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r>
      <w:tr>
        <w:trPr/>
        <w:tc>
          <w:tcPr>
            <w:tcW w:w="2540"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550" w:type="dxa"/>
            <w:tcBorders/>
            <w:shd w:fill="FFFF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2012</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64,500</w:t>
            </w:r>
          </w:p>
        </w:tc>
        <w:tc>
          <w:tcPr>
            <w:tcW w:w="86"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92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51,780</w:t>
            </w:r>
          </w:p>
        </w:tc>
        <w:tc>
          <w:tcPr>
            <w:tcW w:w="245" w:type="dxa"/>
            <w:tcBorders/>
            <w:shd w:fill="FFFFFF" w:val="clear"/>
            <w:tcMar>
              <w:bottom w:w="0" w:type="dxa"/>
            </w:tcMar>
            <w:vAlign w:val="bottom"/>
          </w:tcPr>
          <w:p>
            <w:pPr>
              <w:pStyle w:val="TableContents"/>
              <w:spacing w:before="0" w:after="283"/>
              <w:jc w:val="left"/>
              <w:rPr/>
            </w:pPr>
            <w:r>
              <w:rPr/>
              <w:t> </w:t>
            </w:r>
          </w:p>
        </w:tc>
        <w:tc>
          <w:tcPr>
            <w:tcW w:w="86" w:type="dxa"/>
            <w:tcBorders/>
            <w:shd w:fill="FFFFFF" w:val="clear"/>
            <w:tcMar>
              <w:bottom w:w="0" w:type="dxa"/>
            </w:tcMar>
            <w:vAlign w:val="bottom"/>
          </w:tcPr>
          <w:p>
            <w:pPr>
              <w:pStyle w:val="TableContents"/>
              <w:spacing w:before="0" w:after="283"/>
              <w:rPr/>
            </w:pPr>
            <w:r>
              <w:rPr/>
              <w:t> </w:t>
            </w:r>
          </w:p>
        </w:tc>
        <w:tc>
          <w:tcPr>
            <w:tcW w:w="207"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5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7,524</w:t>
            </w:r>
          </w:p>
        </w:tc>
        <w:tc>
          <w:tcPr>
            <w:tcW w:w="245"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86" w:type="dxa"/>
            <w:tcBorders/>
            <w:shd w:fill="FFFFFF" w:val="clear"/>
            <w:tcMar>
              <w:bottom w:w="0" w:type="dxa"/>
            </w:tcMar>
            <w:vAlign w:val="bottom"/>
          </w:tcPr>
          <w:p>
            <w:pPr>
              <w:pStyle w:val="TableContents"/>
              <w:spacing w:before="0" w:after="283"/>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123,804</w:t>
            </w:r>
          </w:p>
        </w:tc>
        <w:tc>
          <w:tcPr>
            <w:tcW w:w="109" w:type="dxa"/>
            <w:tcBorders/>
            <w:shd w:fill="FFFFFF" w:val="clear"/>
            <w:tcMar>
              <w:bottom w:w="0" w:type="dxa"/>
            </w:tcMar>
            <w:vAlign w:val="bottom"/>
          </w:tcPr>
          <w:p>
            <w:pPr>
              <w:pStyle w:val="TableContents"/>
              <w:spacing w:before="0" w:after="283"/>
              <w:jc w:val="left"/>
              <w:rPr/>
            </w:pPr>
            <w:r>
              <w:rPr/>
              <w:t> </w:t>
            </w:r>
          </w:p>
        </w:tc>
      </w:tr>
      <w:tr>
        <w:trPr/>
        <w:tc>
          <w:tcPr>
            <w:tcW w:w="2540" w:type="dxa"/>
            <w:tcBorders/>
            <w:shd w:fill="CCEEFF" w:val="clear"/>
            <w:tcMar>
              <w:bottom w:w="0" w:type="dxa"/>
            </w:tcMar>
            <w:vAlign w:val="bottom"/>
          </w:tcPr>
          <w:p>
            <w:pPr>
              <w:pStyle w:val="TableContents"/>
              <w:spacing w:before="0" w:after="0"/>
              <w:ind w:left="0" w:right="0" w:hanging="0"/>
              <w:jc w:val="left"/>
              <w:rPr/>
            </w:pPr>
            <w:r>
              <w:rPr/>
              <w:t>   </w:t>
            </w:r>
            <w:r>
              <w:rPr>
                <w:rFonts w:ascii="helvetica" w:hAnsi="helvetica"/>
                <w:sz w:val="20"/>
              </w:rPr>
              <w:t>Vice-President, Accounting and Public Reporting</w:t>
            </w:r>
          </w:p>
        </w:tc>
        <w:tc>
          <w:tcPr>
            <w:tcW w:w="550" w:type="dxa"/>
            <w:tcBorders/>
            <w:shd w:fill="CCEEFF" w:val="clear"/>
            <w:tcMar>
              <w:bottom w:w="0" w:type="dxa"/>
            </w:tcMar>
            <w:vAlign w:val="bottom"/>
          </w:tcPr>
          <w:p>
            <w:pPr>
              <w:pStyle w:val="TableContents"/>
              <w:spacing w:before="0" w:after="0"/>
              <w:ind w:left="0" w:right="0" w:hanging="0"/>
              <w:jc w:val="center"/>
              <w:rPr>
                <w:rFonts w:ascii="helvetica" w:hAnsi="helvetica"/>
                <w:sz w:val="20"/>
              </w:rPr>
            </w:pPr>
            <w:r>
              <w:rPr>
                <w:rFonts w:ascii="helvetica" w:hAnsi="helvetica"/>
                <w:sz w:val="20"/>
              </w:rPr>
              <w:t>2011</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6"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921"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207" w:type="dxa"/>
            <w:tcBorders/>
            <w:shd w:fill="CCEEFF" w:val="clear"/>
            <w:tcMar>
              <w:bottom w:w="0" w:type="dxa"/>
            </w:tcMar>
            <w:vAlign w:val="bottom"/>
          </w:tcPr>
          <w:p>
            <w:pPr>
              <w:pStyle w:val="TableContents"/>
              <w:spacing w:before="0" w:after="283"/>
              <w:jc w:val="left"/>
              <w:rPr/>
            </w:pPr>
            <w:r>
              <w:rPr/>
              <w:t> </w:t>
            </w:r>
          </w:p>
        </w:tc>
        <w:tc>
          <w:tcPr>
            <w:tcW w:w="115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45" w:type="dxa"/>
            <w:tcBorders/>
            <w:shd w:fill="CCEEFF" w:val="clear"/>
            <w:tcMar>
              <w:bottom w:w="0" w:type="dxa"/>
            </w:tcMar>
            <w:vAlign w:val="bottom"/>
          </w:tcPr>
          <w:p>
            <w:pPr>
              <w:pStyle w:val="TableContents"/>
              <w:spacing w:before="0" w:after="283"/>
              <w:jc w:val="left"/>
              <w:rPr/>
            </w:pPr>
            <w:r>
              <w:rPr/>
              <w:t> </w:t>
            </w:r>
          </w:p>
        </w:tc>
        <w:tc>
          <w:tcPr>
            <w:tcW w:w="86" w:type="dxa"/>
            <w:tcBorders/>
            <w:shd w:fill="CCEEFF" w:val="clear"/>
            <w:tcMar>
              <w:bottom w:w="0" w:type="dxa"/>
            </w:tcMar>
            <w:vAlign w:val="bottom"/>
          </w:tcPr>
          <w:p>
            <w:pPr>
              <w:pStyle w:val="TableContents"/>
              <w:spacing w:before="0" w:after="283"/>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62"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(2)</w:t>
            </w:r>
          </w:p>
        </w:tc>
        <w:tc>
          <w:tcPr>
            <w:tcW w:w="989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(3)</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restricted stock units granted to Mr. Baum outside the 2007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67" w:name="PGBRK61"/>
      <w:bookmarkStart w:id="768" w:name="PGBRK61"/>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69" w:name="FTR61"/>
      <w:bookmarkStart w:id="770" w:name="FTR61"/>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1" w:name="GLFTR61"/>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772" w:name="PN61"/>
      <w:bookmarkEnd w:id="772"/>
      <w:r>
        <w:rPr>
          <w:rFonts w:ascii="effontselection" w:hAnsi="effontselectio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73" w:name="HDR61"/>
      <w:bookmarkStart w:id="774" w:name="HDR61"/>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5" w:name="GLHDR61"/>
      <w:bookmarkEnd w:id="7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(4)</w:t>
            </w:r>
          </w:p>
        </w:tc>
        <w:tc>
          <w:tcPr>
            <w:tcW w:w="9901"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an option to purchase up to 125,000 shares of common stock under the 2007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2007 Plan granted on April 1, 2012 in connection with his appointment as our Chief Executive Officer.</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(5)</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Consists of (i) $23,500 paid to an entity beneficially owned by Mr. Schupp for consulting services performed during the fiscal year 2012 prior to his hire as our Chief Medical Officer, and (ii) $5,634 paid for medical and dental insurance premiums.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w:t>
            </w:r>
          </w:p>
        </w:tc>
        <w:tc>
          <w:tcPr>
            <w:tcW w:w="9901"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an option to purchase up to 225,000 shares of common stock under the 2007 Plan granted on January 25, 2012 in connection with his appointment as our President, and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(7)</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Consists of (i) $5,000 paid to Mr. Boll for consulting services performed during the fiscal year 2012 prior to his hire as our Vice President, Accounting and Public Reporting, and (ii) $2,524 paid for medical and dental insurance premiums. </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Outstanding Equity Awards at Fiscal Year-End</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certain information concerning outstanding stock awards held by our named executive officers and our Vice President, Accounting and Public Reporting serving during the fiscal year ended December 31, 2012.</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432"/>
        <w:gridCol w:w="81"/>
        <w:gridCol w:w="97"/>
        <w:gridCol w:w="1083"/>
        <w:gridCol w:w="350"/>
        <w:gridCol w:w="81"/>
        <w:gridCol w:w="106"/>
        <w:gridCol w:w="1199"/>
        <w:gridCol w:w="350"/>
        <w:gridCol w:w="81"/>
        <w:gridCol w:w="176"/>
        <w:gridCol w:w="710"/>
        <w:gridCol w:w="80"/>
        <w:gridCol w:w="81"/>
        <w:gridCol w:w="355"/>
        <w:gridCol w:w="671"/>
        <w:gridCol w:w="81"/>
        <w:gridCol w:w="81"/>
        <w:gridCol w:w="121"/>
        <w:gridCol w:w="1365"/>
        <w:gridCol w:w="253"/>
        <w:gridCol w:w="81"/>
        <w:gridCol w:w="141"/>
        <w:gridCol w:w="1043"/>
        <w:gridCol w:w="106"/>
      </w:tblGrid>
      <w:tr>
        <w:trPr/>
        <w:tc>
          <w:tcPr>
            <w:tcW w:w="6933" w:type="dxa"/>
            <w:gridSpan w:val="16"/>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3004" w:type="dxa"/>
            <w:gridSpan w:val="6"/>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283"/>
              <w:rPr/>
            </w:pPr>
            <w:r>
              <w:rPr/>
              <w:t> </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Market Value</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Securities</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Shares or</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Underlying</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283"/>
              <w:rPr/>
            </w:pPr>
            <w:r>
              <w:rPr/>
              <w:t>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283"/>
              <w:rPr/>
            </w:pPr>
            <w:r>
              <w:rPr/>
              <w:t> </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Shares</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Units of</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Unexercised</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or Units</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Stock that</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auto" w:val="clear"/>
            <w:tcMar>
              <w:bottom w:w="0" w:type="dxa"/>
            </w:tcMar>
            <w:vAlign w:val="bottom"/>
          </w:tcPr>
          <w:p>
            <w:pPr>
              <w:pStyle w:val="TableContents"/>
              <w:spacing w:before="0" w:after="283"/>
              <w:rPr/>
            </w:pPr>
            <w:r>
              <w:rPr/>
              <w:t xml:space="preserve">  </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Options (#)</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Exercise</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Expiration</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of Stock that</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shd w:fill="auto" w:val="clear"/>
            <w:tcMar>
              <w:bottom w:w="0"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Have Not</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Name</w:t>
            </w:r>
          </w:p>
        </w:tc>
        <w:tc>
          <w:tcPr>
            <w:tcW w:w="81" w:type="dxa"/>
            <w:tcBorders/>
            <w:shd w:fill="auto" w:val="clear"/>
            <w:tcMar>
              <w:bottom w:w="0" w:type="dxa"/>
            </w:tcMar>
            <w:vAlign w:val="bottom"/>
          </w:tcPr>
          <w:p>
            <w:pPr>
              <w:pStyle w:val="TableContents"/>
              <w:spacing w:before="0" w:after="283"/>
              <w:rPr/>
            </w:pPr>
            <w:r>
              <w:rPr/>
              <w:t> </w:t>
            </w:r>
          </w:p>
        </w:tc>
        <w:tc>
          <w:tcPr>
            <w:tcW w:w="1180"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Exercisable</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305"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Unexercisable</w:t>
            </w:r>
          </w:p>
        </w:tc>
        <w:tc>
          <w:tcPr>
            <w:tcW w:w="35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88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Price ($)</w:t>
            </w:r>
          </w:p>
        </w:tc>
        <w:tc>
          <w:tcPr>
            <w:tcW w:w="80"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Date</w:t>
            </w:r>
          </w:p>
        </w:tc>
        <w:tc>
          <w:tcPr>
            <w:tcW w:w="81"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48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Have Not Vested</w:t>
            </w:r>
          </w:p>
        </w:tc>
        <w:tc>
          <w:tcPr>
            <w:tcW w:w="253" w:type="dxa"/>
            <w:tcBorders/>
            <w:shd w:fill="auto" w:val="clear"/>
            <w:tcMar>
              <w:bottom w:w="0" w:type="dxa"/>
            </w:tcMar>
            <w:vAlign w:val="bottom"/>
          </w:tcPr>
          <w:p>
            <w:pPr>
              <w:pStyle w:val="TableContents"/>
              <w:spacing w:before="0" w:after="283"/>
              <w:jc w:val="left"/>
              <w:rPr/>
            </w:pPr>
            <w:r>
              <w:rPr/>
              <w:t> </w:t>
            </w:r>
          </w:p>
        </w:tc>
        <w:tc>
          <w:tcPr>
            <w:tcW w:w="81" w:type="dxa"/>
            <w:tcBorders/>
            <w:shd w:fill="auto" w:val="clear"/>
            <w:tcMar>
              <w:bottom w:w="0" w:type="dxa"/>
            </w:tcMar>
            <w:vAlign w:val="bottom"/>
          </w:tcPr>
          <w:p>
            <w:pPr>
              <w:pStyle w:val="TableContents"/>
              <w:spacing w:before="0" w:after="283"/>
              <w:rPr/>
            </w:pPr>
            <w:r>
              <w:rPr/>
              <w:t> </w:t>
            </w:r>
          </w:p>
        </w:tc>
        <w:tc>
          <w:tcPr>
            <w:tcW w:w="1184"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Vested(1)</w:t>
            </w:r>
          </w:p>
        </w:tc>
        <w:tc>
          <w:tcPr>
            <w:tcW w:w="106" w:type="dxa"/>
            <w:tcBorders/>
            <w:shd w:fill="auto"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Mark L. Baum, Esq.</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114,583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(2)</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10,417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(2)</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2.40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1/25/2022</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31,875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28,125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(3)</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26" w:type="dxa"/>
            <w:gridSpan w:val="2"/>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3/31/2017</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283"/>
              <w:rPr/>
            </w:pPr>
            <w:r>
              <w:rPr/>
              <w:t xml:space="preserve">  </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18,750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6,250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3/31/2017</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righ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355" w:type="dxa"/>
            <w:tcBorders/>
            <w:shd w:fill="FFFFFF" w:val="clear"/>
            <w:tcMar>
              <w:bottom w:w="0" w:type="dxa"/>
            </w:tcMar>
            <w:vAlign w:val="bottom"/>
          </w:tcPr>
          <w:p>
            <w:pPr>
              <w:pStyle w:val="TableContents"/>
              <w:spacing w:before="0" w:after="283"/>
              <w:jc w:val="left"/>
              <w:rPr/>
            </w:pPr>
            <w:r>
              <w:rPr/>
              <w:t> </w:t>
            </w:r>
          </w:p>
        </w:tc>
        <w:tc>
          <w:tcPr>
            <w:tcW w:w="67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160,000</w:t>
            </w:r>
          </w:p>
        </w:tc>
        <w:tc>
          <w:tcPr>
            <w:tcW w:w="253"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1,560,000</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68,750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156,250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3.68</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1/25/2016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6,250</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355" w:type="dxa"/>
            <w:tcBorders/>
            <w:shd w:fill="FFFFFF" w:val="clear"/>
            <w:tcMar>
              <w:bottom w:w="0" w:type="dxa"/>
            </w:tcMar>
            <w:vAlign w:val="bottom"/>
          </w:tcPr>
          <w:p>
            <w:pPr>
              <w:pStyle w:val="TableContents"/>
              <w:spacing w:before="0" w:after="283"/>
              <w:jc w:val="left"/>
              <w:rPr/>
            </w:pPr>
            <w:r>
              <w:rPr/>
              <w:t> </w:t>
            </w:r>
          </w:p>
        </w:tc>
        <w:tc>
          <w:tcPr>
            <w:tcW w:w="671"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Joachim P.H. Schupp, M.D.</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22,917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52,083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3.60</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2/15/2016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r>
        <w:trPr/>
        <w:tc>
          <w:tcPr>
            <w:tcW w:w="1432" w:type="dxa"/>
            <w:tcBorders/>
            <w:shd w:fill="FFFFFF" w:val="clear"/>
            <w:tcMar>
              <w:bottom w:w="0" w:type="dxa"/>
            </w:tcMar>
            <w:vAlign w:val="bottom"/>
          </w:tcPr>
          <w:p>
            <w:pPr>
              <w:pStyle w:val="TableContents"/>
              <w:spacing w:before="0" w:after="283"/>
              <w:rPr/>
            </w:pPr>
            <w:r>
              <w:rPr/>
              <w:t xml:space="preserve">  </w:t>
            </w:r>
          </w:p>
        </w:tc>
        <w:tc>
          <w:tcPr>
            <w:tcW w:w="8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108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493</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(9)</w:t>
            </w:r>
          </w:p>
        </w:tc>
        <w:tc>
          <w:tcPr>
            <w:tcW w:w="81"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19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35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76"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4.00</w:t>
            </w:r>
          </w:p>
        </w:tc>
        <w:tc>
          <w:tcPr>
            <w:tcW w:w="80"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right"/>
              <w:rPr/>
            </w:pPr>
            <w:r>
              <w:rPr/>
              <w:t> </w:t>
            </w:r>
          </w:p>
        </w:tc>
        <w:tc>
          <w:tcPr>
            <w:tcW w:w="1026" w:type="dxa"/>
            <w:gridSpan w:val="2"/>
            <w:tcBorders/>
            <w:shd w:fill="FFFF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10/5/2014</w:t>
            </w:r>
          </w:p>
        </w:tc>
        <w:tc>
          <w:tcPr>
            <w:tcW w:w="81"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21" w:type="dxa"/>
            <w:tcBorders/>
            <w:shd w:fill="FFFFFF" w:val="clear"/>
            <w:tcMar>
              <w:bottom w:w="0" w:type="dxa"/>
            </w:tcMar>
            <w:vAlign w:val="bottom"/>
          </w:tcPr>
          <w:p>
            <w:pPr>
              <w:pStyle w:val="TableContents"/>
              <w:spacing w:before="0" w:after="283"/>
              <w:jc w:val="left"/>
              <w:rPr/>
            </w:pPr>
            <w:r>
              <w:rPr/>
              <w:t> </w:t>
            </w:r>
          </w:p>
        </w:tc>
        <w:tc>
          <w:tcPr>
            <w:tcW w:w="136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FFFFFF" w:val="clear"/>
            <w:tcMar>
              <w:bottom w:w="0" w:type="dxa"/>
            </w:tcMar>
            <w:vAlign w:val="bottom"/>
          </w:tcPr>
          <w:p>
            <w:pPr>
              <w:pStyle w:val="TableContents"/>
              <w:spacing w:before="0" w:after="283"/>
              <w:jc w:val="left"/>
              <w:rPr/>
            </w:pPr>
            <w:r>
              <w:rPr/>
              <w:t> </w:t>
            </w:r>
          </w:p>
        </w:tc>
        <w:tc>
          <w:tcPr>
            <w:tcW w:w="81" w:type="dxa"/>
            <w:tcBorders/>
            <w:shd w:fill="FFFFFF" w:val="clear"/>
            <w:tcMar>
              <w:bottom w:w="0" w:type="dxa"/>
            </w:tcMar>
            <w:vAlign w:val="bottom"/>
          </w:tcPr>
          <w:p>
            <w:pPr>
              <w:pStyle w:val="TableContents"/>
              <w:spacing w:before="0" w:after="283"/>
              <w:jc w:val="left"/>
              <w:rPr/>
            </w:pPr>
            <w:r>
              <w:rPr/>
              <w:t> </w:t>
            </w:r>
          </w:p>
        </w:tc>
        <w:tc>
          <w:tcPr>
            <w:tcW w:w="141"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FFFFFF" w:val="clear"/>
            <w:tcMar>
              <w:bottom w:w="0" w:type="dxa"/>
            </w:tcMar>
            <w:vAlign w:val="bottom"/>
          </w:tcPr>
          <w:p>
            <w:pPr>
              <w:pStyle w:val="TableContents"/>
              <w:spacing w:before="0" w:after="283"/>
              <w:jc w:val="left"/>
              <w:rPr/>
            </w:pPr>
            <w:r>
              <w:rPr/>
              <w:t> </w:t>
            </w:r>
          </w:p>
        </w:tc>
      </w:tr>
      <w:tr>
        <w:trPr/>
        <w:tc>
          <w:tcPr>
            <w:tcW w:w="1432"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Andrew R. Boll</w:t>
            </w:r>
          </w:p>
        </w:tc>
        <w:tc>
          <w:tcPr>
            <w:tcW w:w="8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108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4,583</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81"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19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10,417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81" w:type="dxa"/>
            <w:tcBorders/>
            <w:shd w:fill="CCEEFF" w:val="clear"/>
            <w:tcMar>
              <w:bottom w:w="0" w:type="dxa"/>
            </w:tcMar>
            <w:vAlign w:val="bottom"/>
          </w:tcPr>
          <w:p>
            <w:pPr>
              <w:pStyle w:val="TableContents"/>
              <w:spacing w:before="0" w:after="283"/>
              <w:jc w:val="left"/>
              <w:rPr/>
            </w:pPr>
            <w:r>
              <w:rPr/>
              <w:t> </w:t>
            </w:r>
          </w:p>
        </w:tc>
        <w:tc>
          <w:tcPr>
            <w:tcW w:w="176"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710"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3.68</w:t>
            </w:r>
          </w:p>
        </w:tc>
        <w:tc>
          <w:tcPr>
            <w:tcW w:w="80"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right"/>
              <w:rPr/>
            </w:pPr>
            <w:r>
              <w:rPr/>
              <w:t> </w:t>
            </w:r>
          </w:p>
        </w:tc>
        <w:tc>
          <w:tcPr>
            <w:tcW w:w="1026" w:type="dxa"/>
            <w:gridSpan w:val="2"/>
            <w:tcBorders/>
            <w:shd w:fill="CCEEFF" w:val="clear"/>
            <w:tcMar>
              <w:bottom w:w="0" w:type="dxa"/>
            </w:tcMar>
            <w:vAlign w:val="bottom"/>
          </w:tcPr>
          <w:p>
            <w:pPr>
              <w:pStyle w:val="TableContents"/>
              <w:spacing w:before="0" w:after="0"/>
              <w:ind w:left="0" w:right="0" w:hanging="0"/>
              <w:jc w:val="right"/>
              <w:rPr>
                <w:rFonts w:ascii="helvetica" w:hAnsi="helvetica"/>
                <w:sz w:val="20"/>
              </w:rPr>
            </w:pPr>
            <w:r>
              <w:rPr>
                <w:rFonts w:ascii="helvetica" w:hAnsi="helvetica"/>
                <w:sz w:val="20"/>
              </w:rPr>
              <w:t>2/1/2016</w:t>
            </w:r>
          </w:p>
        </w:tc>
        <w:tc>
          <w:tcPr>
            <w:tcW w:w="81"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21" w:type="dxa"/>
            <w:tcBorders/>
            <w:shd w:fill="CCEEFF" w:val="clear"/>
            <w:tcMar>
              <w:bottom w:w="0" w:type="dxa"/>
            </w:tcMar>
            <w:vAlign w:val="bottom"/>
          </w:tcPr>
          <w:p>
            <w:pPr>
              <w:pStyle w:val="TableContents"/>
              <w:spacing w:before="0" w:after="283"/>
              <w:jc w:val="left"/>
              <w:rPr/>
            </w:pPr>
            <w:r>
              <w:rPr/>
              <w:t> </w:t>
            </w:r>
          </w:p>
        </w:tc>
        <w:tc>
          <w:tcPr>
            <w:tcW w:w="136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53" w:type="dxa"/>
            <w:tcBorders/>
            <w:shd w:fill="CCEEFF" w:val="clear"/>
            <w:tcMar>
              <w:bottom w:w="0" w:type="dxa"/>
            </w:tcMar>
            <w:vAlign w:val="bottom"/>
          </w:tcPr>
          <w:p>
            <w:pPr>
              <w:pStyle w:val="TableContents"/>
              <w:spacing w:before="0" w:after="283"/>
              <w:jc w:val="left"/>
              <w:rPr/>
            </w:pPr>
            <w:r>
              <w:rPr/>
              <w:t> </w:t>
            </w:r>
          </w:p>
        </w:tc>
        <w:tc>
          <w:tcPr>
            <w:tcW w:w="81" w:type="dxa"/>
            <w:tcBorders/>
            <w:shd w:fill="CCEEFF" w:val="clear"/>
            <w:tcMar>
              <w:bottom w:w="0" w:type="dxa"/>
            </w:tcMar>
            <w:vAlign w:val="bottom"/>
          </w:tcPr>
          <w:p>
            <w:pPr>
              <w:pStyle w:val="TableContents"/>
              <w:spacing w:before="0" w:after="283"/>
              <w:jc w:val="left"/>
              <w:rPr/>
            </w:pPr>
            <w:r>
              <w:rPr/>
              <w:t> </w:t>
            </w:r>
          </w:p>
        </w:tc>
        <w:tc>
          <w:tcPr>
            <w:tcW w:w="141"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76" w:name="PGBRK62"/>
      <w:bookmarkStart w:id="777" w:name="PGBRK62"/>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78" w:name="FTR62"/>
      <w:bookmarkStart w:id="779" w:name="FTR62"/>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0" w:name="GLFTR62"/>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81" w:name="PN62"/>
      <w:bookmarkEnd w:id="781"/>
      <w:r>
        <w:rPr>
          <w:rFonts w:ascii="helvetica" w:hAnsi="helvetica"/>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82" w:name="HDR62"/>
      <w:bookmarkStart w:id="783" w:name="HDR62"/>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4" w:name="GLHDR62"/>
      <w:bookmarkEnd w:id="7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(1)  </w:t>
            </w:r>
          </w:p>
        </w:tc>
        <w:tc>
          <w:tcPr>
            <w:tcW w:w="981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Calculated by multiplying the number of unvested shares by $9.75, the closing price per share of our common stock on December 31, 2012 (which was the last business day of the fiscal year).</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(2)  </w:t>
            </w:r>
          </w:p>
        </w:tc>
        <w:tc>
          <w:tcPr>
            <w:tcW w:w="981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Mr. Baum on April 1, 2012 under the 2007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(3)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Mr. Baum an April 1, 2012 under the 2007 Plan in connection with his appointment as our Chief Executive Officer.  The option vests over a two-year period, with 15,000 shares vesting immediately upon issuance and an additional 1,875 shares vesting monthly for the 24 months thereafter.</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1"/>
        <w:gridCol w:w="9814"/>
      </w:tblGrid>
      <w:tr>
        <w:trPr/>
        <w:tc>
          <w:tcPr>
            <w:tcW w:w="391"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(4)  </w:t>
            </w:r>
          </w:p>
        </w:tc>
        <w:tc>
          <w:tcPr>
            <w:tcW w:w="981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Mr. Baum an April 1, 2012 under the 2007 Plan in connection with his services as a director.  The option vests in four equal quarterly installments of 6,250 shares commencing on June 30, 2012.</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(5)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restricted stock units granted to Mr. Baum outside the 2007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(6)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Dr. Brar on January 25, 2012 under the 2007 Plan in connection with his appointment as our President.  The option vests in equal monthly installments over the 36 month period following the date of grant.</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(7)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Dr. Brar on April 1, 2012 under the 2007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(8)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Dr. Schupp on February 15, 2012 under the 2007 Plan in connection with his appointment as our Chief Medical Officer.  The option vests in equal monthly installments over the 36 month period following the date of grant.</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92"/>
        <w:gridCol w:w="9813"/>
      </w:tblGrid>
      <w:tr>
        <w:trPr/>
        <w:tc>
          <w:tcPr>
            <w:tcW w:w="392"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(9)  </w:t>
            </w:r>
          </w:p>
        </w:tc>
        <w:tc>
          <w:tcPr>
            <w:tcW w:w="981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Dr. Schupp on December 15, 2011 under the 2007 Plan in connection with a release given by Dr. Schupp upon DermaStar’s investment in the Company.  The option was 100% vested upon its grant.</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0"/>
              <w:ind w:left="0" w:right="0" w:hanging="0"/>
              <w:jc w:val="right"/>
              <w:rPr>
                <w:rFonts w:ascii="helvetica" w:hAnsi="helvetica"/>
                <w:sz w:val="20"/>
              </w:rPr>
            </w:pPr>
            <w:r>
              <w:rPr>
                <w:rFonts w:ascii="helvetica" w:hAnsi="helvetica"/>
                <w:sz w:val="20"/>
              </w:rPr>
              <w:t>(10)  </w:t>
            </w:r>
          </w:p>
        </w:tc>
        <w:tc>
          <w:tcPr>
            <w:tcW w:w="9682"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granted to Mr. Boll on February 1, 2012 under the 2007 Plan in connection with his appointment as our Vice President, Accounting and Public Reporting.  The option vests in equal monthly installments over the 36 month period following the date of grant.</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Employment Agreements</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Mark Baum</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April 1, 2012, the Board of Directors appointed Mr. Mark L. Baum, Esq.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5" w:name="PGBRK63"/>
      <w:bookmarkStart w:id="786" w:name="PGBRK63"/>
      <w:bookmarkEnd w:id="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7" w:name="FTR63"/>
      <w:bookmarkStart w:id="788" w:name="FTR63"/>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9" w:name="GLFTR63"/>
      <w:bookmarkEnd w:id="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790" w:name="PN63"/>
      <w:bookmarkEnd w:id="790"/>
      <w:r>
        <w:rPr>
          <w:rFonts w:ascii="helvetica" w:hAnsi="helvetica"/>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1" w:name="HDR63"/>
      <w:bookmarkStart w:id="792" w:name="HDR63"/>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3" w:name="GLHDR63"/>
      <w:bookmarkEnd w:id="7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helvetica" w:hAnsi="helvetica"/>
          <w:sz w:val="20"/>
        </w:rPr>
      </w:pPr>
      <w:r>
        <w:rPr>
          <w:rFonts w:ascii="helvetica" w:hAnsi="helvetica"/>
          <w:sz w:val="20"/>
        </w:rPr>
        <w:t>On January 25, 2012, the Board approved an option grant to Mr. Baum to purchase up to 125,000 shares pursuant to the 2007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pStyle w:val="TextBody"/>
        <w:spacing w:before="0" w:after="0"/>
        <w:ind w:left="0" w:right="0" w:hanging="0"/>
        <w:rPr/>
      </w:pPr>
      <w:r>
        <w:rPr/>
        <w:t> </w:t>
      </w:r>
    </w:p>
    <w:p>
      <w:pPr>
        <w:pStyle w:val="TextBody"/>
        <w:spacing w:before="0" w:after="0"/>
        <w:ind w:left="0" w:right="0" w:firstLine="720"/>
        <w:jc w:val="left"/>
        <w:rPr>
          <w:rFonts w:ascii="helvetica" w:hAnsi="helvetica"/>
          <w:sz w:val="20"/>
        </w:rPr>
      </w:pPr>
      <w:r>
        <w:rPr>
          <w:rFonts w:ascii="helvetica" w:hAnsi="helvetica"/>
          <w:sz w:val="20"/>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Balbir Brar</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794" w:name="TAB15"/>
      <w:bookmarkEnd w:id="794"/>
      <w:r>
        <w:rPr>
          <w:rFonts w:ascii="helvetica" w:hAnsi="helvetica"/>
          <w:sz w:val="20"/>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has a four year term and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Dr. Joachim Schupp</w:t>
      </w:r>
    </w:p>
    <w:p>
      <w:pPr>
        <w:pStyle w:val="TextBody"/>
        <w:spacing w:before="0" w:after="0"/>
        <w:ind w:left="0" w:right="0" w:hanging="0"/>
        <w:jc w:val="left"/>
        <w:rPr/>
      </w:pPr>
      <w:r>
        <w:rPr/>
        <w:t> </w:t>
      </w:r>
    </w:p>
    <w:p>
      <w:pPr>
        <w:pStyle w:val="TextBody"/>
        <w:spacing w:before="0" w:after="0"/>
        <w:ind w:left="720" w:right="0" w:hanging="0"/>
        <w:jc w:val="left"/>
        <w:rPr>
          <w:rFonts w:ascii="helvetica" w:hAnsi="helvetica"/>
          <w:sz w:val="20"/>
        </w:rPr>
      </w:pPr>
      <w:bookmarkStart w:id="795" w:name="TAB16"/>
      <w:bookmarkEnd w:id="795"/>
      <w:r>
        <w:rPr>
          <w:rFonts w:ascii="helvetica" w:hAnsi="helvetica"/>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has a four year term and vests monthly over a 36 month period following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rPr/>
      </w:pPr>
      <w:r>
        <w:rPr/>
        <w:t> </w:t>
      </w:r>
    </w:p>
    <w:p>
      <w:pPr>
        <w:pStyle w:val="TextBody"/>
        <w:spacing w:before="0" w:after="0"/>
        <w:ind w:left="0" w:right="0" w:hanging="0"/>
        <w:jc w:val="left"/>
        <w:rPr>
          <w:rFonts w:ascii="helvetica" w:hAnsi="helvetica"/>
          <w:i/>
          <w:sz w:val="20"/>
        </w:rPr>
      </w:pPr>
      <w:r>
        <w:rPr>
          <w:rFonts w:ascii="helvetica" w:hAnsi="helvetica"/>
          <w:i/>
          <w:sz w:val="20"/>
        </w:rPr>
        <w:t>Andrew R. Boll</w:t>
      </w:r>
    </w:p>
    <w:p>
      <w:pPr>
        <w:pStyle w:val="TextBody"/>
        <w:spacing w:before="0" w:after="0"/>
        <w:ind w:left="0" w:right="0" w:hanging="0"/>
        <w:rPr/>
      </w:pPr>
      <w:r>
        <w:rPr/>
        <w:t> </w:t>
      </w:r>
    </w:p>
    <w:p>
      <w:pPr>
        <w:pStyle w:val="TextBody"/>
        <w:spacing w:before="0" w:after="0"/>
        <w:ind w:left="720" w:right="0" w:hanging="0"/>
        <w:jc w:val="left"/>
        <w:rPr>
          <w:rFonts w:ascii="helvetica" w:hAnsi="helvetica"/>
          <w:sz w:val="20"/>
        </w:rPr>
      </w:pPr>
      <w:bookmarkStart w:id="796" w:name="TAB17"/>
      <w:bookmarkEnd w:id="796"/>
      <w:r>
        <w:rPr>
          <w:rFonts w:ascii="helvetica" w:hAnsi="helvetica"/>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7" w:name="PGBRK64"/>
      <w:bookmarkStart w:id="798" w:name="PGBRK64"/>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9" w:name="FTR64"/>
      <w:bookmarkStart w:id="800" w:name="FTR64"/>
      <w:bookmarkEnd w:id="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1" w:name="GLFTR64"/>
      <w:bookmarkEnd w:id="8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02" w:name="PN64"/>
      <w:bookmarkEnd w:id="802"/>
      <w:r>
        <w:rPr>
          <w:rFonts w:ascii="helvetica" w:hAnsi="helvetica"/>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3" w:name="HDR64"/>
      <w:bookmarkStart w:id="804" w:name="HDR64"/>
      <w:bookmarkEnd w:id="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5" w:name="GLHDR64"/>
      <w:bookmarkEnd w:id="8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became effective upon our compliance with certain information requirements of the SEC.</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center"/>
        <w:rPr>
          <w:rFonts w:ascii="helvetica" w:hAnsi="helvetica"/>
          <w:b/>
          <w:sz w:val="20"/>
        </w:rPr>
      </w:pPr>
      <w:r>
        <w:rPr>
          <w:rFonts w:ascii="helvetica" w:hAnsi="helvetica"/>
          <w:b/>
          <w:sz w:val="20"/>
        </w:rPr>
        <w:t>DIRECTOR COMPENSATION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Narrative Disclosure Regarding Director Compensation Practices</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We do not currently have a standard director compensation program in place; however, the Board of Directors approved the following compensation to our directors for their service as directors in 2012:</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06" w:name="TAB214"/>
      <w:bookmarkEnd w:id="806"/>
      <w:r>
        <w:rPr>
          <w:rFonts w:ascii="helvetica" w:hAnsi="helvetica"/>
          <w:spacing w:val="180"/>
          <w:sz w:val="20"/>
        </w:rPr>
        <w:t> </w:t>
      </w:r>
      <w:r>
        <w:rPr>
          <w:rFonts w:ascii="helvetica" w:hAnsi="helvetica"/>
          <w:sz w:val="20"/>
        </w:rPr>
        <w:t>On April 1, 2012, the Board of Directors approved the grant to each of our directors on that date, including our employee and non-employee directors, of an option to purchase up to 25,000 shares of our common stock under the 2007 Plan (each, a “2012 Director Option”). The directors who received such an option were as follows: (i) employee directors Dr. Brar (whose option has been forfeited as a result of his resignation as a director but remains exercisable until March 22, 2013) and Mr. Baum, and (ii) non-employee directors Dr. Kammer, Dr. Finnegan and Dr. Abrams.  Each of the options has an exercise price of $4.50 per share and a term of five years, and vests quarterly over a one year period such that options to purchase 6,250 shares vest on each of June 30, 2012, September 30, 2012, December 31, 2012 and March 31, 2013 (subject to continued service as a director on each such date).</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07" w:name="TAB215"/>
      <w:bookmarkEnd w:id="807"/>
      <w:r>
        <w:rPr>
          <w:rFonts w:ascii="helvetica" w:hAnsi="helvetica"/>
          <w:spacing w:val="180"/>
          <w:sz w:val="20"/>
        </w:rPr>
        <w:t> </w:t>
      </w:r>
      <w:r>
        <w:rPr>
          <w:rFonts w:ascii="helvetica" w:hAnsi="helvetica"/>
          <w:sz w:val="20"/>
        </w:rPr>
        <w:t>On April 1, 2012, the Board of Directors approved the grant to director Dr. Jeffrey Abrams, in consideration of his service as a director of the Company during 2011 and 2012, of an option to purchase up to 60,000 shares of common stock under the 2007 Plan.  The option has an exercise price of $4.50 per share and a term of ten years, and vests in equal monthly installments over a one year period.</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08" w:name="TAB216"/>
      <w:bookmarkEnd w:id="808"/>
      <w:r>
        <w:rPr>
          <w:rFonts w:ascii="helvetica" w:hAnsi="helvetica"/>
          <w:spacing w:val="180"/>
          <w:sz w:val="20"/>
        </w:rPr>
        <w:t> </w:t>
      </w:r>
      <w:r>
        <w:rPr>
          <w:rFonts w:ascii="helvetica" w:hAnsi="helvetica"/>
          <w:sz w:val="20"/>
        </w:rPr>
        <w:t>On July 26, 2012, in connection with his appointment as a director, the Board of Directors granted to Mr. Austin an option to purchase up to 17,123 shares of our common stock under the 2007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w:t>
      </w:r>
    </w:p>
    <w:p>
      <w:pPr>
        <w:pStyle w:val="TextBody"/>
        <w:spacing w:before="0" w:after="0"/>
        <w:ind w:left="0" w:right="0" w:hanging="0"/>
        <w:jc w:val="left"/>
        <w:rPr/>
      </w:pPr>
      <w:r>
        <w:rPr/>
        <w:t> </w:t>
      </w:r>
    </w:p>
    <w:p>
      <w:pPr>
        <w:pStyle w:val="TextBody"/>
        <w:spacing w:before="0" w:after="0"/>
        <w:ind w:left="0" w:right="0" w:firstLine="1080"/>
        <w:jc w:val="left"/>
        <w:rPr>
          <w:rFonts w:ascii="helvetica" w:hAnsi="helvetica"/>
          <w:sz w:val="20"/>
        </w:rPr>
      </w:pPr>
      <w:r>
        <w:rPr>
          <w:rFonts w:ascii="helvetica" w:hAnsi="helvetica"/>
          <w:sz w:val="20"/>
        </w:rPr>
        <w:t>·</w:t>
      </w:r>
      <w:bookmarkStart w:id="809" w:name="TAB217"/>
      <w:bookmarkEnd w:id="809"/>
      <w:r>
        <w:rPr>
          <w:rFonts w:ascii="helvetica" w:hAnsi="helvetica"/>
          <w:spacing w:val="180"/>
          <w:sz w:val="20"/>
        </w:rPr>
        <w:t> </w:t>
      </w:r>
      <w:r>
        <w:rPr>
          <w:rFonts w:ascii="helvetica" w:hAnsi="helvetica"/>
          <w:sz w:val="20"/>
        </w:rPr>
        <w:t>On December 14, 2012, in connection with his appointment as a director, the Board of Directors granted to Mr. Bassani an option to purchase up to 7,603 shares of our common stock under the 2007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Director Compensation Table</w:t>
      </w:r>
    </w:p>
    <w:p>
      <w:pPr>
        <w:pStyle w:val="TextBody"/>
        <w:spacing w:before="0" w:after="0"/>
        <w:ind w:left="0" w:right="0" w:hanging="0"/>
        <w:jc w:val="left"/>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shows the compensation paid in fiscal 2012 to our non-employee directors.  All compensation received by directors Dr. Brar and Mr. Baum, including compensation received by them for services as a director, is disclosed in the Summary Compensation Table.</w:t>
      </w:r>
    </w:p>
    <w:p>
      <w:pPr>
        <w:pStyle w:val="TextBody"/>
        <w:spacing w:before="0" w:after="0"/>
        <w:ind w:left="0" w:right="0" w:firstLine="720"/>
        <w:jc w:val="left"/>
        <w:rPr/>
      </w:pPr>
      <w:r>
        <w:rPr/>
        <w:t> </w:t>
      </w:r>
    </w:p>
    <w:tbl>
      <w:tblPr>
        <w:tblW w:w="5000" w:type="pct"/>
        <w:jc w:val="left"/>
        <w:tblInd w:w="0" w:type="dxa"/>
        <w:tblCellMar>
          <w:top w:w="0" w:type="dxa"/>
          <w:left w:w="0" w:type="dxa"/>
          <w:bottom w:w="28" w:type="dxa"/>
          <w:right w:w="0" w:type="dxa"/>
        </w:tblCellMar>
      </w:tblPr>
      <w:tblGrid>
        <w:gridCol w:w="3755"/>
        <w:gridCol w:w="108"/>
        <w:gridCol w:w="162"/>
        <w:gridCol w:w="1026"/>
        <w:gridCol w:w="262"/>
        <w:gridCol w:w="108"/>
        <w:gridCol w:w="162"/>
        <w:gridCol w:w="1114"/>
        <w:gridCol w:w="262"/>
        <w:gridCol w:w="108"/>
        <w:gridCol w:w="162"/>
        <w:gridCol w:w="1113"/>
        <w:gridCol w:w="350"/>
        <w:gridCol w:w="108"/>
        <w:gridCol w:w="162"/>
        <w:gridCol w:w="1114"/>
        <w:gridCol w:w="129"/>
      </w:tblGrid>
      <w:tr>
        <w:trPr/>
        <w:tc>
          <w:tcPr>
            <w:tcW w:w="3755"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108" w:type="dxa"/>
            <w:tcBorders/>
            <w:shd w:fill="auto" w:val="clear"/>
            <w:tcMar>
              <w:bottom w:w="0" w:type="dxa"/>
            </w:tcMar>
            <w:vAlign w:val="bottom"/>
          </w:tcPr>
          <w:p>
            <w:pPr>
              <w:pStyle w:val="TableContents"/>
              <w:spacing w:before="0" w:after="283"/>
              <w:rPr/>
            </w:pPr>
            <w:r>
              <w:rPr/>
              <w:t> </w:t>
            </w:r>
          </w:p>
        </w:tc>
        <w:tc>
          <w:tcPr>
            <w:tcW w:w="1188"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Fees Earned or Paid in Cash</w:t>
            </w:r>
          </w:p>
        </w:tc>
        <w:tc>
          <w:tcPr>
            <w:tcW w:w="262"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 Awards(1)(3)</w:t>
            </w:r>
          </w:p>
        </w:tc>
        <w:tc>
          <w:tcPr>
            <w:tcW w:w="262"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5"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Option Awards (2)(3)</w:t>
            </w:r>
          </w:p>
        </w:tc>
        <w:tc>
          <w:tcPr>
            <w:tcW w:w="350"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276"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9" w:type="dxa"/>
            <w:tcBorders/>
            <w:shd w:fill="auto"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269,444</w:t>
            </w:r>
          </w:p>
        </w:tc>
        <w:tc>
          <w:tcPr>
            <w:tcW w:w="2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(4)</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381,578</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(5)</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651,022</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55"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Paul Finnegan, M.D.</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18,000</w:t>
            </w:r>
          </w:p>
        </w:tc>
        <w:tc>
          <w:tcPr>
            <w:tcW w:w="2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(6)</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450,325</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(7)</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468,325</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381,480</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(8)</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381,480</w:t>
            </w:r>
          </w:p>
        </w:tc>
        <w:tc>
          <w:tcPr>
            <w:tcW w:w="129" w:type="dxa"/>
            <w:tcBorders/>
            <w:shd w:fill="CCEEFF" w:val="clear"/>
            <w:tcMar>
              <w:bottom w:w="0" w:type="dxa"/>
            </w:tcMar>
            <w:vAlign w:val="bottom"/>
          </w:tcPr>
          <w:p>
            <w:pPr>
              <w:pStyle w:val="TableContents"/>
              <w:spacing w:before="0" w:after="283"/>
              <w:jc w:val="left"/>
              <w:rPr/>
            </w:pPr>
            <w:r>
              <w:rPr/>
              <w:t> </w:t>
            </w:r>
          </w:p>
        </w:tc>
      </w:tr>
      <w:tr>
        <w:trPr/>
        <w:tc>
          <w:tcPr>
            <w:tcW w:w="3755"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12,500</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58,099</w:t>
            </w:r>
          </w:p>
        </w:tc>
        <w:tc>
          <w:tcPr>
            <w:tcW w:w="350"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(9)</w:t>
            </w:r>
          </w:p>
        </w:tc>
        <w:tc>
          <w:tcPr>
            <w:tcW w:w="108" w:type="dxa"/>
            <w:tcBorders/>
            <w:shd w:fill="FFFFFF" w:val="clear"/>
            <w:tcMar>
              <w:bottom w:w="0" w:type="dxa"/>
            </w:tcMar>
            <w:vAlign w:val="bottom"/>
          </w:tcPr>
          <w:p>
            <w:pPr>
              <w:pStyle w:val="TableContents"/>
              <w:spacing w:before="0" w:after="283"/>
              <w:rPr/>
            </w:pPr>
            <w:r>
              <w:rPr/>
              <w:t> </w:t>
            </w:r>
          </w:p>
        </w:tc>
        <w:tc>
          <w:tcPr>
            <w:tcW w:w="162" w:type="dxa"/>
            <w:tcBorders/>
            <w:shd w:fill="FFFF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70,599</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3755"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6"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2"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3"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81,627</w:t>
            </w:r>
          </w:p>
        </w:tc>
        <w:tc>
          <w:tcPr>
            <w:tcW w:w="350"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(10)</w:t>
            </w:r>
          </w:p>
        </w:tc>
        <w:tc>
          <w:tcPr>
            <w:tcW w:w="108" w:type="dxa"/>
            <w:tcBorders/>
            <w:shd w:fill="CCEEFF" w:val="clear"/>
            <w:tcMar>
              <w:bottom w:w="0" w:type="dxa"/>
            </w:tcMar>
            <w:vAlign w:val="bottom"/>
          </w:tcPr>
          <w:p>
            <w:pPr>
              <w:pStyle w:val="TableContents"/>
              <w:spacing w:before="0" w:after="283"/>
              <w:rPr/>
            </w:pPr>
            <w:r>
              <w:rPr/>
              <w:t> </w:t>
            </w:r>
          </w:p>
        </w:tc>
        <w:tc>
          <w:tcPr>
            <w:tcW w:w="162" w:type="dxa"/>
            <w:tcBorders/>
            <w:shd w:fill="CCEEFF" w:val="clear"/>
            <w:tcMar>
              <w:bottom w:w="0"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81,627</w:t>
            </w:r>
          </w:p>
        </w:tc>
        <w:tc>
          <w:tcPr>
            <w:tcW w:w="12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10" w:name="PGBRK65"/>
      <w:bookmarkStart w:id="811" w:name="PGBRK65"/>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2" w:name="FTR65"/>
      <w:bookmarkStart w:id="813" w:name="FTR65"/>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4" w:name="GLFTR65"/>
      <w:bookmarkEnd w:id="8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15" w:name="PN65"/>
      <w:bookmarkEnd w:id="815"/>
      <w:r>
        <w:rPr>
          <w:rFonts w:ascii="helvetica" w:hAnsi="helvetica"/>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16" w:name="HDR65"/>
      <w:bookmarkStart w:id="817" w:name="HDR65"/>
      <w:bookmarkEnd w:id="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8" w:name="GLHDR65"/>
      <w:bookmarkEnd w:id="8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(2)</w:t>
            </w:r>
          </w:p>
        </w:tc>
        <w:tc>
          <w:tcPr>
            <w:tcW w:w="989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(3)</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The aggregate number of stock and option awards outstanding as of December 31, 2012 for each non-employee director are as follows:</w:t>
            </w:r>
          </w:p>
        </w:tc>
      </w:tr>
    </w:tbl>
    <w:p>
      <w:pPr>
        <w:pStyle w:val="TextBody"/>
        <w:spacing w:before="0" w:after="0"/>
        <w:ind w:left="0" w:right="0" w:hanging="0"/>
        <w:jc w:val="left"/>
        <w:rPr/>
      </w:pPr>
      <w:r>
        <w:rPr/>
        <w:t> </w:t>
      </w:r>
    </w:p>
    <w:tbl>
      <w:tblPr>
        <w:tblW w:w="4000" w:type="pct"/>
        <w:jc w:val="left"/>
        <w:tblInd w:w="540" w:type="dxa"/>
        <w:tblCellMar>
          <w:top w:w="0" w:type="dxa"/>
          <w:left w:w="0" w:type="dxa"/>
          <w:bottom w:w="28" w:type="dxa"/>
          <w:right w:w="0" w:type="dxa"/>
        </w:tblCellMar>
      </w:tblPr>
      <w:tblGrid>
        <w:gridCol w:w="4756"/>
        <w:gridCol w:w="88"/>
        <w:gridCol w:w="90"/>
        <w:gridCol w:w="879"/>
        <w:gridCol w:w="87"/>
        <w:gridCol w:w="88"/>
        <w:gridCol w:w="94"/>
        <w:gridCol w:w="875"/>
        <w:gridCol w:w="88"/>
        <w:gridCol w:w="87"/>
        <w:gridCol w:w="88"/>
        <w:gridCol w:w="844"/>
        <w:gridCol w:w="100"/>
      </w:tblGrid>
      <w:tr>
        <w:trPr/>
        <w:tc>
          <w:tcPr>
            <w:tcW w:w="4756" w:type="dxa"/>
            <w:tcBorders>
              <w:bottom w:val="single" w:sz="12" w:space="0" w:color="000000"/>
            </w:tcBorders>
            <w:shd w:fill="auto" w:val="clear"/>
            <w:vAlign w:val="bottom"/>
          </w:tcPr>
          <w:p>
            <w:pPr>
              <w:pStyle w:val="TableContents"/>
              <w:spacing w:before="0" w:after="0"/>
              <w:ind w:left="0" w:right="0" w:hanging="0"/>
              <w:jc w:val="left"/>
              <w:rPr>
                <w:rFonts w:ascii="helvetica" w:hAnsi="helvetica"/>
                <w:b/>
                <w:sz w:val="16"/>
              </w:rPr>
            </w:pPr>
            <w:r>
              <w:rPr>
                <w:rFonts w:ascii="helvetica" w:hAnsi="helvetica"/>
                <w:b/>
                <w:sz w:val="16"/>
              </w:rPr>
              <w:t>Name</w:t>
            </w:r>
          </w:p>
        </w:tc>
        <w:tc>
          <w:tcPr>
            <w:tcW w:w="88" w:type="dxa"/>
            <w:tcBorders/>
            <w:shd w:fill="auto" w:val="clear"/>
            <w:tcMar>
              <w:bottom w:w="0" w:type="dxa"/>
            </w:tcMar>
            <w:vAlign w:val="bottom"/>
          </w:tcPr>
          <w:p>
            <w:pPr>
              <w:pStyle w:val="TableContents"/>
              <w:spacing w:before="0" w:after="283"/>
              <w:rPr/>
            </w:pPr>
            <w:r>
              <w:rPr/>
              <w:t> </w:t>
            </w:r>
          </w:p>
        </w:tc>
        <w:tc>
          <w:tcPr>
            <w:tcW w:w="969"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Shares Underlying Options Awards</w:t>
            </w:r>
          </w:p>
        </w:tc>
        <w:tc>
          <w:tcPr>
            <w:tcW w:w="87" w:type="dxa"/>
            <w:tcBorders/>
            <w:shd w:fill="auto" w:val="clear"/>
            <w:tcMar>
              <w:bottom w:w="0" w:type="dxa"/>
            </w:tcMar>
            <w:vAlign w:val="bottom"/>
          </w:tcPr>
          <w:p>
            <w:pPr>
              <w:pStyle w:val="TableContents"/>
              <w:spacing w:before="0" w:after="283"/>
              <w:jc w:val="left"/>
              <w:rPr/>
            </w:pPr>
            <w:r>
              <w:rPr/>
              <w:t> </w:t>
            </w:r>
          </w:p>
        </w:tc>
        <w:tc>
          <w:tcPr>
            <w:tcW w:w="88" w:type="dxa"/>
            <w:tcBorders/>
            <w:shd w:fill="auto" w:val="clear"/>
            <w:tcMar>
              <w:bottom w:w="0" w:type="dxa"/>
            </w:tcMar>
            <w:vAlign w:val="bottom"/>
          </w:tcPr>
          <w:p>
            <w:pPr>
              <w:pStyle w:val="TableContents"/>
              <w:spacing w:before="0" w:after="283"/>
              <w:rPr/>
            </w:pPr>
            <w:r>
              <w:rPr/>
              <w:t> </w:t>
            </w:r>
          </w:p>
        </w:tc>
        <w:tc>
          <w:tcPr>
            <w:tcW w:w="969"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Shares Underlying Stock Awards</w:t>
            </w:r>
          </w:p>
        </w:tc>
        <w:tc>
          <w:tcPr>
            <w:tcW w:w="88" w:type="dxa"/>
            <w:tcBorders/>
            <w:shd w:fill="auto" w:val="clear"/>
            <w:tcMar>
              <w:bottom w:w="0" w:type="dxa"/>
            </w:tcMar>
            <w:vAlign w:val="bottom"/>
          </w:tcPr>
          <w:p>
            <w:pPr>
              <w:pStyle w:val="TableContents"/>
              <w:spacing w:before="0" w:after="283"/>
              <w:jc w:val="left"/>
              <w:rPr/>
            </w:pPr>
            <w:r>
              <w:rPr/>
              <w:t> </w:t>
            </w:r>
          </w:p>
        </w:tc>
        <w:tc>
          <w:tcPr>
            <w:tcW w:w="87" w:type="dxa"/>
            <w:tcBorders/>
            <w:shd w:fill="auto" w:val="clear"/>
            <w:tcMar>
              <w:bottom w:w="0" w:type="dxa"/>
            </w:tcMar>
            <w:vAlign w:val="bottom"/>
          </w:tcPr>
          <w:p>
            <w:pPr>
              <w:pStyle w:val="TableContents"/>
              <w:spacing w:before="0" w:after="283"/>
              <w:rPr/>
            </w:pPr>
            <w:r>
              <w:rPr/>
              <w:t> </w:t>
            </w:r>
          </w:p>
        </w:tc>
        <w:tc>
          <w:tcPr>
            <w:tcW w:w="932" w:type="dxa"/>
            <w:gridSpan w:val="2"/>
            <w:tcBorders>
              <w:bottom w:val="single" w:sz="12" w:space="0" w:color="000000"/>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00" w:type="dxa"/>
            <w:tcBorders/>
            <w:shd w:fill="auto"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85,000</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60,000</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145,000</w:t>
            </w:r>
          </w:p>
        </w:tc>
        <w:tc>
          <w:tcPr>
            <w:tcW w:w="100" w:type="dxa"/>
            <w:tcBorders/>
            <w:shd w:fill="CCEEFF" w:val="clear"/>
            <w:tcMar>
              <w:bottom w:w="0" w:type="dxa"/>
            </w:tcMar>
            <w:vAlign w:val="bottom"/>
          </w:tcPr>
          <w:p>
            <w:pPr>
              <w:pStyle w:val="TableContents"/>
              <w:spacing w:before="0" w:after="283"/>
              <w:jc w:val="left"/>
              <w:rPr/>
            </w:pPr>
            <w:r>
              <w:rPr/>
              <w:t> </w:t>
            </w:r>
          </w:p>
        </w:tc>
      </w:tr>
      <w:tr>
        <w:trPr/>
        <w:tc>
          <w:tcPr>
            <w:tcW w:w="4756"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Paul Finnegan, M.D.</w:t>
            </w:r>
          </w:p>
        </w:tc>
        <w:tc>
          <w:tcPr>
            <w:tcW w:w="88" w:type="dxa"/>
            <w:tcBorders/>
            <w:shd w:fill="FFFFFF" w:val="clear"/>
            <w:tcMar>
              <w:bottom w:w="0" w:type="dxa"/>
            </w:tcMar>
            <w:vAlign w:val="bottom"/>
          </w:tcPr>
          <w:p>
            <w:pPr>
              <w:pStyle w:val="TableContents"/>
              <w:spacing w:before="0" w:after="283"/>
              <w:jc w:val="left"/>
              <w:rPr/>
            </w:pPr>
            <w:r>
              <w:rPr/>
              <w:t> </w:t>
            </w:r>
          </w:p>
        </w:tc>
        <w:tc>
          <w:tcPr>
            <w:tcW w:w="90" w:type="dxa"/>
            <w:tcBorders/>
            <w:shd w:fill="FFFFFF" w:val="clear"/>
            <w:tcMar>
              <w:bottom w:w="0" w:type="dxa"/>
            </w:tcMar>
            <w:vAlign w:val="bottom"/>
          </w:tcPr>
          <w:p>
            <w:pPr>
              <w:pStyle w:val="TableContents"/>
              <w:spacing w:before="0" w:after="283"/>
              <w:jc w:val="left"/>
              <w:rPr/>
            </w:pPr>
            <w:r>
              <w:rPr/>
              <w:t> </w:t>
            </w:r>
          </w:p>
        </w:tc>
        <w:tc>
          <w:tcPr>
            <w:tcW w:w="87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150,000</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87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84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150,000</w:t>
            </w:r>
          </w:p>
        </w:tc>
        <w:tc>
          <w:tcPr>
            <w:tcW w:w="100" w:type="dxa"/>
            <w:tcBorders/>
            <w:shd w:fill="FFFFFF"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Jeffrey J. Abrams, M.D.</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87,250</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87,250</w:t>
            </w:r>
          </w:p>
        </w:tc>
        <w:tc>
          <w:tcPr>
            <w:tcW w:w="100" w:type="dxa"/>
            <w:tcBorders/>
            <w:shd w:fill="CCEEFF" w:val="clear"/>
            <w:tcMar>
              <w:bottom w:w="0" w:type="dxa"/>
            </w:tcMar>
            <w:vAlign w:val="bottom"/>
          </w:tcPr>
          <w:p>
            <w:pPr>
              <w:pStyle w:val="TableContents"/>
              <w:spacing w:before="0" w:after="283"/>
              <w:jc w:val="left"/>
              <w:rPr/>
            </w:pPr>
            <w:r>
              <w:rPr/>
              <w:t> </w:t>
            </w:r>
          </w:p>
        </w:tc>
      </w:tr>
      <w:tr>
        <w:trPr/>
        <w:tc>
          <w:tcPr>
            <w:tcW w:w="4756" w:type="dxa"/>
            <w:tcBorders/>
            <w:shd w:fill="FFFF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w:t>
            </w:r>
          </w:p>
        </w:tc>
        <w:tc>
          <w:tcPr>
            <w:tcW w:w="88" w:type="dxa"/>
            <w:tcBorders/>
            <w:shd w:fill="FFFFFF" w:val="clear"/>
            <w:tcMar>
              <w:bottom w:w="0" w:type="dxa"/>
            </w:tcMar>
            <w:vAlign w:val="bottom"/>
          </w:tcPr>
          <w:p>
            <w:pPr>
              <w:pStyle w:val="TableContents"/>
              <w:spacing w:before="0" w:after="283"/>
              <w:jc w:val="left"/>
              <w:rPr/>
            </w:pPr>
            <w:r>
              <w:rPr/>
              <w:t> </w:t>
            </w:r>
          </w:p>
        </w:tc>
        <w:tc>
          <w:tcPr>
            <w:tcW w:w="90" w:type="dxa"/>
            <w:tcBorders/>
            <w:shd w:fill="FFFFFF" w:val="clear"/>
            <w:tcMar>
              <w:bottom w:w="0" w:type="dxa"/>
            </w:tcMar>
            <w:vAlign w:val="bottom"/>
          </w:tcPr>
          <w:p>
            <w:pPr>
              <w:pStyle w:val="TableContents"/>
              <w:spacing w:before="0" w:after="283"/>
              <w:jc w:val="left"/>
              <w:rPr/>
            </w:pPr>
            <w:r>
              <w:rPr/>
              <w:t> </w:t>
            </w:r>
          </w:p>
        </w:tc>
        <w:tc>
          <w:tcPr>
            <w:tcW w:w="879"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17,123</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875"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FFFFFF" w:val="clear"/>
            <w:tcMar>
              <w:bottom w:w="0" w:type="dxa"/>
            </w:tcMar>
            <w:vAlign w:val="bottom"/>
          </w:tcPr>
          <w:p>
            <w:pPr>
              <w:pStyle w:val="TableContents"/>
              <w:spacing w:before="0" w:after="283"/>
              <w:jc w:val="left"/>
              <w:rPr/>
            </w:pPr>
            <w:r>
              <w:rPr/>
              <w:t> </w:t>
            </w:r>
          </w:p>
        </w:tc>
        <w:tc>
          <w:tcPr>
            <w:tcW w:w="87" w:type="dxa"/>
            <w:tcBorders/>
            <w:shd w:fill="FFFFFF" w:val="clear"/>
            <w:tcMar>
              <w:bottom w:w="0" w:type="dxa"/>
            </w:tcMar>
            <w:vAlign w:val="bottom"/>
          </w:tcPr>
          <w:p>
            <w:pPr>
              <w:pStyle w:val="TableContents"/>
              <w:spacing w:before="0" w:after="283"/>
              <w:jc w:val="left"/>
              <w:rPr/>
            </w:pPr>
            <w:r>
              <w:rPr/>
              <w:t> </w:t>
            </w:r>
          </w:p>
        </w:tc>
        <w:tc>
          <w:tcPr>
            <w:tcW w:w="88" w:type="dxa"/>
            <w:tcBorders/>
            <w:shd w:fill="FFFFFF" w:val="clear"/>
            <w:tcMar>
              <w:bottom w:w="0" w:type="dxa"/>
            </w:tcMar>
            <w:vAlign w:val="bottom"/>
          </w:tcPr>
          <w:p>
            <w:pPr>
              <w:pStyle w:val="TableContents"/>
              <w:spacing w:before="0" w:after="283"/>
              <w:jc w:val="left"/>
              <w:rPr/>
            </w:pPr>
            <w:r>
              <w:rPr/>
              <w:t> </w:t>
            </w:r>
          </w:p>
        </w:tc>
        <w:tc>
          <w:tcPr>
            <w:tcW w:w="844" w:type="dxa"/>
            <w:tcBorders/>
            <w:shd w:fill="FFFF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17,123</w:t>
            </w:r>
          </w:p>
        </w:tc>
        <w:tc>
          <w:tcPr>
            <w:tcW w:w="100" w:type="dxa"/>
            <w:tcBorders/>
            <w:shd w:fill="FFFFFF" w:val="clear"/>
            <w:tcMar>
              <w:bottom w:w="0" w:type="dxa"/>
            </w:tcMar>
            <w:vAlign w:val="bottom"/>
          </w:tcPr>
          <w:p>
            <w:pPr>
              <w:pStyle w:val="TableContents"/>
              <w:spacing w:before="0" w:after="283"/>
              <w:jc w:val="left"/>
              <w:rPr/>
            </w:pPr>
            <w:r>
              <w:rPr/>
              <w:t> </w:t>
            </w:r>
          </w:p>
        </w:tc>
      </w:tr>
      <w:tr>
        <w:trPr/>
        <w:tc>
          <w:tcPr>
            <w:tcW w:w="4756" w:type="dxa"/>
            <w:tcBorders/>
            <w:shd w:fill="CCEEFF" w:val="clear"/>
            <w:tcMar>
              <w:bottom w:w="0" w:type="dxa"/>
            </w:tcM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w:t>
            </w:r>
          </w:p>
        </w:tc>
        <w:tc>
          <w:tcPr>
            <w:tcW w:w="88" w:type="dxa"/>
            <w:tcBorders/>
            <w:shd w:fill="CCEEFF" w:val="clear"/>
            <w:tcMar>
              <w:bottom w:w="0" w:type="dxa"/>
            </w:tcMar>
            <w:vAlign w:val="bottom"/>
          </w:tcPr>
          <w:p>
            <w:pPr>
              <w:pStyle w:val="TableContents"/>
              <w:spacing w:before="0" w:after="283"/>
              <w:jc w:val="left"/>
              <w:rPr/>
            </w:pPr>
            <w:r>
              <w:rPr/>
              <w:t> </w:t>
            </w:r>
          </w:p>
        </w:tc>
        <w:tc>
          <w:tcPr>
            <w:tcW w:w="90" w:type="dxa"/>
            <w:tcBorders/>
            <w:shd w:fill="CCEEFF" w:val="clear"/>
            <w:tcMar>
              <w:bottom w:w="0" w:type="dxa"/>
            </w:tcMar>
            <w:vAlign w:val="bottom"/>
          </w:tcPr>
          <w:p>
            <w:pPr>
              <w:pStyle w:val="TableContents"/>
              <w:spacing w:before="0" w:after="283"/>
              <w:jc w:val="left"/>
              <w:rPr/>
            </w:pPr>
            <w:r>
              <w:rPr/>
              <w:t> </w:t>
            </w:r>
          </w:p>
        </w:tc>
        <w:tc>
          <w:tcPr>
            <w:tcW w:w="879"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7,603</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875"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8" w:type="dxa"/>
            <w:tcBorders/>
            <w:shd w:fill="CCEEFF" w:val="clear"/>
            <w:tcMar>
              <w:bottom w:w="0" w:type="dxa"/>
            </w:tcMar>
            <w:vAlign w:val="bottom"/>
          </w:tcPr>
          <w:p>
            <w:pPr>
              <w:pStyle w:val="TableContents"/>
              <w:spacing w:before="0" w:after="283"/>
              <w:jc w:val="left"/>
              <w:rPr/>
            </w:pPr>
            <w:r>
              <w:rPr/>
              <w:t> </w:t>
            </w:r>
          </w:p>
        </w:tc>
        <w:tc>
          <w:tcPr>
            <w:tcW w:w="87" w:type="dxa"/>
            <w:tcBorders/>
            <w:shd w:fill="CCEEFF" w:val="clear"/>
            <w:tcMar>
              <w:bottom w:w="0" w:type="dxa"/>
            </w:tcMar>
            <w:vAlign w:val="bottom"/>
          </w:tcPr>
          <w:p>
            <w:pPr>
              <w:pStyle w:val="TableContents"/>
              <w:spacing w:before="0" w:after="283"/>
              <w:jc w:val="left"/>
              <w:rPr/>
            </w:pPr>
            <w:r>
              <w:rPr/>
              <w:t> </w:t>
            </w:r>
          </w:p>
        </w:tc>
        <w:tc>
          <w:tcPr>
            <w:tcW w:w="88" w:type="dxa"/>
            <w:tcBorders/>
            <w:shd w:fill="CCEEFF" w:val="clear"/>
            <w:tcMar>
              <w:bottom w:w="0" w:type="dxa"/>
            </w:tcMar>
            <w:vAlign w:val="bottom"/>
          </w:tcPr>
          <w:p>
            <w:pPr>
              <w:pStyle w:val="TableContents"/>
              <w:spacing w:before="0" w:after="283"/>
              <w:jc w:val="left"/>
              <w:rPr/>
            </w:pPr>
            <w:r>
              <w:rPr/>
              <w:t> </w:t>
            </w:r>
          </w:p>
        </w:tc>
        <w:tc>
          <w:tcPr>
            <w:tcW w:w="844" w:type="dxa"/>
            <w:tcBorders/>
            <w:shd w:fill="CCEEFF" w:val="clear"/>
            <w:tcMar>
              <w:bottom w:w="0" w:type="dxa"/>
            </w:tcMar>
            <w:vAlign w:val="bottom"/>
          </w:tcPr>
          <w:p>
            <w:pPr>
              <w:pStyle w:val="TableContents"/>
              <w:spacing w:before="0" w:after="283"/>
              <w:jc w:val="right"/>
              <w:rPr>
                <w:rFonts w:ascii="helvetica" w:hAnsi="helvetica"/>
                <w:sz w:val="20"/>
              </w:rPr>
            </w:pPr>
            <w:r>
              <w:rPr>
                <w:rFonts w:ascii="helvetica" w:hAnsi="helvetica"/>
                <w:sz w:val="20"/>
              </w:rPr>
              <w:t>7,603</w:t>
            </w:r>
          </w:p>
        </w:tc>
        <w:tc>
          <w:tcPr>
            <w:tcW w:w="10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(4)</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2007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(5)</w:t>
            </w:r>
          </w:p>
        </w:tc>
        <w:tc>
          <w:tcPr>
            <w:tcW w:w="989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a 2012 Director Option granted to Dr. Kammer, and (ii) an option to purchase up to 60,000 shares of common stock granted to Dr. Kammer on April 1, 2012 under the 2007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w:t>
            </w:r>
          </w:p>
        </w:tc>
        <w:tc>
          <w:tcPr>
            <w:tcW w:w="9901"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(7)</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a 2012 Director Option granted to Dr. Finnegan, and (ii) an option to purchase 125,000 shares of common stock at an exercise price of $3.20 per share granted to Dr. Finnegan on January 25, 2012 under the 2007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(8)</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(i) a 2012 Director Option granted to Dr. Abrams, and (ii) an option to purchase 60,000 shares of common stock granted to Dr. Abrams on April 1, 2012 under the 2007 Plan in consideration of his service as a director of the Company during 2011 and 2012, which option has an exercise price of $4.50 per share, a term of ten years, and vests in equal monthly installments over a one year period.  </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(9)</w:t>
            </w:r>
          </w:p>
        </w:tc>
        <w:tc>
          <w:tcPr>
            <w:tcW w:w="9900"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to purchase up to 17,123 shares of our common stock granted to Mr. Austin on August 26, 2012 under the 2007 Plan, as consideration for his service as a director. That option has an exercise price of $4.50 per share, a term of five years, and vests in equal monthly installments over a period of one year commencing on January 1, 2013.</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(10)</w:t>
            </w:r>
          </w:p>
        </w:tc>
        <w:tc>
          <w:tcPr>
            <w:tcW w:w="9896"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an option to purchase up to 7,603 shares of our common stock granted to Mr. Bassani on December 14, 2012 under the 2007 Plan, as consideration for his services as a director.  That option has an exercise price of $10.75 per share, has a term of five years, and vests monthly over a period of one year commencing on January 1, 2013.</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19" w:name="PGBRK66"/>
      <w:bookmarkStart w:id="820" w:name="PGBRK66"/>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21" w:name="FTR66"/>
      <w:bookmarkStart w:id="822" w:name="FTR66"/>
      <w:bookmarkEnd w:id="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3" w:name="GLFTR66"/>
      <w:bookmarkEnd w:id="8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24" w:name="PN66"/>
      <w:bookmarkEnd w:id="824"/>
      <w:r>
        <w:rPr>
          <w:rFonts w:ascii="helvetica" w:hAnsi="helvetica"/>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5" w:name="HDR66"/>
      <w:bookmarkEnd w:id="8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center"/>
        <w:rPr>
          <w:rFonts w:ascii="helvetica" w:hAnsi="helvetica"/>
          <w:b/>
          <w:sz w:val="20"/>
        </w:rPr>
      </w:pPr>
      <w:bookmarkStart w:id="826" w:name="TAB18"/>
      <w:bookmarkEnd w:id="826"/>
      <w:r>
        <w:rPr>
          <w:rFonts w:ascii="helvetica" w:hAnsi="helvetica"/>
          <w:b/>
          <w:sz w:val="20"/>
        </w:rPr>
        <w:t>CERTAIN RELATIONSHIPS AND RELATED TRANSACTIONS</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Transactions with Related Persons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the fiscal years ended December 31, 2012, 2011 and 2010, and through the date of this prospectus,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All information regarding share amounts of common stock and prices per share of common stock contained under the heading “Certain Relationship and Related Transactions” reflects the one-for-five reverse stock split effected on February 7, 2013.</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i/>
          <w:sz w:val="20"/>
        </w:rPr>
      </w:pPr>
      <w:r>
        <w:rPr>
          <w:rFonts w:ascii="helvetica" w:hAnsi="helvetica"/>
          <w:i/>
          <w:sz w:val="20"/>
        </w:rPr>
        <w:t>Secured Line of Credit</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i/>
          <w:sz w:val="20"/>
        </w:rPr>
      </w:pPr>
      <w:r>
        <w:rPr>
          <w:rFonts w:ascii="helvetica" w:hAnsi="helvetica"/>
          <w:i/>
          <w:sz w:val="20"/>
        </w:rPr>
        <w:t>7.5% Convertible Promissory Note</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left"/>
        <w:rPr/>
      </w:pPr>
      <w:r>
        <w:rPr/>
        <w:t> </w:t>
      </w:r>
    </w:p>
    <w:p>
      <w:pPr>
        <w:pStyle w:val="TextBody"/>
        <w:spacing w:before="0" w:after="0"/>
        <w:ind w:left="0" w:right="0" w:firstLine="720"/>
        <w:jc w:val="left"/>
        <w:rPr>
          <w:rFonts w:ascii="helvetica" w:hAnsi="helvetica"/>
          <w:sz w:val="20"/>
        </w:rPr>
      </w:pPr>
      <w:r>
        <w:rPr>
          <w:rFonts w:ascii="helvetica" w:hAnsi="helvetica"/>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charter of the Audit Committee of our Board tasks the Audit Committee with reviewing and overseeing all related party transactions for potential conflict of interest situations on an ongoing basis.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7" w:name="PGBRK67"/>
      <w:bookmarkStart w:id="828" w:name="PGBRK67"/>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9" w:name="FTR67"/>
      <w:bookmarkStart w:id="830" w:name="FTR67"/>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1" w:name="GLFTR67"/>
      <w:bookmarkEnd w:id="8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32" w:name="PN67"/>
      <w:bookmarkEnd w:id="832"/>
      <w:r>
        <w:rPr>
          <w:rFonts w:ascii="helvetica" w:hAnsi="helvetica"/>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3" w:name="HDR67"/>
      <w:bookmarkStart w:id="834" w:name="HDR67"/>
      <w:bookmarkEnd w:id="8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5" w:name="GLHDR66"/>
      <w:bookmarkEnd w:id="8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January 31, 2013.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reflects the one-for-five reverse stock split effected on February 7, 2013.</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798"/>
        <w:gridCol w:w="117"/>
        <w:gridCol w:w="117"/>
        <w:gridCol w:w="1275"/>
        <w:gridCol w:w="117"/>
        <w:gridCol w:w="117"/>
        <w:gridCol w:w="169"/>
        <w:gridCol w:w="1271"/>
        <w:gridCol w:w="224"/>
      </w:tblGrid>
      <w:tr>
        <w:trPr/>
        <w:tc>
          <w:tcPr>
            <w:tcW w:w="6798"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306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Amount and Nature of Beneficial Ownership</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0"/>
              <w:ind w:left="0" w:right="0" w:hanging="0"/>
              <w:jc w:val="left"/>
              <w:rPr>
                <w:rFonts w:ascii="helvetica" w:hAnsi="helvetica"/>
                <w:sz w:val="20"/>
                <w:u w:val="single"/>
              </w:rPr>
            </w:pPr>
            <w:r>
              <w:rPr>
                <w:rFonts w:ascii="helvetica" w:hAnsi="helvetica"/>
                <w:sz w:val="20"/>
                <w:u w:val="single"/>
              </w:rPr>
              <w:t>Beneficial Owner</w:t>
            </w:r>
          </w:p>
        </w:tc>
        <w:tc>
          <w:tcPr>
            <w:tcW w:w="117" w:type="dxa"/>
            <w:tcBorders/>
            <w:shd w:fill="auto" w:val="clear"/>
            <w:vAlign w:val="bottom"/>
          </w:tcPr>
          <w:p>
            <w:pPr>
              <w:pStyle w:val="TableContents"/>
              <w:spacing w:before="0" w:after="283"/>
              <w:rPr/>
            </w:pPr>
            <w:r>
              <w:rPr/>
              <w:t> </w:t>
            </w:r>
          </w:p>
        </w:tc>
        <w:tc>
          <w:tcPr>
            <w:tcW w:w="13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Number of Shares</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sz w:val="20"/>
              </w:rPr>
            </w:pPr>
            <w:r>
              <w:rPr>
                <w:rFonts w:ascii="helvetica" w:hAnsi="helvetica"/>
                <w:sz w:val="20"/>
              </w:rPr>
              <w:t>Percentage (1)</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392"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r>
      <w:tr>
        <w:trPr/>
        <w:tc>
          <w:tcPr>
            <w:tcW w:w="6798" w:type="dxa"/>
            <w:tcBorders/>
            <w:shd w:fill="auto" w:val="clear"/>
            <w:vAlign w:val="bottom"/>
          </w:tcPr>
          <w:p>
            <w:pPr>
              <w:pStyle w:val="TableContents"/>
              <w:spacing w:before="0" w:after="0"/>
              <w:ind w:left="0" w:right="0" w:hanging="0"/>
              <w:jc w:val="left"/>
              <w:rPr>
                <w:rFonts w:ascii="helvetica" w:hAnsi="helvetica"/>
                <w:i/>
                <w:sz w:val="20"/>
                <w:u w:val="single"/>
              </w:rPr>
            </w:pPr>
            <w:r>
              <w:rPr>
                <w:rFonts w:ascii="helvetica" w:hAnsi="helvetica"/>
                <w:i/>
                <w:sz w:val="20"/>
                <w:u w:val="single"/>
              </w:rPr>
              <w:t>5% + Stockholders</w:t>
            </w:r>
          </w:p>
        </w:tc>
        <w:tc>
          <w:tcPr>
            <w:tcW w:w="117" w:type="dxa"/>
            <w:tcBorders/>
            <w:shd w:fill="auto" w:val="clear"/>
            <w:vAlign w:val="bottom"/>
          </w:tcPr>
          <w:p>
            <w:pPr>
              <w:pStyle w:val="TableContents"/>
              <w:spacing w:before="0" w:after="283"/>
              <w:rPr/>
            </w:pPr>
            <w:r>
              <w:rPr/>
              <w:t> </w:t>
            </w:r>
          </w:p>
        </w:tc>
        <w:tc>
          <w:tcPr>
            <w:tcW w:w="1392"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Alexej Ladonnikov (2)</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396,831</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5.86</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W. Fish, Jr. (3)</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603,171</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8.89</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Don Miloni (4)</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1,243,513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18.13</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Professional Compounding Centers of America, Inc. (5)</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832,683</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12.30</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283"/>
              <w:rPr/>
            </w:pPr>
            <w:r>
              <w:rPr/>
              <w:t xml:space="preserve">  </w:t>
            </w:r>
          </w:p>
        </w:tc>
        <w:tc>
          <w:tcPr>
            <w:tcW w:w="11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i/>
                <w:sz w:val="20"/>
                <w:u w:val="single"/>
              </w:rPr>
            </w:pPr>
            <w:r>
              <w:rPr>
                <w:rFonts w:ascii="helvetica" w:hAnsi="helvetica"/>
                <w:i/>
                <w:sz w:val="20"/>
                <w:u w:val="single"/>
              </w:rPr>
              <w:t>Directors and Officers</w:t>
            </w:r>
          </w:p>
        </w:tc>
        <w:tc>
          <w:tcPr>
            <w:tcW w:w="117" w:type="dxa"/>
            <w:tcBorders/>
            <w:shd w:fill="FFFFFF" w:val="clear"/>
            <w:vAlign w:val="bottom"/>
          </w:tcPr>
          <w:p>
            <w:pPr>
              <w:pStyle w:val="TableContents"/>
              <w:spacing w:before="0" w:after="283"/>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pPr>
            <w:r>
              <w:rPr/>
              <w:t> </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Jeffery J. Abrams, M.D. (6)</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126,013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Mark L. Baum, Esq. (7)</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359,299</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5.16</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Andrew R. Boll (8)</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5,833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Bonfigilio</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469</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Balbir Brar, D.V.M., Ph.D. (9)</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106,954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1.56</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Paul Finnegan, M.D.  (10)</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125,000</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1.81</w:t>
            </w:r>
          </w:p>
        </w:tc>
        <w:tc>
          <w:tcPr>
            <w:tcW w:w="2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Robert J. Kammer, D.D.S.  (11)</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991,496</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14.43</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Stephen G. Austin, CPA (12)</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5,708</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August S. Bassani, Pharm.D. (14)</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2,534</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John Lomoro</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27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1,241</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shd w:fill="FFFFFF" w:val="clear"/>
            <w:vAlign w:val="bottom"/>
          </w:tcPr>
          <w:p>
            <w:pPr>
              <w:pStyle w:val="TableContents"/>
              <w:spacing w:before="0" w:after="283"/>
              <w:jc w:val="left"/>
              <w:rPr/>
            </w:pPr>
            <w:r>
              <w:rPr/>
              <w:t> </w:t>
            </w:r>
          </w:p>
        </w:tc>
        <w:tc>
          <w:tcPr>
            <w:tcW w:w="127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Terry Nida</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3,639</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CCEEFF" w:val="clear"/>
            <w:vAlign w:val="bottom"/>
          </w:tcPr>
          <w:p>
            <w:pPr>
              <w:pStyle w:val="TableContents"/>
              <w:spacing w:before="0" w:after="283"/>
              <w:jc w:val="left"/>
              <w:rPr/>
            </w:pPr>
            <w:r>
              <w:rPr/>
              <w:t> </w:t>
            </w:r>
          </w:p>
        </w:tc>
      </w:tr>
      <w:tr>
        <w:trPr/>
        <w:tc>
          <w:tcPr>
            <w:tcW w:w="679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Joachim Schupp, M.D.  (13)</w:t>
            </w:r>
          </w:p>
        </w:tc>
        <w:tc>
          <w:tcPr>
            <w:tcW w:w="117" w:type="dxa"/>
            <w:tcBorders/>
            <w:shd w:fill="FFFFFF" w:val="clear"/>
            <w:vAlign w:val="bottom"/>
          </w:tcPr>
          <w:p>
            <w:pPr>
              <w:pStyle w:val="TableContents"/>
              <w:spacing w:before="0" w:after="283"/>
              <w:jc w:val="right"/>
              <w:rPr/>
            </w:pPr>
            <w:r>
              <w:rPr/>
              <w:t> </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27,576</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jc w:val="right"/>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24" w:type="dxa"/>
            <w:tcBorders/>
            <w:shd w:fill="FFFFFF" w:val="clear"/>
            <w:vAlign w:val="bottom"/>
          </w:tcPr>
          <w:p>
            <w:pPr>
              <w:pStyle w:val="TableContents"/>
              <w:spacing w:before="0" w:after="283"/>
              <w:jc w:val="left"/>
              <w:rPr/>
            </w:pPr>
            <w:r>
              <w:rPr/>
              <w:t> </w:t>
            </w:r>
          </w:p>
        </w:tc>
      </w:tr>
      <w:tr>
        <w:trPr/>
        <w:tc>
          <w:tcPr>
            <w:tcW w:w="679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All current executives and directors as a group (9 persons)</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127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1,750,413</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127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23.62</w:t>
            </w:r>
          </w:p>
        </w:tc>
        <w:tc>
          <w:tcPr>
            <w:tcW w:w="2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6" w:name="PGBRK68"/>
      <w:bookmarkStart w:id="837" w:name="PGBRK68"/>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8" w:name="FTR68"/>
      <w:bookmarkStart w:id="839" w:name="FTR68"/>
      <w:bookmarkEnd w:id="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0" w:name="GLFTR68"/>
      <w:bookmarkEnd w:id="8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41" w:name="PN68"/>
      <w:bookmarkEnd w:id="841"/>
      <w:r>
        <w:rPr>
          <w:rFonts w:ascii="helvetica" w:hAnsi="helvetica"/>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842" w:name="HDR68"/>
      <w:bookmarkEnd w:id="842"/>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317"/>
        <w:gridCol w:w="25"/>
        <w:gridCol w:w="9863"/>
      </w:tblGrid>
      <w:tr>
        <w:trPr/>
        <w:tc>
          <w:tcPr>
            <w:tcW w:w="342"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w:t>
            </w:r>
          </w:p>
        </w:tc>
        <w:tc>
          <w:tcPr>
            <w:tcW w:w="986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Represents less than 1%.</w:t>
            </w:r>
          </w:p>
        </w:tc>
      </w:tr>
      <w:tr>
        <w:trPr/>
        <w:tc>
          <w:tcPr>
            <w:tcW w:w="342"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(1)</w:t>
            </w:r>
          </w:p>
        </w:tc>
        <w:tc>
          <w:tcPr>
            <w:tcW w:w="986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Applicable percentage ownership is based on 6,772,125 shares of our common stock outstanding as of January 31, 2013.  Shares of common stock subject to options or warrants and convertible notes subject to conversion into shares of our common stock currently exercisable or convertible, or exercisable or convertible within 60 days after January 31, 2013 are deemed outstanding for the purpose of computing the percentage ownership of the person holding such options, warrants or convertible notes, but are not deemed outstanding for computing the percentage ownership of any other person.</w:t>
            </w:r>
          </w:p>
        </w:tc>
      </w:tr>
      <w:tr>
        <w:trPr/>
        <w:tc>
          <w:tcPr>
            <w:tcW w:w="342"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(2)</w:t>
            </w:r>
          </w:p>
        </w:tc>
        <w:tc>
          <w:tcPr>
            <w:tcW w:w="9863"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The address for Mr. Ladonnikov is 13388 Surrey Lane, Saratoga, CA 95070.</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(3)</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Includes 10,190 shares of common stock issuable upon the exercise of warrants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(4)</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January 31, 2013 (of which Mr. Miloni holds warrants to acquire 15,282 shares, Mr. Miloni’s spouse holds warrants to acquire 6,329 shares, 1425 Greenwood Lane, LLC holds warrants to acquire 37,975 shares, and RCHER Financial, LLC holds warrants to acquire 25,730 shares).</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(5)</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The address for Professional Compounding Centers of America, Inc. is 9901 South Wilcrest Dr., Houston, TX 77099.</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(6)</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Jeffrey J. Abrams, M.D., a director, is a trustee of the Abrams Family Trust, which owns 39,063 shares of our common stock. Dr. Abrams has sole voting and investment control with respect to the shares of common stock owned by the Abrams Family Trust.  Includes 86,950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(7)</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Includes 187,500 shares of common stock issuable upon the exercise of stock options and 2,413 shares of common stock issuable upon the exercise of warrants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(8)</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Includes 5,833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(9)</w:t>
            </w:r>
          </w:p>
        </w:tc>
        <w:tc>
          <w:tcPr>
            <w:tcW w:w="9888" w:type="dxa"/>
            <w:gridSpan w:val="2"/>
            <w:tcBorders/>
            <w:shd w:fill="auto" w:val="clear"/>
          </w:tcPr>
          <w:p>
            <w:pPr>
              <w:pStyle w:val="TableContents"/>
              <w:spacing w:before="0" w:after="0"/>
              <w:ind w:left="0" w:right="0" w:hanging="0"/>
              <w:jc w:val="left"/>
              <w:rPr>
                <w:rFonts w:ascii="helvetica" w:hAnsi="helvetica"/>
                <w:sz w:val="20"/>
              </w:rPr>
            </w:pPr>
            <w:r>
              <w:rPr>
                <w:rFonts w:ascii="helvetica" w:hAnsi="helvetica"/>
                <w:sz w:val="20"/>
              </w:rPr>
              <w:t>Includes 93,750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(10)</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125,000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(11)</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20,000 shares of common stock to which Dr. Kammer is entitled for services performed under his advisory agreement, and 62,500 shares of common stock issuable upon the exercise of stock options and 15,282 shares of common stock issuable upon the exercise of warrants exercisable within 60 days of January 31, 2013. </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(12)</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5,708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(13)</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27,576 shares of common stock issuable upon the exercise of stock options exercisable within 60 days of January 31, 2013.</w:t>
            </w:r>
          </w:p>
        </w:tc>
      </w:tr>
      <w:tr>
        <w:trPr/>
        <w:tc>
          <w:tcPr>
            <w:tcW w:w="317"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(14)</w:t>
            </w:r>
          </w:p>
        </w:tc>
        <w:tc>
          <w:tcPr>
            <w:tcW w:w="9888" w:type="dxa"/>
            <w:gridSpan w:val="2"/>
            <w:tcBorders/>
            <w:shd w:fill="auto" w:val="clear"/>
          </w:tcPr>
          <w:p>
            <w:pPr>
              <w:pStyle w:val="TableContents"/>
              <w:spacing w:before="0" w:after="0"/>
              <w:ind w:left="0" w:right="0" w:hanging="0"/>
              <w:jc w:val="left"/>
              <w:rPr/>
            </w:pPr>
            <w:r>
              <w:rPr/>
              <w:t> </w:t>
            </w:r>
            <w:r>
              <w:rPr>
                <w:rFonts w:ascii="helvetica" w:hAnsi="helvetica"/>
                <w:sz w:val="20"/>
              </w:rPr>
              <w:t>Includes 2,534 shares of common stock issuable upon the exercise of stock options exercisable within 60 days of January 31, 2013.</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center"/>
        <w:rPr>
          <w:rFonts w:ascii="helvetica" w:hAnsi="helvetica"/>
          <w:b/>
          <w:sz w:val="20"/>
        </w:rPr>
      </w:pPr>
      <w:bookmarkStart w:id="843" w:name="TAB19"/>
      <w:bookmarkEnd w:id="843"/>
      <w:r>
        <w:rPr>
          <w:rFonts w:ascii="helvetica" w:hAnsi="helvetica"/>
          <w:b/>
          <w:sz w:val="20"/>
        </w:rPr>
        <w:t>LEGAL MATTERS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The validity of the common stock being offered hereby will be passed upon for us by Morrison &amp; Foerster LLP, San Diego, California.</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44" w:name="TAB110"/>
      <w:bookmarkEnd w:id="844"/>
      <w:r>
        <w:rPr>
          <w:rFonts w:ascii="helvetica" w:hAnsi="helvetica"/>
          <w:b/>
          <w:sz w:val="20"/>
        </w:rPr>
        <w:t>EXPERTS</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pStyle w:val="TextBody"/>
        <w:spacing w:before="0" w:after="0"/>
        <w:ind w:left="0" w:right="0" w:hanging="0"/>
        <w:jc w:val="both"/>
        <w:rPr/>
      </w:pPr>
      <w:r>
        <w:rPr/>
        <w:t> </w:t>
      </w:r>
    </w:p>
    <w:p>
      <w:pPr>
        <w:pStyle w:val="TextBody"/>
        <w:spacing w:before="0" w:after="0"/>
        <w:ind w:left="720" w:right="0" w:hanging="0"/>
        <w:jc w:val="center"/>
        <w:rPr>
          <w:rFonts w:ascii="helvetica" w:hAnsi="helvetica"/>
          <w:b/>
          <w:sz w:val="20"/>
        </w:rPr>
      </w:pPr>
      <w:bookmarkStart w:id="845" w:name="TAB111"/>
      <w:bookmarkEnd w:id="845"/>
      <w:r>
        <w:rPr>
          <w:rFonts w:ascii="helvetica" w:hAnsi="helvetica"/>
          <w:b/>
          <w:sz w:val="20"/>
        </w:rPr>
        <w:t>WHERE YOU CAN FIND MORE INFORMATION</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pStyle w:val="TextBody"/>
        <w:spacing w:before="0" w:after="0"/>
        <w:ind w:left="0" w:right="0" w:hanging="0"/>
        <w:jc w:val="both"/>
        <w:rPr/>
      </w:pPr>
      <w:r>
        <w:rPr/>
        <w:t> </w:t>
      </w:r>
    </w:p>
    <w:p>
      <w:pPr>
        <w:pStyle w:val="TextBody"/>
        <w:spacing w:before="0" w:after="0"/>
        <w:ind w:left="0" w:right="0" w:firstLine="720"/>
        <w:jc w:val="left"/>
        <w:rPr>
          <w:rFonts w:ascii="helvetica" w:hAnsi="helvetica"/>
          <w:sz w:val="20"/>
        </w:rPr>
      </w:pPr>
      <w:r>
        <w:rPr>
          <w:rFonts w:ascii="helvetica" w:hAnsi="helvetica"/>
          <w:sz w:val="20"/>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6" w:name="PGBRK69"/>
      <w:bookmarkStart w:id="847" w:name="PGBRK69"/>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8" w:name="FTR69"/>
      <w:bookmarkStart w:id="849" w:name="FTR69"/>
      <w:bookmarkEnd w:id="8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0" w:name="GLFTR69"/>
      <w:bookmarkEnd w:id="8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51" w:name="PN69"/>
      <w:bookmarkEnd w:id="851"/>
      <w:r>
        <w:rPr>
          <w:rFonts w:ascii="helvetica" w:hAnsi="helvetica"/>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2" w:name="HDR69"/>
      <w:bookmarkStart w:id="853" w:name="HDR69"/>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4" w:name="GLHDR67"/>
      <w:bookmarkEnd w:id="8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982"/>
        <w:gridCol w:w="101"/>
        <w:gridCol w:w="102"/>
        <w:gridCol w:w="918"/>
        <w:gridCol w:w="102"/>
      </w:tblGrid>
      <w:tr>
        <w:trPr/>
        <w:tc>
          <w:tcPr>
            <w:tcW w:w="8982"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0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Page</w:t>
            </w:r>
          </w:p>
        </w:tc>
        <w:tc>
          <w:tcPr>
            <w:tcW w:w="102" w:type="dxa"/>
            <w:tcBorders/>
            <w:shd w:fill="auto"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Condensed Consolidated Balance Sheets – September 30, 2012 (Unaudited) and December 31, 2011</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Operations for the three and nine months ended September 30, 2012 and 2011 and for the Period from July 24, 1998 (Inception) Through September 30, 2012</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F-3</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Unaudited Condensed Consolidated Statements of Cash Flows for the nine months ended September 30, 2012 and 2011 and for the Period from July 24, 1998 (Inception) Through September 30, 2012</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F-4</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to the Unaudited Condensed Consolidated Financial Statements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F-5</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sz w:val="20"/>
        </w:rPr>
      </w:pPr>
      <w:r>
        <w:rPr>
          <w:rFonts w:ascii="helvetica" w:hAnsi="helvetica"/>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Audited Consolidated Financial Statements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982"/>
        <w:gridCol w:w="102"/>
        <w:gridCol w:w="101"/>
        <w:gridCol w:w="918"/>
        <w:gridCol w:w="102"/>
      </w:tblGrid>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Report of Independent Registered Public Accounting Firm</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F-17</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Balance Sheets at December 31, 2011 and 2010</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F-18</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Operations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F-19</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Stockholders’ Deficit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F-20</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Consolidated Statements of Cash Flows for the Years Ended December 31, 2011 and 2010 and for the Period from July 24, 1998 (Inception) Through December 31, 2011</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F-21</w:t>
            </w:r>
          </w:p>
        </w:tc>
        <w:tc>
          <w:tcPr>
            <w:tcW w:w="102" w:type="dxa"/>
            <w:tcBorders/>
            <w:shd w:fill="CCEEFF" w:val="clear"/>
            <w:vAlign w:val="bottom"/>
          </w:tcPr>
          <w:p>
            <w:pPr>
              <w:pStyle w:val="TableContents"/>
              <w:spacing w:before="0" w:after="283"/>
              <w:jc w:val="left"/>
              <w:rPr/>
            </w:pPr>
            <w:r>
              <w:rPr/>
              <w:t> </w:t>
            </w:r>
          </w:p>
        </w:tc>
      </w:tr>
      <w:tr>
        <w:trPr/>
        <w:tc>
          <w:tcPr>
            <w:tcW w:w="8982"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2" w:type="dxa"/>
            <w:tcBorders/>
            <w:shd w:fill="CCEEFF" w:val="clear"/>
            <w:vAlign w:val="bottom"/>
          </w:tcPr>
          <w:p>
            <w:pPr>
              <w:pStyle w:val="TableContents"/>
              <w:spacing w:before="0" w:after="0"/>
              <w:ind w:left="0" w:right="16" w:hanging="0"/>
              <w:jc w:val="left"/>
              <w:rPr>
                <w:rFonts w:ascii="helvetica" w:hAnsi="helvetica"/>
                <w:sz w:val="20"/>
              </w:rPr>
            </w:pPr>
            <w:r>
              <w:rPr>
                <w:rFonts w:ascii="helvetica" w:hAnsi="helvetica"/>
                <w:sz w:val="20"/>
              </w:rPr>
              <w:t>Notes to the Consolidated Financial Statements</w:t>
            </w:r>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F-22</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5" w:name="PGBRK70"/>
      <w:bookmarkStart w:id="856" w:name="PGBRK70"/>
      <w:bookmarkEnd w:id="8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7" w:name="FTR70"/>
      <w:bookmarkStart w:id="858" w:name="FTR70"/>
      <w:bookmarkEnd w:id="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9" w:name="GLFTR70"/>
      <w:bookmarkEnd w:id="8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0" w:name="PN70"/>
      <w:bookmarkEnd w:id="860"/>
      <w:r>
        <w:rPr>
          <w:rFonts w:ascii="helvetica" w:hAnsi="helvetica"/>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1" w:name="HDR70"/>
      <w:bookmarkStart w:id="862" w:name="HDR70"/>
      <w:bookmarkEnd w:id="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3" w:name="GLHDR68"/>
      <w:bookmarkEnd w:id="8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01"/>
        <w:gridCol w:w="101"/>
        <w:gridCol w:w="125"/>
        <w:gridCol w:w="1103"/>
        <w:gridCol w:w="108"/>
        <w:gridCol w:w="101"/>
        <w:gridCol w:w="125"/>
        <w:gridCol w:w="1103"/>
        <w:gridCol w:w="108"/>
        <w:gridCol w:w="101"/>
        <w:gridCol w:w="101"/>
        <w:gridCol w:w="1107"/>
        <w:gridCol w:w="121"/>
      </w:tblGrid>
      <w:tr>
        <w:trPr/>
        <w:tc>
          <w:tcPr>
            <w:tcW w:w="5901"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p>
            <w:pPr>
              <w:pStyle w:val="TableContents"/>
              <w:spacing w:before="0" w:after="0"/>
              <w:ind w:left="0" w:right="0" w:hanging="0"/>
              <w:jc w:val="center"/>
              <w:rPr>
                <w:rFonts w:ascii="helvetica" w:hAnsi="helvetica"/>
                <w:b/>
                <w:sz w:val="16"/>
              </w:rPr>
            </w:pPr>
            <w:r>
              <w:rPr>
                <w:rFonts w:ascii="helvetica" w:hAnsi="helvetica"/>
                <w:b/>
                <w:sz w:val="16"/>
              </w:rPr>
              <w:t>2012</w:t>
            </w:r>
          </w:p>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Pro Forma Stockholder's Equity as of September 30,</w:t>
            </w:r>
          </w:p>
          <w:p>
            <w:pPr>
              <w:pStyle w:val="TableContents"/>
              <w:spacing w:before="0" w:after="0"/>
              <w:ind w:left="0" w:right="0" w:hanging="0"/>
              <w:jc w:val="center"/>
              <w:rPr>
                <w:rFonts w:ascii="helvetica" w:hAnsi="helvetica"/>
                <w:b/>
                <w:sz w:val="16"/>
              </w:rPr>
            </w:pPr>
            <w:r>
              <w:rPr>
                <w:rFonts w:ascii="helvetica" w:hAnsi="helvetica"/>
                <w:b/>
                <w:sz w:val="16"/>
              </w:rPr>
              <w:t>2012</w:t>
            </w:r>
          </w:p>
          <w:p>
            <w:pPr>
              <w:pStyle w:val="TableContents"/>
              <w:spacing w:before="0" w:after="0"/>
              <w:ind w:left="0" w:right="0" w:hanging="0"/>
              <w:jc w:val="center"/>
              <w:rPr>
                <w:rFonts w:ascii="helvetica" w:hAnsi="helvetica"/>
                <w:b/>
                <w:sz w:val="16"/>
              </w:rPr>
            </w:pPr>
            <w:r>
              <w:rPr>
                <w:rFonts w:ascii="helvetica" w:hAnsi="helvetica"/>
                <w:b/>
                <w:sz w:val="16"/>
              </w:rPr>
              <w:t>(unaudited)</w:t>
            </w:r>
          </w:p>
        </w:tc>
        <w:tc>
          <w:tcPr>
            <w:tcW w:w="121" w:type="dxa"/>
            <w:tcBorders/>
            <w:shd w:fill="auto" w:val="clear"/>
            <w:vAlign w:val="bottom"/>
          </w:tcPr>
          <w:p>
            <w:pPr>
              <w:pStyle w:val="TableContents"/>
              <w:spacing w:before="0" w:after="283"/>
              <w:jc w:val="left"/>
              <w:rPr/>
            </w:pPr>
            <w:r>
              <w:rPr/>
              <w:t> </w:t>
            </w:r>
          </w:p>
        </w:tc>
      </w:tr>
      <w:tr>
        <w:trPr/>
        <w:tc>
          <w:tcPr>
            <w:tcW w:w="590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ASSETS</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0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76,141</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383,746</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11,450,758</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13,218</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11,463,976</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bottom w:val="double" w:sz="8" w:space="0" w:color="000000"/>
            </w:tcBorders>
            <w:shd w:fill="FFFFFF" w:val="clear"/>
            <w:tcMar>
              <w:bottom w:w="28" w:type="dxa"/>
            </w:tcM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firstLine="540"/>
              <w:jc w:val="left"/>
              <w:rPr>
                <w:rFonts w:ascii="helvetica" w:hAnsi="helvetica"/>
                <w:sz w:val="20"/>
              </w:rPr>
            </w:pPr>
            <w:r>
              <w:rPr>
                <w:rFonts w:ascii="helvetica" w:hAnsi="helvetica"/>
                <w:sz w:val="20"/>
              </w:rPr>
              <w:t>LIABILITIES AND STOCKHOLDERS' EQUITY (DEFICIT)</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and accrued expenses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594,944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payroll</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19,115</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and accrued interest - related party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bottom w:val="single" w:sz="12" w:space="0" w:color="000000"/>
            </w:tcBorders>
            <w:shd w:fill="CCEEFF" w:val="clear"/>
            <w:tcMar>
              <w:bottom w:w="28" w:type="dxa"/>
            </w:tcM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669,843</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EQUITY (DEFICIT)</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08" w:type="dxa"/>
            <w:gridSpan w:val="2"/>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none and 10 shares issued and outstanding</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08" w:type="dxa"/>
            <w:gridSpan w:val="2"/>
            <w:tcBorders/>
            <w:shd w:fill="FFFFFF" w:val="clear"/>
            <w:vAlign w:val="bottom"/>
          </w:tcPr>
          <w:p>
            <w:pPr>
              <w:pStyle w:val="TableContents"/>
              <w:spacing w:before="0" w:after="283"/>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September 30, 2012 and December 31, 2011, respectively</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395,000,000 shares authorized,</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33,859,627 and 1,987,601 shares issued and outstanding</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September 30, 2012 and December 31, 2011, respectively</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33,860</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10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6,772</w:t>
            </w:r>
          </w:p>
        </w:tc>
        <w:tc>
          <w:tcPr>
            <w:tcW w:w="121" w:type="dxa"/>
            <w:tcBorders/>
            <w:shd w:fill="FFFFFF" w:val="clear"/>
            <w:vAlign w:val="bottom"/>
          </w:tcPr>
          <w:p>
            <w:pPr>
              <w:pStyle w:val="TableContents"/>
              <w:spacing w:before="0" w:after="283"/>
              <w:jc w:val="left"/>
              <w:rPr/>
            </w:pPr>
            <w:r>
              <w:rPr/>
              <w:t> </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paid-in capital</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33,411,513</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33,438,601</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0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0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EQUITY (DEFICIT)</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08"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0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 w:type="dxa"/>
            <w:tcBorders/>
            <w:shd w:fill="CCEEFF" w:val="clear"/>
            <w:vAlign w:val="bottom"/>
          </w:tcPr>
          <w:p>
            <w:pPr>
              <w:pStyle w:val="TableContents"/>
              <w:spacing w:before="0" w:after="283"/>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10,794,133</w:t>
            </w:r>
          </w:p>
        </w:tc>
        <w:tc>
          <w:tcPr>
            <w:tcW w:w="121" w:type="dxa"/>
            <w:tcBorders/>
            <w:shd w:fill="CCEEFF" w:val="clear"/>
            <w:vAlign w:val="bottom"/>
          </w:tcPr>
          <w:p>
            <w:pPr>
              <w:pStyle w:val="TableContents"/>
              <w:spacing w:before="0" w:after="283"/>
              <w:jc w:val="left"/>
              <w:rPr/>
            </w:pPr>
            <w:r>
              <w:rPr/>
              <w:t> </w:t>
            </w:r>
          </w:p>
        </w:tc>
      </w:tr>
      <w:tr>
        <w:trPr/>
        <w:tc>
          <w:tcPr>
            <w:tcW w:w="590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EQUITY (DEFICIT)</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11,463,976</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08"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7"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val="false"/>
          <w:sz w:val="20"/>
        </w:rPr>
      </w:pPr>
      <w:r>
        <w:rPr>
          <w:rFonts w:ascii="helvetica" w:hAnsi="helvetica"/>
          <w:b w:val="false"/>
          <w:sz w:val="20"/>
        </w:rPr>
        <w:t>The accompanying notes are an integral part of these unaudited condensed consolidated financial statements</w:t>
      </w:r>
    </w:p>
    <w:p>
      <w:pPr>
        <w:pStyle w:val="TextBody"/>
        <w:spacing w:before="0" w:after="0"/>
        <w:jc w:val="left"/>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4" w:name="PGBRK71"/>
      <w:bookmarkStart w:id="865" w:name="PGBRK71"/>
      <w:bookmarkEnd w:id="8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6" w:name="FTR71"/>
      <w:bookmarkStart w:id="867" w:name="FTR71"/>
      <w:bookmarkEnd w:id="8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8" w:name="GLFTR71"/>
      <w:bookmarkEnd w:id="8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69" w:name="PN71"/>
      <w:bookmarkEnd w:id="869"/>
      <w:r>
        <w:rPr>
          <w:rFonts w:ascii="helvetica" w:hAnsi="helvetica"/>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0" w:name="HDR71"/>
      <w:bookmarkStart w:id="871" w:name="HDR71"/>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2" w:name="GLHDR69"/>
      <w:bookmarkEnd w:id="8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jc w:val="center"/>
        <w:rPr>
          <w:b/>
        </w:rPr>
      </w:pPr>
      <w:r>
        <w:rPr>
          <w:b/>
        </w:rPr>
        <w:t xml:space="preserve">IMPRIMIS PHARMACEUTICALS, INC. </w:t>
      </w:r>
    </w:p>
    <w:p>
      <w:pPr>
        <w:pStyle w:val="TextBody"/>
        <w:spacing w:before="0" w:after="0"/>
        <w:ind w:left="0" w:right="0" w:hanging="0"/>
        <w:jc w:val="center"/>
        <w:rPr>
          <w:rFonts w:ascii="helvetica" w:hAnsi="helvetica"/>
          <w:b/>
          <w:sz w:val="20"/>
        </w:rPr>
      </w:pPr>
      <w:r>
        <w:rPr>
          <w:rFonts w:ascii="helvetica" w:hAnsi="helvetica"/>
          <w:b/>
          <w:sz w:val="20"/>
        </w:rPr>
        <w:t xml:space="preserve">(A Development Stage Company) </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OPERATIONS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326"/>
        <w:gridCol w:w="95"/>
        <w:gridCol w:w="125"/>
        <w:gridCol w:w="1062"/>
        <w:gridCol w:w="104"/>
        <w:gridCol w:w="95"/>
        <w:gridCol w:w="125"/>
        <w:gridCol w:w="1013"/>
        <w:gridCol w:w="104"/>
        <w:gridCol w:w="95"/>
        <w:gridCol w:w="125"/>
        <w:gridCol w:w="1062"/>
        <w:gridCol w:w="104"/>
        <w:gridCol w:w="95"/>
        <w:gridCol w:w="124"/>
        <w:gridCol w:w="1013"/>
        <w:gridCol w:w="104"/>
        <w:gridCol w:w="95"/>
        <w:gridCol w:w="125"/>
        <w:gridCol w:w="1090"/>
        <w:gridCol w:w="124"/>
      </w:tblGrid>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Three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Three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Nine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vMerge w:val="restart"/>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pPr>
            <w:r>
              <w:rPr>
                <w:rFonts w:ascii="helvetica" w:hAnsi="helvetica"/>
                <w:b/>
                <w:sz w:val="16"/>
              </w:rPr>
              <w:t>Nine Months</w:t>
              <w:br/>
              <w:t>Ended</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vMerge w:val="restart"/>
            <w:tcBorders/>
            <w:shd w:fill="auto" w:val="clear"/>
            <w:vAlign w:val="bottom"/>
          </w:tcPr>
          <w:p>
            <w:pPr>
              <w:pStyle w:val="TableContents"/>
              <w:spacing w:before="0" w:after="0"/>
              <w:jc w:val="center"/>
              <w:rPr/>
            </w:pPr>
            <w:r>
              <w:rPr>
                <w:rFonts w:ascii="helvetica" w:hAnsi="helvetica"/>
                <w:b/>
                <w:sz w:val="16"/>
              </w:rPr>
              <w:t>For the Period</w:t>
              <w:br/>
              <w:t>From</w:t>
              <w:br/>
              <w:t>July 24, 1998 (Inception)</w:t>
            </w:r>
            <w:r>
              <w:rPr/>
              <w:t xml:space="preserve"> </w:t>
            </w:r>
          </w:p>
          <w:p>
            <w:pPr>
              <w:pStyle w:val="TableContents"/>
              <w:spacing w:before="0" w:after="0"/>
              <w:ind w:left="0" w:right="0" w:hanging="0"/>
              <w:jc w:val="center"/>
              <w:rPr>
                <w:rFonts w:ascii="helvetica" w:hAnsi="helvetica"/>
                <w:b/>
                <w:sz w:val="16"/>
              </w:rPr>
            </w:pPr>
            <w:r>
              <w:rPr>
                <w:rFonts w:ascii="helvetica" w:hAnsi="helvetica"/>
                <w:b/>
                <w:sz w:val="16"/>
              </w:rPr>
              <w:t>through</w:t>
              <w:br/>
              <w:t>September 30,</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vMerge w:val="continue"/>
            <w:tcBorders/>
            <w:shd w:fill="auto" w:val="clear"/>
            <w:vAlign w:val="bottom"/>
          </w:tcPr>
          <w:p>
            <w:pPr>
              <w:pStyle w:val="Normal"/>
              <w:rPr/>
            </w:pPr>
            <w:r>
              <w:rPr/>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vMerge w:val="continue"/>
            <w:tcBorders/>
            <w:shd w:fill="auto" w:val="clear"/>
            <w:vAlign w:val="bottom"/>
          </w:tcPr>
          <w:p>
            <w:pPr>
              <w:pStyle w:val="Normal"/>
              <w:rPr/>
            </w:pPr>
            <w:r>
              <w:rPr/>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4" w:type="dxa"/>
            <w:tcBorders/>
            <w:shd w:fill="auto" w:val="clear"/>
            <w:vAlign w:val="bottom"/>
          </w:tcPr>
          <w:p>
            <w:pPr>
              <w:pStyle w:val="TableContents"/>
              <w:spacing w:before="0" w:after="283"/>
              <w:jc w:val="left"/>
              <w:rPr/>
            </w:pPr>
            <w:r>
              <w:rPr/>
              <w:t> </w:t>
            </w:r>
          </w:p>
        </w:tc>
      </w:tr>
      <w:tr>
        <w:trPr/>
        <w:tc>
          <w:tcPr>
            <w:tcW w:w="3326"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Revenues:</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8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License revenues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946,381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66,496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2,240,004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514,529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11,813,331</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303,666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580,240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8,400,498</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(1,250,047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(66,496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(2,720,244</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(626,083</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(20,113,829</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(18,904</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(56,095</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4,221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9,805</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137,386</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Loss on extinguishment of debt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income (expense), net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(18,904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(1,210,263</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(56,095</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(2,237,411</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(1,245,826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(85,400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(22,351,240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(300,000</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(1,245,826</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(85,400</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(4,130,507</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(682,178</w:t>
            </w:r>
          </w:p>
        </w:tc>
        <w:tc>
          <w:tcPr>
            <w:tcW w:w="10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(22,651,240</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 per common share, basic and diluted</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(0.22</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(0.34</w:t>
            </w:r>
          </w:p>
        </w:tc>
        <w:tc>
          <w:tcPr>
            <w:tcW w:w="10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326"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3326"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basic and diluted</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31,099,103</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1,987,601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18,642,566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1,989,490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3" w:name="PGBRK72"/>
      <w:bookmarkStart w:id="874" w:name="PGBRK72"/>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5" w:name="FTR72"/>
      <w:bookmarkStart w:id="876" w:name="FTR72"/>
      <w:bookmarkEnd w:id="8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7" w:name="GLFTR72"/>
      <w:bookmarkEnd w:id="8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78" w:name="PN72"/>
      <w:bookmarkEnd w:id="878"/>
      <w:r>
        <w:rPr>
          <w:rFonts w:ascii="helvetica" w:hAnsi="helvetica"/>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9" w:name="HDR72"/>
      <w:bookmarkStart w:id="880" w:name="HDR72"/>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1" w:name="GLHDR70"/>
      <w:bookmarkEnd w:id="8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UNAUDITED CONDENSED CONSOLIDATED STATEMENTS OF CASH FLOWS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58"/>
        <w:gridCol w:w="104"/>
        <w:gridCol w:w="125"/>
        <w:gridCol w:w="1088"/>
        <w:gridCol w:w="111"/>
        <w:gridCol w:w="104"/>
        <w:gridCol w:w="125"/>
        <w:gridCol w:w="1020"/>
        <w:gridCol w:w="110"/>
        <w:gridCol w:w="104"/>
        <w:gridCol w:w="125"/>
        <w:gridCol w:w="1108"/>
        <w:gridCol w:w="123"/>
      </w:tblGrid>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rFonts w:ascii="helvetica" w:hAnsi="helvetica"/>
                <w:b/>
                <w:sz w:val="16"/>
              </w:rPr>
            </w:pPr>
            <w:r>
              <w:rPr>
                <w:rFonts w:ascii="helvetica" w:hAnsi="helvetica"/>
                <w:b/>
                <w:sz w:val="16"/>
              </w:rPr>
              <w:t>Nine Months Ended</w:t>
            </w:r>
          </w:p>
          <w:p>
            <w:pPr>
              <w:pStyle w:val="TableContents"/>
              <w:spacing w:before="0" w:after="0"/>
              <w:jc w:val="center"/>
              <w:rPr>
                <w:rFonts w:ascii="helvetica" w:hAnsi="helvetica"/>
                <w:b/>
                <w:sz w:val="16"/>
              </w:rPr>
            </w:pPr>
            <w:r>
              <w:rPr>
                <w:rFonts w:ascii="helvetica" w:hAnsi="helvetica"/>
                <w:b/>
                <w:sz w:val="16"/>
              </w:rPr>
              <w:t>September 30,</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p>
            <w:pPr>
              <w:pStyle w:val="TableContents"/>
              <w:spacing w:before="0" w:after="0"/>
              <w:jc w:val="center"/>
              <w:rPr>
                <w:rFonts w:ascii="helvetica" w:hAnsi="helvetica"/>
                <w:b/>
                <w:sz w:val="16"/>
              </w:rPr>
            </w:pPr>
            <w:r>
              <w:rPr>
                <w:rFonts w:ascii="helvetica" w:hAnsi="helvetica"/>
                <w:b/>
                <w:sz w:val="16"/>
              </w:rPr>
              <w:t>Nine Months Ended</w:t>
            </w:r>
          </w:p>
          <w:p>
            <w:pPr>
              <w:pStyle w:val="TableContents"/>
              <w:spacing w:before="0" w:after="0"/>
              <w:jc w:val="center"/>
              <w:rPr>
                <w:rFonts w:ascii="helvetica" w:hAnsi="helvetica"/>
                <w:b/>
                <w:sz w:val="16"/>
              </w:rPr>
            </w:pPr>
            <w:r>
              <w:rPr>
                <w:rFonts w:ascii="helvetica" w:hAnsi="helvetica"/>
                <w:b/>
                <w:sz w:val="16"/>
              </w:rPr>
              <w:t>September 30,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p>
            <w:pPr>
              <w:pStyle w:val="TableContents"/>
              <w:spacing w:before="0" w:after="0"/>
              <w:jc w:val="center"/>
              <w:rPr>
                <w:rFonts w:ascii="helvetica" w:hAnsi="helvetica"/>
                <w:b/>
                <w:sz w:val="16"/>
              </w:rPr>
            </w:pPr>
            <w:r>
              <w:rPr>
                <w:rFonts w:ascii="helvetica" w:hAnsi="helvetica"/>
                <w:b/>
                <w:sz w:val="16"/>
              </w:rPr>
              <w:t>July 24, 1998 (Inception)</w:t>
            </w:r>
          </w:p>
          <w:p>
            <w:pPr>
              <w:pStyle w:val="TableContents"/>
              <w:spacing w:before="0" w:after="0"/>
              <w:jc w:val="center"/>
              <w:rPr>
                <w:rFonts w:ascii="helvetica" w:hAnsi="helvetica"/>
                <w:b/>
                <w:sz w:val="16"/>
              </w:rPr>
            </w:pPr>
            <w:r>
              <w:rPr>
                <w:rFonts w:ascii="helvetica" w:hAnsi="helvetica"/>
                <w:b/>
                <w:sz w:val="16"/>
              </w:rPr>
              <w:t>through September 30,</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21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958" w:type="dxa"/>
            <w:tcBorders/>
            <w:shd w:fill="auto"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auto"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11"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auto"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10"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auto" w:val="clear"/>
            <w:vAlign w:val="bottom"/>
          </w:tcPr>
          <w:p>
            <w:pPr>
              <w:pStyle w:val="TableContents"/>
              <w:spacing w:before="0" w:after="283"/>
              <w:jc w:val="right"/>
              <w:rPr>
                <w:rFonts w:ascii="helvetica" w:hAnsi="helvetica"/>
                <w:sz w:val="20"/>
              </w:rPr>
            </w:pPr>
            <w:r>
              <w:rPr>
                <w:rFonts w:ascii="helvetica" w:hAnsi="helvetica"/>
                <w:sz w:val="20"/>
              </w:rPr>
              <w:t>(22,351,240</w:t>
            </w:r>
          </w:p>
        </w:tc>
        <w:tc>
          <w:tcPr>
            <w:tcW w:w="123" w:type="dxa"/>
            <w:tcBorders/>
            <w:shd w:fill="auto"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2,090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5,244</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Loss on extinguishment of debt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1,195,410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24,658</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1,730,892</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1,502,080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149,162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3,630,896</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(61,344</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(13,876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(76,141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Accounts payable and accrued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61,371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104,779</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369,897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Accrued payroll</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19,115</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105,706</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(1,287,127</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(316,845</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(12,057,220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(15,308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(18,462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notes payable to a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976,300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Proceeds received in connection with debt modification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50,000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Preferred stock deemed dividend paid at conversion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warrants and stock options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Proceeds from issuance of common stock and warrants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for cash, net of offering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11,915,931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19,695,023</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Deferred offering costs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(68,785</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(68,785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12,147,146</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23,066,553</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10,844,711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(289,308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10,990,871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0"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2,154</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10,990,871</w:t>
            </w:r>
          </w:p>
        </w:tc>
        <w:tc>
          <w:tcPr>
            <w:tcW w:w="123" w:type="dxa"/>
            <w:tcBorders/>
            <w:shd w:fill="CCEEFF" w:val="clear"/>
            <w:vAlign w:val="bottom"/>
          </w:tcPr>
          <w:p>
            <w:pPr>
              <w:pStyle w:val="TableContents"/>
              <w:spacing w:before="0" w:after="283"/>
              <w:jc w:val="left"/>
              <w:rPr/>
            </w:pPr>
            <w:r>
              <w:rPr/>
              <w:t> </w:t>
            </w:r>
          </w:p>
        </w:tc>
      </w:tr>
      <w:tr>
        <w:trPr/>
        <w:tc>
          <w:tcPr>
            <w:tcW w:w="7275" w:type="dxa"/>
            <w:gridSpan w:val="4"/>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Issuance of and adjustment to common stock and warrants to</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offering costs in connection with equity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pPr>
            <w:r>
              <w:rPr/>
              <w:t>   </w:t>
            </w:r>
            <w:r>
              <w:rPr>
                <w:rFonts w:ascii="helvetica" w:hAnsi="helvetica"/>
                <w:sz w:val="20"/>
              </w:rPr>
              <w:t>offering recorded in accounts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314,961</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314,961</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related party accounts payable into 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1,905,137</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3,435,314</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8"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pPr>
            <w:r>
              <w:rPr/>
              <w:t>  </w:t>
            </w:r>
            <w:r>
              <w:rPr>
                <w:rFonts w:ascii="helvetica" w:hAnsi="helvetica"/>
                <w:sz w:val="20"/>
              </w:rPr>
              <w:t>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595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Related party acquisition of Phase 3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3" w:type="dxa"/>
            <w:tcBorders/>
            <w:shd w:fill="FFFFFF" w:val="clear"/>
            <w:vAlign w:val="bottom"/>
          </w:tcPr>
          <w:p>
            <w:pPr>
              <w:pStyle w:val="TableContents"/>
              <w:spacing w:before="0" w:after="283"/>
              <w:jc w:val="left"/>
              <w:rPr/>
            </w:pPr>
            <w:r>
              <w:rPr/>
              <w:t> </w:t>
            </w:r>
          </w:p>
        </w:tc>
      </w:tr>
      <w:tr>
        <w:trPr/>
        <w:tc>
          <w:tcPr>
            <w:tcW w:w="595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preferred stock into common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0"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7,499</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2" w:name="PGBRK73"/>
      <w:bookmarkStart w:id="883" w:name="PGBRK73"/>
      <w:bookmarkEnd w:id="8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4" w:name="FTR73"/>
      <w:bookmarkStart w:id="885" w:name="FTR73"/>
      <w:bookmarkEnd w:id="8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6" w:name="GLFTR73"/>
      <w:bookmarkEnd w:id="8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87" w:name="PN73"/>
      <w:bookmarkEnd w:id="887"/>
      <w:r>
        <w:rPr>
          <w:rFonts w:ascii="helvetica" w:hAnsi="helvetica"/>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8" w:name="HDR73"/>
      <w:bookmarkStart w:id="889" w:name="HDR73"/>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0" w:name="GLHDR71"/>
      <w:bookmarkEnd w:id="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bookmarkStart w:id="891" w:name="fis_notes_to_financial_statement"/>
      <w:bookmarkEnd w:id="891"/>
    </w:p>
    <w:p>
      <w:pPr>
        <w:pStyle w:val="TextBody"/>
        <w:spacing w:before="0" w:after="0"/>
        <w:ind w:left="0" w:right="0" w:hanging="0"/>
        <w:jc w:val="center"/>
        <w:rPr>
          <w:rFonts w:ascii="helvetica" w:hAnsi="helvetica"/>
          <w:b/>
          <w:sz w:val="20"/>
        </w:rPr>
      </w:pPr>
      <w:r>
        <w:rPr>
          <w:rFonts w:ascii="helvetica" w:hAnsi="helvetica"/>
          <w:b/>
          <w:sz w:val="20"/>
        </w:rPr>
        <w:t>NOTES TO THE UNAUDITED CONDENSED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three and nine months ended September 30, 2012 and 2011 and the period from July 24, 1998 (Inception) through September 30, 2012</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NOTE 1.    OVERVIEW AND BASIS OF PRESENTATION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Company and Background</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  </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Through our strategic relationship with Professional Compounding Centers of America, Inc. (“PCCA”) (see Note 4 and Note 6),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a specific drug development opportunity. We plan to use our proprietary Accudel drug delivery technology, coupled with these licensed technologies, formulations and market data, to identify pharmaceutical development opportunities we perceive a significant unmet need for a new drug product. We are currently considering potential product candidates in the muscle relaxant and neuropathic pain fields, and we expect those areas may be our next avenues for additional product development.</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Basis of Presentation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share and per share amounts and calculations in this report reflect the effects of that reverse stock split.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Imprimis has prepared the accompanying interim condensed unaudited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nine months ended September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  </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sz w:val="20"/>
        </w:rPr>
      </w:pPr>
      <w:r>
        <w:rPr>
          <w:rFonts w:ascii="helvetica" w:hAnsi="helvetica"/>
          <w:b/>
          <w:sz w:val="20"/>
        </w:rPr>
        <w:t>Principles of Consolidation</w:t>
      </w:r>
    </w:p>
    <w:p>
      <w:pPr>
        <w:pStyle w:val="TextBody"/>
        <w:spacing w:before="0" w:after="0"/>
        <w:ind w:left="0" w:right="0" w:hanging="0"/>
        <w:jc w:val="center"/>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2" w:name="PGBRK74"/>
      <w:bookmarkStart w:id="893" w:name="PGBRK74"/>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4" w:name="FTR74"/>
      <w:bookmarkStart w:id="895" w:name="FTR74"/>
      <w:bookmarkEnd w:id="8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6" w:name="GLFTR74"/>
      <w:bookmarkEnd w:id="8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897" w:name="PN74"/>
      <w:bookmarkEnd w:id="897"/>
      <w:r>
        <w:rPr>
          <w:rFonts w:ascii="helvetica" w:hAnsi="helvetica"/>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8" w:name="HDR74"/>
      <w:bookmarkStart w:id="899" w:name="HDR74"/>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0" w:name="GLHDR72"/>
      <w:bookmarkEnd w:id="9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These condensed consolidated financial statements contemplate the realization of assets and the satisfaction of liabilities in the normal course of business. The Company is a development state enterprise and has incurred recurring operating losses, has had negative operating cash flows and has not recognized any significant revenues since July 24, 1998 (inception). In addition, the Company has a deficit accumulated during the development stage of approximately $22.7 million at September 30, 2012, and anticipates incurring further losses through the year 2012 and beyond.  The Company has not yet generated commercial sales revenue and has funded its operating losses to date through debt and equity offerings and borrowings under its line of credit.  The Company believes that its existing cash and cash equivalents will be sufficient to cover its cash flow requirements through the next twelve months.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Research and Development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For the nine months ended September 30, 2012, the Company recorded $100,000 in revenues for non-refundable royalty advances, which were previously deferred.  The Company does not anticipate that it will generate any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1" w:name="PGBRK75"/>
      <w:bookmarkStart w:id="902" w:name="PGBRK75"/>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3" w:name="FTR75"/>
      <w:bookmarkStart w:id="904" w:name="FTR75"/>
      <w:bookmarkEnd w:id="9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5" w:name="GLFTR75"/>
      <w:bookmarkEnd w:id="9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06" w:name="PN75"/>
      <w:bookmarkEnd w:id="906"/>
      <w:r>
        <w:rPr>
          <w:rFonts w:ascii="helvetica" w:hAnsi="helvetica"/>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7" w:name="HDR75"/>
      <w:bookmarkStart w:id="908" w:name="HDR75"/>
      <w:bookmarkEnd w:id="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9" w:name="GLHDR73"/>
      <w:bookmarkEnd w:id="9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Income tax expense is provided for the tax effects of transactions reported in the financial statements and consists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No income tax benefit (expense) was recognized for the nine months ended September 30, 2012 as a result of tax losses in this period and because deferred tax benefits, derived from the Company’s prior net operating losses, were previously fully reserved.  At September 30, 2012, the Company had federal and California net operating loss carryforwards of approximately $14.1 million and $13.6 million, respectively.  The use of our net operating losses may be restricted in future years due to the limitations pursuant to IRC Section 382 on changes in ownership.</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Cash equivalents include short-term, highly liquid investments with maturities of three months or less at the time of acquisition.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September 30, 2012, the Company had approximately $10.1 million in cash deposits in excess of FDIC limits.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Furniture and Equipment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Furniture and equipment is stated at cost less accumulated depreciation.  Depreciation is calculated using the straight-line method over the estimated useful lives of three to five years.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Furniture and equipment, net, as of September 30, 2012 and December 31, 2011 consisted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733"/>
        <w:gridCol w:w="125"/>
        <w:gridCol w:w="202"/>
        <w:gridCol w:w="1292"/>
        <w:gridCol w:w="142"/>
        <w:gridCol w:w="125"/>
        <w:gridCol w:w="502"/>
        <w:gridCol w:w="940"/>
        <w:gridCol w:w="144"/>
      </w:tblGrid>
      <w:tr>
        <w:trPr/>
        <w:tc>
          <w:tcPr>
            <w:tcW w:w="6733"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4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44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44" w:type="dxa"/>
            <w:tcBorders/>
            <w:shd w:fill="auto" w:val="clear"/>
            <w:vAlign w:val="bottom"/>
          </w:tcPr>
          <w:p>
            <w:pPr>
              <w:pStyle w:val="TableContents"/>
              <w:spacing w:before="0" w:after="283"/>
              <w:jc w:val="left"/>
              <w:rPr/>
            </w:pPr>
            <w:r>
              <w:rPr/>
              <w:t> </w:t>
            </w:r>
          </w:p>
        </w:tc>
      </w:tr>
      <w:tr>
        <w:trPr/>
        <w:tc>
          <w:tcPr>
            <w:tcW w:w="6733"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42"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4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44" w:type="dxa"/>
            <w:tcBorders/>
            <w:shd w:fill="auto"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 net:</w:t>
            </w:r>
          </w:p>
        </w:tc>
        <w:tc>
          <w:tcPr>
            <w:tcW w:w="125" w:type="dxa"/>
            <w:tcBorders/>
            <w:shd w:fill="CCEEFF" w:val="clear"/>
            <w:vAlign w:val="bottom"/>
          </w:tcPr>
          <w:p>
            <w:pPr>
              <w:pStyle w:val="TableContents"/>
              <w:spacing w:before="0" w:after="283"/>
              <w:rPr/>
            </w:pPr>
            <w:r>
              <w:rPr/>
              <w:t> </w:t>
            </w:r>
          </w:p>
        </w:tc>
        <w:tc>
          <w:tcPr>
            <w:tcW w:w="1494" w:type="dxa"/>
            <w:gridSpan w:val="2"/>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442" w:type="dxa"/>
            <w:gridSpan w:val="2"/>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0"/>
              <w:ind w:left="0" w:right="0" w:hanging="0"/>
              <w:jc w:val="left"/>
              <w:rPr/>
            </w:pPr>
            <w:r>
              <w:rPr/>
              <w:t>   </w:t>
            </w:r>
            <w:r>
              <w:rPr>
                <w:rFonts w:ascii="helvetica" w:hAnsi="helvetica"/>
                <w:sz w:val="20"/>
              </w:rPr>
              <w:t>Computer Software and Hardware</w:t>
            </w:r>
          </w:p>
        </w:tc>
        <w:tc>
          <w:tcPr>
            <w:tcW w:w="125"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29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6,341</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4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FFFFFF"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Furniture and Equipment</w:t>
            </w:r>
          </w:p>
        </w:tc>
        <w:tc>
          <w:tcPr>
            <w:tcW w:w="125"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8,967</w:t>
            </w:r>
          </w:p>
        </w:tc>
        <w:tc>
          <w:tcPr>
            <w:tcW w:w="142"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5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jc w:val="left"/>
              <w:rPr/>
            </w:pPr>
            <w:r>
              <w:rPr/>
              <w:t> </w:t>
            </w:r>
          </w:p>
        </w:tc>
        <w:tc>
          <w:tcPr>
            <w:tcW w:w="129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15,308</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left"/>
              <w:rPr/>
            </w:pPr>
            <w:r>
              <w:rPr/>
              <w:t> </w:t>
            </w:r>
          </w:p>
        </w:tc>
        <w:tc>
          <w:tcPr>
            <w:tcW w:w="940"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FFFFFF" w:val="clear"/>
            <w:vAlign w:val="bottom"/>
          </w:tcPr>
          <w:p>
            <w:pPr>
              <w:pStyle w:val="TableContents"/>
              <w:spacing w:before="0" w:after="283"/>
              <w:jc w:val="left"/>
              <w:rPr/>
            </w:pPr>
            <w:r>
              <w:rPr/>
              <w:t> </w:t>
            </w:r>
          </w:p>
        </w:tc>
      </w:tr>
      <w:tr>
        <w:trPr/>
        <w:tc>
          <w:tcPr>
            <w:tcW w:w="6733" w:type="dxa"/>
            <w:tcBorders/>
            <w:shd w:fill="CCEEFF" w:val="clear"/>
            <w:vAlign w:val="bottom"/>
          </w:tcPr>
          <w:p>
            <w:pPr>
              <w:pStyle w:val="TableContents"/>
              <w:spacing w:before="0" w:after="0"/>
              <w:ind w:left="0" w:right="0" w:hanging="0"/>
              <w:jc w:val="left"/>
              <w:rPr/>
            </w:pPr>
            <w:r>
              <w:rPr/>
              <w:t>  </w:t>
            </w:r>
            <w:r>
              <w:rPr>
                <w:rFonts w:ascii="helvetica" w:hAnsi="helvetica"/>
                <w:sz w:val="20"/>
              </w:rPr>
              <w:t>Accumulated Depreciation</w:t>
            </w:r>
          </w:p>
        </w:tc>
        <w:tc>
          <w:tcPr>
            <w:tcW w:w="125"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9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(2,090</w:t>
            </w:r>
          </w:p>
        </w:tc>
        <w:tc>
          <w:tcPr>
            <w:tcW w:w="14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5" w:type="dxa"/>
            <w:tcBorders/>
            <w:shd w:fill="CCEEFF" w:val="clear"/>
            <w:vAlign w:val="bottom"/>
          </w:tcPr>
          <w:p>
            <w:pPr>
              <w:pStyle w:val="TableContents"/>
              <w:spacing w:before="0" w:after="283"/>
              <w:rPr/>
            </w:pPr>
            <w:r>
              <w:rPr/>
              <w:t> </w:t>
            </w:r>
          </w:p>
        </w:tc>
        <w:tc>
          <w:tcPr>
            <w:tcW w:w="5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0"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44" w:type="dxa"/>
            <w:tcBorders/>
            <w:shd w:fill="CCEEFF" w:val="clear"/>
            <w:vAlign w:val="bottom"/>
          </w:tcPr>
          <w:p>
            <w:pPr>
              <w:pStyle w:val="TableContents"/>
              <w:spacing w:before="0" w:after="283"/>
              <w:jc w:val="left"/>
              <w:rPr/>
            </w:pPr>
            <w:r>
              <w:rPr/>
              <w:t> </w:t>
            </w:r>
          </w:p>
        </w:tc>
      </w:tr>
      <w:tr>
        <w:trPr/>
        <w:tc>
          <w:tcPr>
            <w:tcW w:w="6733" w:type="dxa"/>
            <w:tcBorders/>
            <w:shd w:fill="FFFFFF" w:val="cle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9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13,218</w:t>
            </w:r>
          </w:p>
        </w:tc>
        <w:tc>
          <w:tcPr>
            <w:tcW w:w="142"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50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940"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4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0" w:name="PGBRK76"/>
      <w:bookmarkStart w:id="911" w:name="PGBRK76"/>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2" w:name="FTR76"/>
      <w:bookmarkStart w:id="913" w:name="FTR76"/>
      <w:bookmarkEnd w:id="9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4" w:name="GLFTR76"/>
      <w:bookmarkEnd w:id="9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15" w:name="PN76"/>
      <w:bookmarkEnd w:id="915"/>
      <w:r>
        <w:rPr>
          <w:rFonts w:ascii="helvetica" w:hAnsi="helvetica"/>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6" w:name="HDR76"/>
      <w:bookmarkStart w:id="917" w:name="HDR76"/>
      <w:bookmarkEnd w:id="9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8" w:name="GLHDR74"/>
      <w:bookmarkEnd w:id="9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During the three and nine months ended September 30, 2012, the Company recorded depreciation expenses of $843 and $2,090, respectively, and during the three and nine months ended September 30, 2011, the Company recorded depreciation expenses of $0 and $338,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Deferred Offering Costs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July 25, 2012, the Company filed with the Securities and Exchange Commission a registration statement in connection with a proposed offering of its common stock.  At September 30, 2012, the Company had deferred offering costs of $383,746 for legal, accounting and other expenses directly related to the proposed offering.  Any cash proceeds the Company may receive from the proposed offering will be netted against these deferred offering costs and any future costs directly associated with the offering.  There is no obligation to consummate an offering and an offering may not occur.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Deferred Rent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September 30, 2012 was $1,734 and is included in accounts payable and accrued expenses in the accompanying unaudited condensed consolidated balance sheet.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rPr>
          <w:rFonts w:ascii="Helvetica" w:hAnsi="Helvetica"/>
          <w:sz w:val="20"/>
        </w:rPr>
      </w:pPr>
      <w:r>
        <w:rPr>
          <w:rFonts w:ascii="Helvetica" w:hAnsi="Helvetica"/>
          <w:sz w:val="20"/>
        </w:rPr>
      </w:r>
    </w:p>
    <w:tbl>
      <w:tblPr>
        <w:tblW w:w="5000" w:type="pct"/>
        <w:jc w:val="left"/>
        <w:tblInd w:w="0" w:type="dxa"/>
        <w:tblCellMar>
          <w:top w:w="0" w:type="dxa"/>
          <w:left w:w="0" w:type="dxa"/>
          <w:bottom w:w="0" w:type="dxa"/>
          <w:right w:w="0" w:type="dxa"/>
        </w:tblCellMar>
      </w:tblPr>
      <w:tblGrid>
        <w:gridCol w:w="367"/>
        <w:gridCol w:w="9838"/>
      </w:tblGrid>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67" w:type="dxa"/>
            <w:tcBorders/>
            <w:shd w:fill="auto" w:val="clear"/>
          </w:tcPr>
          <w:p>
            <w:pPr>
              <w:pStyle w:val="TableContents"/>
              <w:spacing w:before="0" w:after="0"/>
              <w:ind w:left="0" w:right="0" w:hanging="0"/>
              <w:jc w:val="left"/>
              <w:rPr/>
            </w:pPr>
            <w:r>
              <w:rPr/>
              <w:t>●</w:t>
            </w:r>
          </w:p>
        </w:tc>
        <w:tc>
          <w:tcPr>
            <w:tcW w:w="9838" w:type="dxa"/>
            <w:tcBorders/>
            <w:shd w:fill="auto" w:val="clear"/>
          </w:tcPr>
          <w:p>
            <w:pPr>
              <w:pStyle w:val="TableContents"/>
              <w:spacing w:before="0" w:after="0"/>
              <w:ind w:left="0" w:right="0" w:hanging="0"/>
              <w:jc w:val="left"/>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The fair values of the Company’s cash and cash equivalents, accounts payable, and accrued expenses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Beneficial Conversion Features and Debt Discounts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recorded stock-based compensation related to equity instruments granted to employees, directors and consultants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279"/>
        <w:gridCol w:w="105"/>
        <w:gridCol w:w="175"/>
        <w:gridCol w:w="1069"/>
        <w:gridCol w:w="105"/>
        <w:gridCol w:w="105"/>
        <w:gridCol w:w="194"/>
        <w:gridCol w:w="1051"/>
        <w:gridCol w:w="105"/>
        <w:gridCol w:w="105"/>
        <w:gridCol w:w="149"/>
        <w:gridCol w:w="1179"/>
        <w:gridCol w:w="104"/>
        <w:gridCol w:w="105"/>
        <w:gridCol w:w="175"/>
        <w:gridCol w:w="1069"/>
        <w:gridCol w:w="131"/>
      </w:tblGrid>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w:t>
            </w:r>
          </w:p>
        </w:tc>
        <w:tc>
          <w:tcPr>
            <w:tcW w:w="131" w:type="dxa"/>
            <w:tcBorders/>
            <w:shd w:fill="auto" w:val="clear"/>
            <w:vAlign w:val="bottom"/>
          </w:tcPr>
          <w:p>
            <w:pPr>
              <w:pStyle w:val="TableContents"/>
              <w:spacing w:before="0" w:after="283"/>
              <w:jc w:val="left"/>
              <w:rPr/>
            </w:pPr>
            <w:r>
              <w:rPr/>
              <w:t> </w:t>
            </w:r>
          </w:p>
        </w:tc>
      </w:tr>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w:t>
            </w:r>
          </w:p>
          <w:p>
            <w:pPr>
              <w:pStyle w:val="TableContents"/>
              <w:spacing w:before="0" w:after="0"/>
              <w:ind w:left="0" w:right="0" w:hanging="0"/>
              <w:jc w:val="center"/>
              <w:rPr>
                <w:rFonts w:ascii="helvetica" w:hAnsi="helvetica"/>
                <w:b/>
                <w:sz w:val="16"/>
              </w:rPr>
            </w:pPr>
            <w:r>
              <w:rPr>
                <w:rFonts w:ascii="helvetica" w:hAnsi="helvetica"/>
                <w:b/>
                <w:sz w:val="16"/>
              </w:rPr>
              <w:t>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w:t>
            </w:r>
          </w:p>
          <w:p>
            <w:pPr>
              <w:pStyle w:val="TableContents"/>
              <w:spacing w:before="0" w:after="0"/>
              <w:ind w:left="0" w:right="0" w:hanging="0"/>
              <w:jc w:val="center"/>
              <w:rPr>
                <w:rFonts w:ascii="helvetica" w:hAnsi="helvetica"/>
                <w:b/>
                <w:sz w:val="16"/>
              </w:rPr>
            </w:pPr>
            <w:r>
              <w:rPr>
                <w:rFonts w:ascii="helvetica" w:hAnsi="helvetica"/>
                <w:b/>
                <w:sz w:val="16"/>
              </w:rPr>
              <w:t>Ended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Months Ended</w:t>
            </w:r>
          </w:p>
        </w:tc>
        <w:tc>
          <w:tcPr>
            <w:tcW w:w="131" w:type="dxa"/>
            <w:tcBorders/>
            <w:shd w:fill="auto" w:val="clear"/>
            <w:vAlign w:val="bottom"/>
          </w:tcPr>
          <w:p>
            <w:pPr>
              <w:pStyle w:val="TableContents"/>
              <w:spacing w:before="0" w:after="283"/>
              <w:jc w:val="left"/>
              <w:rPr/>
            </w:pPr>
            <w:r>
              <w:rPr/>
              <w:t> </w:t>
            </w:r>
          </w:p>
        </w:tc>
      </w:tr>
      <w:tr>
        <w:trPr/>
        <w:tc>
          <w:tcPr>
            <w:tcW w:w="4279"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3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4"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31" w:type="dxa"/>
            <w:tcBorders/>
            <w:shd w:fill="auto"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selling, general and administrative</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180,630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32,757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298,854</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104,675</w:t>
            </w:r>
          </w:p>
        </w:tc>
        <w:tc>
          <w:tcPr>
            <w:tcW w:w="131" w:type="dxa"/>
            <w:tcBorders/>
            <w:shd w:fill="CCEEFF" w:val="clear"/>
            <w:vAlign w:val="bottom"/>
          </w:tcPr>
          <w:p>
            <w:pPr>
              <w:pStyle w:val="TableContents"/>
              <w:spacing w:before="0" w:after="283"/>
              <w:jc w:val="left"/>
              <w:rPr/>
            </w:pPr>
            <w:r>
              <w:rPr/>
              <w:t> </w:t>
            </w:r>
          </w:p>
        </w:tc>
      </w:tr>
      <w:tr>
        <w:trPr/>
        <w:tc>
          <w:tcPr>
            <w:tcW w:w="427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Employees - research and development</w:t>
            </w:r>
          </w:p>
        </w:tc>
        <w:tc>
          <w:tcPr>
            <w:tcW w:w="10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61,299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7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143,711</w:t>
            </w:r>
          </w:p>
        </w:tc>
        <w:tc>
          <w:tcPr>
            <w:tcW w:w="104"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37,754</w:t>
            </w:r>
          </w:p>
        </w:tc>
        <w:tc>
          <w:tcPr>
            <w:tcW w:w="131" w:type="dxa"/>
            <w:tcBorders/>
            <w:shd w:fill="FFFFFF"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Directors - selling, general and administrative</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331,264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4,041</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jc w:val="left"/>
              <w:rPr/>
            </w:pPr>
            <w:r>
              <w:rPr/>
              <w:t> </w:t>
            </w:r>
          </w:p>
        </w:tc>
        <w:tc>
          <w:tcPr>
            <w:tcW w:w="11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898,679</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6,733</w:t>
            </w:r>
          </w:p>
        </w:tc>
        <w:tc>
          <w:tcPr>
            <w:tcW w:w="131" w:type="dxa"/>
            <w:tcBorders/>
            <w:shd w:fill="CCEEFF" w:val="clear"/>
            <w:vAlign w:val="bottom"/>
          </w:tcPr>
          <w:p>
            <w:pPr>
              <w:pStyle w:val="TableContents"/>
              <w:spacing w:before="0" w:after="283"/>
              <w:jc w:val="left"/>
              <w:rPr/>
            </w:pPr>
            <w:r>
              <w:rPr/>
              <w:t> </w:t>
            </w:r>
          </w:p>
        </w:tc>
      </w:tr>
      <w:tr>
        <w:trPr/>
        <w:tc>
          <w:tcPr>
            <w:tcW w:w="4279"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Consultants - selling, general and administrative</w:t>
            </w:r>
          </w:p>
        </w:tc>
        <w:tc>
          <w:tcPr>
            <w:tcW w:w="105"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80,849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160,836</w:t>
            </w:r>
          </w:p>
        </w:tc>
        <w:tc>
          <w:tcPr>
            <w:tcW w:w="104"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31" w:type="dxa"/>
            <w:tcBorders/>
            <w:shd w:fill="FFFFFF" w:val="clear"/>
            <w:vAlign w:val="bottom"/>
          </w:tcPr>
          <w:p>
            <w:pPr>
              <w:pStyle w:val="TableContents"/>
              <w:spacing w:before="0" w:after="283"/>
              <w:jc w:val="left"/>
              <w:rPr/>
            </w:pPr>
            <w:r>
              <w:rPr/>
              <w:t> </w:t>
            </w:r>
          </w:p>
        </w:tc>
      </w:tr>
      <w:tr>
        <w:trPr/>
        <w:tc>
          <w:tcPr>
            <w:tcW w:w="4279"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w:t>
            </w:r>
          </w:p>
        </w:tc>
        <w:tc>
          <w:tcPr>
            <w:tcW w:w="105"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654,042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9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5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36,798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9"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1,502,080</w:t>
            </w:r>
          </w:p>
        </w:tc>
        <w:tc>
          <w:tcPr>
            <w:tcW w:w="104"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149,162</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unvested restricted stock units (“RSUs”) and warrants were 8,345,388 and 395,846 at September 30, 2012 and 2011, respectively, and are excluded from the calculation of diluted net loss per share for all periods presented because the effect is anti-dilutive.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following table shows the computation of basic and diluted earnings per common share for the three- and nine-month periods ended September 30, 2012 and September 30, 2011:</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608"/>
        <w:gridCol w:w="102"/>
        <w:gridCol w:w="125"/>
        <w:gridCol w:w="1079"/>
        <w:gridCol w:w="109"/>
        <w:gridCol w:w="102"/>
        <w:gridCol w:w="125"/>
        <w:gridCol w:w="1041"/>
        <w:gridCol w:w="109"/>
        <w:gridCol w:w="102"/>
        <w:gridCol w:w="125"/>
        <w:gridCol w:w="1079"/>
        <w:gridCol w:w="109"/>
        <w:gridCol w:w="102"/>
        <w:gridCol w:w="124"/>
        <w:gridCol w:w="1041"/>
        <w:gridCol w:w="123"/>
      </w:tblGrid>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three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 months ended</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nine months ended</w:t>
            </w:r>
          </w:p>
        </w:tc>
        <w:tc>
          <w:tcPr>
            <w:tcW w:w="123" w:type="dxa"/>
            <w:tcBorders/>
            <w:shd w:fill="auto" w:val="clear"/>
            <w:vAlign w:val="bottom"/>
          </w:tcPr>
          <w:p>
            <w:pPr>
              <w:pStyle w:val="TableContents"/>
              <w:spacing w:before="0" w:after="283"/>
              <w:jc w:val="left"/>
              <w:rPr/>
            </w:pPr>
            <w:r>
              <w:rPr/>
              <w:t> </w:t>
            </w:r>
          </w:p>
        </w:tc>
      </w:tr>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2012</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 2011</w:t>
            </w:r>
          </w:p>
        </w:tc>
        <w:tc>
          <w:tcPr>
            <w:tcW w:w="123" w:type="dxa"/>
            <w:tcBorders/>
            <w:shd w:fill="auto" w:val="clear"/>
            <w:vAlign w:val="bottom"/>
          </w:tcPr>
          <w:p>
            <w:pPr>
              <w:pStyle w:val="TableContents"/>
              <w:spacing w:before="0" w:after="283"/>
              <w:jc w:val="left"/>
              <w:rPr/>
            </w:pPr>
            <w:r>
              <w:rPr/>
              <w:t> </w:t>
            </w:r>
          </w:p>
        </w:tc>
      </w:tr>
      <w:tr>
        <w:trPr/>
        <w:tc>
          <w:tcPr>
            <w:tcW w:w="4608"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(1,245,826</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(85,400</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(3,930,507</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(682,178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460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(200,000</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Numerator – loss attributable to common stockholders</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(1,245,826</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(85,400</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(4,130,507</w:t>
            </w:r>
          </w:p>
        </w:tc>
        <w:tc>
          <w:tcPr>
            <w:tcW w:w="10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(682,178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4608"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Denominator – weighted average</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4608" w:type="dxa"/>
            <w:tcBorders/>
            <w:shd w:fill="CCEEFF" w:val="clear"/>
            <w:vAlign w:val="bottom"/>
          </w:tcPr>
          <w:p>
            <w:pPr>
              <w:pStyle w:val="TableContents"/>
              <w:spacing w:before="0" w:after="0"/>
              <w:ind w:left="0" w:right="0" w:hanging="0"/>
              <w:jc w:val="left"/>
              <w:rPr/>
            </w:pPr>
            <w:r>
              <w:rPr/>
              <w:t>   </w:t>
            </w:r>
            <w:r>
              <w:rPr>
                <w:rFonts w:ascii="helvetica" w:hAnsi="helvetica"/>
                <w:sz w:val="20"/>
              </w:rPr>
              <w:t>number of shares outstanding, basic and diluted</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31,099,103</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18,642,566</w:t>
            </w:r>
          </w:p>
        </w:tc>
        <w:tc>
          <w:tcPr>
            <w:tcW w:w="109"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1,989,490</w:t>
            </w:r>
          </w:p>
        </w:tc>
        <w:tc>
          <w:tcPr>
            <w:tcW w:w="123" w:type="dxa"/>
            <w:tcBorders/>
            <w:shd w:fill="CCEEFF" w:val="clear"/>
            <w:vAlign w:val="bottom"/>
          </w:tcPr>
          <w:p>
            <w:pPr>
              <w:pStyle w:val="TableContents"/>
              <w:spacing w:before="0" w:after="283"/>
              <w:jc w:val="left"/>
              <w:rPr/>
            </w:pPr>
            <w:r>
              <w:rPr/>
              <w:t> </w:t>
            </w:r>
          </w:p>
        </w:tc>
      </w:tr>
      <w:tr>
        <w:trPr/>
        <w:tc>
          <w:tcPr>
            <w:tcW w:w="4608"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Loss per share, basic and diluted</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(0.04</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9"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(0.22</w:t>
            </w:r>
          </w:p>
        </w:tc>
        <w:tc>
          <w:tcPr>
            <w:tcW w:w="10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(0.34</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19" w:name="PGBRK77"/>
      <w:bookmarkStart w:id="920" w:name="PGBRK77"/>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1" w:name="FTR77"/>
      <w:bookmarkStart w:id="922" w:name="FTR77"/>
      <w:bookmarkEnd w:id="9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3" w:name="GLFTR77"/>
      <w:bookmarkEnd w:id="9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helvetica" w:hAnsi="helvetica"/>
          <w:sz w:val="20"/>
        </w:rPr>
      </w:pPr>
      <w:bookmarkStart w:id="924" w:name="PN77"/>
      <w:bookmarkEnd w:id="924"/>
      <w:r>
        <w:rPr>
          <w:rFonts w:ascii="helvetica" w:hAnsi="helvetica"/>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5" w:name="HDR77"/>
      <w:bookmarkStart w:id="926" w:name="HDR77"/>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7" w:name="GLHDR75"/>
      <w:bookmarkEnd w:id="9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Use of Estimates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Unaudited Pro Forma Stockholders’ Equity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has filed a registration statement on Form S-1 with the U.S. Securities and Exchange Commission in connection with a proposed public offering of its securities. If the offering contemplated by the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September 30, 2012 gives effect to the assumed 1-for-5 reverse stock split.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Since the 1-for-5 reverse stock split is to be effected after the effectiveness of the registration statement, the historical share information included in the accompanying consolidated financial statements and notes hereto does not assume the 1-for-5 reverse stock split, and accordingly has not been adjusted therefor.</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2.  BANKRUPTCY PETITION AND ASSET PURCHASE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28" w:name="PGBRK78"/>
      <w:bookmarkStart w:id="929" w:name="PGBRK78"/>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0" w:name="FTR78"/>
      <w:bookmarkStart w:id="931" w:name="FTR78"/>
      <w:bookmarkEnd w:id="9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2" w:name="GLFTR78"/>
      <w:bookmarkEnd w:id="9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33" w:name="PN78"/>
      <w:bookmarkEnd w:id="933"/>
      <w:r>
        <w:rPr>
          <w:rFonts w:ascii="effontselection" w:hAnsi="effontselection"/>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4" w:name="HDR78"/>
      <w:bookmarkStart w:id="935" w:name="HDR78"/>
      <w:bookmarkEnd w:id="9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6" w:name="GLHDR76"/>
      <w:bookmarkEnd w:id="9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NOTE 3.  NOTES PAYABLE – RELATED PARTY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$8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September 30, 2012 and December 31, 2011, respectively, and interest expense on the Note for the three and nine months ended September 30, 2012 was $0 and $12,123, respectively, and for the three and nine months ended September 30, 2011 was $18,904 and $56,095, respectively.  Following the Company’s bankruptcy petition filed June 26, 2011, as well as the change in ownership control following the issuance of Series A Convertible Preferred Stock to DermaStar, the entire unpaid principal sum of this Note, together with its accrued and unpaid interest became immediately due and payable.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 January 2012, DermaStar acquired 80% of the Note in a private transaction with Mr. Ladonnikov.  On January 25, 2012, the Board of Directors of the Company approved, and the Company entered into, separate waiver and settlement agreements with DermaStar and Mr. Ladonnikov, the two parties holding the Note.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(“Series A Preferred Stock”) and (iii) certain conversion rights pursuant to Section 3 of the Note related to the change of control that resulted from the sale of the Series A Preferred Stock.</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approximately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February 28, 2012, the Company received payment from Mr. Ladonnikov of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nine months ended September 30, 2012.</w:t>
      </w:r>
    </w:p>
    <w:p>
      <w:pPr>
        <w:pStyle w:val="TextBody"/>
        <w:spacing w:before="0" w:after="0"/>
        <w:ind w:left="0" w:right="0" w:hanging="0"/>
        <w:jc w:val="both"/>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37" w:name="PGBRK79"/>
      <w:bookmarkStart w:id="938" w:name="PGBRK79"/>
      <w:bookmarkEnd w:id="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39" w:name="FTR79"/>
      <w:bookmarkStart w:id="940" w:name="FTR79"/>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1" w:name="GLFTR79"/>
      <w:bookmarkEnd w:id="9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42" w:name="PN79"/>
      <w:bookmarkEnd w:id="942"/>
      <w:r>
        <w:rPr>
          <w:rFonts w:ascii="effontselection" w:hAnsi="effontselection"/>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43" w:name="HDR79"/>
      <w:bookmarkStart w:id="944" w:name="HDR79"/>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45" w:name="GLHDR77"/>
      <w:bookmarkEnd w:id="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Secured Line of Credit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December 31, 2011, respectively.  The promissory notes accrued interest at 10% annually and had a maturity of one year after the effective dates of the applicable Advance.  There was no accrued interest on the promissory notes at September 30, 2012 and interest expense for the three and nine months ended September 30, 2012 was $0 and $12,534, respectively.</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shares of the Company’s common stock and warrants to purchase the Company’s common stock on the same terms as the issuance of such securities in the April Private Placement (as described in Note 4).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Notes payable consist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524"/>
        <w:gridCol w:w="125"/>
        <w:gridCol w:w="534"/>
        <w:gridCol w:w="958"/>
        <w:gridCol w:w="125"/>
        <w:gridCol w:w="125"/>
        <w:gridCol w:w="181"/>
        <w:gridCol w:w="1472"/>
        <w:gridCol w:w="161"/>
      </w:tblGrid>
      <w:tr>
        <w:trPr/>
        <w:tc>
          <w:tcPr>
            <w:tcW w:w="652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September 30,</w:t>
            </w:r>
          </w:p>
        </w:tc>
        <w:tc>
          <w:tcPr>
            <w:tcW w:w="12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65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61" w:type="dxa"/>
            <w:tcBorders/>
            <w:shd w:fill="auto" w:val="clear"/>
            <w:vAlign w:val="bottom"/>
          </w:tcPr>
          <w:p>
            <w:pPr>
              <w:pStyle w:val="TableContents"/>
              <w:spacing w:before="0" w:after="283"/>
              <w:jc w:val="left"/>
              <w:rPr/>
            </w:pPr>
            <w:r>
              <w:rPr/>
              <w:t> </w:t>
            </w:r>
          </w:p>
        </w:tc>
      </w:tr>
      <w:tr>
        <w:trPr/>
        <w:tc>
          <w:tcPr>
            <w:tcW w:w="6524" w:type="dxa"/>
            <w:tcBorders/>
            <w:shd w:fill="auto" w:val="clear"/>
            <w:vAlign w:val="bottom"/>
          </w:tcPr>
          <w:p>
            <w:pPr>
              <w:pStyle w:val="TableContents"/>
              <w:spacing w:before="0" w:after="283"/>
              <w:rPr/>
            </w:pPr>
            <w:r>
              <w:rPr/>
              <w:t xml:space="preserve">  </w:t>
            </w:r>
          </w:p>
        </w:tc>
        <w:tc>
          <w:tcPr>
            <w:tcW w:w="125" w:type="dxa"/>
            <w:tcBorders/>
            <w:shd w:fill="auto" w:val="clear"/>
            <w:vAlign w:val="bottom"/>
          </w:tcPr>
          <w:p>
            <w:pPr>
              <w:pStyle w:val="TableContents"/>
              <w:spacing w:before="0" w:after="283"/>
              <w:rPr/>
            </w:pPr>
            <w:r>
              <w:rPr/>
              <w:t> </w:t>
            </w:r>
          </w:p>
        </w:tc>
        <w:tc>
          <w:tcPr>
            <w:tcW w:w="14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2012</w:t>
            </w:r>
          </w:p>
        </w:tc>
        <w:tc>
          <w:tcPr>
            <w:tcW w:w="125"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16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61" w:type="dxa"/>
            <w:tcBorders/>
            <w:shd w:fill="auto" w:val="clear"/>
            <w:vAlign w:val="bottom"/>
          </w:tcPr>
          <w:p>
            <w:pPr>
              <w:pStyle w:val="TableContents"/>
              <w:spacing w:before="0" w:after="283"/>
              <w:jc w:val="left"/>
              <w:rPr/>
            </w:pPr>
            <w:r>
              <w:rPr/>
              <w:t> </w:t>
            </w:r>
          </w:p>
        </w:tc>
      </w:tr>
      <w:tr>
        <w:trPr/>
        <w:tc>
          <w:tcPr>
            <w:tcW w:w="6524"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10% convertible notes</w:t>
            </w:r>
          </w:p>
        </w:tc>
        <w:tc>
          <w:tcPr>
            <w:tcW w:w="1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5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47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61" w:type="dxa"/>
            <w:tcBorders/>
            <w:shd w:fill="CCEEFF" w:val="clear"/>
            <w:vAlign w:val="bottom"/>
          </w:tcPr>
          <w:p>
            <w:pPr>
              <w:pStyle w:val="TableContents"/>
              <w:spacing w:before="0" w:after="283"/>
              <w:jc w:val="left"/>
              <w:rPr/>
            </w:pPr>
            <w:r>
              <w:rPr/>
              <w:t> </w:t>
            </w:r>
          </w:p>
        </w:tc>
      </w:tr>
      <w:tr>
        <w:trPr/>
        <w:tc>
          <w:tcPr>
            <w:tcW w:w="652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7.5% convertible note</w:t>
            </w:r>
          </w:p>
        </w:tc>
        <w:tc>
          <w:tcPr>
            <w:tcW w:w="125" w:type="dxa"/>
            <w:tcBorders/>
            <w:shd w:fill="FFFFFF" w:val="clear"/>
            <w:vAlign w:val="bottom"/>
          </w:tcPr>
          <w:p>
            <w:pPr>
              <w:pStyle w:val="TableContents"/>
              <w:spacing w:before="0" w:after="283"/>
              <w:rPr/>
            </w:pPr>
            <w:r>
              <w:rPr/>
              <w:t> </w:t>
            </w:r>
          </w:p>
        </w:tc>
        <w:tc>
          <w:tcPr>
            <w:tcW w:w="5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7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61" w:type="dxa"/>
            <w:tcBorders/>
            <w:shd w:fill="FFFFFF" w:val="clear"/>
            <w:vAlign w:val="bottom"/>
          </w:tcPr>
          <w:p>
            <w:pPr>
              <w:pStyle w:val="TableContents"/>
              <w:spacing w:before="0" w:after="283"/>
              <w:jc w:val="left"/>
              <w:rPr/>
            </w:pPr>
            <w:r>
              <w:rPr/>
              <w:t> </w:t>
            </w:r>
          </w:p>
        </w:tc>
      </w:tr>
      <w:tr>
        <w:trPr/>
        <w:tc>
          <w:tcPr>
            <w:tcW w:w="652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Total convertible notes payable</w:t>
            </w:r>
          </w:p>
        </w:tc>
        <w:tc>
          <w:tcPr>
            <w:tcW w:w="125"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958"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472"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61" w:type="dxa"/>
            <w:tcBorders/>
            <w:shd w:fill="CCEEFF" w:val="clear"/>
            <w:vAlign w:val="bottom"/>
          </w:tcPr>
          <w:p>
            <w:pPr>
              <w:pStyle w:val="TableContents"/>
              <w:spacing w:before="0" w:after="283"/>
              <w:jc w:val="left"/>
              <w:rPr/>
            </w:pPr>
            <w:r>
              <w:rPr/>
              <w:t> </w:t>
            </w:r>
          </w:p>
        </w:tc>
      </w:tr>
      <w:tr>
        <w:trPr/>
        <w:tc>
          <w:tcPr>
            <w:tcW w:w="6524"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Less: Current portion</w:t>
            </w:r>
          </w:p>
        </w:tc>
        <w:tc>
          <w:tcPr>
            <w:tcW w:w="125" w:type="dxa"/>
            <w:tcBorders/>
            <w:shd w:fill="FFFFFF" w:val="clear"/>
            <w:vAlign w:val="bottom"/>
          </w:tcPr>
          <w:p>
            <w:pPr>
              <w:pStyle w:val="TableContents"/>
              <w:spacing w:before="0" w:after="283"/>
              <w:rPr/>
            </w:pPr>
            <w:r>
              <w:rPr/>
              <w:t> </w:t>
            </w:r>
          </w:p>
        </w:tc>
        <w:tc>
          <w:tcPr>
            <w:tcW w:w="5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47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524" w:type="dxa"/>
            <w:tcBorders/>
            <w:shd w:fill="CCEE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Long-term portion</w:t>
            </w:r>
          </w:p>
        </w:tc>
        <w:tc>
          <w:tcPr>
            <w:tcW w:w="125" w:type="dxa"/>
            <w:tcBorders/>
            <w:shd w:fill="CCEEFF" w:val="clear"/>
            <w:vAlign w:val="bottom"/>
          </w:tcPr>
          <w:p>
            <w:pPr>
              <w:pStyle w:val="TableContents"/>
              <w:spacing w:before="0" w:after="283"/>
              <w:rPr/>
            </w:pPr>
            <w:r>
              <w:rPr/>
              <w:t> </w:t>
            </w:r>
          </w:p>
        </w:tc>
        <w:tc>
          <w:tcPr>
            <w:tcW w:w="53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95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2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47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61" w:type="dxa"/>
            <w:tcBorders/>
            <w:shd w:fill="CCEEFF" w:val="clear"/>
            <w:vAlign w:val="bottom"/>
          </w:tcPr>
          <w:p>
            <w:pPr>
              <w:pStyle w:val="TableContents"/>
              <w:spacing w:before="0" w:after="283"/>
              <w:jc w:val="left"/>
              <w:rPr/>
            </w:pPr>
            <w:r>
              <w:rPr/>
              <w:t> </w:t>
            </w:r>
          </w:p>
        </w:tc>
      </w:tr>
    </w:tbl>
    <w:p>
      <w:pPr>
        <w:pStyle w:val="TextBody"/>
        <w:spacing w:before="0" w:after="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helvetica" w:hAnsi="helvetica"/>
          <w:b/>
          <w:sz w:val="20"/>
        </w:rPr>
      </w:pPr>
      <w:bookmarkStart w:id="946" w:name="PGBRK80"/>
      <w:bookmarkEnd w:id="946"/>
      <w:r>
        <w:rPr>
          <w:rFonts w:ascii="helvetica" w:hAnsi="helvetica"/>
          <w:b/>
          <w:sz w:val="20"/>
        </w:rPr>
        <w:t>NOTE 4.  STOCKHOLDERS’ EQUITY AND STOCK-BASED COMPENSATION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Common Stock</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increased the number of authorized shares of capital stock to 400,000,000, and the number of authorized shares of common stock to 395,000,000 and effected a one-for-eight reverse stock split. All share and per share amounts and calculations in this report reflect the one-for-eight reverse stock split.</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issued 1,904,338 common shares to Alexej Ladonnikov as payment in full for his 20% ownership of the Note ($200,000) and its related accrued interest ($28,521).</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February 28, 2012, the Company issued 7,274,812 common shares to DermaStar as payment in full for its 80% ownership of the Note ($800,000), its related accrued interest ($114,082) and $56,087 in the Company’s accounts payable.</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20, 2012, the Company entered into a Securities Purchase Agreement with certain accredited investors relating to the sale and issuance of an aggregate of 10,058,455 shares of its common stock and warrants to purchase up to 2,514,642 shares of its common stock at an exercise price of $1.185 per share, for an aggregate purchase price of approximately $7,950,000 (the “April Private Placement”).  The April Private Placement closed on April 25, 2012, and the Company received proceeds, net of offering costs, of approximately $7,930,000.</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on the same terms as the issuance of such securities in the April Private Placement (see Note 3).</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August 30, 2012, the Company entered into a License Agreement (the “PCCA License Agreement") and a Stock Purchase Agreement (the “PCCA Purchase Agreement”) in a strategic transaction with PCCA (the “PCCA Transaction”). Pursuant to the terms of the PCCA Purchase Agreement, on August 31, 2012, the Company issued and sold to PCCA 4,163,414 shares of its common stock at a per share purchase price of $0.96075, for aggregate proceeds, net of offering costs, of approximately $3,980,000.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47" w:name="PGBRK81"/>
      <w:bookmarkStart w:id="948" w:name="PGBRK81"/>
      <w:bookmarkEnd w:id="9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9" w:name="FTR80"/>
      <w:bookmarkStart w:id="950" w:name="FTR80"/>
      <w:bookmarkEnd w:id="9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1" w:name="GLFTR80"/>
      <w:bookmarkEnd w:id="9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52" w:name="PN80"/>
      <w:bookmarkEnd w:id="952"/>
      <w:r>
        <w:rPr>
          <w:rFonts w:ascii="effontselection" w:hAnsi="effontselection"/>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3" w:name="HDR80"/>
      <w:bookmarkStart w:id="954" w:name="HDR80"/>
      <w:bookmarkEnd w:id="9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5" w:name="GLHDR78"/>
      <w:bookmarkEnd w:id="9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helvetica" w:hAnsi="helvetica"/>
          <w:b/>
          <w:sz w:val="20"/>
        </w:rPr>
      </w:pPr>
      <w:r>
        <w:rPr>
          <w:rFonts w:ascii="helvetica" w:hAnsi="helvetica"/>
          <w:b/>
          <w:sz w:val="20"/>
        </w:rPr>
        <w:t>Preferred Stock</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At September 30, 2012, the Company had 5,000,000 shares of preferred stock, $0.001 par value, authorized and no shares of preferred stock issued and outstanding.</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Series A Preferred Stock - Converted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Restricted Stock Units (“RSUs”)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RSU awards are granted subject to certain restrictions, including performance based conditions. The grant-date fair value of the RSUs, which has been determined based upon the market value of the Company’s shares on the grant date, is expensed over the vesting period.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18, 2012, the Company granted to Mr. Baum, in connection with his services as the Chief Executive Officer, 800,000 RSUs pursuant to a Stand-alone Restricted Stock Unit Agreement (the “Baum RSUs”) outside of the Company’s 2007 Incentive Stock and Awards Plan, as amended on November 5, 2008, January 25, 2012 and July 18, 2012 (the “Plan”).  The Baum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Baum RSUs vest in full upon a change in control of the Company.  The Company has accounted for the Baum RSUs based on an assumption of the full satisfaction of its performance-based vesting criteria.</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18, 2012, the Company granted to Dr. Kammer, in connection with his services as a consultant and advisor to the Company, 200,000 RSUs, pursuant to a Stand-alone Restricted Stock Unit Agreement (the “Kammer RSUs”) outside of the Plan.  The Kammer RSUs are subject to certain performance-based vesting criteria, such that all 200,000 RSUs will vest when the Company meets the primary endpoints of its Phase 3 clinical studies for its drug candidate, Impracor.  The Kammer RSUs vest in full upon a change in control of the Company.  The Company has accounted for the Kammer RSUs based on an assumption of the full satisfaction of its performance-based vesting criteria.  In accordance with accounting guidance for share-based compensation to consultants, the unvested portion of the Kammer RSUs will be revalued on an interim basis until the performance-based vesting criteria is met.  Once the performance-based vesting criteria is met, the fair value and total expense amount of the Kammer RSUs will be calculated based on the market value of the Company’s common stock on that day.  On the date of issuance, July 18, 2012, the Kammer RSUs were valued at $130,000, and as of September 30, 2012, the revalued estimated fair value of the Kammer RSUs was $380,000.</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 summary of the Company’s RSU activity and related information for the nine months ended September 30, 2012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5"/>
        <w:gridCol w:w="118"/>
        <w:gridCol w:w="118"/>
        <w:gridCol w:w="1251"/>
        <w:gridCol w:w="118"/>
        <w:gridCol w:w="118"/>
        <w:gridCol w:w="187"/>
        <w:gridCol w:w="1090"/>
        <w:gridCol w:w="130"/>
      </w:tblGrid>
      <w:tr>
        <w:trPr/>
        <w:tc>
          <w:tcPr>
            <w:tcW w:w="7075"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Average Grant Date Fair Value</w:t>
            </w:r>
          </w:p>
        </w:tc>
        <w:tc>
          <w:tcPr>
            <w:tcW w:w="130" w:type="dxa"/>
            <w:tcBorders/>
            <w:shd w:fill="auto"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Unvested – January 1, 2012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51"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CCEEFF" w:val="clear"/>
            <w:vAlign w:val="bottom"/>
          </w:tcPr>
          <w:p>
            <w:pPr>
              <w:pStyle w:val="TableContents"/>
              <w:spacing w:before="0" w:after="283"/>
              <w:jc w:val="left"/>
              <w:rPr/>
            </w:pPr>
            <w:r>
              <w:rPr/>
              <w:t> </w:t>
            </w:r>
          </w:p>
        </w:tc>
      </w:tr>
      <w:tr>
        <w:trPr/>
        <w:tc>
          <w:tcPr>
            <w:tcW w:w="7075"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granted</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51"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1,000,000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0.65</w:t>
            </w:r>
          </w:p>
        </w:tc>
        <w:tc>
          <w:tcPr>
            <w:tcW w:w="130" w:type="dxa"/>
            <w:tcBorders/>
            <w:shd w:fill="FFFFFF"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vested</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51"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CCEEFF" w:val="clear"/>
            <w:vAlign w:val="bottom"/>
          </w:tcPr>
          <w:p>
            <w:pPr>
              <w:pStyle w:val="TableContents"/>
              <w:spacing w:before="0" w:after="283"/>
              <w:jc w:val="left"/>
              <w:rPr/>
            </w:pPr>
            <w:r>
              <w:rPr/>
              <w:t> </w:t>
            </w:r>
          </w:p>
        </w:tc>
      </w:tr>
      <w:tr>
        <w:trPr/>
        <w:tc>
          <w:tcPr>
            <w:tcW w:w="7075"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RSUs cancelled</w:t>
            </w:r>
          </w:p>
        </w:tc>
        <w:tc>
          <w:tcPr>
            <w:tcW w:w="118" w:type="dxa"/>
            <w:tcBorders/>
            <w:shd w:fill="FFFFFF" w:val="clear"/>
            <w:vAlign w:val="bottom"/>
          </w:tcPr>
          <w:p>
            <w:pPr>
              <w:pStyle w:val="TableContents"/>
              <w:spacing w:before="0" w:after="283"/>
              <w:jc w:val="left"/>
              <w:rPr/>
            </w:pPr>
            <w:r>
              <w:rPr/>
              <w:t> </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5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30" w:type="dxa"/>
            <w:tcBorders/>
            <w:shd w:fill="FFFFFF" w:val="clear"/>
            <w:vAlign w:val="bottom"/>
          </w:tcPr>
          <w:p>
            <w:pPr>
              <w:pStyle w:val="TableContents"/>
              <w:spacing w:before="0" w:after="283"/>
              <w:jc w:val="left"/>
              <w:rPr/>
            </w:pPr>
            <w:r>
              <w:rPr/>
              <w:t> </w:t>
            </w:r>
          </w:p>
        </w:tc>
      </w:tr>
      <w:tr>
        <w:trPr/>
        <w:tc>
          <w:tcPr>
            <w:tcW w:w="7075"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Unvested - September 30, 2012</w:t>
            </w:r>
          </w:p>
        </w:tc>
        <w:tc>
          <w:tcPr>
            <w:tcW w:w="118" w:type="dxa"/>
            <w:tcBorders/>
            <w:shd w:fill="CCEEFF" w:val="clear"/>
            <w:vAlign w:val="bottom"/>
          </w:tcPr>
          <w:p>
            <w:pPr>
              <w:pStyle w:val="TableContents"/>
              <w:spacing w:before="0" w:after="283"/>
              <w:jc w:val="left"/>
              <w:rPr/>
            </w:pPr>
            <w:r>
              <w:rPr/>
              <w:t> </w:t>
            </w:r>
          </w:p>
        </w:tc>
        <w:tc>
          <w:tcPr>
            <w:tcW w:w="11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5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1,000,000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90"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0.65</w:t>
            </w:r>
          </w:p>
        </w:tc>
        <w:tc>
          <w:tcPr>
            <w:tcW w:w="13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grant-date fair value of RSUs granted during the nine month period ended September 30, 2012 was approximately $650,000.  As of September 30, 2012, the total unrecognized compensation expense related to unvested RSUs was approximately $685,000 (including recognized and unrecognized expenses of the revalued fair value of the Kammer RSUs) which is expected to be recognized over a weighted-average period of 1 year, based on estimated vesting schedules.</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56" w:name="PGBRK82"/>
      <w:bookmarkStart w:id="957" w:name="PGBRK82"/>
      <w:bookmarkEnd w:id="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8" w:name="FTR81"/>
      <w:bookmarkStart w:id="959" w:name="FTR81"/>
      <w:bookmarkEnd w:id="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0" w:name="GLFTR81"/>
      <w:bookmarkEnd w:id="9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b w:val="false"/>
          <w:sz w:val="20"/>
        </w:rPr>
      </w:pPr>
      <w:bookmarkStart w:id="961" w:name="PN81"/>
      <w:bookmarkEnd w:id="961"/>
      <w:r>
        <w:rPr>
          <w:rFonts w:ascii="effontselection" w:hAnsi="effontselection"/>
          <w:b w:val="false"/>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2" w:name="HDR81"/>
      <w:bookmarkStart w:id="963" w:name="HDR81"/>
      <w:bookmarkEnd w:id="9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4" w:name="GLHDR79"/>
      <w:bookmarkEnd w:id="9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sz w:val="20"/>
        </w:rPr>
      </w:pPr>
      <w:r>
        <w:rPr>
          <w:rFonts w:ascii="helvetica" w:hAnsi="helvetica"/>
          <w:b/>
          <w:sz w:val="20"/>
        </w:rPr>
        <w:t>Stock Option Plan</w:t>
      </w:r>
    </w:p>
    <w:p>
      <w:pPr>
        <w:pStyle w:val="TextBody"/>
        <w:spacing w:before="0" w:after="0"/>
        <w:ind w:left="0" w:right="0" w:hanging="0"/>
        <w:jc w:val="left"/>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September 17, 2007, the Company’s Board of Directors and stockholders adopted the Plan, which, as of September 30, 2012, provided for the issuance of a maximum of an aggregate of 12,000,000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 summary of the Plan activity for the nine months ended September 30, 2012 is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64"/>
        <w:gridCol w:w="106"/>
        <w:gridCol w:w="106"/>
        <w:gridCol w:w="1173"/>
        <w:gridCol w:w="119"/>
        <w:gridCol w:w="106"/>
        <w:gridCol w:w="186"/>
        <w:gridCol w:w="988"/>
        <w:gridCol w:w="106"/>
        <w:gridCol w:w="106"/>
        <w:gridCol w:w="147"/>
        <w:gridCol w:w="1141"/>
        <w:gridCol w:w="105"/>
        <w:gridCol w:w="106"/>
        <w:gridCol w:w="147"/>
        <w:gridCol w:w="1173"/>
        <w:gridCol w:w="126"/>
      </w:tblGrid>
      <w:tr>
        <w:trPr/>
        <w:tc>
          <w:tcPr>
            <w:tcW w:w="4264" w:type="dxa"/>
            <w:tcBorders/>
            <w:shd w:fill="auto" w:val="clear"/>
            <w:vAlign w:val="bottom"/>
          </w:tcPr>
          <w:p>
            <w:pPr>
              <w:pStyle w:val="TableContents"/>
              <w:spacing w:before="0" w:after="283"/>
              <w:jc w:val="left"/>
              <w:rPr/>
            </w:pPr>
            <w:r>
              <w:rPr/>
              <w:t xml:space="preserve">  </w:t>
            </w:r>
          </w:p>
        </w:tc>
        <w:tc>
          <w:tcPr>
            <w:tcW w:w="106" w:type="dxa"/>
            <w:tcBorders/>
            <w:shd w:fill="auto" w:val="clear"/>
            <w:vAlign w:val="bottom"/>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3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outstanding - December 31, 2011</w:t>
            </w:r>
          </w:p>
        </w:tc>
        <w:tc>
          <w:tcPr>
            <w:tcW w:w="1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1173"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150,152</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9.68</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88"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320"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granted</w:t>
            </w:r>
          </w:p>
        </w:tc>
        <w:tc>
          <w:tcPr>
            <w:tcW w:w="106" w:type="dxa"/>
            <w:tcBorders/>
            <w:shd w:fill="FFFFFF" w:val="clear"/>
            <w:vAlign w:val="bottom"/>
          </w:tcPr>
          <w:p>
            <w:pPr>
              <w:pStyle w:val="TableContents"/>
              <w:spacing w:before="0" w:after="283"/>
              <w:rPr/>
            </w:pPr>
            <w:r>
              <w:rPr/>
              <w:t> </w:t>
            </w:r>
          </w:p>
        </w:tc>
        <w:tc>
          <w:tcPr>
            <w:tcW w:w="106" w:type="dxa"/>
            <w:tcBorders/>
            <w:shd w:fill="FFFFFF" w:val="clear"/>
            <w:vAlign w:val="bottom"/>
          </w:tcPr>
          <w:p>
            <w:pPr>
              <w:pStyle w:val="TableContents"/>
              <w:spacing w:before="0" w:after="283"/>
              <w:jc w:val="left"/>
              <w:rPr/>
            </w:pPr>
            <w:r>
              <w:rPr/>
              <w:t> </w:t>
            </w:r>
          </w:p>
        </w:tc>
        <w:tc>
          <w:tcPr>
            <w:tcW w:w="1173"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5,060,616</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0.73</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88" w:type="dxa"/>
            <w:gridSpan w:val="2"/>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20"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exercised</w:t>
            </w:r>
          </w:p>
        </w:tc>
        <w:tc>
          <w:tcPr>
            <w:tcW w:w="10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1173"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88" w:type="dxa"/>
            <w:gridSpan w:val="2"/>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320"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cancelled</w:t>
            </w:r>
          </w:p>
        </w:tc>
        <w:tc>
          <w:tcPr>
            <w:tcW w:w="106" w:type="dxa"/>
            <w:tcBorders/>
            <w:shd w:fill="FFFFFF" w:val="clear"/>
            <w:vAlign w:val="bottom"/>
          </w:tcPr>
          <w:p>
            <w:pPr>
              <w:pStyle w:val="TableContents"/>
              <w:spacing w:before="0" w:after="283"/>
              <w:rPr/>
            </w:pPr>
            <w:r>
              <w:rPr/>
              <w:t> </w:t>
            </w:r>
          </w:p>
        </w:tc>
        <w:tc>
          <w:tcPr>
            <w:tcW w:w="10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(718,750</w:t>
            </w:r>
          </w:p>
        </w:tc>
        <w:tc>
          <w:tcPr>
            <w:tcW w:w="119" w:type="dxa"/>
            <w:tcBorders/>
            <w:shd w:fill="FFFF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06" w:type="dxa"/>
            <w:tcBorders/>
            <w:shd w:fill="FFFFFF" w:val="clear"/>
            <w:vAlign w:val="bottom"/>
          </w:tcPr>
          <w:p>
            <w:pPr>
              <w:pStyle w:val="TableContents"/>
              <w:spacing w:before="0" w:after="283"/>
              <w:rPr/>
            </w:pPr>
            <w:r>
              <w:rPr/>
              <w:t> </w:t>
            </w:r>
          </w:p>
        </w:tc>
        <w:tc>
          <w:tcPr>
            <w:tcW w:w="18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0.67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8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20"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outstanding - September 30, 2012</w:t>
            </w:r>
          </w:p>
        </w:tc>
        <w:tc>
          <w:tcPr>
            <w:tcW w:w="106"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4,492,018</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1.04</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5.01</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5,072,416</w:t>
            </w:r>
          </w:p>
        </w:tc>
        <w:tc>
          <w:tcPr>
            <w:tcW w:w="126" w:type="dxa"/>
            <w:tcBorders/>
            <w:shd w:fill="CCEEFF" w:val="clear"/>
            <w:vAlign w:val="bottom"/>
          </w:tcPr>
          <w:p>
            <w:pPr>
              <w:pStyle w:val="TableContents"/>
              <w:spacing w:before="0" w:after="283"/>
              <w:jc w:val="left"/>
              <w:rPr/>
            </w:pPr>
            <w:r>
              <w:rPr/>
              <w:t> </w:t>
            </w:r>
          </w:p>
        </w:tc>
      </w:tr>
      <w:tr>
        <w:trPr/>
        <w:tc>
          <w:tcPr>
            <w:tcW w:w="4264"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exercisable - September 30, 2012</w:t>
            </w:r>
          </w:p>
        </w:tc>
        <w:tc>
          <w:tcPr>
            <w:tcW w:w="106" w:type="dxa"/>
            <w:tcBorders/>
            <w:shd w:fill="FFFFFF" w:val="clear"/>
            <w:vAlign w:val="bottom"/>
          </w:tcPr>
          <w:p>
            <w:pPr>
              <w:pStyle w:val="TableContents"/>
              <w:spacing w:before="0" w:after="283"/>
              <w:rPr/>
            </w:pPr>
            <w:r>
              <w:rPr/>
              <w:t> </w:t>
            </w:r>
          </w:p>
        </w:tc>
        <w:tc>
          <w:tcPr>
            <w:tcW w:w="10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1,847,652</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1.45</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4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5.59</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47"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2,038,108</w:t>
            </w:r>
          </w:p>
        </w:tc>
        <w:tc>
          <w:tcPr>
            <w:tcW w:w="126" w:type="dxa"/>
            <w:tcBorders/>
            <w:shd w:fill="FFFFFF" w:val="clear"/>
            <w:vAlign w:val="bottom"/>
          </w:tcPr>
          <w:p>
            <w:pPr>
              <w:pStyle w:val="TableContents"/>
              <w:spacing w:before="0" w:after="283"/>
              <w:jc w:val="left"/>
              <w:rPr/>
            </w:pPr>
            <w:r>
              <w:rPr/>
              <w:t> </w:t>
            </w:r>
          </w:p>
        </w:tc>
      </w:tr>
      <w:tr>
        <w:trPr/>
        <w:tc>
          <w:tcPr>
            <w:tcW w:w="4264"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Options vested and expected to vest - September 30, 2012</w:t>
            </w:r>
          </w:p>
        </w:tc>
        <w:tc>
          <w:tcPr>
            <w:tcW w:w="106"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4,227,582</w:t>
            </w:r>
          </w:p>
        </w:tc>
        <w:tc>
          <w:tcPr>
            <w:tcW w:w="119"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8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98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1.06</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5.04</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17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val="false"/>
                <w:sz w:val="20"/>
              </w:rPr>
            </w:pPr>
            <w:r>
              <w:rPr>
                <w:rFonts w:ascii="helvetica" w:hAnsi="helvetica"/>
                <w:b w:val="false"/>
                <w:sz w:val="20"/>
              </w:rPr>
              <w:t>4,768,985</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28, 2012, based on the closing price of the Company’s common stock of $1.90 on that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Dr. Balbir Brar, the Company’s President, of an option to purchase 1,125,000 shares of common stock under the Plan. The exercise price of the option is $0.736 and the option vests as follows: 1/36th of the unvested shares will vest on each of the 36 monthly periods following the date of the grant provided Dr. Brar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65" w:name="PGBRK83"/>
      <w:bookmarkStart w:id="966" w:name="PGBRK83"/>
      <w:bookmarkEnd w:id="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7" w:name="FTR82"/>
      <w:bookmarkStart w:id="968" w:name="FTR82"/>
      <w:bookmarkEnd w:id="9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69" w:name="GLFTR82"/>
      <w:bookmarkEnd w:id="9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70" w:name="PN82"/>
      <w:bookmarkEnd w:id="970"/>
      <w:r>
        <w:rPr>
          <w:rFonts w:ascii="effontselection" w:hAnsi="effontselection"/>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1" w:name="HDR82"/>
      <w:bookmarkStart w:id="972" w:name="HDR82"/>
      <w:bookmarkEnd w:id="9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3" w:name="GLHDR80"/>
      <w:bookmarkEnd w:id="9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in connection with a senior advisory agreement, the Board approved the grant to Dr. Paul Finnegan, a director, an option to purchase up to 625,000 shares of common stock under the Plan.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a one-time stock option grant to Mr. Baum, the Company’s current Chief Executive Officer and a director, to purchase up to 625,000 shares of the Company’s common stock under the Plan. The option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Andrew R. Boll, the Company’s Vice-President of Accounting and Public Reporting, of an option to purchase up to 75,000 shares of common stock under the Plan, which option was granted on February 1, 2012, the commencement date of Mr. Boll’s employment with the Company. The exercise price of the option is $0.736 and the option vests as follows: 1/36th of the unvested shares will vest on each of the 36 monthly periods following the date of the grant provided Mr. Boll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January 25, 2012 the Board approved the grant to Dr. Joachim Schupp, the Company’s Chief Medical Officer, of an option to purchase up to 375,000 shares of common stock under the Plan, which option was granted on February 15, 2012, the commencement date of Dr. Schupp’s employment with the Company. The exercise price of the option is $0.72 and the option vests as follows: 1/36th of the unvested shares will vest on each of the 36 monthly periods following the date of the grant provided Dr. Schupp continues to be employed by the Company as of the applicable vesting date.</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the Board of Directors approved the issuance of options to purchase 125,000 shares of the Company’s common stock to each of the Company’s directors, including the Company’s employee and non-employee directors, under the Plan.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The option has a ten year term and vests monthly over a one year period.</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April 1, 2012, the Company granted to Mr. Baum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Effective as of the close of business on July 25, 2012, Dr. Brar submitted his resignation as a director on the Board of Directors of the Company.  Dr. Brar continues in his capacity as the President of the Company.  At the time of his resignation as a director, options to purchase 31,250 shares had vested under Dr. Brar’s April 1, 2012 option grant related to his Board service, and all unvested shares subject to the option were forfeited.  Dr. Brar was granted an extension of 240 days from his resignation date to exercise the 31,250 vested shares.</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On July 26, 2012, the Board of Directors of the Company appointed Stephen G. Austin, CPA, as a new director on the Board of Directors of the Company.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74" w:name="PGBRK84"/>
      <w:bookmarkStart w:id="975" w:name="PGBRK84"/>
      <w:bookmarkEnd w:id="9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6" w:name="FTR83"/>
      <w:bookmarkStart w:id="977" w:name="FTR83"/>
      <w:bookmarkEnd w:id="9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78" w:name="GLFTR83"/>
      <w:bookmarkEnd w:id="9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b/>
          <w:sz w:val="20"/>
        </w:rPr>
      </w:pPr>
      <w:bookmarkStart w:id="979" w:name="PN83"/>
      <w:bookmarkEnd w:id="979"/>
      <w:r>
        <w:rPr>
          <w:rFonts w:ascii="effontselection" w:hAnsi="effontselection"/>
          <w:b/>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0" w:name="HDR83"/>
      <w:bookmarkStart w:id="981" w:name="HDR83"/>
      <w:bookmarkEnd w:id="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2" w:name="GLHDR81"/>
      <w:bookmarkEnd w:id="9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table below illustrates the fair value per share determined by the Black-Scholes-Merton option pricing model with the following assumptions used for the grants issued to employees and directors during the nine months ended September 30,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63"/>
        <w:gridCol w:w="122"/>
        <w:gridCol w:w="163"/>
        <w:gridCol w:w="1234"/>
        <w:gridCol w:w="223"/>
      </w:tblGrid>
      <w:tr>
        <w:trPr/>
        <w:tc>
          <w:tcPr>
            <w:tcW w:w="8463"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 2012</w:t>
            </w:r>
          </w:p>
        </w:tc>
        <w:tc>
          <w:tcPr>
            <w:tcW w:w="223" w:type="dxa"/>
            <w:tcBorders/>
            <w:shd w:fill="auto"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Weighted-average fair value of options granted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0.65</w:t>
            </w:r>
          </w:p>
        </w:tc>
        <w:tc>
          <w:tcPr>
            <w:tcW w:w="223" w:type="dxa"/>
            <w:tcBorders/>
            <w:shd w:fill="CCEEFF" w:val="clear"/>
            <w:vAlign w:val="bottom"/>
          </w:tcPr>
          <w:p>
            <w:pPr>
              <w:pStyle w:val="TableContents"/>
              <w:spacing w:before="0" w:after="283"/>
              <w:jc w:val="left"/>
              <w:rPr/>
            </w:pPr>
            <w:r>
              <w:rPr/>
              <w:t> </w:t>
            </w:r>
          </w:p>
        </w:tc>
      </w:tr>
      <w:tr>
        <w:trPr/>
        <w:tc>
          <w:tcPr>
            <w:tcW w:w="846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terms (in years)</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2.5-5.5</w:t>
            </w:r>
          </w:p>
        </w:tc>
        <w:tc>
          <w:tcPr>
            <w:tcW w:w="223" w:type="dxa"/>
            <w:tcBorders/>
            <w:shd w:fill="FFFFFF"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Expected volatility</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219-360</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46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Risk-free interest rate</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0.31-1.03</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846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Dividend yield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As part of Dr. Kammer’s compensation under the Advisory Agreement, the Company granted to Dr. Kammer on April 1, 2012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September 30, 2012, the revalued aggregate estimated fair value of the stock option, based on the Black-Scholes-Merton pricing model, was $338,420.</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table below illustrates the fair value per share determined by the Black-Scholes-Merton option pricing model with the following assumptions used for the grants issued to consultants during the nine months ended September 30, 2012:</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463"/>
        <w:gridCol w:w="122"/>
        <w:gridCol w:w="163"/>
        <w:gridCol w:w="1234"/>
        <w:gridCol w:w="223"/>
      </w:tblGrid>
      <w:tr>
        <w:trPr/>
        <w:tc>
          <w:tcPr>
            <w:tcW w:w="8463"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w:t>
            </w:r>
          </w:p>
        </w:tc>
        <w:tc>
          <w:tcPr>
            <w:tcW w:w="13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Nine Months Ended September 30, 2012</w:t>
            </w:r>
          </w:p>
        </w:tc>
        <w:tc>
          <w:tcPr>
            <w:tcW w:w="223" w:type="dxa"/>
            <w:tcBorders/>
            <w:shd w:fill="auto"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Weighted-average fair value of options granted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1.46</w:t>
            </w:r>
          </w:p>
        </w:tc>
        <w:tc>
          <w:tcPr>
            <w:tcW w:w="223" w:type="dxa"/>
            <w:tcBorders/>
            <w:shd w:fill="CCEEFF" w:val="clear"/>
            <w:vAlign w:val="bottom"/>
          </w:tcPr>
          <w:p>
            <w:pPr>
              <w:pStyle w:val="TableContents"/>
              <w:spacing w:before="0" w:after="283"/>
              <w:jc w:val="left"/>
              <w:rPr/>
            </w:pPr>
            <w:r>
              <w:rPr/>
              <w:t> </w:t>
            </w:r>
          </w:p>
        </w:tc>
      </w:tr>
      <w:tr>
        <w:trPr/>
        <w:tc>
          <w:tcPr>
            <w:tcW w:w="8463"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Expected terms (in years)</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4.50-5.00</w:t>
            </w:r>
          </w:p>
        </w:tc>
        <w:tc>
          <w:tcPr>
            <w:tcW w:w="223" w:type="dxa"/>
            <w:tcBorders/>
            <w:shd w:fill="FFFFFF" w:val="clear"/>
            <w:vAlign w:val="bottom"/>
          </w:tcPr>
          <w:p>
            <w:pPr>
              <w:pStyle w:val="TableContents"/>
              <w:spacing w:before="0" w:after="283"/>
              <w:jc w:val="left"/>
              <w:rPr/>
            </w:pPr>
            <w:r>
              <w:rPr/>
              <w:t> </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Expected volatility</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306% - 361</w:t>
            </w:r>
          </w:p>
        </w:tc>
        <w:tc>
          <w:tcPr>
            <w:tcW w:w="223" w:type="dxa"/>
            <w:tcBorders/>
            <w:shd w:fill="CCEE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r>
      <w:tr>
        <w:trPr/>
        <w:tc>
          <w:tcPr>
            <w:tcW w:w="8463" w:type="dxa"/>
            <w:tcBorders/>
            <w:shd w:fill="FFFF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Risk-free interest rate</w:t>
            </w:r>
          </w:p>
        </w:tc>
        <w:tc>
          <w:tcPr>
            <w:tcW w:w="122"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helvetica" w:hAnsi="helvetica"/>
                <w:b w:val="false"/>
                <w:sz w:val="20"/>
              </w:rPr>
            </w:pPr>
            <w:r>
              <w:rPr>
                <w:rFonts w:ascii="helvetica" w:hAnsi="helvetica"/>
                <w:b w:val="false"/>
                <w:sz w:val="20"/>
              </w:rPr>
              <w:t>0.62%-1.03</w:t>
            </w:r>
          </w:p>
        </w:tc>
        <w:tc>
          <w:tcPr>
            <w:tcW w:w="223" w:type="dxa"/>
            <w:tcBorders/>
            <w:shd w:fill="FFFFFF" w:val="clear"/>
            <w:vAlign w:val="bottom"/>
          </w:tcPr>
          <w:p>
            <w:pPr>
              <w:pStyle w:val="TableContents"/>
              <w:spacing w:before="0" w:after="283"/>
              <w:jc w:val="left"/>
              <w:rPr>
                <w:rFonts w:ascii="helvetica" w:hAnsi="helvetica"/>
                <w:b w:val="false"/>
                <w:sz w:val="20"/>
              </w:rPr>
            </w:pPr>
            <w:r>
              <w:rPr>
                <w:rFonts w:ascii="helvetica" w:hAnsi="helvetica"/>
                <w:b w:val="false"/>
                <w:sz w:val="20"/>
              </w:rPr>
              <w:t>%</w:t>
            </w:r>
          </w:p>
        </w:tc>
      </w:tr>
      <w:tr>
        <w:trPr/>
        <w:tc>
          <w:tcPr>
            <w:tcW w:w="8463" w:type="dxa"/>
            <w:tcBorders/>
            <w:shd w:fill="CCEEFF" w:val="clear"/>
            <w:vAlign w:val="bottom"/>
          </w:tcPr>
          <w:p>
            <w:pPr>
              <w:pStyle w:val="TableContents"/>
              <w:spacing w:before="0" w:after="0"/>
              <w:ind w:left="0" w:right="0" w:hanging="0"/>
              <w:jc w:val="left"/>
              <w:rPr>
                <w:rFonts w:ascii="helvetica" w:hAnsi="helvetica"/>
                <w:b w:val="false"/>
                <w:sz w:val="20"/>
              </w:rPr>
            </w:pPr>
            <w:r>
              <w:rPr>
                <w:rFonts w:ascii="helvetica" w:hAnsi="helvetica"/>
                <w:b w:val="false"/>
                <w:sz w:val="20"/>
              </w:rPr>
              <w:t>Dividend yield</w:t>
            </w:r>
          </w:p>
        </w:tc>
        <w:tc>
          <w:tcPr>
            <w:tcW w:w="122"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helvetica" w:hAnsi="helvetica"/>
                <w:b w:val="false"/>
                <w:sz w:val="20"/>
              </w:rPr>
            </w:pPr>
            <w:r>
              <w:rPr>
                <w:rFonts w:ascii="helvetica" w:hAnsi="helvetica"/>
                <w:b w:val="false"/>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from their grant date and vest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The Company issued options to purchase up to 5,060,616 shares of the Company’s common stock during the nine months ended September 30, 2012.  The weighted average fair value per share of grants issued during the nine months ended September 30, 2012 was $0.65.</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As of September 30, 2012, there was approximately $1,800,000 of total unrecognized compensation expense related to unvested stock options under the Plan. That expense is expected to be recognized over the weighted-average remaining vesting period of 1.42 years.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Other Stock Based Compensation</w:t>
      </w:r>
    </w:p>
    <w:p>
      <w:pPr>
        <w:pStyle w:val="TextBody"/>
        <w:spacing w:before="0" w:after="0"/>
        <w:ind w:left="0" w:right="0" w:hanging="0"/>
        <w:rPr/>
      </w:pPr>
      <w:r>
        <w:rPr/>
        <w:t> </w:t>
      </w:r>
    </w:p>
    <w:p>
      <w:pPr>
        <w:pStyle w:val="TextBody"/>
        <w:spacing w:before="0" w:after="0"/>
        <w:ind w:left="0" w:right="0" w:hanging="0"/>
        <w:jc w:val="left"/>
        <w:rPr>
          <w:rFonts w:ascii="helvetica" w:hAnsi="helvetica"/>
          <w:b w:val="false"/>
          <w:sz w:val="20"/>
        </w:rPr>
      </w:pPr>
      <w:r>
        <w:rPr>
          <w:rFonts w:ascii="helvetica" w:hAnsi="helvetica"/>
          <w:b w:val="false"/>
          <w:sz w:val="20"/>
        </w:rPr>
        <w:t>As additional compensation to Dr. Kammer under his Advisory Agreement, Dr. Kammer is to be compensated $10,000 per month in the form of common stock issued outside of the Plan, based on a $0.90 price per share being allocated to each dollar of payment due to Dr. Kammer. Upon the completion of a financing transaction yielding not less than $15 million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September 30, 2012 under the Advisory Agreement was $71,667 (share equivalent of 66,667 common shares) and is included in accounts payable and accrued expenses in the accompanying unaudited condensed consolidated balance sheet.</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83" w:name="PGBRK85"/>
      <w:bookmarkStart w:id="984" w:name="PGBRK85"/>
      <w:bookmarkEnd w:id="9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5" w:name="FTR84"/>
      <w:bookmarkStart w:id="986" w:name="FTR84"/>
      <w:bookmarkEnd w:id="9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87" w:name="GLFTR84"/>
      <w:bookmarkEnd w:id="9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88" w:name="PN84"/>
      <w:bookmarkEnd w:id="988"/>
      <w:r>
        <w:rPr>
          <w:rFonts w:ascii="effontselection" w:hAnsi="effontselection"/>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9" w:name="HDR84"/>
      <w:bookmarkStart w:id="990" w:name="HDR84"/>
      <w:bookmarkEnd w:id="9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1" w:name="GLHDR82"/>
      <w:bookmarkEnd w:id="9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5.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April 25, 2012, at the closing of the April Private Placement (see Note 4), the Company issued warrants to certain accredited investors to purchase up to an aggregate amount of 2,514,642 shares of common stock with an exercise price of $1.185. The warrants have an initial exercise date of April 25, 2012 and a three-year term.  Also on April 25, 2012, in connection with the Conversion Agreement (see Note 3)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a written notice delivered by the Company to each holder of a warrant;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A summary of the activity of the warrants for the nine months ended September 30, 2012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73"/>
        <w:gridCol w:w="114"/>
        <w:gridCol w:w="116"/>
        <w:gridCol w:w="1218"/>
        <w:gridCol w:w="123"/>
        <w:gridCol w:w="114"/>
        <w:gridCol w:w="156"/>
        <w:gridCol w:w="1065"/>
        <w:gridCol w:w="126"/>
      </w:tblGrid>
      <w:tr>
        <w:trPr/>
        <w:tc>
          <w:tcPr>
            <w:tcW w:w="717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3"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w:t>
              <w:br/>
              <w:t>Exercise Price</w:t>
            </w:r>
          </w:p>
        </w:tc>
        <w:tc>
          <w:tcPr>
            <w:tcW w:w="126" w:type="dxa"/>
            <w:tcBorders/>
            <w:shd w:fill="auto" w:val="clear"/>
            <w:vAlign w:val="bottom"/>
          </w:tcPr>
          <w:p>
            <w:pPr>
              <w:pStyle w:val="TableContents"/>
              <w:spacing w:before="0" w:after="283"/>
              <w:jc w:val="left"/>
              <w:rPr/>
            </w:pPr>
            <w:r>
              <w:rPr/>
              <w:t> </w:t>
            </w:r>
          </w:p>
        </w:tc>
      </w:tr>
      <w:tr>
        <w:trPr/>
        <w:tc>
          <w:tcPr>
            <w:tcW w:w="7173"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3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 January 1, 2012</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95,498</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1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2,755,950</w:t>
            </w:r>
          </w:p>
        </w:tc>
        <w:tc>
          <w:tcPr>
            <w:tcW w:w="123"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1.19</w:t>
            </w:r>
          </w:p>
        </w:tc>
        <w:tc>
          <w:tcPr>
            <w:tcW w:w="126" w:type="dxa"/>
            <w:tcBorders/>
            <w:shd w:fill="FFFFFF"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1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(64,745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32.00</w:t>
            </w:r>
          </w:p>
        </w:tc>
        <w:tc>
          <w:tcPr>
            <w:tcW w:w="126" w:type="dxa"/>
            <w:tcBorders/>
            <w:shd w:fill="FFFFFF" w:val="clear"/>
            <w:vAlign w:val="bottom"/>
          </w:tcPr>
          <w:p>
            <w:pPr>
              <w:pStyle w:val="TableContents"/>
              <w:spacing w:before="0" w:after="283"/>
              <w:jc w:val="left"/>
              <w:rPr/>
            </w:pPr>
            <w:r>
              <w:rPr/>
              <w:t> </w:t>
            </w:r>
          </w:p>
        </w:tc>
      </w:tr>
      <w:tr>
        <w:trPr/>
        <w:tc>
          <w:tcPr>
            <w:tcW w:w="717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Warrants outstanding and exercisable - September 30, 2012</w:t>
            </w:r>
          </w:p>
        </w:tc>
        <w:tc>
          <w:tcPr>
            <w:tcW w:w="114"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1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2,786,703</w:t>
            </w:r>
          </w:p>
        </w:tc>
        <w:tc>
          <w:tcPr>
            <w:tcW w:w="123"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1.56</w:t>
            </w:r>
          </w:p>
        </w:tc>
        <w:tc>
          <w:tcPr>
            <w:tcW w:w="126" w:type="dxa"/>
            <w:tcBorders/>
            <w:shd w:fill="CCEEFF" w:val="clear"/>
            <w:vAlign w:val="bottom"/>
          </w:tcPr>
          <w:p>
            <w:pPr>
              <w:pStyle w:val="TableContents"/>
              <w:spacing w:before="0" w:after="283"/>
              <w:jc w:val="left"/>
              <w:rPr/>
            </w:pPr>
            <w:r>
              <w:rPr/>
              <w:t> </w:t>
            </w:r>
          </w:p>
        </w:tc>
      </w:tr>
      <w:tr>
        <w:trPr/>
        <w:tc>
          <w:tcPr>
            <w:tcW w:w="717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remaining contractual life of the outstanding warrants in years - September 30, 2012</w:t>
            </w:r>
          </w:p>
        </w:tc>
        <w:tc>
          <w:tcPr>
            <w:tcW w:w="114" w:type="dxa"/>
            <w:tcBorders/>
            <w:shd w:fill="FFFFFF" w:val="clear"/>
            <w:vAlign w:val="bottom"/>
          </w:tcPr>
          <w:p>
            <w:pPr>
              <w:pStyle w:val="TableContents"/>
              <w:spacing w:before="0" w:after="283"/>
              <w:rPr/>
            </w:pPr>
            <w:r>
              <w:rPr/>
              <w:t> </w:t>
            </w:r>
          </w:p>
        </w:tc>
        <w:tc>
          <w:tcPr>
            <w:tcW w:w="116"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1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2.55</w:t>
            </w:r>
          </w:p>
        </w:tc>
        <w:tc>
          <w:tcPr>
            <w:tcW w:w="123"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NOTE 6.  COMMITMENTS AND CONTINGENCIES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$8,900.</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bookmarkStart w:id="992" w:name="fis_subsequent_events"/>
      <w:bookmarkEnd w:id="992"/>
      <w:r>
        <w:rPr>
          <w:rFonts w:ascii="helvetica" w:hAnsi="helvetica"/>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PCCA License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Pursuant to the terms of the PCCA License Agreement entered in connection with the PCCA Transaction (Note 4),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b/>
          <w:sz w:val="20"/>
        </w:rPr>
      </w:pPr>
      <w:r>
        <w:rPr>
          <w:rFonts w:ascii="helvetica" w:hAnsi="helvetica"/>
          <w:b/>
          <w:sz w:val="20"/>
        </w:rPr>
        <w:t>Cosmetic License Agreements - Terminated</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nine months ended September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93" w:name="PGBRK86"/>
      <w:bookmarkStart w:id="994" w:name="PGBRK86"/>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5" w:name="FTR85"/>
      <w:bookmarkStart w:id="996" w:name="FTR85"/>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97" w:name="GLFTR85"/>
      <w:bookmarkEnd w:id="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998" w:name="PN85"/>
      <w:bookmarkEnd w:id="998"/>
      <w:r>
        <w:rPr>
          <w:rFonts w:ascii="effontselection" w:hAnsi="effontselection"/>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9" w:name="HDR85"/>
      <w:bookmarkStart w:id="1000" w:name="HDR85"/>
      <w:bookmarkEnd w:id="1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01" w:name="GLHDR83"/>
      <w:bookmarkEnd w:id="1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center"/>
        <w:rPr>
          <w:rFonts w:ascii="helvetica" w:hAnsi="helvetica"/>
          <w:b/>
          <w:sz w:val="20"/>
        </w:rPr>
      </w:pPr>
      <w:r>
        <w:rPr>
          <w:rFonts w:ascii="helvetica" w:hAnsi="helvetica"/>
          <w:b/>
          <w:sz w:val="20"/>
        </w:rPr>
        <w:t>REPORT OF INDEPENDENT REGISTERED PUBLIC ACCOUNTING FIRM</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To the Board of Directors and Stockholders of Imprimis Pharmaceuticals, Inc.</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pStyle w:val="TextBody"/>
        <w:spacing w:before="0" w:after="0"/>
        <w:ind w:left="0" w:right="0" w:hanging="0"/>
        <w:rPr/>
      </w:pPr>
      <w:r>
        <w:rPr/>
        <w:t> </w:t>
      </w:r>
    </w:p>
    <w:p>
      <w:pPr>
        <w:pStyle w:val="TextBody"/>
        <w:spacing w:before="0" w:after="0"/>
        <w:ind w:left="0" w:right="0" w:hanging="0"/>
        <w:jc w:val="left"/>
        <w:rPr>
          <w:rFonts w:ascii="helvetica" w:hAnsi="helvetica"/>
          <w:sz w:val="20"/>
        </w:rPr>
      </w:pPr>
      <w:r>
        <w:rPr>
          <w:rFonts w:ascii="helvetica" w:hAnsi="helvetica"/>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Costa Mesa, California</w:t>
      </w:r>
    </w:p>
    <w:p>
      <w:pPr>
        <w:pStyle w:val="TextBody"/>
        <w:spacing w:before="0" w:after="0"/>
        <w:ind w:left="0" w:right="0" w:hanging="0"/>
        <w:jc w:val="both"/>
        <w:rPr/>
      </w:pPr>
      <w:r>
        <w:rPr/>
        <w:t> </w:t>
      </w:r>
    </w:p>
    <w:p>
      <w:pPr>
        <w:pStyle w:val="TextBody"/>
        <w:spacing w:before="0" w:after="0"/>
        <w:ind w:left="0" w:right="0" w:hanging="0"/>
        <w:jc w:val="left"/>
        <w:rPr>
          <w:rFonts w:ascii="helvetica" w:hAnsi="helvetica"/>
          <w:sz w:val="20"/>
        </w:rPr>
      </w:pPr>
      <w:r>
        <w:rPr>
          <w:rFonts w:ascii="helvetica" w:hAnsi="helvetica"/>
          <w:sz w:val="20"/>
        </w:rPr>
        <w:t>February 23, 2012</w:t>
      </w:r>
    </w:p>
    <w:p>
      <w:pPr>
        <w:pStyle w:val="TextBody"/>
        <w:spacing w:before="0" w:after="0"/>
        <w:ind w:left="0" w:right="0" w:hanging="0"/>
        <w:jc w:val="left"/>
        <w:rPr>
          <w:rFonts w:ascii="helvetica" w:hAnsi="helvetica"/>
          <w:sz w:val="20"/>
        </w:rPr>
      </w:pPr>
      <w:r>
        <w:rPr>
          <w:rFonts w:ascii="helvetica" w:hAnsi="helvetica"/>
          <w:sz w:val="20"/>
        </w:rPr>
        <w:t>Except for Note 3 and the effects of</w:t>
      </w:r>
    </w:p>
    <w:p>
      <w:pPr>
        <w:pStyle w:val="TextBody"/>
        <w:spacing w:before="0" w:after="0"/>
        <w:ind w:left="0" w:right="0" w:hanging="0"/>
        <w:jc w:val="left"/>
        <w:rPr>
          <w:rFonts w:ascii="helvetica" w:hAnsi="helvetica"/>
          <w:sz w:val="20"/>
        </w:rPr>
      </w:pPr>
      <w:r>
        <w:rPr>
          <w:rFonts w:ascii="helvetica" w:hAnsi="helvetica"/>
          <w:sz w:val="20"/>
        </w:rPr>
        <w:t>the retrospective application of the</w:t>
      </w:r>
    </w:p>
    <w:p>
      <w:pPr>
        <w:pStyle w:val="TextBody"/>
        <w:spacing w:before="0" w:after="0"/>
        <w:ind w:left="0" w:right="0" w:hanging="0"/>
        <w:jc w:val="left"/>
        <w:rPr>
          <w:rFonts w:ascii="helvetica" w:hAnsi="helvetica"/>
          <w:sz w:val="20"/>
        </w:rPr>
      </w:pPr>
      <w:r>
        <w:rPr>
          <w:rFonts w:ascii="helvetica" w:hAnsi="helvetica"/>
          <w:sz w:val="20"/>
        </w:rPr>
        <w:t>reverse stock split as described in</w:t>
      </w:r>
    </w:p>
    <w:p>
      <w:pPr>
        <w:pStyle w:val="TextBody"/>
        <w:spacing w:before="0" w:after="0"/>
        <w:ind w:left="0" w:right="0" w:hanging="0"/>
        <w:jc w:val="left"/>
        <w:rPr>
          <w:rFonts w:ascii="helvetica" w:hAnsi="helvetica"/>
          <w:sz w:val="20"/>
        </w:rPr>
      </w:pPr>
      <w:r>
        <w:rPr>
          <w:rFonts w:ascii="helvetica" w:hAnsi="helvetica"/>
          <w:sz w:val="20"/>
        </w:rPr>
        <w:t>Note 3, as to which the date is</w:t>
      </w:r>
    </w:p>
    <w:p>
      <w:pPr>
        <w:pStyle w:val="TextBody"/>
        <w:spacing w:before="0" w:after="0"/>
        <w:ind w:left="0" w:right="0" w:hanging="0"/>
        <w:jc w:val="left"/>
        <w:rPr>
          <w:rFonts w:ascii="helvetica" w:hAnsi="helvetica"/>
          <w:sz w:val="20"/>
        </w:rPr>
      </w:pPr>
      <w:r>
        <w:rPr>
          <w:rFonts w:ascii="helvetica" w:hAnsi="helvetica"/>
          <w:sz w:val="20"/>
        </w:rPr>
        <w:t>February 28, 2012</w:t>
      </w:r>
    </w:p>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02" w:name="PGBRK87"/>
      <w:bookmarkStart w:id="1003" w:name="PGBRK87"/>
      <w:bookmarkEnd w:id="1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4" w:name="FTR86"/>
      <w:bookmarkStart w:id="1005" w:name="FTR86"/>
      <w:bookmarkEnd w:id="1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6" w:name="GLFTR86"/>
      <w:bookmarkEnd w:id="10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07" w:name="PN86"/>
      <w:bookmarkEnd w:id="1007"/>
      <w:r>
        <w:rPr>
          <w:rFonts w:ascii="effontselection" w:hAnsi="effontselection"/>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8" w:name="HDR86"/>
      <w:bookmarkStart w:id="1009" w:name="HDR86"/>
      <w:bookmarkEnd w:id="1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10" w:name="GLHDR84"/>
      <w:bookmarkEnd w:id="10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bookmarkStart w:id="1011" w:name="range!a1%3Ag49"/>
            <w:bookmarkEnd w:id="1011"/>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BALANCE SHEETS</w:t>
            </w:r>
          </w:p>
        </w:tc>
      </w:tr>
      <w:tr>
        <w:trPr/>
        <w:tc>
          <w:tcPr>
            <w:tcW w:w="10205" w:type="dxa"/>
            <w:tcBorders/>
            <w:shd w:fill="auto" w:val="clear"/>
            <w:vAlign w:val="bottom"/>
          </w:tcPr>
          <w:p>
            <w:pPr>
              <w:pStyle w:val="TableContents"/>
              <w:spacing w:before="0" w:after="283"/>
              <w:rPr/>
            </w:pPr>
            <w:r>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281"/>
        <w:gridCol w:w="106"/>
        <w:gridCol w:w="126"/>
        <w:gridCol w:w="1112"/>
        <w:gridCol w:w="112"/>
        <w:gridCol w:w="106"/>
        <w:gridCol w:w="126"/>
        <w:gridCol w:w="1112"/>
        <w:gridCol w:w="124"/>
      </w:tblGrid>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b/>
                <w:sz w:val="20"/>
              </w:rPr>
            </w:pPr>
            <w:r>
              <w:rPr>
                <w:rFonts w:ascii="helvetica" w:hAnsi="helvetica"/>
                <w:b/>
                <w:sz w:val="20"/>
              </w:rPr>
              <w:t>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Current assets</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and cash equivalents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291,462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14,797</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60,492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assets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351,954</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Computer equipment, net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ASSETS</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b/>
                <w:sz w:val="20"/>
              </w:rPr>
            </w:pPr>
            <w:r>
              <w:rPr>
                <w:rFonts w:ascii="helvetica" w:hAnsi="helvetica"/>
                <w:b/>
                <w:sz w:val="20"/>
              </w:rPr>
              <w:t>LIABILITIES AND 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218,612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73,632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Accounts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Phase 3 expenses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55,784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69,532</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Deferred revenue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80,000</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Notes payable - related party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1,130,479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current liabilities</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335,035</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1,055,479</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1,860,962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1,390,514</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Commitments and contingencies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STOCKHOLDERS' DEFICIT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8625" w:type="dxa"/>
            <w:gridSpan w:val="4"/>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Series A Convertible preferred stock, $0.001 par value, 10 shares authorized,</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10 and 0 shares issued and outstanding</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Common stock, $0.001 par value, 50,000,000 shares authorized,</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1,987,601 and  1,991,508 issued and outstanding</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at December 31, 2011 and 2010, respectively</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Additional paid in capital</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16,818,740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124" w:type="dxa"/>
            <w:tcBorders/>
            <w:shd w:fill="CCEEFF" w:val="clear"/>
            <w:vAlign w:val="bottom"/>
          </w:tcPr>
          <w:p>
            <w:pPr>
              <w:pStyle w:val="TableContents"/>
              <w:spacing w:before="0" w:after="283"/>
              <w:jc w:val="left"/>
              <w:rPr/>
            </w:pPr>
            <w:r>
              <w:rPr/>
              <w:t> </w:t>
            </w:r>
          </w:p>
        </w:tc>
      </w:tr>
      <w:tr>
        <w:trPr/>
        <w:tc>
          <w:tcPr>
            <w:tcW w:w="7281"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1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(17,466,797</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STOCKHOLDERS' DEFICIT)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1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(1,038,222</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281"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160,957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352,292</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12" w:name="PGBRK88"/>
      <w:bookmarkStart w:id="1013" w:name="PGBRK88"/>
      <w:bookmarkEnd w:id="10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4" w:name="FTR87"/>
      <w:bookmarkStart w:id="1015" w:name="FTR87"/>
      <w:bookmarkEnd w:id="1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6" w:name="GLFTR87"/>
      <w:bookmarkEnd w:id="10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17" w:name="PN87"/>
      <w:bookmarkEnd w:id="1017"/>
      <w:r>
        <w:rPr>
          <w:rFonts w:ascii="effontselection" w:hAnsi="effontselection"/>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8" w:name="HDR87"/>
      <w:bookmarkStart w:id="1019" w:name="HDR87"/>
      <w:bookmarkEnd w:id="1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0" w:name="GLHDR85"/>
      <w:bookmarkEnd w:id="10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OPERATIONS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03"/>
        <w:gridCol w:w="105"/>
        <w:gridCol w:w="126"/>
        <w:gridCol w:w="1077"/>
        <w:gridCol w:w="111"/>
        <w:gridCol w:w="105"/>
        <w:gridCol w:w="126"/>
        <w:gridCol w:w="1077"/>
        <w:gridCol w:w="111"/>
        <w:gridCol w:w="105"/>
        <w:gridCol w:w="126"/>
        <w:gridCol w:w="1111"/>
        <w:gridCol w:w="122"/>
      </w:tblGrid>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2" w:type="dxa"/>
            <w:tcBorders/>
            <w:shd w:fill="auto" w:val="clear"/>
            <w:vAlign w:val="bottom"/>
          </w:tcPr>
          <w:p>
            <w:pPr>
              <w:pStyle w:val="TableContents"/>
              <w:spacing w:before="0" w:after="283"/>
              <w:jc w:val="left"/>
              <w:rPr/>
            </w:pPr>
            <w:r>
              <w:rPr/>
              <w:t> </w:t>
            </w:r>
          </w:p>
        </w:tc>
      </w:tr>
      <w:tr>
        <w:trPr/>
        <w:tc>
          <w:tcPr>
            <w:tcW w:w="5903"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Expenses:</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Selling, general and administrative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827,674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2,307,972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9,573,327</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Research and development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111,554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194,588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7,820,258</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Loss from operations</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(939,228</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(2,502,560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(17,393,585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Other income (expense)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expense</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Interest income</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512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127,581</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settlement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375,000</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Gain on forgiveness of liabilities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60,292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26,299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176,505</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Total other expense, net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(14,708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(28,668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(1,027,148</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Deemed dividend to preferred stockholders</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attributable to common stockholders</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11"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12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loss per common share, basic and diluted:</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1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03"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111"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03"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Weighted average common shares outstanding, basic and diluted</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1,989,014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1,973,155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11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21" w:name="PGBRK89"/>
      <w:bookmarkStart w:id="1022" w:name="PGBRK89"/>
      <w:bookmarkEnd w:id="1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3" w:name="FTR88"/>
      <w:bookmarkStart w:id="1024" w:name="FTR88"/>
      <w:bookmarkEnd w:id="1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5" w:name="GLFTR88"/>
      <w:bookmarkEnd w:id="10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26" w:name="PN88"/>
      <w:bookmarkEnd w:id="1026"/>
      <w:r>
        <w:rPr>
          <w:rFonts w:ascii="effontselection" w:hAnsi="effontselection"/>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HDR88"/>
      <w:bookmarkStart w:id="1028" w:name="HDR88"/>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29" w:name="GLHDR86"/>
      <w:bookmarkEnd w:id="1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(Development Stage Company)</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CONSOLIDATED STATEMENTS OF STOCKHOLDERS' EQUITY (DEFICIT)</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For the years ended December 31, 2011 and 2010 and for the period from June 24, 1998 (Inception) through December 31, 2011</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70"/>
        <w:gridCol w:w="81"/>
        <w:gridCol w:w="135"/>
        <w:gridCol w:w="586"/>
        <w:gridCol w:w="92"/>
        <w:gridCol w:w="92"/>
        <w:gridCol w:w="292"/>
        <w:gridCol w:w="334"/>
        <w:gridCol w:w="81"/>
        <w:gridCol w:w="81"/>
        <w:gridCol w:w="81"/>
        <w:gridCol w:w="982"/>
        <w:gridCol w:w="99"/>
        <w:gridCol w:w="81"/>
        <w:gridCol w:w="139"/>
        <w:gridCol w:w="641"/>
        <w:gridCol w:w="99"/>
        <w:gridCol w:w="81"/>
        <w:gridCol w:w="140"/>
        <w:gridCol w:w="1077"/>
        <w:gridCol w:w="99"/>
        <w:gridCol w:w="81"/>
        <w:gridCol w:w="140"/>
        <w:gridCol w:w="1132"/>
        <w:gridCol w:w="99"/>
        <w:gridCol w:w="81"/>
        <w:gridCol w:w="141"/>
        <w:gridCol w:w="1045"/>
        <w:gridCol w:w="123"/>
      </w:tblGrid>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1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Preferred Stock</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20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Common Stock</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Additional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Deficit accumulated</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Total</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Par</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Paid-in</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during the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Stockholders'</w:t>
            </w:r>
          </w:p>
        </w:tc>
        <w:tc>
          <w:tcPr>
            <w:tcW w:w="123" w:type="dxa"/>
            <w:tcBorders/>
            <w:shd w:fill="auto" w:val="clear"/>
            <w:vAlign w:val="bottom"/>
          </w:tcPr>
          <w:p>
            <w:pPr>
              <w:pStyle w:val="TableContents"/>
              <w:spacing w:before="0" w:after="283"/>
              <w:jc w:val="left"/>
              <w:rPr/>
            </w:pPr>
            <w:r>
              <w:rPr/>
              <w:t> </w:t>
            </w:r>
          </w:p>
        </w:tc>
      </w:tr>
      <w:tr>
        <w:trPr/>
        <w:tc>
          <w:tcPr>
            <w:tcW w:w="2070" w:type="dxa"/>
            <w:tcBorders/>
            <w:shd w:fill="auto" w:val="clear"/>
            <w:vAlign w:val="bottom"/>
          </w:tcPr>
          <w:p>
            <w:pPr>
              <w:pStyle w:val="TableContents"/>
              <w:spacing w:before="0" w:after="283"/>
              <w:rPr/>
            </w:pPr>
            <w:r>
              <w:rPr/>
              <w:t xml:space="preserve">  </w:t>
            </w:r>
          </w:p>
        </w:tc>
        <w:tc>
          <w:tcPr>
            <w:tcW w:w="81" w:type="dxa"/>
            <w:tcBorders/>
            <w:shd w:fill="auto" w:val="clear"/>
            <w:vAlign w:val="bottom"/>
          </w:tcPr>
          <w:p>
            <w:pPr>
              <w:pStyle w:val="TableContents"/>
              <w:spacing w:before="0" w:after="283"/>
              <w:rPr/>
            </w:pPr>
            <w:r>
              <w:rPr/>
              <w:t> </w:t>
            </w:r>
          </w:p>
        </w:tc>
        <w:tc>
          <w:tcPr>
            <w:tcW w:w="7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2" w:type="dxa"/>
            <w:tcBorders/>
            <w:shd w:fill="auto" w:val="clear"/>
            <w:vAlign w:val="bottom"/>
          </w:tcPr>
          <w:p>
            <w:pPr>
              <w:pStyle w:val="TableContents"/>
              <w:spacing w:before="0" w:after="283"/>
              <w:jc w:val="left"/>
              <w:rPr/>
            </w:pPr>
            <w:r>
              <w:rPr/>
              <w:t> </w:t>
            </w:r>
          </w:p>
        </w:tc>
        <w:tc>
          <w:tcPr>
            <w:tcW w:w="92" w:type="dxa"/>
            <w:tcBorders/>
            <w:shd w:fill="auto" w:val="clear"/>
            <w:vAlign w:val="bottom"/>
          </w:tcPr>
          <w:p>
            <w:pPr>
              <w:pStyle w:val="TableContents"/>
              <w:spacing w:before="0" w:after="283"/>
              <w:rPr/>
            </w:pPr>
            <w:r>
              <w:rPr/>
              <w:t> </w:t>
            </w:r>
          </w:p>
        </w:tc>
        <w:tc>
          <w:tcPr>
            <w:tcW w:w="6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0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Shares</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Value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Capital</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2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development stage</w:t>
            </w:r>
          </w:p>
        </w:tc>
        <w:tc>
          <w:tcPr>
            <w:tcW w:w="9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Equity (Deficit)</w:t>
            </w:r>
          </w:p>
        </w:tc>
        <w:tc>
          <w:tcPr>
            <w:tcW w:w="123" w:type="dxa"/>
            <w:tcBorders/>
            <w:shd w:fill="auto"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Balance at June 24, 1998 (Inception)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1998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(204,000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1999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(304,000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(4,000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May and June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(213,092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(517,092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(11,092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(208,420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2001</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(725,512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(19,512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(228,217</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(953,729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(47,729</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(207,196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2003</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1,105,883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(1,160,925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(54,925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(508,226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2004</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117,188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1,505,883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(1,669,151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(163,151</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14,200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306,641</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15,393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15,700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August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(539,622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2005</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425,782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426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1,935,574</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(2,208,773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(272,773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48,600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$0.0512 per share in June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and July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46,875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(584,232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2006</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472,657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2,386,527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(2,793,005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(406,005</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at $0.0512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during January and March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498,047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Exercise of stock options and warrants at $0.0512</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per share in April and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4,883</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services contributed by</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stockholders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175,000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105,907</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Forgiveness of notes payable and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common stock at $16.00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August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24,414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in connection with merger</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on September 17,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231,249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$100,000 per unit in September and October 2007</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258,979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3,837,532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3,837,791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related to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 and accrued interest</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191,272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1,529,986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Beneficial conversion feature upon conversion of</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senior convertible notes payable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warrants for consulting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services in September 2007 at a value of $16.00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for stock transaction and $100,000 per unit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for stock and warrant transaction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34,375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549,966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550,000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184,522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(4,284,540</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2007</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1,715,876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1,716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10,566,309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(7,077,545</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3,490,480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proceeds from private placement offering issued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at $110,000 per unit in May 2008 and final costs of</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2007  private placement offering</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227,273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228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3,941,073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3,941,301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Adjustment and issuance of common stock, warrant and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 options related to consulting services agreement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(1,738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(117,991</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(117,993</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restricted stock at $5.60 per share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in November 2008</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3,125</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562,442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(3,304,388</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2008</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1,944,535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1,945</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14,951,830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(10,381,933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4,571,842</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283"/>
              <w:rPr/>
            </w:pPr>
            <w:r>
              <w:rPr/>
              <w:t xml:space="preserve">  </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agreements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5,722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121,449</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121,455</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Exercise of stock options at $7.92 per share August 2009</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49,494</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49,500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388,050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(4,553,636</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2009</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1,956,508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1,957</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15,510,823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(14,935,569</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577,211</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common stock and stock options related</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to consulting agreements</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28,750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29</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367,871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367,900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Issuance of restricted stock at $6.40 per share</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pPr>
            <w:r>
              <w:rPr/>
              <w:t> </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pPr>
            <w:r>
              <w:rPr/>
              <w:t> </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in October 2010</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6,250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12,077</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12,083</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535,812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FFFFFF" w:val="clear"/>
            <w:vAlign w:val="bottom"/>
          </w:tcPr>
          <w:p>
            <w:pPr>
              <w:pStyle w:val="TableContents"/>
              <w:spacing w:before="0" w:after="283"/>
              <w:rPr/>
            </w:pPr>
            <w:r>
              <w:rPr/>
              <w:t> </w:t>
            </w:r>
          </w:p>
        </w:tc>
        <w:tc>
          <w:tcPr>
            <w:tcW w:w="1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Balance at December 31, 2010</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1,991,508</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1,992</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16,426,583</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(17,466,797</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(1,038,222</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283"/>
              <w:rPr/>
            </w:pPr>
            <w:r>
              <w:rPr/>
              <w:t xml:space="preserve">  </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Forfeiture of unvested restricted stock in May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(3,906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3,336</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3,332</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Issuance of Series A Preferred Stock at $10,000 per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share in December 2011</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Preferred stock beneficial conversion feature</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Estimated fair value of stock options granted to former</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pPr>
            <w:r>
              <w:rPr/>
              <w:t> </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employees in forgiveness of liabilities</w:t>
            </w:r>
          </w:p>
        </w:tc>
        <w:tc>
          <w:tcPr>
            <w:tcW w:w="81"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5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64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11,400</w:t>
            </w:r>
          </w:p>
        </w:tc>
        <w:tc>
          <w:tcPr>
            <w:tcW w:w="123" w:type="dxa"/>
            <w:tcBorders/>
            <w:shd w:fill="CCEEFF" w:val="clear"/>
            <w:vAlign w:val="bottom"/>
          </w:tcPr>
          <w:p>
            <w:pPr>
              <w:pStyle w:val="TableContents"/>
              <w:spacing w:before="0" w:after="283"/>
              <w:jc w:val="left"/>
              <w:rPr/>
            </w:pPr>
            <w:r>
              <w:rPr/>
              <w:t> </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81" w:type="dxa"/>
            <w:tcBorders/>
            <w:shd w:fill="FFFFFF" w:val="clear"/>
            <w:vAlign w:val="bottom"/>
          </w:tcPr>
          <w:p>
            <w:pPr>
              <w:pStyle w:val="TableContents"/>
              <w:spacing w:before="0" w:after="283"/>
              <w:rPr/>
            </w:pPr>
            <w:r>
              <w:rPr/>
              <w:t> </w:t>
            </w:r>
          </w:p>
        </w:tc>
        <w:tc>
          <w:tcPr>
            <w:tcW w:w="135" w:type="dxa"/>
            <w:tcBorders/>
            <w:shd w:fill="FFFFFF" w:val="clear"/>
            <w:vAlign w:val="bottom"/>
          </w:tcPr>
          <w:p>
            <w:pPr>
              <w:pStyle w:val="TableContents"/>
              <w:spacing w:before="0" w:after="283"/>
              <w:jc w:val="left"/>
              <w:rPr/>
            </w:pPr>
            <w:r>
              <w:rPr/>
              <w:t> </w:t>
            </w:r>
          </w:p>
        </w:tc>
        <w:tc>
          <w:tcPr>
            <w:tcW w:w="58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64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177,421</w:t>
            </w:r>
          </w:p>
        </w:tc>
        <w:tc>
          <w:tcPr>
            <w:tcW w:w="123" w:type="dxa"/>
            <w:tcBorders/>
            <w:shd w:fill="FFFFFF" w:val="clear"/>
            <w:vAlign w:val="bottom"/>
          </w:tcPr>
          <w:p>
            <w:pPr>
              <w:pStyle w:val="TableContents"/>
              <w:spacing w:before="0" w:after="283"/>
              <w:jc w:val="left"/>
              <w:rPr/>
            </w:pPr>
            <w:r>
              <w:rPr/>
              <w:t> </w:t>
            </w:r>
          </w:p>
        </w:tc>
      </w:tr>
      <w:tr>
        <w:trPr/>
        <w:tc>
          <w:tcPr>
            <w:tcW w:w="207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81" w:type="dxa"/>
            <w:tcBorders/>
            <w:shd w:fill="CCEEFF" w:val="clear"/>
            <w:vAlign w:val="bottom"/>
          </w:tcPr>
          <w:p>
            <w:pPr>
              <w:pStyle w:val="TableContents"/>
              <w:spacing w:before="0" w:after="283"/>
              <w:rPr/>
            </w:pPr>
            <w:r>
              <w:rPr/>
              <w:t> </w:t>
            </w:r>
          </w:p>
        </w:tc>
        <w:tc>
          <w:tcPr>
            <w:tcW w:w="1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2" w:type="dxa"/>
            <w:tcBorders/>
            <w:shd w:fill="CCEEFF" w:val="clear"/>
            <w:vAlign w:val="bottom"/>
          </w:tcPr>
          <w:p>
            <w:pPr>
              <w:pStyle w:val="TableContents"/>
              <w:spacing w:before="0" w:after="283"/>
              <w:jc w:val="left"/>
              <w:rPr/>
            </w:pPr>
            <w:r>
              <w:rPr/>
              <w:t> </w:t>
            </w:r>
          </w:p>
        </w:tc>
        <w:tc>
          <w:tcPr>
            <w:tcW w:w="92" w:type="dxa"/>
            <w:tcBorders/>
            <w:shd w:fill="CCEEFF" w:val="clear"/>
            <w:vAlign w:val="bottom"/>
          </w:tcPr>
          <w:p>
            <w:pPr>
              <w:pStyle w:val="TableContents"/>
              <w:spacing w:before="0" w:after="283"/>
              <w:rPr/>
            </w:pPr>
            <w:r>
              <w:rPr/>
              <w:t> </w:t>
            </w:r>
          </w:p>
        </w:tc>
        <w:tc>
          <w:tcPr>
            <w:tcW w:w="2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1"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9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(953,936</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2070" w:type="dxa"/>
            <w:tcBorders/>
            <w:shd w:fill="FFFFFF" w:val="clear"/>
            <w:vAlign w:val="bottom"/>
          </w:tcPr>
          <w:p>
            <w:pPr>
              <w:pStyle w:val="TableContents"/>
              <w:spacing w:before="0" w:after="0"/>
              <w:ind w:left="0" w:right="0" w:hanging="0"/>
              <w:jc w:val="left"/>
              <w:rPr/>
            </w:pPr>
            <w:r>
              <w:rPr/>
              <w:t> </w:t>
            </w:r>
            <w:r>
              <w:rPr>
                <w:rFonts w:ascii="helvetica" w:hAnsi="helvetica"/>
                <w:sz w:val="20"/>
              </w:rPr>
              <w:t>Balance at December 31, 2011</w:t>
            </w:r>
          </w:p>
        </w:tc>
        <w:tc>
          <w:tcPr>
            <w:tcW w:w="81" w:type="dxa"/>
            <w:tcBorders/>
            <w:shd w:fill="FFFFFF" w:val="clear"/>
            <w:vAlign w:val="bottom"/>
          </w:tcPr>
          <w:p>
            <w:pPr>
              <w:pStyle w:val="TableContents"/>
              <w:spacing w:before="0" w:after="283"/>
              <w:rPr/>
            </w:pPr>
            <w:r>
              <w:rPr/>
              <w:t> </w:t>
            </w:r>
          </w:p>
        </w:tc>
        <w:tc>
          <w:tcPr>
            <w:tcW w:w="1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w:t>
            </w:r>
          </w:p>
        </w:tc>
        <w:tc>
          <w:tcPr>
            <w:tcW w:w="92" w:type="dxa"/>
            <w:tcBorders/>
            <w:shd w:fill="FFFFFF" w:val="clear"/>
            <w:vAlign w:val="bottom"/>
          </w:tcPr>
          <w:p>
            <w:pPr>
              <w:pStyle w:val="TableContents"/>
              <w:spacing w:before="0" w:after="283"/>
              <w:jc w:val="left"/>
              <w:rPr/>
            </w:pPr>
            <w:r>
              <w:rPr/>
              <w:t> </w:t>
            </w:r>
          </w:p>
        </w:tc>
        <w:tc>
          <w:tcPr>
            <w:tcW w:w="92" w:type="dxa"/>
            <w:tcBorders/>
            <w:shd w:fill="FFFFFF" w:val="clear"/>
            <w:vAlign w:val="bottom"/>
          </w:tcPr>
          <w:p>
            <w:pPr>
              <w:pStyle w:val="TableContents"/>
              <w:spacing w:before="0" w:after="283"/>
              <w:rPr/>
            </w:pPr>
            <w:r>
              <w:rPr/>
              <w:t> </w:t>
            </w:r>
          </w:p>
        </w:tc>
        <w:tc>
          <w:tcPr>
            <w:tcW w:w="292"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33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8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1,987,601</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641"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1,988</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16,818,740</w:t>
            </w:r>
          </w:p>
        </w:tc>
        <w:tc>
          <w:tcPr>
            <w:tcW w:w="99" w:type="dxa"/>
            <w:tcBorders/>
            <w:shd w:fill="FFFFFF" w:val="clear"/>
            <w:vAlign w:val="bottom"/>
          </w:tcPr>
          <w:p>
            <w:pPr>
              <w:pStyle w:val="TableContents"/>
              <w:spacing w:before="0" w:after="283"/>
              <w:jc w:val="left"/>
              <w:rPr/>
            </w:pPr>
            <w:r>
              <w:rPr/>
              <w:t> </w:t>
            </w:r>
          </w:p>
        </w:tc>
        <w:tc>
          <w:tcPr>
            <w:tcW w:w="81"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(18,520,733</w:t>
            </w:r>
          </w:p>
        </w:tc>
        <w:tc>
          <w:tcPr>
            <w:tcW w:w="9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81"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(1,700,005</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jc w:val="left"/>
        <w:rPr/>
      </w:pPr>
      <w:r>
        <w:rPr/>
        <w:t> </w:t>
      </w:r>
    </w:p>
    <w:p>
      <w:pPr>
        <w:pStyle w:val="TextBody"/>
        <w:spacing w:before="0" w:after="0"/>
        <w:ind w:left="0" w:right="0" w:hanging="0"/>
        <w:jc w:val="center"/>
        <w:rPr>
          <w:rFonts w:ascii="helvetica" w:hAnsi="helvetica"/>
          <w:sz w:val="20"/>
        </w:rPr>
      </w:pPr>
      <w:r>
        <w:rPr>
          <w:rFonts w:ascii="helvetica" w:hAnsi="helvetica"/>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0" w:name="PGBRK90"/>
      <w:bookmarkStart w:id="1031" w:name="PGBRK90"/>
      <w:bookmarkEnd w:id="10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2" w:name="FTR89"/>
      <w:bookmarkStart w:id="1033" w:name="FTR89"/>
      <w:bookmarkEnd w:id="10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34" w:name="GLFTR89"/>
      <w:bookmarkEnd w:id="10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35" w:name="PN89"/>
      <w:bookmarkEnd w:id="1035"/>
      <w:r>
        <w:rPr>
          <w:rFonts w:ascii="effontselection" w:hAnsi="effontselection"/>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6" w:name="HDR89"/>
      <w:bookmarkStart w:id="1037" w:name="HDR89"/>
      <w:bookmarkEnd w:id="1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38" w:name="GLHDR87"/>
      <w:bookmarkEnd w:id="1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helvetica" w:hAnsi="helvetica"/>
                <w:b/>
                <w:sz w:val="20"/>
              </w:rPr>
            </w:pPr>
            <w:r>
              <w:rPr>
                <w:rFonts w:ascii="helvetica" w:hAnsi="helvetica"/>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pPr>
            <w:r>
              <w:rPr/>
              <w:t> </w:t>
            </w:r>
            <w:r>
              <w:rPr>
                <w:rFonts w:ascii="helvetica" w:hAnsi="helvetica"/>
                <w:b/>
                <w:sz w:val="20"/>
              </w:rPr>
              <w:t>CONSOLIDATED STATEMENTS OF CASH FLOWS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90"/>
        <w:gridCol w:w="104"/>
        <w:gridCol w:w="125"/>
        <w:gridCol w:w="1016"/>
        <w:gridCol w:w="110"/>
        <w:gridCol w:w="104"/>
        <w:gridCol w:w="125"/>
        <w:gridCol w:w="1069"/>
        <w:gridCol w:w="110"/>
        <w:gridCol w:w="103"/>
        <w:gridCol w:w="125"/>
        <w:gridCol w:w="1103"/>
        <w:gridCol w:w="121"/>
      </w:tblGrid>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Period From</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Year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July 24, 1998 (Inception)</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through December 31,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auto"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OPERATING ACTIVITIES</w:t>
            </w:r>
          </w:p>
        </w:tc>
        <w:tc>
          <w:tcPr>
            <w:tcW w:w="104" w:type="dxa"/>
            <w:tcBorders/>
            <w:shd w:fill="auto" w:val="clear"/>
            <w:vAlign w:val="bottom"/>
          </w:tcPr>
          <w:p>
            <w:pPr>
              <w:pStyle w:val="TableContents"/>
              <w:spacing w:before="0" w:after="283"/>
              <w:rPr/>
            </w:pPr>
            <w:r>
              <w:rPr/>
              <w:t> </w:t>
            </w:r>
          </w:p>
        </w:tc>
        <w:tc>
          <w:tcPr>
            <w:tcW w:w="114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(18,420,733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Adjustments to reconcile net loss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2,475,000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(60,292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(26,299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(176,505</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235,600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807,608</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338</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1,056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55,479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1,706,234</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192,153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680,195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2,128,816</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Payments made on behalf of Company by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254,142</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Changes in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Prepaid consulting costs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(140,000</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Prepaid expenses and other current assets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45,695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20,425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(14,797</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Accounts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144,980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(607,382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308,526</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Accrued Phase 3 expenses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(231,762</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111,871</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Accrued expenses and payroll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(9,240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25,605</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86,591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Deferred revenue</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80,000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OPERATING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(291,160</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(10,770,093</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INVESTING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Purchases of fixed assets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USED IN INVESTING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(3,154</w:t>
            </w:r>
          </w:p>
        </w:tc>
        <w:tc>
          <w:tcPr>
            <w:tcW w:w="12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CASH FLOWS FROM FINANCING ACTIVITIES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526,300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Proceeds from issuance of preferred stock</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2,500,000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advances from related party</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27,537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Repayment of advances from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(281,679</w:t>
            </w:r>
          </w:p>
        </w:tc>
        <w:tc>
          <w:tcPr>
            <w:tcW w:w="12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168,707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99,450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Proceeds from issuance of common stock for cash, net of offering costs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7,779,092</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145,858</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10,919,407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(145,302</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(1,298,311</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pPr>
            <w:r>
              <w:rPr/>
              <w:t>  </w:t>
            </w:r>
            <w:r>
              <w:rPr>
                <w:rFonts w:ascii="helvetica" w:hAnsi="helvetica"/>
                <w:sz w:val="20"/>
              </w:rPr>
              <w:t>CASH AND CASH EQUIVALENTS,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1,589,773</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CASH AND CASH EQUIVALENTS,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291,462</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146,160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pPr>
            <w:r>
              <w:rPr/>
              <w:t>  </w:t>
            </w:r>
            <w:r>
              <w:rPr>
                <w:rFonts w:ascii="helvetica" w:hAnsi="helvetica"/>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432,007</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1,530,177</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Forgiveness of notes payable and accrued interest to shareholders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241,701</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Conversion of advances to notes payable to shareholders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196,300</w:t>
            </w:r>
          </w:p>
        </w:tc>
        <w:tc>
          <w:tcPr>
            <w:tcW w:w="121" w:type="dxa"/>
            <w:tcBorders/>
            <w:shd w:fill="FFFFFF" w:val="clear"/>
            <w:vAlign w:val="bottom"/>
          </w:tcPr>
          <w:p>
            <w:pPr>
              <w:pStyle w:val="TableContents"/>
              <w:spacing w:before="0" w:after="283"/>
              <w:jc w:val="left"/>
              <w:rPr/>
            </w:pPr>
            <w:r>
              <w:rPr/>
              <w:t> </w:t>
            </w:r>
          </w:p>
        </w:tc>
      </w:tr>
      <w:tr>
        <w:trPr/>
        <w:tc>
          <w:tcPr>
            <w:tcW w:w="5990" w:type="dxa"/>
            <w:tcBorders/>
            <w:shd w:fill="CCEEFF" w:val="clear"/>
            <w:vAlign w:val="bottom"/>
          </w:tcPr>
          <w:p>
            <w:pPr>
              <w:pStyle w:val="TableContents"/>
              <w:spacing w:before="0" w:after="0"/>
              <w:ind w:left="0" w:right="0" w:hanging="0"/>
              <w:jc w:val="left"/>
              <w:rPr>
                <w:rFonts w:ascii="helvetica" w:hAnsi="helvetica"/>
                <w:sz w:val="20"/>
              </w:rPr>
            </w:pPr>
            <w:r>
              <w:rPr>
                <w:rFonts w:ascii="helvetica" w:hAnsi="helvetica"/>
                <w:sz w:val="20"/>
              </w:rPr>
              <w:t>Accretion of preferred stock discount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100,000</w:t>
            </w:r>
          </w:p>
        </w:tc>
        <w:tc>
          <w:tcPr>
            <w:tcW w:w="121" w:type="dxa"/>
            <w:tcBorders/>
            <w:shd w:fill="CCEEFF" w:val="clear"/>
            <w:vAlign w:val="bottom"/>
          </w:tcPr>
          <w:p>
            <w:pPr>
              <w:pStyle w:val="TableContents"/>
              <w:spacing w:before="0" w:after="283"/>
              <w:jc w:val="left"/>
              <w:rPr/>
            </w:pPr>
            <w:r>
              <w:rPr/>
              <w:t> </w:t>
            </w:r>
          </w:p>
        </w:tc>
      </w:tr>
      <w:tr>
        <w:trPr/>
        <w:tc>
          <w:tcPr>
            <w:tcW w:w="5990" w:type="dxa"/>
            <w:tcBorders/>
            <w:shd w:fill="FFFFFF" w:val="clear"/>
            <w:vAlign w:val="bottom"/>
          </w:tcPr>
          <w:p>
            <w:pPr>
              <w:pStyle w:val="TableContents"/>
              <w:spacing w:before="0" w:after="0"/>
              <w:ind w:left="0" w:right="0" w:hanging="0"/>
              <w:jc w:val="left"/>
              <w:rPr>
                <w:rFonts w:ascii="helvetica" w:hAnsi="helvetica"/>
                <w:sz w:val="20"/>
              </w:rPr>
            </w:pPr>
            <w:r>
              <w:rPr>
                <w:rFonts w:ascii="helvetica" w:hAnsi="helvetica"/>
                <w:sz w:val="20"/>
              </w:rPr>
              <w:t>Payment of Phase 3 Liabilities by related party</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16"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0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56,087</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jc w:val="center"/>
        <w:rPr>
          <w:rFonts w:ascii="helvetica" w:hAnsi="helvetica"/>
          <w:b w:val="false"/>
          <w:sz w:val="20"/>
        </w:rPr>
      </w:pPr>
      <w:r>
        <w:rPr>
          <w:rFonts w:ascii="helvetica" w:hAnsi="helvetica"/>
          <w:b w:val="false"/>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39" w:name="PGBRK91"/>
      <w:bookmarkStart w:id="1040" w:name="PGBRK91"/>
      <w:bookmarkEnd w:id="10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1" w:name="FTR90"/>
      <w:bookmarkStart w:id="1042" w:name="FTR90"/>
      <w:bookmarkEnd w:id="1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43" w:name="GLFTR90"/>
      <w:bookmarkEnd w:id="10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44" w:name="PN90"/>
      <w:bookmarkEnd w:id="1044"/>
      <w:r>
        <w:rPr>
          <w:rFonts w:ascii="effontselection" w:hAnsi="effontselection"/>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5" w:name="HDR90"/>
      <w:bookmarkStart w:id="1046" w:name="HDR90"/>
      <w:bookmarkEnd w:id="10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7" w:name="GLHDR88"/>
      <w:bookmarkEnd w:id="10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center"/>
        <w:rPr>
          <w:rFonts w:ascii="helvetica" w:hAnsi="helvetica"/>
          <w:b/>
          <w:sz w:val="20"/>
        </w:rPr>
      </w:pPr>
      <w:r>
        <w:rPr>
          <w:rFonts w:ascii="helvetica" w:hAnsi="helvetica"/>
          <w:b/>
          <w:sz w:val="20"/>
        </w:rPr>
        <w:t>(A Development Stage Company)</w:t>
      </w:r>
    </w:p>
    <w:p>
      <w:pPr>
        <w:pStyle w:val="TextBody"/>
        <w:spacing w:before="0" w:after="0"/>
        <w:ind w:left="0" w:right="0" w:hanging="0"/>
        <w:jc w:val="center"/>
        <w:rPr>
          <w:rFonts w:ascii="helvetica" w:hAnsi="helvetica"/>
          <w:b/>
          <w:sz w:val="20"/>
        </w:rPr>
      </w:pPr>
      <w:r>
        <w:rPr>
          <w:rFonts w:ascii="helvetica" w:hAnsi="helvetica"/>
          <w:b/>
          <w:sz w:val="20"/>
        </w:rPr>
        <w:t>NOTES TO THE CONSOLIDATED FINANCIAL STATEMENTS</w:t>
      </w:r>
    </w:p>
    <w:p>
      <w:pPr>
        <w:pStyle w:val="TextBody"/>
        <w:spacing w:before="0" w:after="0"/>
        <w:ind w:left="0" w:right="0" w:hanging="0"/>
        <w:jc w:val="center"/>
        <w:rPr>
          <w:rFonts w:ascii="helvetica" w:hAnsi="helvetica"/>
          <w:b/>
          <w:sz w:val="20"/>
        </w:rPr>
      </w:pPr>
      <w:r>
        <w:rPr>
          <w:rFonts w:ascii="helvetica" w:hAnsi="helvetica"/>
          <w:b/>
          <w:sz w:val="20"/>
        </w:rPr>
        <w:t>For the years ended December 31, 2011 and 2010 and the period from July 24, 1998 (Inception) through December 31, 2011</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   ORGANIZATION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changed its name from Transdel Pharmaceuticals, Inc. to Imprimis Pharmaceuticals, Inc. All prior references to Transdel Pharmaceuticals, Inc. have been changed to Imprimis Pharmaceuticals, Inc. to reflect the change.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2.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8" w:name="PGBRK92"/>
      <w:bookmarkStart w:id="1049" w:name="PGBRK92"/>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0" w:name="FTR91"/>
      <w:bookmarkStart w:id="1051" w:name="FTR91"/>
      <w:bookmarkEnd w:id="10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2" w:name="GLFTR91"/>
      <w:bookmarkEnd w:id="10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53" w:name="PN91"/>
      <w:bookmarkEnd w:id="1053"/>
      <w:r>
        <w:rPr>
          <w:rFonts w:ascii="effontselection" w:hAnsi="effontselection"/>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4" w:name="HDR91"/>
      <w:bookmarkStart w:id="1055" w:name="HDR91"/>
      <w:bookmarkEnd w:id="10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6" w:name="GLHDR89"/>
      <w:bookmarkEnd w:id="10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3.    SUMMARY OF SIGNIFICANT ACCOUNTING POLICIES</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Basis of Presentation</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Development Stage Enterprise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57" w:name="PGBRK93"/>
      <w:bookmarkStart w:id="1058" w:name="PGBRK93"/>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9" w:name="FTR92"/>
      <w:bookmarkStart w:id="1060" w:name="FTR92"/>
      <w:bookmarkEnd w:id="10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1" w:name="GLFTR92"/>
      <w:bookmarkEnd w:id="10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62" w:name="PN92"/>
      <w:bookmarkEnd w:id="1062"/>
      <w:r>
        <w:rPr>
          <w:rFonts w:ascii="effontselection" w:hAnsi="effontselection"/>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3" w:name="HDR92"/>
      <w:bookmarkStart w:id="1064" w:name="HDR92"/>
      <w:bookmarkEnd w:id="10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5" w:name="GLHDR90"/>
      <w:bookmarkEnd w:id="10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Research and Development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Company expenses all costs related to research and development as they are incurred.</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Revenue Recognition and Deferred Revenue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Cash and Cash Equivalents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Cash equivalents include short-term, highly liquid investments with maturities of three months or less at the time of acquisition.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Concentrations of Credit Risk</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Computer Equipment</w:t>
      </w:r>
    </w:p>
    <w:p>
      <w:pPr>
        <w:pStyle w:val="TextBody"/>
        <w:spacing w:before="0" w:after="0"/>
        <w:ind w:left="0" w:right="0" w:hanging="0"/>
        <w:jc w:val="both"/>
        <w:rPr>
          <w:rFonts w:ascii="helvetica" w:hAnsi="helvetica"/>
          <w:sz w:val="20"/>
        </w:rPr>
      </w:pPr>
      <w:r>
        <w:rPr>
          <w:rFonts w:ascii="helvetica" w:hAnsi="helvetica"/>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years ended December 31, 2011 and 2010, the Company recorded $338 and $1,056, respectively, in depreciation expense.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66" w:name="PGBRK94"/>
      <w:bookmarkStart w:id="1067" w:name="PGBRK94"/>
      <w:bookmarkEnd w:id="1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68" w:name="FTR93"/>
      <w:bookmarkStart w:id="1069" w:name="FTR93"/>
      <w:bookmarkEnd w:id="1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0" w:name="GLFTR93"/>
      <w:bookmarkEnd w:id="10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71" w:name="PN93"/>
      <w:bookmarkEnd w:id="1071"/>
      <w:r>
        <w:rPr>
          <w:rFonts w:ascii="effontselection" w:hAnsi="effontselection"/>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2" w:name="HDR93"/>
      <w:bookmarkStart w:id="1073" w:name="HDR93"/>
      <w:bookmarkEnd w:id="10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74" w:name="GLHDR91"/>
      <w:bookmarkEnd w:id="10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fair values of the Company’s cash and cash equivalents, accounts payable, accounts payable due to related parties, accrued expenses and notes payable approximate carrying values due to their short term maturities.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75" w:name="PGBRK95"/>
      <w:bookmarkStart w:id="1076" w:name="PGBRK95"/>
      <w:bookmarkEnd w:id="1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7" w:name="FTR94"/>
      <w:bookmarkStart w:id="1078" w:name="FTR94"/>
      <w:bookmarkEnd w:id="1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9" w:name="GLFTR94"/>
      <w:bookmarkEnd w:id="10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80" w:name="PN94"/>
      <w:bookmarkEnd w:id="1080"/>
      <w:r>
        <w:rPr>
          <w:rFonts w:ascii="effontselection" w:hAnsi="effontselection"/>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1" w:name="HDR94"/>
      <w:bookmarkStart w:id="1082" w:name="HDR94"/>
      <w:bookmarkEnd w:id="10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83" w:name="GLHDR92"/>
      <w:bookmarkEnd w:id="10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7"/>
        <w:gridCol w:w="108"/>
        <w:gridCol w:w="126"/>
        <w:gridCol w:w="1086"/>
        <w:gridCol w:w="114"/>
        <w:gridCol w:w="108"/>
        <w:gridCol w:w="126"/>
        <w:gridCol w:w="1086"/>
        <w:gridCol w:w="124"/>
      </w:tblGrid>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For the year ended</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 2010</w:t>
            </w:r>
          </w:p>
        </w:tc>
        <w:tc>
          <w:tcPr>
            <w:tcW w:w="124" w:type="dxa"/>
            <w:tcBorders/>
            <w:shd w:fill="auto" w:val="clear"/>
            <w:vAlign w:val="bottom"/>
          </w:tcPr>
          <w:p>
            <w:pPr>
              <w:pStyle w:val="TableContents"/>
              <w:spacing w:before="0" w:after="283"/>
              <w:jc w:val="left"/>
              <w:rPr/>
            </w:pPr>
            <w:r>
              <w:rPr/>
              <w:t> </w:t>
            </w:r>
          </w:p>
        </w:tc>
      </w:tr>
      <w:tr>
        <w:trPr/>
        <w:tc>
          <w:tcPr>
            <w:tcW w:w="732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loss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Deemed dividend to preferred stockholders</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Numerator – loss attributable to common stockholders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(1,053,936</w:t>
            </w:r>
          </w:p>
        </w:tc>
        <w:tc>
          <w:tcPr>
            <w:tcW w:w="11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(2,531,228</w:t>
            </w:r>
          </w:p>
        </w:tc>
        <w:tc>
          <w:tcPr>
            <w:tcW w:w="12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327"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Denominator – weighted average</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27" w:type="dxa"/>
            <w:tcBorders/>
            <w:shd w:fill="CCEEFF" w:val="clear"/>
            <w:vAlign w:val="bottom"/>
          </w:tcPr>
          <w:p>
            <w:pPr>
              <w:pStyle w:val="TableContents"/>
              <w:spacing w:before="0" w:after="0"/>
              <w:ind w:left="0" w:right="0" w:hanging="0"/>
              <w:jc w:val="both"/>
              <w:rPr/>
            </w:pPr>
            <w:r>
              <w:rPr/>
              <w:t>   </w:t>
            </w:r>
            <w:r>
              <w:rPr>
                <w:rFonts w:ascii="helvetica" w:hAnsi="helvetica"/>
                <w:sz w:val="20"/>
              </w:rPr>
              <w:t>number of shares outstanding, basic and diluted</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1,989,014</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1,973,155</w:t>
            </w:r>
          </w:p>
        </w:tc>
        <w:tc>
          <w:tcPr>
            <w:tcW w:w="124" w:type="dxa"/>
            <w:tcBorders/>
            <w:shd w:fill="CCEEFF" w:val="clear"/>
            <w:vAlign w:val="bottom"/>
          </w:tcPr>
          <w:p>
            <w:pPr>
              <w:pStyle w:val="TableContents"/>
              <w:spacing w:before="0" w:after="283"/>
              <w:jc w:val="left"/>
              <w:rPr/>
            </w:pPr>
            <w:r>
              <w:rPr/>
              <w:t> </w:t>
            </w:r>
          </w:p>
        </w:tc>
      </w:tr>
      <w:tr>
        <w:trPr/>
        <w:tc>
          <w:tcPr>
            <w:tcW w:w="7327" w:type="dxa"/>
            <w:tcBorders/>
            <w:shd w:fill="FFFF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Loss per share, basic and diluted</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(0.53</w:t>
            </w:r>
          </w:p>
        </w:tc>
        <w:tc>
          <w:tcPr>
            <w:tcW w:w="11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6"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(1.28</w:t>
            </w:r>
          </w:p>
        </w:tc>
        <w:tc>
          <w:tcPr>
            <w:tcW w:w="124"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bl>
    <w:p>
      <w:pPr>
        <w:pStyle w:val="TextBody"/>
        <w:spacing w:before="0" w:after="0"/>
        <w:ind w:left="0" w:right="0" w:hanging="0"/>
        <w:rPr/>
      </w:pPr>
      <w:r>
        <w:rPr/>
        <w:t> </w:t>
      </w:r>
    </w:p>
    <w:p>
      <w:pPr>
        <w:pStyle w:val="TextBody"/>
        <w:spacing w:before="0" w:after="0"/>
        <w:ind w:left="0" w:right="0" w:hanging="0"/>
        <w:rPr>
          <w:rFonts w:ascii="helvetica" w:hAnsi="helvetica"/>
          <w:b/>
          <w:sz w:val="20"/>
        </w:rPr>
      </w:pPr>
      <w:r>
        <w:rPr>
          <w:rFonts w:ascii="helvetica" w:hAnsi="helvetica"/>
          <w:b/>
          <w:sz w:val="20"/>
        </w:rPr>
        <w:t>Use of Estimates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 xml:space="preserve">In May 2011, the FASB issued ASU 2011-04, </w:t>
      </w:r>
      <w:r>
        <w:rPr>
          <w:rFonts w:ascii="helvetica" w:hAnsi="helvetica"/>
          <w:i/>
          <w:sz w:val="20"/>
        </w:rPr>
        <w:t>Fair Value Measurement (Topic 820): Amendments to Achieve Common  Fair Value Measurement and Disclosure Requirements</w:t>
      </w:r>
      <w:r>
        <w:rPr>
          <w:rFonts w:ascii="helvetica" w:hAnsi="helvetica"/>
          <w:sz w:val="20"/>
        </w:rPr>
        <w:t xml:space="preserve"> in U.S. GAAP and  IFRSs.  The update contains the results of the work of the FASB and the International Accounting 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84" w:name="PGBRK96"/>
      <w:bookmarkStart w:id="1085" w:name="PGBRK96"/>
      <w:bookmarkEnd w:id="10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6" w:name="FTR95"/>
      <w:bookmarkStart w:id="1087" w:name="FTR95"/>
      <w:bookmarkEnd w:id="10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88" w:name="GLFTR95"/>
      <w:bookmarkEnd w:id="10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89" w:name="PN95"/>
      <w:bookmarkEnd w:id="1089"/>
      <w:r>
        <w:rPr>
          <w:rFonts w:ascii="effontselection" w:hAnsi="effontselection"/>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0" w:name="HDR95"/>
      <w:bookmarkStart w:id="1091" w:name="HDR95"/>
      <w:bookmarkEnd w:id="10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2" w:name="GLHDR93"/>
      <w:bookmarkEnd w:id="10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Reverse Stock Split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NOTE 4.   BANKRUPTCY PETITION AND ASSET PURCHASE AGREEMENT</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5.   NOTES PAYABLE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August 2005</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93" w:name="PGBRK97"/>
      <w:bookmarkStart w:id="1094" w:name="PGBRK97"/>
      <w:bookmarkEnd w:id="10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5" w:name="FTR96"/>
      <w:bookmarkStart w:id="1096" w:name="FTR96"/>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7" w:name="GLFTR96"/>
      <w:bookmarkEnd w:id="10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098" w:name="PN96"/>
      <w:bookmarkEnd w:id="1098"/>
      <w:r>
        <w:rPr>
          <w:rFonts w:ascii="effontselection" w:hAnsi="effontselection"/>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9" w:name="HDR96"/>
      <w:bookmarkStart w:id="1100" w:name="HDR96"/>
      <w:bookmarkEnd w:id="1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1" w:name="GLHDR94"/>
      <w:bookmarkEnd w:id="1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Notes – May and June 2007</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In May and June 2007, the Company issued convertible notes payable to various lenders for an aggregate amount of $1,500,000 (collectively, the “2007 Notes”).</w:t>
      </w:r>
      <w:bookmarkStart w:id="1102" w:name="eolPage36"/>
      <w:bookmarkEnd w:id="1102"/>
      <w:r>
        <w:rPr>
          <w:rFonts w:ascii="Helvetica" w:hAnsi="Helvetica"/>
          <w:sz w:val="20"/>
        </w:rPr>
        <w:t>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Convertible Note – April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Secured Line of Credit – Related Party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03" w:name="PGBRK98"/>
      <w:bookmarkStart w:id="1104" w:name="PGBRK98"/>
      <w:bookmarkEnd w:id="1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5" w:name="FTR97"/>
      <w:bookmarkStart w:id="1106" w:name="FTR97"/>
      <w:bookmarkEnd w:id="1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7" w:name="GLFTR97"/>
      <w:bookmarkEnd w:id="1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08" w:name="PN97"/>
      <w:bookmarkEnd w:id="1108"/>
      <w:r>
        <w:rPr>
          <w:rFonts w:ascii="effontselection" w:hAnsi="effontselection"/>
          <w:sz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HDR97"/>
      <w:bookmarkStart w:id="1110" w:name="HDR97"/>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1" w:name="GLHDR95"/>
      <w:bookmarkEnd w:id="1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Notes Payable consists of the following</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942"/>
        <w:gridCol w:w="97"/>
        <w:gridCol w:w="125"/>
        <w:gridCol w:w="1049"/>
        <w:gridCol w:w="106"/>
        <w:gridCol w:w="97"/>
        <w:gridCol w:w="125"/>
        <w:gridCol w:w="1023"/>
        <w:gridCol w:w="110"/>
      </w:tblGrid>
      <w:tr>
        <w:trPr/>
        <w:tc>
          <w:tcPr>
            <w:tcW w:w="5942"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r>
      <w:tr>
        <w:trPr/>
        <w:tc>
          <w:tcPr>
            <w:tcW w:w="5942" w:type="dxa"/>
            <w:tcBorders/>
            <w:shd w:fill="auto" w:val="clear"/>
            <w:vAlign w:val="bottom"/>
          </w:tcPr>
          <w:p>
            <w:pPr>
              <w:pStyle w:val="TableContents"/>
              <w:spacing w:before="0" w:after="283"/>
              <w:jc w:val="center"/>
              <w:rPr/>
            </w:pPr>
            <w:r>
              <w:rPr/>
              <w:t xml:space="preserve">  </w:t>
            </w:r>
          </w:p>
        </w:tc>
        <w:tc>
          <w:tcPr>
            <w:tcW w:w="97" w:type="dxa"/>
            <w:tcBorders/>
            <w:shd w:fill="auto" w:val="clear"/>
            <w:vAlign w:val="bottom"/>
          </w:tcPr>
          <w:p>
            <w:pPr>
              <w:pStyle w:val="TableContents"/>
              <w:spacing w:before="0" w:after="283"/>
              <w:jc w:val="center"/>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06"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10" w:type="dxa"/>
            <w:tcBorders/>
            <w:shd w:fill="auto"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10%  note payable due December 2012</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4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2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7.5% convertible note</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1,000,000</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Total convertible notes payable</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1,300,000</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shd w:fill="CCEEFF" w:val="cle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r>
        <w:trPr/>
        <w:tc>
          <w:tcPr>
            <w:tcW w:w="5942"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Current portion</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(1,300,000</w:t>
            </w:r>
          </w:p>
        </w:tc>
        <w:tc>
          <w:tcPr>
            <w:tcW w:w="106"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7"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r>
      <w:tr>
        <w:trPr/>
        <w:tc>
          <w:tcPr>
            <w:tcW w:w="5942" w:type="dxa"/>
            <w:tcBorders/>
            <w:shd w:fill="CCEEFF" w:val="clear"/>
            <w:vAlign w:val="bottom"/>
          </w:tcPr>
          <w:p>
            <w:pPr>
              <w:pStyle w:val="TableContents"/>
              <w:spacing w:before="0" w:after="0"/>
              <w:ind w:left="0" w:right="0" w:hanging="0"/>
              <w:jc w:val="both"/>
              <w:rPr>
                <w:rFonts w:ascii="helvetica" w:hAnsi="helvetica"/>
                <w:b/>
                <w:sz w:val="20"/>
              </w:rPr>
            </w:pPr>
            <w:r>
              <w:rPr>
                <w:rFonts w:ascii="helvetica" w:hAnsi="helvetica"/>
                <w:b/>
                <w:sz w:val="20"/>
              </w:rPr>
              <w:t>Long-term portion</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b/>
                <w:sz w:val="20"/>
              </w:rPr>
            </w:pPr>
            <w:r>
              <w:rPr>
                <w:rFonts w:ascii="helvetica" w:hAnsi="helvetica"/>
                <w:b/>
                <w:sz w:val="20"/>
              </w:rPr>
              <w:t>$</w:t>
            </w:r>
          </w:p>
        </w:tc>
        <w:tc>
          <w:tcPr>
            <w:tcW w:w="102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b/>
                <w:sz w:val="20"/>
              </w:rPr>
            </w:pPr>
            <w:r>
              <w:rPr>
                <w:rFonts w:ascii="helvetica" w:hAnsi="helvetica"/>
                <w:b/>
                <w:sz w:val="20"/>
              </w:rPr>
              <w:t>1,000,000</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6.   STOCKHOLDERS’ EQUITY</w:t>
      </w: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Preferred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the Company had 5,000,000 shares of preferred stock, $0.001 par value, authorized and 10 shares issued and outstanding.</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helvetica" w:hAnsi="helvetica"/>
          <w:sz w:val="20"/>
          <w:u w:val="single"/>
        </w:rPr>
        <w:t>Amendment</w:t>
      </w:r>
      <w:r>
        <w:rPr>
          <w:rFonts w:ascii="helvetica" w:hAnsi="helvetica"/>
          <w:sz w:val="20"/>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12" w:name="PGBRK99"/>
      <w:bookmarkStart w:id="1113" w:name="PGBRK99"/>
      <w:bookmarkEnd w:id="1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4" w:name="FTR98"/>
      <w:bookmarkStart w:id="1115" w:name="FTR98"/>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6" w:name="GLFTR98"/>
      <w:bookmarkEnd w:id="1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17" w:name="PN98"/>
      <w:bookmarkEnd w:id="1117"/>
      <w:r>
        <w:rPr>
          <w:rFonts w:ascii="effontselection" w:hAnsi="effontselection"/>
          <w:sz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8" w:name="HDR98"/>
      <w:bookmarkStart w:id="1119" w:name="HDR98"/>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20" w:name="GLHDR96"/>
      <w:bookmarkEnd w:id="1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Common Stock</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following is a summary of common stock and capital contribution transactions from inception through December 31, 2011: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1" w:name="TAB218"/>
            <w:bookmarkEnd w:id="1121"/>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2" w:name="TAB219"/>
            <w:bookmarkEnd w:id="1122"/>
            <w:r>
              <w:rPr>
                <w:color w:val="000000"/>
                <w:spacing w:val="180"/>
              </w:rPr>
              <w:t> </w:t>
            </w:r>
          </w:p>
        </w:tc>
        <w:tc>
          <w:tcPr>
            <w:tcW w:w="9288"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3" w:name="TAB220"/>
            <w:bookmarkEnd w:id="1123"/>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4" w:name="TAB221"/>
            <w:bookmarkEnd w:id="1124"/>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5" w:name="TAB222"/>
            <w:bookmarkEnd w:id="1125"/>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xml:space="preserve">  </w:t>
            </w:r>
          </w:p>
        </w:tc>
        <w:tc>
          <w:tcPr>
            <w:tcW w:w="9288" w:type="dxa"/>
            <w:tcBorders/>
            <w:shd w:fill="auto" w:val="clear"/>
          </w:tcPr>
          <w:p>
            <w:pPr>
              <w:pStyle w:val="TableContents"/>
              <w:spacing w:before="0" w:after="283"/>
              <w:rPr/>
            </w:pPr>
            <w:r>
              <w:rPr/>
              <w:t xml:space="preserve">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6" w:name="TAB223"/>
            <w:bookmarkEnd w:id="1126"/>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7" w:name="TAB224"/>
            <w:bookmarkEnd w:id="1127"/>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8" w:name="TAB225"/>
            <w:bookmarkEnd w:id="1128"/>
            <w:r>
              <w:rPr>
                <w:color w:val="000000"/>
                <w:spacing w:val="180"/>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r>
        <w:trPr/>
        <w:tc>
          <w:tcPr>
            <w:tcW w:w="917" w:type="dxa"/>
            <w:tcBorders/>
            <w:shd w:fill="auto" w:val="clear"/>
          </w:tcPr>
          <w:p>
            <w:pPr>
              <w:pStyle w:val="TableContents"/>
              <w:spacing w:before="0" w:after="0"/>
              <w:ind w:left="720" w:right="0" w:firstLine="360"/>
              <w:rPr/>
            </w:pPr>
            <w:r>
              <w:rPr>
                <w:rFonts w:ascii="helvetica" w:hAnsi="helvetica"/>
                <w:sz w:val="20"/>
              </w:rPr>
              <w:t>-</w:t>
            </w:r>
            <w:bookmarkStart w:id="1129" w:name="TAB226"/>
            <w:bookmarkEnd w:id="1129"/>
            <w:r>
              <w:rPr>
                <w:color w:val="000000"/>
                <w:spacing w:val="180"/>
              </w:rPr>
              <w:t> </w:t>
            </w:r>
            <w:r>
              <w:rPr/>
              <w:t> </w:t>
            </w:r>
          </w:p>
        </w:tc>
        <w:tc>
          <w:tcPr>
            <w:tcW w:w="9288" w:type="dxa"/>
            <w:tcBorders/>
            <w:shd w:fill="auto" w:val="clear"/>
          </w:tcPr>
          <w:p>
            <w:pPr>
              <w:pStyle w:val="TableContents"/>
              <w:spacing w:before="0" w:after="0"/>
              <w:ind w:left="0" w:right="16" w:hanging="0"/>
              <w:jc w:val="both"/>
              <w:rPr>
                <w:rFonts w:ascii="helvetica" w:hAnsi="helvetica"/>
                <w:sz w:val="20"/>
              </w:rPr>
            </w:pPr>
            <w:r>
              <w:rPr>
                <w:rFonts w:ascii="helvetica" w:hAnsi="helvetica"/>
                <w:sz w:val="20"/>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917" w:type="dxa"/>
            <w:tcBorders/>
            <w:shd w:fill="auto" w:val="clear"/>
          </w:tcPr>
          <w:p>
            <w:pPr>
              <w:pStyle w:val="TableContents"/>
              <w:spacing w:before="0" w:after="283"/>
              <w:rPr/>
            </w:pPr>
            <w:r>
              <w:rPr/>
              <w:t> </w:t>
            </w:r>
          </w:p>
        </w:tc>
        <w:tc>
          <w:tcPr>
            <w:tcW w:w="9288" w:type="dxa"/>
            <w:tcBorders/>
            <w:shd w:fill="auto" w:val="clear"/>
          </w:tcPr>
          <w:p>
            <w:pPr>
              <w:pStyle w:val="TableContents"/>
              <w:spacing w:before="0" w:after="283"/>
              <w:rPr/>
            </w:pPr>
            <w:r>
              <w:rPr/>
              <w:t> </w:t>
            </w:r>
          </w:p>
        </w:tc>
      </w:tr>
    </w:tbl>
    <w:p>
      <w:pPr>
        <w:pStyle w:val="Normal"/>
        <w:spacing w:before="0" w:after="0"/>
        <w:rPr>
          <w:sz w:val="4"/>
          <w:szCs w:val="4"/>
        </w:rPr>
      </w:pPr>
      <w:r>
        <w:rPr>
          <w:sz w:val="4"/>
          <w:szCs w:val="4"/>
        </w:rPr>
      </w:r>
      <w:bookmarkStart w:id="1130" w:name="list96"/>
      <w:bookmarkStart w:id="1131" w:name="list96"/>
      <w:bookmarkEnd w:id="113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32" w:name="PGBRK100"/>
      <w:bookmarkStart w:id="1133" w:name="PGBRK100"/>
      <w:bookmarkEnd w:id="1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4" w:name="FTR99"/>
      <w:bookmarkStart w:id="1135" w:name="FTR99"/>
      <w:bookmarkEnd w:id="1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6" w:name="GLFTR99"/>
      <w:bookmarkEnd w:id="1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37" w:name="PN99"/>
      <w:bookmarkEnd w:id="1137"/>
      <w:r>
        <w:rPr>
          <w:rFonts w:ascii="effontselection" w:hAnsi="effontselection"/>
          <w:sz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8" w:name="HDR99"/>
      <w:bookmarkStart w:id="1139" w:name="HDR99"/>
      <w:bookmarkEnd w:id="1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0" w:name="GLHDR97"/>
      <w:bookmarkEnd w:id="1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141" w:name="list97"/>
      <w:bookmarkStart w:id="1142" w:name="list97"/>
      <w:bookmarkEnd w:id="114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Prior to the Merger during fiscal year 2007, the Company recorded additional paid-in capital of $241,701 related to the forgiveness of Stockholders’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43" w:name="list98"/>
      <w:bookmarkStart w:id="1144" w:name="list98"/>
      <w:bookmarkEnd w:id="114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2007, the Company issued a restricted stock grant to an executive of the Company for 195,313 shares of the Company’s common stock.</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45" w:name="list99"/>
      <w:bookmarkStart w:id="1146" w:name="list99"/>
      <w:bookmarkEnd w:id="114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connection with the Merger in 2007, 231,249 of Imprimis common shares remained outstanding (see Note 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47" w:name="list100"/>
      <w:bookmarkStart w:id="1148" w:name="list100"/>
      <w:bookmarkEnd w:id="1148"/>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49" w:name="list101"/>
      <w:bookmarkStart w:id="1150" w:name="list101"/>
      <w:bookmarkEnd w:id="1150"/>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Concurrent with the Merger in 2007, the Company issued 191,272 shares of common stock related to the conversion of the 2007 Notes and accrued interest of $1,530,177 (see Note 5). Also, the Company recorded a debt discount of $1,530,177 related to the 2007 Notes (see Note 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1" w:name="list102"/>
      <w:bookmarkStart w:id="1152" w:name="list102"/>
      <w:bookmarkEnd w:id="1152"/>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3" w:name="list103"/>
      <w:bookmarkStart w:id="1154" w:name="list103"/>
      <w:bookmarkEnd w:id="1154"/>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5" w:name="list104"/>
      <w:bookmarkStart w:id="1156" w:name="list104"/>
      <w:bookmarkEnd w:id="1156"/>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57" w:name="list105"/>
      <w:bookmarkStart w:id="1158" w:name="list105"/>
      <w:bookmarkEnd w:id="1158"/>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November 21, 2008, the Company issued a restricted stock grant to a director of the Company for 3,125 shares of the Company’s common stock. The restricted stock grant vested over a one-year period.</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59" w:name="PGBRK101"/>
      <w:bookmarkStart w:id="1160" w:name="PGBRK101"/>
      <w:bookmarkEnd w:id="1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1" w:name="FTR100"/>
      <w:bookmarkStart w:id="1162" w:name="FTR100"/>
      <w:bookmarkEnd w:id="1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3" w:name="GLFTR100"/>
      <w:bookmarkEnd w:id="11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64" w:name="PN100"/>
      <w:bookmarkEnd w:id="1164"/>
      <w:r>
        <w:rPr>
          <w:rFonts w:ascii="effontselection" w:hAnsi="effontselection"/>
          <w:sz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5" w:name="HDR100"/>
      <w:bookmarkStart w:id="1166" w:name="HDR100"/>
      <w:bookmarkEnd w:id="1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67" w:name="GLHDR98"/>
      <w:bookmarkEnd w:id="1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168" w:name="list106"/>
      <w:bookmarkStart w:id="1169" w:name="list106"/>
      <w:bookmarkEnd w:id="116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0" w:name="list107"/>
      <w:bookmarkStart w:id="1171" w:name="list107"/>
      <w:bookmarkEnd w:id="1171"/>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August 2009, the Company issued 6,250 shares of common stock at a price of $7.92 per share for gross proceeds of $49,500 for stock option exercises.</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2" w:name="list108"/>
      <w:bookmarkStart w:id="1173" w:name="list108"/>
      <w:bookmarkEnd w:id="1173"/>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4" w:name="list109"/>
      <w:bookmarkStart w:id="1175" w:name="list109"/>
      <w:bookmarkEnd w:id="1175"/>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6" w:name="list110"/>
      <w:bookmarkStart w:id="1177" w:name="list110"/>
      <w:bookmarkEnd w:id="1177"/>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178" w:name="list111"/>
      <w:bookmarkStart w:id="1179" w:name="list111"/>
      <w:bookmarkEnd w:id="1179"/>
    </w:p>
    <w:tbl>
      <w:tblPr>
        <w:tblW w:w="5000" w:type="pct"/>
        <w:jc w:val="left"/>
        <w:tblInd w:w="0" w:type="dxa"/>
        <w:tblCellMar>
          <w:top w:w="0" w:type="dxa"/>
          <w:left w:w="0" w:type="dxa"/>
          <w:bottom w:w="0" w:type="dxa"/>
          <w:right w:w="0" w:type="dxa"/>
        </w:tblCellMar>
      </w:tblPr>
      <w:tblGrid>
        <w:gridCol w:w="754"/>
        <w:gridCol w:w="9451"/>
      </w:tblGrid>
      <w:tr>
        <w:trPr/>
        <w:tc>
          <w:tcPr>
            <w:tcW w:w="754" w:type="dxa"/>
            <w:tcBorders/>
            <w:shd w:fill="auto" w:val="clear"/>
          </w:tcPr>
          <w:p>
            <w:pPr>
              <w:pStyle w:val="TableContents"/>
              <w:spacing w:before="0" w:after="0"/>
              <w:ind w:left="0" w:right="0" w:firstLine="540"/>
              <w:jc w:val="center"/>
              <w:rPr>
                <w:rFonts w:ascii="helvetica" w:hAnsi="helvetica"/>
                <w:sz w:val="20"/>
              </w:rPr>
            </w:pPr>
            <w:r>
              <w:rPr>
                <w:rFonts w:ascii="helvetica" w:hAnsi="helvetica"/>
                <w:sz w:val="20"/>
              </w:rPr>
              <w:t>-  </w:t>
            </w:r>
          </w:p>
        </w:tc>
        <w:tc>
          <w:tcPr>
            <w:tcW w:w="9451" w:type="dxa"/>
            <w:tcBorders/>
            <w:shd w:fill="auto" w:val="clear"/>
          </w:tcPr>
          <w:p>
            <w:pPr>
              <w:pStyle w:val="TableContents"/>
              <w:spacing w:before="0" w:after="0"/>
              <w:ind w:left="0" w:right="0" w:hanging="0"/>
              <w:jc w:val="both"/>
              <w:rPr>
                <w:rFonts w:ascii="helvetica" w:hAnsi="helvetica"/>
                <w:sz w:val="20"/>
              </w:rPr>
            </w:pPr>
            <w:r>
              <w:rPr>
                <w:rFonts w:ascii="helvetica" w:hAnsi="helvetica"/>
                <w:sz w:val="20"/>
              </w:rPr>
              <w:t>On October 5, 2011, the Company issued 37,500 stock options to former employees, valued at $11,400 (see Note 7).</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80" w:name="PGBRK102"/>
      <w:bookmarkStart w:id="1181" w:name="PGBRK102"/>
      <w:bookmarkEnd w:id="1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2" w:name="FTR101"/>
      <w:bookmarkStart w:id="1183" w:name="FTR101"/>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4" w:name="GLFTR101"/>
      <w:bookmarkEnd w:id="1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85" w:name="PN101"/>
      <w:bookmarkEnd w:id="1185"/>
      <w:r>
        <w:rPr>
          <w:rFonts w:ascii="effontselection" w:hAnsi="effontselection"/>
          <w:sz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6" w:name="HDR101"/>
      <w:bookmarkStart w:id="1187" w:name="HDR101"/>
      <w:bookmarkEnd w:id="1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8" w:name="GLHDR99"/>
      <w:bookmarkEnd w:id="1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7.   STOCK OPTION PLAN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Plan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438"/>
        <w:gridCol w:w="107"/>
        <w:gridCol w:w="107"/>
        <w:gridCol w:w="1102"/>
        <w:gridCol w:w="119"/>
        <w:gridCol w:w="107"/>
        <w:gridCol w:w="161"/>
        <w:gridCol w:w="1014"/>
        <w:gridCol w:w="107"/>
        <w:gridCol w:w="107"/>
        <w:gridCol w:w="145"/>
        <w:gridCol w:w="1133"/>
        <w:gridCol w:w="107"/>
        <w:gridCol w:w="107"/>
        <w:gridCol w:w="170"/>
        <w:gridCol w:w="1048"/>
        <w:gridCol w:w="126"/>
      </w:tblGrid>
      <w:tr>
        <w:trPr/>
        <w:tc>
          <w:tcPr>
            <w:tcW w:w="4438"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Remaining Contractual Life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Aggregate Intrinsic Value</w:t>
            </w:r>
          </w:p>
        </w:tc>
        <w:tc>
          <w:tcPr>
            <w:tcW w:w="126" w:type="dxa"/>
            <w:tcBorders/>
            <w:shd w:fill="auto"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January 1, 2011</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313,277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10.96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07" w:type="dxa"/>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102"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37,500</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0.80</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10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8"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18" w:type="dxa"/>
            <w:gridSpan w:val="2"/>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Cancelled/Forfeited</w:t>
            </w:r>
          </w:p>
        </w:tc>
        <w:tc>
          <w:tcPr>
            <w:tcW w:w="107" w:type="dxa"/>
            <w:tcBorders/>
            <w:shd w:fill="FFFFFF" w:val="clear"/>
            <w:vAlign w:val="bottom"/>
          </w:tcPr>
          <w:p>
            <w:pPr>
              <w:pStyle w:val="TableContents"/>
              <w:spacing w:before="0" w:after="283"/>
              <w:rPr/>
            </w:pPr>
            <w:r>
              <w:rPr/>
              <w:t> </w:t>
            </w:r>
          </w:p>
        </w:tc>
        <w:tc>
          <w:tcPr>
            <w:tcW w:w="10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(200,625</w:t>
            </w:r>
          </w:p>
        </w:tc>
        <w:tc>
          <w:tcPr>
            <w:tcW w:w="1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7"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10.08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18"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Outstanding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150,152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r>
        <w:trPr/>
        <w:tc>
          <w:tcPr>
            <w:tcW w:w="443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Exercisable - December 31, 2011</w:t>
            </w:r>
          </w:p>
        </w:tc>
        <w:tc>
          <w:tcPr>
            <w:tcW w:w="107" w:type="dxa"/>
            <w:tcBorders/>
            <w:shd w:fill="FFFFFF" w:val="clear"/>
            <w:vAlign w:val="bottom"/>
          </w:tcPr>
          <w:p>
            <w:pPr>
              <w:pStyle w:val="TableContents"/>
              <w:spacing w:before="0" w:after="283"/>
              <w:rPr/>
            </w:pPr>
            <w:r>
              <w:rPr/>
              <w:t> </w:t>
            </w:r>
          </w:p>
        </w:tc>
        <w:tc>
          <w:tcPr>
            <w:tcW w:w="10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146,152</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9.76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4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3.18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FFFFFF" w:val="clear"/>
            <w:vAlign w:val="bottom"/>
          </w:tcPr>
          <w:p>
            <w:pPr>
              <w:pStyle w:val="TableContents"/>
              <w:spacing w:before="0" w:after="283"/>
              <w:jc w:val="left"/>
              <w:rPr/>
            </w:pPr>
            <w:r>
              <w:rPr/>
              <w:t> </w:t>
            </w:r>
          </w:p>
        </w:tc>
      </w:tr>
      <w:tr>
        <w:trPr/>
        <w:tc>
          <w:tcPr>
            <w:tcW w:w="443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Vested and expected to vest - December 31, 2011</w:t>
            </w:r>
          </w:p>
        </w:tc>
        <w:tc>
          <w:tcPr>
            <w:tcW w:w="10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149,752</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9.68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3.27</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4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6,000</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89" w:name="PGBRK103"/>
      <w:bookmarkStart w:id="1190" w:name="PGBRK103"/>
      <w:bookmarkEnd w:id="1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1" w:name="FTR102"/>
      <w:bookmarkStart w:id="1192" w:name="FTR102"/>
      <w:bookmarkEnd w:id="1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3" w:name="GLFTR102"/>
      <w:bookmarkEnd w:id="1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194" w:name="PN102"/>
      <w:bookmarkEnd w:id="1194"/>
      <w:r>
        <w:rPr>
          <w:rFonts w:ascii="effontselection" w:hAnsi="effontselection"/>
          <w:sz w:val="20"/>
        </w:rPr>
        <w:t>F-33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5" w:name="HDR102"/>
      <w:bookmarkStart w:id="1196" w:name="HDR102"/>
      <w:bookmarkEnd w:id="1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97" w:name="GLHDR100"/>
      <w:bookmarkEnd w:id="1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$447,292 and $100,603, and $1,024,102 and $437,063, respectively.  The Company cancelled 200,625 stock options during the year ended December 31, 2011.  These options were cancelled due to the resignation of the optionees during the fiscal year.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there was approximately $14,094 of total unrecognized compensation expense related to unvested stock options under the Plan. That expense is expected to be recognized over the weighted-average period of 1.89 years.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98" w:name="PGBRK104"/>
      <w:bookmarkStart w:id="1199" w:name="PGBRK104"/>
      <w:bookmarkEnd w:id="1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0" w:name="FTR103"/>
      <w:bookmarkStart w:id="1201" w:name="FTR103"/>
      <w:bookmarkEnd w:id="1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2" w:name="GLFTR103"/>
      <w:bookmarkEnd w:id="1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03" w:name="PN103"/>
      <w:bookmarkEnd w:id="1203"/>
      <w:r>
        <w:rPr>
          <w:rFonts w:ascii="effontselection" w:hAnsi="effontselection"/>
          <w:sz w:val="20"/>
        </w:rPr>
        <w:t>F-34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4" w:name="HDR103"/>
      <w:bookmarkStart w:id="1205" w:name="HDR103"/>
      <w:bookmarkEnd w:id="1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6" w:name="GLHDR101"/>
      <w:bookmarkEnd w:id="1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$8.56.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37,500 stock options valued at $11,400 and the difference of $60,292 was recognized as a gain on forgiveness of liabilities during the year ended December 31, 2011. These options have an exercise price of $0.80, vested immediately upon issuance, and have a three year life from the date of issuance.</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07" w:name="PGBRK105"/>
      <w:bookmarkStart w:id="1208" w:name="PGBRK105"/>
      <w:bookmarkEnd w:id="1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9" w:name="FTR104"/>
      <w:bookmarkStart w:id="1210" w:name="FTR104"/>
      <w:bookmarkEnd w:id="1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11" w:name="GLFTR104"/>
      <w:bookmarkEnd w:id="1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12" w:name="PN104"/>
      <w:bookmarkEnd w:id="1212"/>
      <w:r>
        <w:rPr>
          <w:rFonts w:ascii="effontselection" w:hAnsi="effontselection"/>
          <w:sz w:val="20"/>
        </w:rPr>
        <w:t>F-35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3" w:name="HDR104"/>
      <w:bookmarkStart w:id="1214" w:name="HDR104"/>
      <w:bookmarkEnd w:id="1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5" w:name="GLHDR102"/>
      <w:bookmarkEnd w:id="1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employees and directors during the years ended December 31, 2011 and 2010</w:t>
      </w:r>
    </w:p>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6008"/>
        <w:gridCol w:w="106"/>
        <w:gridCol w:w="153"/>
        <w:gridCol w:w="859"/>
        <w:gridCol w:w="207"/>
        <w:gridCol w:w="106"/>
        <w:gridCol w:w="153"/>
        <w:gridCol w:w="859"/>
        <w:gridCol w:w="223"/>
      </w:tblGrid>
      <w:tr>
        <w:trPr/>
        <w:tc>
          <w:tcPr>
            <w:tcW w:w="600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2011</w:t>
            </w:r>
          </w:p>
        </w:tc>
        <w:tc>
          <w:tcPr>
            <w:tcW w:w="207"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012" w:type="dxa"/>
            <w:gridSpan w:val="2"/>
            <w:tcBorders>
              <w:bottom w:val="single" w:sz="12" w:space="0" w:color="000000"/>
            </w:tcBorders>
            <w:shd w:fill="auto" w:val="clear"/>
            <w:tcMar>
              <w:bottom w:w="28" w:type="dxa"/>
            </w:tcMar>
            <w:vAlign w:val="bottom"/>
          </w:tcPr>
          <w:p>
            <w:pPr>
              <w:pStyle w:val="TableContents"/>
              <w:spacing w:before="0" w:after="283"/>
              <w:jc w:val="center"/>
              <w:rPr>
                <w:rFonts w:ascii="helvetica" w:hAnsi="helvetica"/>
                <w:b/>
                <w:sz w:val="16"/>
              </w:rPr>
            </w:pPr>
            <w:r>
              <w:rPr>
                <w:rFonts w:ascii="helvetica" w:hAnsi="helvetica"/>
                <w:b/>
                <w:sz w:val="16"/>
              </w:rPr>
              <w:t>2010</w:t>
            </w:r>
          </w:p>
        </w:tc>
        <w:tc>
          <w:tcPr>
            <w:tcW w:w="223" w:type="dxa"/>
            <w:tcBorders/>
            <w:shd w:fill="auto"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0.32</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4.48</w:t>
            </w:r>
          </w:p>
        </w:tc>
        <w:tc>
          <w:tcPr>
            <w:tcW w:w="223" w:type="dxa"/>
            <w:tcBorders/>
            <w:shd w:fill="CCEEFF" w:val="clear"/>
            <w:vAlign w:val="bottom"/>
          </w:tcPr>
          <w:p>
            <w:pPr>
              <w:pStyle w:val="TableContents"/>
              <w:spacing w:before="0" w:after="283"/>
              <w:jc w:val="left"/>
              <w:rPr/>
            </w:pPr>
            <w:r>
              <w:rPr/>
              <w:t> </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3.0</w:t>
            </w:r>
          </w:p>
        </w:tc>
        <w:tc>
          <w:tcPr>
            <w:tcW w:w="207"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6.0</w:t>
            </w:r>
          </w:p>
        </w:tc>
        <w:tc>
          <w:tcPr>
            <w:tcW w:w="223" w:type="dxa"/>
            <w:tcBorders/>
            <w:shd w:fill="FFFFFF" w:val="clear"/>
            <w:vAlign w:val="bottom"/>
          </w:tcPr>
          <w:p>
            <w:pPr>
              <w:pStyle w:val="TableContents"/>
              <w:spacing w:before="0" w:after="283"/>
              <w:jc w:val="left"/>
              <w:rPr/>
            </w:pPr>
            <w:r>
              <w:rPr/>
              <w:t> </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85</w:t>
            </w:r>
          </w:p>
        </w:tc>
        <w:tc>
          <w:tcPr>
            <w:tcW w:w="207"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0.46</w:t>
            </w:r>
          </w:p>
        </w:tc>
        <w:tc>
          <w:tcPr>
            <w:tcW w:w="207"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6"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left"/>
              <w:rPr/>
            </w:pPr>
            <w:r>
              <w:rPr/>
              <w:t> </w:t>
            </w:r>
          </w:p>
        </w:tc>
        <w:tc>
          <w:tcPr>
            <w:tcW w:w="859"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2.02</w:t>
            </w:r>
          </w:p>
        </w:tc>
        <w:tc>
          <w:tcPr>
            <w:tcW w:w="2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600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07"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No options were issued to consultants during the year ended December 31, 2011.</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The table below illustrates the fair value per share and Black-Scholes option pricing model with the following assumptions used for the grants issued to the consultants during the year ended December 31, 2010:</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7289"/>
        <w:gridCol w:w="111"/>
        <w:gridCol w:w="154"/>
        <w:gridCol w:w="901"/>
        <w:gridCol w:w="219"/>
      </w:tblGrid>
      <w:tr>
        <w:trPr/>
        <w:tc>
          <w:tcPr>
            <w:tcW w:w="7289"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jc w:val="center"/>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19" w:type="dxa"/>
            <w:tcBorders/>
            <w:shd w:fill="auto"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Weighted-average fair value of options granted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5.28</w:t>
            </w:r>
          </w:p>
        </w:tc>
        <w:tc>
          <w:tcPr>
            <w:tcW w:w="219" w:type="dxa"/>
            <w:tcBorders/>
            <w:shd w:fill="CCEEFF" w:val="clear"/>
            <w:vAlign w:val="bottom"/>
          </w:tcPr>
          <w:p>
            <w:pPr>
              <w:pStyle w:val="TableContents"/>
              <w:spacing w:before="0" w:after="283"/>
              <w:jc w:val="left"/>
              <w:rPr/>
            </w:pPr>
            <w:r>
              <w:rPr/>
              <w:t> </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terms (in years)</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5.0</w:t>
            </w:r>
          </w:p>
        </w:tc>
        <w:tc>
          <w:tcPr>
            <w:tcW w:w="219" w:type="dxa"/>
            <w:tcBorders/>
            <w:shd w:fill="FFFFFF" w:val="clear"/>
            <w:vAlign w:val="bottom"/>
          </w:tcPr>
          <w:p>
            <w:pPr>
              <w:pStyle w:val="TableContents"/>
              <w:spacing w:before="0" w:after="283"/>
              <w:jc w:val="left"/>
              <w:rPr/>
            </w:pPr>
            <w:r>
              <w:rPr/>
              <w:t> </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Expected volatility</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75</w:t>
            </w:r>
          </w:p>
        </w:tc>
        <w:tc>
          <w:tcPr>
            <w:tcW w:w="219"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Risk-free interest rate</w:t>
            </w:r>
          </w:p>
        </w:tc>
        <w:tc>
          <w:tcPr>
            <w:tcW w:w="11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901"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1.63</w:t>
            </w:r>
          </w:p>
        </w:tc>
        <w:tc>
          <w:tcPr>
            <w:tcW w:w="219"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728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Dividend yield</w:t>
            </w:r>
          </w:p>
        </w:tc>
        <w:tc>
          <w:tcPr>
            <w:tcW w:w="11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2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8.   WARRANTS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 summary of the status of the warrants for the year ended December 31, 2011 is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88"/>
        <w:gridCol w:w="114"/>
        <w:gridCol w:w="127"/>
        <w:gridCol w:w="1198"/>
        <w:gridCol w:w="122"/>
        <w:gridCol w:w="114"/>
        <w:gridCol w:w="154"/>
        <w:gridCol w:w="1062"/>
        <w:gridCol w:w="126"/>
      </w:tblGrid>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Number of Shares Subject to Warrants Outstanding</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Weighted Avg. Exercise Price</w:t>
            </w:r>
          </w:p>
        </w:tc>
        <w:tc>
          <w:tcPr>
            <w:tcW w:w="126" w:type="dxa"/>
            <w:tcBorders/>
            <w:shd w:fill="auto" w:val="clear"/>
            <w:vAlign w:val="bottom"/>
          </w:tcPr>
          <w:p>
            <w:pPr>
              <w:pStyle w:val="TableContents"/>
              <w:spacing w:before="0" w:after="283"/>
              <w:jc w:val="left"/>
              <w:rPr/>
            </w:pPr>
            <w:r>
              <w:rPr/>
              <w:t> </w:t>
            </w:r>
          </w:p>
        </w:tc>
      </w:tr>
      <w:tr>
        <w:trPr/>
        <w:tc>
          <w:tcPr>
            <w:tcW w:w="7188" w:type="dxa"/>
            <w:tcBorders/>
            <w:shd w:fill="auto" w:val="clear"/>
            <w:vAlign w:val="bottom"/>
          </w:tcPr>
          <w:p>
            <w:pPr>
              <w:pStyle w:val="TableContents"/>
              <w:spacing w:before="0" w:after="283"/>
              <w:rPr/>
            </w:pPr>
            <w:r>
              <w:rPr/>
              <w:t xml:space="preserve">  </w:t>
            </w:r>
          </w:p>
        </w:tc>
        <w:tc>
          <w:tcPr>
            <w:tcW w:w="114"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 January 1, 2011</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96,123</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32.80</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Granted</w:t>
            </w:r>
          </w:p>
        </w:tc>
        <w:tc>
          <w:tcPr>
            <w:tcW w:w="114"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98"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Exercised</w:t>
            </w:r>
          </w:p>
        </w:tc>
        <w:tc>
          <w:tcPr>
            <w:tcW w:w="114"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06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Expired</w:t>
            </w:r>
          </w:p>
        </w:tc>
        <w:tc>
          <w:tcPr>
            <w:tcW w:w="114"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(625</w:t>
            </w:r>
          </w:p>
        </w:tc>
        <w:tc>
          <w:tcPr>
            <w:tcW w:w="122"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14"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2"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16.00</w:t>
            </w:r>
          </w:p>
        </w:tc>
        <w:tc>
          <w:tcPr>
            <w:tcW w:w="126" w:type="dxa"/>
            <w:tcBorders/>
            <w:shd w:fill="FFFFFF" w:val="clear"/>
            <w:vAlign w:val="bottom"/>
          </w:tcPr>
          <w:p>
            <w:pPr>
              <w:pStyle w:val="TableContents"/>
              <w:spacing w:before="0" w:after="283"/>
              <w:jc w:val="left"/>
              <w:rPr/>
            </w:pPr>
            <w:r>
              <w:rPr/>
              <w:t> </w:t>
            </w:r>
          </w:p>
        </w:tc>
      </w:tr>
      <w:tr>
        <w:trPr/>
        <w:tc>
          <w:tcPr>
            <w:tcW w:w="7188"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Warrants outstanding and exercisable - December 31, 2011</w:t>
            </w:r>
          </w:p>
        </w:tc>
        <w:tc>
          <w:tcPr>
            <w:tcW w:w="114"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95,498</w:t>
            </w:r>
          </w:p>
        </w:tc>
        <w:tc>
          <w:tcPr>
            <w:tcW w:w="122"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62"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33.16</w:t>
            </w:r>
          </w:p>
        </w:tc>
        <w:tc>
          <w:tcPr>
            <w:tcW w:w="126" w:type="dxa"/>
            <w:tcBorders/>
            <w:shd w:fill="CCEEFF" w:val="clear"/>
            <w:vAlign w:val="bottom"/>
          </w:tcPr>
          <w:p>
            <w:pPr>
              <w:pStyle w:val="TableContents"/>
              <w:spacing w:before="0" w:after="283"/>
              <w:jc w:val="left"/>
              <w:rPr/>
            </w:pPr>
            <w:r>
              <w:rPr/>
              <w:t> </w:t>
            </w:r>
          </w:p>
        </w:tc>
      </w:tr>
      <w:tr>
        <w:trPr/>
        <w:tc>
          <w:tcPr>
            <w:tcW w:w="7188"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Weighted average remaining contractual life of the outstanding warrants in years - December 31, 2011</w:t>
            </w:r>
          </w:p>
        </w:tc>
        <w:tc>
          <w:tcPr>
            <w:tcW w:w="114" w:type="dxa"/>
            <w:tcBorders/>
            <w:shd w:fill="FFFFFF" w:val="clear"/>
            <w:vAlign w:val="bottom"/>
          </w:tcPr>
          <w:p>
            <w:pPr>
              <w:pStyle w:val="TableContents"/>
              <w:spacing w:before="0" w:after="283"/>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98" w:type="dxa"/>
            <w:tcBorders>
              <w:bottom w:val="double" w:sz="8"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0.91</w:t>
            </w:r>
          </w:p>
        </w:tc>
        <w:tc>
          <w:tcPr>
            <w:tcW w:w="122"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06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16" w:name="PGBRK106"/>
      <w:bookmarkStart w:id="1217" w:name="PGBRK106"/>
      <w:bookmarkEnd w:id="1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8" w:name="FTR105"/>
      <w:bookmarkStart w:id="1219" w:name="FTR105"/>
      <w:bookmarkEnd w:id="1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0" w:name="GLFTR105"/>
      <w:bookmarkEnd w:id="1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21" w:name="PN105"/>
      <w:bookmarkEnd w:id="1221"/>
      <w:r>
        <w:rPr>
          <w:rFonts w:ascii="effontselection" w:hAnsi="effontselection"/>
          <w:sz w:val="20"/>
        </w:rPr>
        <w:t>F-36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2" w:name="HDR105"/>
      <w:bookmarkStart w:id="1223" w:name="HDR105"/>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4" w:name="GLHDR103"/>
      <w:bookmarkEnd w:id="1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expiration of the outstanding warrants at December 31, 2011 occurs through May 2013 at various dates.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9.   INCOME TAXES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is subject to taxation in the United States and California. The Company does not have any income tax provision for the years ended December 31, 2011 and 2010 due to current and historical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provision for income taxes using the statutory federal income tax rate of 34% as compared to the company’s effective tax rate is summarized as follows: </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5784"/>
        <w:gridCol w:w="99"/>
        <w:gridCol w:w="145"/>
        <w:gridCol w:w="1085"/>
        <w:gridCol w:w="110"/>
        <w:gridCol w:w="99"/>
        <w:gridCol w:w="136"/>
        <w:gridCol w:w="1093"/>
        <w:gridCol w:w="123"/>
      </w:tblGrid>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23" w:type="dxa"/>
            <w:tcBorders/>
            <w:shd w:fill="auto" w:val="clear"/>
            <w:vAlign w:val="bottom"/>
          </w:tcPr>
          <w:p>
            <w:pPr>
              <w:pStyle w:val="TableContents"/>
              <w:spacing w:before="0" w:after="283"/>
              <w:jc w:val="center"/>
              <w:rPr/>
            </w:pPr>
            <w:r>
              <w:rPr/>
              <w:t> </w:t>
            </w:r>
          </w:p>
        </w:tc>
      </w:tr>
      <w:tr>
        <w:trPr/>
        <w:tc>
          <w:tcPr>
            <w:tcW w:w="5784" w:type="dxa"/>
            <w:tcBorders/>
            <w:shd w:fill="auto" w:val="clear"/>
            <w:vAlign w:val="bottom"/>
          </w:tcPr>
          <w:p>
            <w:pPr>
              <w:pStyle w:val="TableContents"/>
              <w:spacing w:before="0" w:after="283"/>
              <w:jc w:val="center"/>
              <w:rPr/>
            </w:pPr>
            <w:r>
              <w:rPr/>
              <w:t xml:space="preserve">  </w:t>
            </w:r>
          </w:p>
        </w:tc>
        <w:tc>
          <w:tcPr>
            <w:tcW w:w="99" w:type="dxa"/>
            <w:tcBorders/>
            <w:shd w:fill="auto" w:val="clear"/>
            <w:vAlign w:val="bottom"/>
          </w:tcPr>
          <w:p>
            <w:pPr>
              <w:pStyle w:val="TableContents"/>
              <w:spacing w:before="0" w:after="283"/>
              <w:jc w:val="center"/>
              <w:rPr/>
            </w:pPr>
            <w:r>
              <w:rPr/>
              <w:t> </w:t>
            </w:r>
          </w:p>
        </w:tc>
        <w:tc>
          <w:tcPr>
            <w:tcW w:w="123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0" w:type="dxa"/>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jc w:val="center"/>
              <w:rPr/>
            </w:pPr>
            <w:r>
              <w:rPr/>
              <w:t> </w:t>
            </w:r>
          </w:p>
        </w:tc>
        <w:tc>
          <w:tcPr>
            <w:tcW w:w="1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123" w:type="dxa"/>
            <w:tcBorders/>
            <w:shd w:fill="auto"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Federal tax benefit at statutory rate</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(319,489</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(842,257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State tax benefit, net</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(58,881</w:t>
            </w:r>
          </w:p>
        </w:tc>
        <w:tc>
          <w:tcPr>
            <w:tcW w:w="110"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(161,372</w:t>
            </w:r>
          </w:p>
        </w:tc>
        <w:tc>
          <w:tcPr>
            <w:tcW w:w="123"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Research and development credits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(10,123</w:t>
            </w:r>
          </w:p>
        </w:tc>
        <w:tc>
          <w:tcPr>
            <w:tcW w:w="110"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(39,517</w:t>
            </w:r>
          </w:p>
        </w:tc>
        <w:tc>
          <w:tcPr>
            <w:tcW w:w="123"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Employee stock-based compensation</w:t>
            </w:r>
          </w:p>
        </w:tc>
        <w:tc>
          <w:tcPr>
            <w:tcW w:w="99" w:type="dxa"/>
            <w:tcBorders/>
            <w:shd w:fill="FFFFFF" w:val="clear"/>
            <w:vAlign w:val="bottom"/>
          </w:tcPr>
          <w:p>
            <w:pPr>
              <w:pStyle w:val="TableContents"/>
              <w:spacing w:before="0" w:after="283"/>
              <w:rPr/>
            </w:pPr>
            <w:r>
              <w:rPr/>
              <w:t> </w:t>
            </w:r>
          </w:p>
        </w:tc>
        <w:tc>
          <w:tcPr>
            <w:tcW w:w="145"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Other differences</w:t>
            </w:r>
          </w:p>
        </w:tc>
        <w:tc>
          <w:tcPr>
            <w:tcW w:w="9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46</w:t>
            </w:r>
          </w:p>
        </w:tc>
        <w:tc>
          <w:tcPr>
            <w:tcW w:w="123" w:type="dxa"/>
            <w:tcBorders/>
            <w:shd w:fill="CCEEFF" w:val="clear"/>
            <w:vAlign w:val="bottom"/>
          </w:tcPr>
          <w:p>
            <w:pPr>
              <w:pStyle w:val="TableContents"/>
              <w:spacing w:before="0" w:after="283"/>
              <w:jc w:val="left"/>
              <w:rPr/>
            </w:pPr>
            <w:r>
              <w:rPr/>
              <w:t> </w:t>
            </w:r>
          </w:p>
        </w:tc>
      </w:tr>
      <w:tr>
        <w:trPr/>
        <w:tc>
          <w:tcPr>
            <w:tcW w:w="5784"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Change in valuation allowance</w:t>
            </w:r>
          </w:p>
        </w:tc>
        <w:tc>
          <w:tcPr>
            <w:tcW w:w="99" w:type="dxa"/>
            <w:tcBorders/>
            <w:shd w:fill="FFFFFF" w:val="clear"/>
            <w:vAlign w:val="bottom"/>
          </w:tcPr>
          <w:p>
            <w:pPr>
              <w:pStyle w:val="TableContents"/>
              <w:spacing w:before="0" w:after="283"/>
              <w:rPr/>
            </w:pPr>
            <w:r>
              <w:rPr/>
              <w:t> </w:t>
            </w:r>
          </w:p>
        </w:tc>
        <w:tc>
          <w:tcPr>
            <w:tcW w:w="14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388,493</w:t>
            </w:r>
          </w:p>
        </w:tc>
        <w:tc>
          <w:tcPr>
            <w:tcW w:w="110"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13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1,043,100</w:t>
            </w:r>
          </w:p>
        </w:tc>
        <w:tc>
          <w:tcPr>
            <w:tcW w:w="123" w:type="dxa"/>
            <w:tcBorders/>
            <w:shd w:fill="FFFFFF" w:val="clear"/>
            <w:vAlign w:val="bottom"/>
          </w:tcPr>
          <w:p>
            <w:pPr>
              <w:pStyle w:val="TableContents"/>
              <w:spacing w:before="0" w:after="283"/>
              <w:jc w:val="left"/>
              <w:rPr/>
            </w:pPr>
            <w:r>
              <w:rPr/>
              <w:t> </w:t>
            </w:r>
          </w:p>
        </w:tc>
      </w:tr>
      <w:tr>
        <w:trPr/>
        <w:tc>
          <w:tcPr>
            <w:tcW w:w="5784"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Provision for income taxes</w:t>
            </w:r>
          </w:p>
        </w:tc>
        <w:tc>
          <w:tcPr>
            <w:tcW w:w="99"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0"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136"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093"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Significant components of the company’s deferred tax assets are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309"/>
        <w:gridCol w:w="102"/>
        <w:gridCol w:w="154"/>
        <w:gridCol w:w="1237"/>
        <w:gridCol w:w="118"/>
        <w:gridCol w:w="102"/>
        <w:gridCol w:w="154"/>
        <w:gridCol w:w="1237"/>
        <w:gridCol w:w="261"/>
      </w:tblGrid>
      <w:tr>
        <w:trPr/>
        <w:tc>
          <w:tcPr>
            <w:tcW w:w="530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helvetica" w:hAnsi="helvetica"/>
                <w:b/>
                <w:sz w:val="16"/>
              </w:rPr>
            </w:pPr>
            <w:r>
              <w:rPr>
                <w:rFonts w:ascii="helvetica" w:hAnsi="helvetica"/>
                <w:b/>
                <w:sz w:val="16"/>
              </w:rPr>
              <w:t>December 31,</w:t>
            </w:r>
          </w:p>
        </w:tc>
        <w:tc>
          <w:tcPr>
            <w:tcW w:w="261" w:type="dxa"/>
            <w:tcBorders/>
            <w:shd w:fill="auto" w:val="clear"/>
            <w:vAlign w:val="bottom"/>
          </w:tcPr>
          <w:p>
            <w:pPr>
              <w:pStyle w:val="TableContents"/>
              <w:spacing w:before="0" w:after="283"/>
              <w:jc w:val="center"/>
              <w:rPr/>
            </w:pPr>
            <w:r>
              <w:rPr/>
              <w:t> </w:t>
            </w:r>
          </w:p>
        </w:tc>
      </w:tr>
      <w:tr>
        <w:trPr/>
        <w:tc>
          <w:tcPr>
            <w:tcW w:w="5309" w:type="dxa"/>
            <w:tcBorders/>
            <w:shd w:fill="auto" w:val="clear"/>
            <w:vAlign w:val="bottom"/>
          </w:tcPr>
          <w:p>
            <w:pPr>
              <w:pStyle w:val="TableContents"/>
              <w:spacing w:before="0" w:after="283"/>
              <w:jc w:val="center"/>
              <w:rPr/>
            </w:pPr>
            <w:r>
              <w:rPr/>
              <w:t xml:space="preserve">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2011</w:t>
            </w:r>
          </w:p>
        </w:tc>
        <w:tc>
          <w:tcPr>
            <w:tcW w:w="118"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3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helvetica" w:hAnsi="helvetica"/>
                <w:b/>
                <w:sz w:val="16"/>
              </w:rPr>
            </w:pPr>
            <w:r>
              <w:rPr>
                <w:rFonts w:ascii="helvetica" w:hAnsi="helvetica"/>
                <w:b/>
                <w:sz w:val="16"/>
              </w:rPr>
              <w:t>2010</w:t>
            </w:r>
          </w:p>
        </w:tc>
        <w:tc>
          <w:tcPr>
            <w:tcW w:w="261" w:type="dxa"/>
            <w:tcBorders/>
            <w:shd w:fill="auto" w:val="clear"/>
            <w:vAlign w:val="bottom"/>
          </w:tcPr>
          <w:p>
            <w:pPr>
              <w:pStyle w:val="TableContents"/>
              <w:spacing w:before="0" w:after="283"/>
              <w:jc w:val="left"/>
              <w:rPr/>
            </w:pPr>
            <w:r>
              <w:rPr/>
              <w:t> </w:t>
            </w:r>
          </w:p>
        </w:tc>
      </w:tr>
      <w:tr>
        <w:trPr/>
        <w:tc>
          <w:tcPr>
            <w:tcW w:w="5309" w:type="dxa"/>
            <w:tcBorders/>
            <w:shd w:fill="auto" w:val="clear"/>
            <w:vAlign w:val="bottom"/>
          </w:tcPr>
          <w:p>
            <w:pPr>
              <w:pStyle w:val="TableContents"/>
              <w:spacing w:before="0" w:after="0"/>
              <w:ind w:left="0" w:right="0" w:hanging="0"/>
              <w:jc w:val="both"/>
              <w:rPr>
                <w:rFonts w:ascii="helvetica" w:hAnsi="helvetica"/>
                <w:sz w:val="20"/>
              </w:rPr>
            </w:pPr>
            <w:r>
              <w:rPr>
                <w:rFonts w:ascii="helvetica" w:hAnsi="helvetica"/>
                <w:sz w:val="20"/>
              </w:rPr>
              <w:t>Deferred tax assets</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Federal and state net operating loss carryforwards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4,886,429</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4,565,466</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Stock-based compensation</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743,789</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left"/>
              <w:rPr/>
            </w:pPr>
            <w:r>
              <w:rPr/>
              <w:t> </w:t>
            </w:r>
          </w:p>
        </w:tc>
        <w:tc>
          <w:tcPr>
            <w:tcW w:w="1237" w:type="dxa"/>
            <w:tcBorders/>
            <w:shd w:fill="FFFFFF" w:val="clear"/>
            <w:vAlign w:val="bottom"/>
          </w:tcPr>
          <w:p>
            <w:pPr>
              <w:pStyle w:val="TableContents"/>
              <w:spacing w:before="0" w:after="283"/>
              <w:jc w:val="right"/>
              <w:rPr>
                <w:rFonts w:ascii="helvetica" w:hAnsi="helvetica"/>
                <w:sz w:val="20"/>
              </w:rPr>
            </w:pPr>
            <w:r>
              <w:rPr>
                <w:rFonts w:ascii="helvetica" w:hAnsi="helvetica"/>
                <w:sz w:val="20"/>
              </w:rPr>
              <w:t>671,940</w:t>
            </w:r>
          </w:p>
        </w:tc>
        <w:tc>
          <w:tcPr>
            <w:tcW w:w="261" w:type="dxa"/>
            <w:tcBorders/>
            <w:shd w:fill="FFFFFF" w:val="clear"/>
            <w:vAlign w:val="bottom"/>
          </w:tcPr>
          <w:p>
            <w:pPr>
              <w:pStyle w:val="TableContents"/>
              <w:spacing w:before="0" w:after="283"/>
              <w:ind w:left="0" w:right="0" w:firstLine="180"/>
              <w:jc w:val="left"/>
              <w:rPr/>
            </w:pPr>
            <w:r>
              <w:rPr/>
              <w:t> </w:t>
            </w:r>
          </w:p>
        </w:tc>
      </w:tr>
      <w:tr>
        <w:trPr/>
        <w:tc>
          <w:tcPr>
            <w:tcW w:w="5309" w:type="dxa"/>
            <w:tcBorders/>
            <w:shd w:fill="CCEEFF" w:val="clear"/>
            <w:vAlign w:val="bottom"/>
          </w:tcPr>
          <w:p>
            <w:pPr>
              <w:pStyle w:val="TableContents"/>
              <w:spacing w:before="0" w:after="0"/>
              <w:ind w:left="0" w:right="0" w:firstLine="180"/>
              <w:jc w:val="both"/>
              <w:rPr>
                <w:rFonts w:ascii="helvetica" w:hAnsi="helvetica"/>
                <w:sz w:val="20"/>
              </w:rPr>
            </w:pPr>
            <w:r>
              <w:rPr>
                <w:rFonts w:ascii="helvetica" w:hAnsi="helvetica"/>
                <w:sz w:val="20"/>
              </w:rPr>
              <w:t>Tax credits</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532,278</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1237" w:type="dxa"/>
            <w:tcBorders/>
            <w:shd w:fill="CCEEFF" w:val="clear"/>
            <w:vAlign w:val="bottom"/>
          </w:tcPr>
          <w:p>
            <w:pPr>
              <w:pStyle w:val="TableContents"/>
              <w:spacing w:before="0" w:after="283"/>
              <w:jc w:val="right"/>
              <w:rPr>
                <w:rFonts w:ascii="helvetica" w:hAnsi="helvetica"/>
                <w:sz w:val="20"/>
              </w:rPr>
            </w:pPr>
            <w:r>
              <w:rPr>
                <w:rFonts w:ascii="helvetica" w:hAnsi="helvetica"/>
                <w:sz w:val="20"/>
              </w:rPr>
              <w:t>522,155</w:t>
            </w:r>
          </w:p>
        </w:tc>
        <w:tc>
          <w:tcPr>
            <w:tcW w:w="261" w:type="dxa"/>
            <w:tcBorders/>
            <w:shd w:fill="CCEEFF" w:val="clear"/>
            <w:vAlign w:val="bottom"/>
          </w:tcPr>
          <w:p>
            <w:pPr>
              <w:pStyle w:val="TableContents"/>
              <w:spacing w:before="0" w:after="283"/>
              <w:ind w:left="0" w:right="0" w:firstLine="180"/>
              <w:jc w:val="left"/>
              <w:rPr/>
            </w:pPr>
            <w:r>
              <w:rPr/>
              <w:t> </w:t>
            </w:r>
          </w:p>
        </w:tc>
      </w:tr>
      <w:tr>
        <w:trPr/>
        <w:tc>
          <w:tcPr>
            <w:tcW w:w="5309" w:type="dxa"/>
            <w:tcBorders/>
            <w:shd w:fill="FFFFFF" w:val="clear"/>
            <w:vAlign w:val="bottom"/>
          </w:tcPr>
          <w:p>
            <w:pPr>
              <w:pStyle w:val="TableContents"/>
              <w:spacing w:before="0" w:after="0"/>
              <w:ind w:left="0" w:right="0" w:firstLine="180"/>
              <w:jc w:val="both"/>
              <w:rPr>
                <w:rFonts w:ascii="helvetica" w:hAnsi="helvetica"/>
                <w:sz w:val="20"/>
              </w:rPr>
            </w:pPr>
            <w:r>
              <w:rPr>
                <w:rFonts w:ascii="helvetica" w:hAnsi="helvetica"/>
                <w:sz w:val="20"/>
              </w:rPr>
              <w:t>Other</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4,985</w:t>
            </w:r>
          </w:p>
        </w:tc>
        <w:tc>
          <w:tcPr>
            <w:tcW w:w="118"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19,427</w:t>
            </w:r>
          </w:p>
        </w:tc>
        <w:tc>
          <w:tcPr>
            <w:tcW w:w="261" w:type="dxa"/>
            <w:tcBorders/>
            <w:shd w:fill="FFFFFF" w:val="clear"/>
            <w:vAlign w:val="bottom"/>
          </w:tcPr>
          <w:p>
            <w:pPr>
              <w:pStyle w:val="TableContents"/>
              <w:spacing w:before="0" w:after="283"/>
              <w:jc w:val="left"/>
              <w:rPr/>
            </w:pPr>
            <w:r>
              <w:rPr/>
              <w:t> </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Total deferred tax assets</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CCEEFF" w:val="clear"/>
            <w:vAlign w:val="bottom"/>
          </w:tcPr>
          <w:p>
            <w:pPr>
              <w:pStyle w:val="TableContents"/>
              <w:spacing w:before="0" w:after="283"/>
              <w:jc w:val="left"/>
              <w:rPr/>
            </w:pPr>
            <w:r>
              <w:rPr/>
              <w:t> </w:t>
            </w:r>
          </w:p>
        </w:tc>
      </w:tr>
      <w:tr>
        <w:trPr/>
        <w:tc>
          <w:tcPr>
            <w:tcW w:w="5309" w:type="dxa"/>
            <w:tcBorders/>
            <w:shd w:fill="FFFFFF" w:val="clear"/>
            <w:vAlign w:val="bottom"/>
          </w:tcPr>
          <w:p>
            <w:pPr>
              <w:pStyle w:val="TableContents"/>
              <w:spacing w:before="0" w:after="0"/>
              <w:ind w:left="0" w:right="0" w:hanging="0"/>
              <w:jc w:val="both"/>
              <w:rPr>
                <w:rFonts w:ascii="helvetica" w:hAnsi="helvetica"/>
                <w:sz w:val="20"/>
              </w:rPr>
            </w:pPr>
            <w:r>
              <w:rPr>
                <w:rFonts w:ascii="helvetica" w:hAnsi="helvetica"/>
                <w:sz w:val="20"/>
              </w:rPr>
              <w:t>Less: Valuation allowance</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(6,167,481</w:t>
            </w:r>
          </w:p>
        </w:tc>
        <w:tc>
          <w:tcPr>
            <w:tcW w:w="118"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c>
          <w:tcPr>
            <w:tcW w:w="102"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7" w:type="dxa"/>
            <w:tcBorders>
              <w:bottom w:val="single" w:sz="12" w:space="0" w:color="000000"/>
            </w:tcBorders>
            <w:shd w:fill="FFFF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(5,778,988</w:t>
            </w:r>
          </w:p>
        </w:tc>
        <w:tc>
          <w:tcPr>
            <w:tcW w:w="261" w:type="dxa"/>
            <w:tcBorders/>
            <w:shd w:fill="FFFFFF" w:val="clear"/>
            <w:vAlign w:val="bottom"/>
          </w:tcPr>
          <w:p>
            <w:pPr>
              <w:pStyle w:val="TableContents"/>
              <w:spacing w:before="0" w:after="283"/>
              <w:jc w:val="left"/>
              <w:rPr>
                <w:rFonts w:ascii="helvetica" w:hAnsi="helvetica"/>
                <w:sz w:val="20"/>
              </w:rPr>
            </w:pPr>
            <w:r>
              <w:rPr>
                <w:rFonts w:ascii="helvetica" w:hAnsi="helvetica"/>
                <w:sz w:val="20"/>
              </w:rPr>
              <w:t>)</w:t>
            </w:r>
          </w:p>
        </w:tc>
      </w:tr>
      <w:tr>
        <w:trPr/>
        <w:tc>
          <w:tcPr>
            <w:tcW w:w="5309" w:type="dxa"/>
            <w:tcBorders/>
            <w:shd w:fill="CCEEFF" w:val="clear"/>
            <w:vAlign w:val="bottom"/>
          </w:tcPr>
          <w:p>
            <w:pPr>
              <w:pStyle w:val="TableContents"/>
              <w:spacing w:before="0" w:after="0"/>
              <w:ind w:left="0" w:right="0" w:hanging="0"/>
              <w:jc w:val="both"/>
              <w:rPr>
                <w:rFonts w:ascii="helvetica" w:hAnsi="helvetica"/>
                <w:sz w:val="20"/>
              </w:rPr>
            </w:pPr>
            <w:r>
              <w:rPr>
                <w:rFonts w:ascii="helvetica" w:hAnsi="helvetica"/>
                <w:sz w:val="20"/>
              </w:rPr>
              <w:t>Net deferred income tax asset</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118"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helvetica" w:hAnsi="helvetica"/>
                <w:sz w:val="20"/>
              </w:rPr>
            </w:pPr>
            <w:r>
              <w:rPr>
                <w:rFonts w:ascii="helvetica" w:hAnsi="helvetica"/>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helvetica" w:hAnsi="helvetica"/>
                <w:sz w:val="20"/>
              </w:rPr>
            </w:pPr>
            <w:r>
              <w:rPr>
                <w:rFonts w:ascii="helvetica" w:hAnsi="helvetica"/>
                <w:sz w:val="20"/>
              </w:rPr>
              <w:t>-</w:t>
            </w:r>
          </w:p>
        </w:tc>
        <w:tc>
          <w:tcPr>
            <w:tcW w:w="26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25" w:name="PGBRK107"/>
      <w:bookmarkStart w:id="1226" w:name="PGBRK107"/>
      <w:bookmarkEnd w:id="1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7" w:name="FTR106"/>
      <w:bookmarkStart w:id="1228" w:name="FTR106"/>
      <w:bookmarkEnd w:id="1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9" w:name="GLFTR106"/>
      <w:bookmarkEnd w:id="12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30" w:name="PN106"/>
      <w:bookmarkEnd w:id="1230"/>
      <w:r>
        <w:rPr>
          <w:rFonts w:ascii="effontselection" w:hAnsi="effontselection"/>
          <w:sz w:val="20"/>
        </w:rPr>
        <w:t>F-37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1" w:name="HDR106"/>
      <w:bookmarkStart w:id="1232" w:name="HDR106"/>
      <w:bookmarkEnd w:id="1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3" w:name="GLHDR104"/>
      <w:bookmarkEnd w:id="12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helvetica" w:hAnsi="helvetica"/>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federal and California net operating loss carryforwards of approximately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10.  COMMITMENTS AND CONTINGENCIES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Commitments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Indemnities and Guarantees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34" w:name="PGBRK108"/>
      <w:bookmarkStart w:id="1235" w:name="PGBRK108"/>
      <w:bookmarkEnd w:id="1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6" w:name="FTR107"/>
      <w:bookmarkStart w:id="1237" w:name="FTR107"/>
      <w:bookmarkEnd w:id="1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38" w:name="GLFTR107"/>
      <w:bookmarkEnd w:id="1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39" w:name="PN107"/>
      <w:bookmarkEnd w:id="1239"/>
      <w:r>
        <w:rPr>
          <w:rFonts w:ascii="effontselection" w:hAnsi="effontselection"/>
          <w:sz w:val="20"/>
        </w:rPr>
        <w:t>F-38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0" w:name="HDR107"/>
      <w:bookmarkStart w:id="1241" w:name="HDR107"/>
      <w:bookmarkEnd w:id="1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2" w:name="GLHDR105"/>
      <w:bookmarkEnd w:id="1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helvetica" w:hAnsi="helvetica"/>
          <w:b/>
          <w:sz w:val="20"/>
        </w:rPr>
      </w:pPr>
      <w:r>
        <w:rPr>
          <w:rFonts w:ascii="helvetica" w:hAnsi="helvetica"/>
          <w:b/>
          <w:sz w:val="20"/>
        </w:rPr>
        <w:t>Cato Research Ltd.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Products Consulting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Cosmetic Product License Agreements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Separation Agreement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43" w:name="PGBRK109"/>
      <w:bookmarkStart w:id="1244" w:name="PGBRK109"/>
      <w:bookmarkEnd w:id="1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5" w:name="FTR108"/>
      <w:bookmarkStart w:id="1246" w:name="FTR108"/>
      <w:bookmarkEnd w:id="1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47" w:name="GLFTR108"/>
      <w:bookmarkEnd w:id="12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48" w:name="PN108"/>
      <w:bookmarkEnd w:id="1248"/>
      <w:r>
        <w:rPr>
          <w:rFonts w:ascii="effontselection" w:hAnsi="effontselection"/>
          <w:sz w:val="20"/>
        </w:rPr>
        <w:t>F-39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9" w:name="HDR108"/>
      <w:bookmarkStart w:id="1250" w:name="HDR108"/>
      <w:bookmarkEnd w:id="1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51" w:name="GLHDR106"/>
      <w:bookmarkEnd w:id="12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helvetica" w:hAnsi="helvetica"/>
          <w:b/>
          <w:sz w:val="20"/>
        </w:rPr>
      </w:pPr>
      <w:r>
        <w:rPr>
          <w:rFonts w:ascii="helvetica" w:hAnsi="helvetica"/>
          <w:b/>
          <w:sz w:val="20"/>
        </w:rPr>
        <w:t>NOTE 11.  OTHER RELATED PARTY TRANSACTIONS</w:t>
      </w:r>
    </w:p>
    <w:p>
      <w:pPr>
        <w:pStyle w:val="TextBody"/>
        <w:spacing w:before="0" w:after="0"/>
        <w:ind w:left="0" w:right="0" w:hanging="0"/>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12.  RESEARCH AND DEVELOPMENT CREDIT</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b/>
          <w:sz w:val="20"/>
        </w:rPr>
      </w:pPr>
      <w:r>
        <w:rPr>
          <w:rFonts w:ascii="helvetica" w:hAnsi="helvetica"/>
          <w:b/>
          <w:sz w:val="20"/>
        </w:rPr>
        <w:t>NOTE 13.  GAIN ON FORGIVENESS OF LIABILITIES</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pStyle w:val="TextBody"/>
        <w:spacing w:before="0" w:after="0"/>
        <w:ind w:left="0" w:right="0" w:hanging="0"/>
        <w:jc w:val="both"/>
        <w:rPr/>
      </w:pPr>
      <w:r>
        <w:rPr/>
        <w:t> </w:t>
      </w:r>
    </w:p>
    <w:p>
      <w:pPr>
        <w:pStyle w:val="TextBody"/>
        <w:spacing w:before="0" w:after="0"/>
        <w:ind w:left="0" w:right="0" w:hanging="0"/>
        <w:jc w:val="both"/>
        <w:rPr>
          <w:rFonts w:ascii="helvetica" w:hAnsi="helvetica"/>
          <w:sz w:val="20"/>
        </w:rPr>
      </w:pPr>
      <w:r>
        <w:rPr>
          <w:rFonts w:ascii="helvetica" w:hAnsi="helvetica"/>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52" w:name="PGBRK110"/>
      <w:bookmarkStart w:id="1253" w:name="PGBRK110"/>
      <w:bookmarkEnd w:id="1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4" w:name="FTR109"/>
      <w:bookmarkStart w:id="1255" w:name="FTR109"/>
      <w:bookmarkEnd w:id="1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6" w:name="GLFTR109"/>
      <w:bookmarkEnd w:id="1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effontselection" w:hAnsi="effontselection"/>
          <w:sz w:val="20"/>
        </w:rPr>
      </w:pPr>
      <w:bookmarkStart w:id="1257" w:name="PN109"/>
      <w:bookmarkEnd w:id="1257"/>
      <w:r>
        <w:rPr>
          <w:rFonts w:ascii="effontselection" w:hAnsi="effontselection"/>
          <w:sz w:val="20"/>
        </w:rPr>
        <w:t>F-40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8" w:name="HDR109"/>
      <w:bookmarkStart w:id="1259" w:name="HDR109"/>
      <w:bookmarkEnd w:id="1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0" w:name="GLHDR107"/>
      <w:bookmarkEnd w:id="12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IMPRIMIS PHARMACEUTICALS, INC.</w:t>
      </w:r>
    </w:p>
    <w:p>
      <w:pPr>
        <w:pStyle w:val="TextBody"/>
        <w:spacing w:before="0" w:after="0"/>
        <w:ind w:left="0" w:right="0" w:hanging="0"/>
        <w:jc w:val="both"/>
        <w:rPr/>
      </w:pPr>
      <w:r>
        <w:rPr/>
        <w:t> </w:t>
      </w:r>
    </w:p>
    <w:p>
      <w:pPr>
        <w:pStyle w:val="TextBody"/>
        <w:spacing w:before="0" w:after="0"/>
        <w:ind w:left="0" w:right="0" w:hanging="0"/>
        <w:jc w:val="center"/>
        <w:rPr>
          <w:rFonts w:ascii="helvetica" w:hAnsi="helvetica"/>
          <w:b/>
          <w:sz w:val="20"/>
        </w:rPr>
      </w:pPr>
      <w:r>
        <w:rPr>
          <w:rFonts w:ascii="helvetica" w:hAnsi="helvetica"/>
          <w:b/>
          <w:sz w:val="20"/>
        </w:rPr>
        <w:t>PROSPECTUS</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3223"/>
        <w:gridCol w:w="3758"/>
        <w:gridCol w:w="3224"/>
      </w:tblGrid>
      <w:tr>
        <w:trPr/>
        <w:tc>
          <w:tcPr>
            <w:tcW w:w="3223" w:type="dxa"/>
            <w:tcBorders/>
            <w:shd w:fill="FFFFFF" w:val="clear"/>
            <w:vAlign w:val="center"/>
          </w:tcPr>
          <w:p>
            <w:pPr>
              <w:pStyle w:val="TableContents"/>
              <w:spacing w:before="0" w:after="283"/>
              <w:jc w:val="center"/>
              <w:rPr/>
            </w:pPr>
            <w:r>
              <w:rPr/>
              <w:t> </w:t>
            </w:r>
          </w:p>
        </w:tc>
        <w:tc>
          <w:tcPr>
            <w:tcW w:w="3758" w:type="dxa"/>
            <w:tcBorders/>
            <w:shd w:fill="FFFFFF" w:val="clear"/>
            <w:vAlign w:val="center"/>
          </w:tcPr>
          <w:p>
            <w:pPr>
              <w:pStyle w:val="TableContents"/>
              <w:spacing w:before="0" w:after="283"/>
              <w:jc w:val="center"/>
              <w:rPr>
                <w:rFonts w:ascii="helvetica" w:hAnsi="helvetica"/>
                <w:b/>
                <w:sz w:val="20"/>
              </w:rPr>
            </w:pPr>
            <w:r>
              <w:rPr>
                <w:rFonts w:ascii="helvetica" w:hAnsi="helvetica"/>
                <w:b/>
                <w:sz w:val="20"/>
              </w:rPr>
              <w:t>1,840,000 Shares of Common Stock</w:t>
            </w:r>
          </w:p>
        </w:tc>
        <w:tc>
          <w:tcPr>
            <w:tcW w:w="3224" w:type="dxa"/>
            <w:tcBorders/>
            <w:shd w:fill="FFFFFF" w:val="clear"/>
            <w:vAlign w:val="center"/>
          </w:tcPr>
          <w:p>
            <w:pPr>
              <w:pStyle w:val="TableContents"/>
              <w:spacing w:before="0" w:after="283"/>
              <w:jc w:val="left"/>
              <w:rPr/>
            </w:pPr>
            <w:r>
              <w:rPr/>
              <w:t> </w:t>
            </w:r>
          </w:p>
        </w:tc>
      </w:tr>
      <w:tr>
        <w:trPr/>
        <w:tc>
          <w:tcPr>
            <w:tcW w:w="3223" w:type="dxa"/>
            <w:tcBorders/>
            <w:shd w:fill="FFFFFF" w:val="clear"/>
            <w:vAlign w:val="center"/>
          </w:tcPr>
          <w:p>
            <w:pPr>
              <w:pStyle w:val="TableContents"/>
              <w:spacing w:before="0" w:after="283"/>
              <w:jc w:val="right"/>
              <w:rPr/>
            </w:pPr>
            <w:r>
              <w:rPr/>
              <w:t> </w:t>
            </w:r>
          </w:p>
        </w:tc>
        <w:tc>
          <w:tcPr>
            <w:tcW w:w="3758" w:type="dxa"/>
            <w:tcBorders/>
            <w:shd w:fill="FFFFFF" w:val="clear"/>
            <w:vAlign w:val="center"/>
          </w:tcPr>
          <w:p>
            <w:pPr>
              <w:pStyle w:val="TableContents"/>
              <w:spacing w:before="0" w:after="283"/>
              <w:jc w:val="center"/>
              <w:rPr/>
            </w:pPr>
            <w:r>
              <w:rPr/>
              <w:t> </w:t>
            </w:r>
          </w:p>
        </w:tc>
        <w:tc>
          <w:tcPr>
            <w:tcW w:w="3224" w:type="dxa"/>
            <w:tcBorders/>
            <w:shd w:fill="FFFFFF" w:val="clear"/>
            <w:vAlign w:val="center"/>
          </w:tcPr>
          <w:p>
            <w:pPr>
              <w:pStyle w:val="TableContents"/>
              <w:spacing w:before="0" w:after="283"/>
              <w:jc w:val="left"/>
              <w:rPr/>
            </w:pPr>
            <w:r>
              <w:rPr/>
              <w:t> </w:t>
            </w:r>
          </w:p>
        </w:tc>
      </w:tr>
      <w:tr>
        <w:trPr/>
        <w:tc>
          <w:tcPr>
            <w:tcW w:w="3223" w:type="dxa"/>
            <w:tcBorders/>
            <w:shd w:fill="FFFFFF" w:val="clear"/>
            <w:vAlign w:val="center"/>
          </w:tcPr>
          <w:p>
            <w:pPr>
              <w:pStyle w:val="TableContents"/>
              <w:spacing w:before="0" w:after="283"/>
              <w:jc w:val="right"/>
              <w:rPr/>
            </w:pPr>
            <w:r>
              <w:rPr/>
              <w:t> </w:t>
            </w:r>
            <w:r>
              <w:rPr>
                <w:rFonts w:ascii="helvetica" w:hAnsi="helvetica"/>
                <w:b/>
                <w:sz w:val="20"/>
              </w:rPr>
              <w:t>MDB Capital Group LLC</w:t>
            </w:r>
          </w:p>
        </w:tc>
        <w:tc>
          <w:tcPr>
            <w:tcW w:w="3758" w:type="dxa"/>
            <w:tcBorders/>
            <w:shd w:fill="FFFFFF" w:val="clear"/>
            <w:vAlign w:val="center"/>
          </w:tcPr>
          <w:p>
            <w:pPr>
              <w:pStyle w:val="TableContents"/>
              <w:spacing w:before="0" w:after="283"/>
              <w:jc w:val="center"/>
              <w:rPr/>
            </w:pPr>
            <w:r>
              <w:rPr/>
              <w:t> </w:t>
            </w:r>
          </w:p>
        </w:tc>
        <w:tc>
          <w:tcPr>
            <w:tcW w:w="3224" w:type="dxa"/>
            <w:tcBorders/>
            <w:shd w:fill="FFFFFF" w:val="clear"/>
            <w:vAlign w:val="center"/>
          </w:tcPr>
          <w:p>
            <w:pPr>
              <w:pStyle w:val="TableContents"/>
              <w:spacing w:before="0" w:after="283"/>
              <w:jc w:val="left"/>
              <w:rPr>
                <w:rFonts w:ascii="helvetica" w:hAnsi="helvetica"/>
                <w:b/>
                <w:sz w:val="20"/>
              </w:rPr>
            </w:pPr>
            <w:r>
              <w:rPr>
                <w:rFonts w:ascii="helvetica" w:hAnsi="helvetica"/>
                <w:b/>
                <w:sz w:val="20"/>
              </w:rPr>
              <w:t>Aegis Capital Corp</w:t>
            </w:r>
          </w:p>
        </w:tc>
      </w:tr>
    </w:tbl>
    <w:p>
      <w:pPr>
        <w:pStyle w:val="TextBody"/>
        <w:spacing w:before="0" w:after="0"/>
        <w:rPr/>
      </w:pPr>
      <w:r>
        <w:rPr/>
        <w:t> </w:t>
      </w:r>
    </w:p>
    <w:p>
      <w:pPr>
        <w:pStyle w:val="TextBody"/>
        <w:spacing w:before="0" w:after="0"/>
        <w:jc w:val="center"/>
        <w:rPr>
          <w:b/>
        </w:rPr>
      </w:pPr>
      <w:r>
        <w:rPr>
          <w:b/>
        </w:rPr>
        <w:t>Prospectus dated February 11, 2013</w:t>
      </w:r>
    </w:p>
    <w:p>
      <w:pPr>
        <w:pStyle w:val="TextBody"/>
        <w:spacing w:before="0" w:after="0"/>
        <w:jc w:val="center"/>
        <w:rPr/>
      </w:pPr>
      <w:r>
        <w:rPr/>
        <w:t> </w:t>
      </w:r>
    </w:p>
    <w:p>
      <w:pPr>
        <w:pStyle w:val="TextBody"/>
        <w:spacing w:before="0" w:after="0"/>
        <w:rPr/>
      </w:pPr>
      <w:r>
        <w:rPr/>
        <w:t>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Helvetica">
    <w:altName w:val="Arial"/>
    <w:charset w:val="00"/>
    <w:family w:val="auto"/>
    <w:pitch w:val="default"/>
  </w:font>
  <w:font w:name="times new roman">
    <w:charset w:val="00"/>
    <w:family w:val="auto"/>
    <w:pitch w:val="default"/>
  </w:font>
  <w:font w:name="effontselectio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72765</Words>
  <CharactersWithSpaces>470274</CharactersWithSpaces>
  <Paragraphs>12512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