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11" w:lineRule="exact"/>
        <w:rPr>
          <w:sz w:val="24"/>
          <w:szCs w:val="24"/>
          <w:color w:val="auto"/>
        </w:rPr>
      </w:pPr>
    </w:p>
    <w:p>
      <w:pPr>
        <w:spacing w:after="0"/>
        <w:tabs>
          <w:tab w:leader="none" w:pos="42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Definitive Proxy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14c-5(g) and 0-11.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is calculated and state how it was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left="340" w:hanging="332"/>
        <w:spacing w:after="0" w:line="277" w:lineRule="auto"/>
        <w:tabs>
          <w:tab w:leader="none" w:pos="16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431800</wp:posOffset>
            </wp:positionV>
            <wp:extent cx="171513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5135" cy="7543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the 2018 Annual Meeting of Stockholders of Imprimis Pharmaceuticals, Inc., which will be held at the Rancho Santa Fe Inn, 5951 Linea Del Cielo, Rancho Santa Fe, California 92067, on June 28, 2018, at 9:00 a.m. local time. We hope you will be able to attend the meeting in person.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Imprimis Pharmaceuticals,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431800</wp:posOffset>
            </wp:positionV>
            <wp:extent cx="171513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5135" cy="75438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28,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NOTICE IS HEREBY GIVEN that the Annual Meeting of Stockholders of Imprimis Pharmaceuticals, Inc. (the “Company”) will be held on June 28, 2018 at 9:00 a.m., at the Rancho Santa Fe Inn, 5951 Linea Del Cielo, Rancho Santa Fe, California 92067, for the following purposes:</w:t>
      </w:r>
    </w:p>
    <w:p>
      <w:pPr>
        <w:spacing w:after="0" w:line="147" w:lineRule="exact"/>
        <w:rPr>
          <w:sz w:val="20"/>
          <w:szCs w:val="20"/>
          <w:color w:val="auto"/>
        </w:rPr>
      </w:pPr>
    </w:p>
    <w:p>
      <w:pPr>
        <w:ind w:left="1160" w:right="20" w:hanging="50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2019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160" w:right="20" w:hanging="50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2018.</w:t>
      </w:r>
    </w:p>
    <w:p>
      <w:pPr>
        <w:spacing w:after="0" w:line="170" w:lineRule="exact"/>
        <w:rPr>
          <w:rFonts w:ascii="Arial" w:cs="Arial" w:eastAsia="Arial" w:hAnsi="Arial"/>
          <w:sz w:val="18"/>
          <w:szCs w:val="18"/>
          <w:color w:val="auto"/>
        </w:rPr>
      </w:pPr>
    </w:p>
    <w:p>
      <w:pPr>
        <w:ind w:left="1160" w:hanging="50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Amended and Restated Certificate of Incorporation to decrease the number of authorized shares of common stock from 90,000,000 to 55,000,000.</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30, 2018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431800</wp:posOffset>
            </wp:positionV>
            <wp:extent cx="171513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7543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28,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enclosed proxy is solicited on behalf of the Board of Directors (the “Board” or “Board of Directors”) for use at the Annual Meeting of Stockholders (the “Annual Meeting”) of Imprimis Pharmaceuticals, Inc. to be held on June 28, 2018, at 9:00 a.m. local time at the Rancho Santa Fe Inn, 5951 Linea Del Cielo, Rancho Santa Fe, California 92067,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2017 (the “Annual Report”), the Notice and a proxy card, to our stockholders on or about April 30,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STOCKHOLDERS TO BE HELD ON JUNE 28,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www.iproxydirect.com/IMMY.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30, 2018, will be entitled to notice of and to vote at the Annual Meeting and any postponement or adjournment thereof. At the close of business on April 30, 2018, the Company had 20,879,736 shares of common stock outstanding and entitled to vote, held by 165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Broker Discretionary</w:t>
            </w: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w w:val="98"/>
              </w:rPr>
              <w:t>Proposal</w:t>
            </w:r>
          </w:p>
        </w:tc>
        <w:tc>
          <w:tcPr>
            <w:tcW w:w="4580" w:type="dxa"/>
            <w:vAlign w:val="bottom"/>
          </w:tcPr>
          <w:p>
            <w:pPr>
              <w:spacing w:after="0"/>
              <w:rPr>
                <w:sz w:val="20"/>
                <w:szCs w:val="20"/>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 Required</w:t>
            </w: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Voting Allowed</w:t>
            </w:r>
          </w:p>
        </w:tc>
      </w:tr>
      <w:tr>
        <w:trPr>
          <w:trHeight w:val="27"/>
        </w:trPr>
        <w:tc>
          <w:tcPr>
            <w:tcW w:w="78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1</w:t>
            </w:r>
          </w:p>
        </w:tc>
        <w:tc>
          <w:tcPr>
            <w:tcW w:w="4580" w:type="dxa"/>
            <w:vAlign w:val="bottom"/>
          </w:tcPr>
          <w:p>
            <w:pPr>
              <w:ind w:left="40"/>
              <w:spacing w:after="0"/>
              <w:rPr>
                <w:sz w:val="20"/>
                <w:szCs w:val="20"/>
                <w:color w:val="auto"/>
              </w:rPr>
            </w:pPr>
            <w:r>
              <w:rPr>
                <w:rFonts w:ascii="Arial" w:cs="Arial" w:eastAsia="Arial" w:hAnsi="Arial"/>
                <w:sz w:val="18"/>
                <w:szCs w:val="18"/>
                <w:color w:val="auto"/>
              </w:rPr>
              <w:t>– Election of five directors</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Plurality of Votes Cast</w:t>
            </w:r>
          </w:p>
        </w:tc>
        <w:tc>
          <w:tcPr>
            <w:tcW w:w="80" w:type="dxa"/>
            <w:vAlign w:val="bottom"/>
          </w:tcPr>
          <w:p>
            <w:pPr>
              <w:spacing w:after="0"/>
              <w:rPr>
                <w:sz w:val="24"/>
                <w:szCs w:val="24"/>
                <w:color w:val="auto"/>
              </w:rPr>
            </w:pPr>
          </w:p>
        </w:tc>
        <w:tc>
          <w:tcPr>
            <w:tcW w:w="2160" w:type="dxa"/>
            <w:vAlign w:val="bottom"/>
          </w:tcPr>
          <w:p>
            <w:pPr>
              <w:ind w:left="960"/>
              <w:spacing w:after="0"/>
              <w:rPr>
                <w:sz w:val="20"/>
                <w:szCs w:val="20"/>
                <w:color w:val="auto"/>
              </w:rPr>
            </w:pPr>
            <w:r>
              <w:rPr>
                <w:rFonts w:ascii="Arial" w:cs="Arial" w:eastAsia="Arial" w:hAnsi="Arial"/>
                <w:sz w:val="18"/>
                <w:szCs w:val="18"/>
                <w:color w:val="auto"/>
              </w:rPr>
              <w:t>No</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2</w:t>
            </w:r>
          </w:p>
        </w:tc>
        <w:tc>
          <w:tcPr>
            <w:tcW w:w="4580" w:type="dxa"/>
            <w:vAlign w:val="bottom"/>
          </w:tcPr>
          <w:p>
            <w:pPr>
              <w:ind w:left="40"/>
              <w:spacing w:after="0"/>
              <w:rPr>
                <w:sz w:val="20"/>
                <w:szCs w:val="20"/>
                <w:color w:val="auto"/>
              </w:rPr>
            </w:pPr>
            <w:r>
              <w:rPr>
                <w:rFonts w:ascii="Arial" w:cs="Arial" w:eastAsia="Arial" w:hAnsi="Arial"/>
                <w:sz w:val="18"/>
                <w:szCs w:val="18"/>
                <w:color w:val="auto"/>
              </w:rPr>
              <w:t>– Ratification of auditors for the 2018 fiscal year</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Majority of Votes Cast</w:t>
            </w:r>
          </w:p>
        </w:tc>
        <w:tc>
          <w:tcPr>
            <w:tcW w:w="80" w:type="dxa"/>
            <w:vAlign w:val="bottom"/>
          </w:tcPr>
          <w:p>
            <w:pPr>
              <w:spacing w:after="0"/>
              <w:rPr>
                <w:sz w:val="24"/>
                <w:szCs w:val="24"/>
                <w:color w:val="auto"/>
              </w:rPr>
            </w:pPr>
          </w:p>
        </w:tc>
        <w:tc>
          <w:tcPr>
            <w:tcW w:w="2160" w:type="dxa"/>
            <w:vAlign w:val="bottom"/>
          </w:tcPr>
          <w:p>
            <w:pPr>
              <w:ind w:left="940"/>
              <w:spacing w:after="0"/>
              <w:rPr>
                <w:sz w:val="20"/>
                <w:szCs w:val="20"/>
                <w:color w:val="auto"/>
              </w:rPr>
            </w:pPr>
            <w:r>
              <w:rPr>
                <w:rFonts w:ascii="Arial" w:cs="Arial" w:eastAsia="Arial" w:hAnsi="Arial"/>
                <w:sz w:val="18"/>
                <w:szCs w:val="18"/>
                <w:color w:val="auto"/>
              </w:rPr>
              <w:t>Yes</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3</w:t>
            </w:r>
          </w:p>
        </w:tc>
        <w:tc>
          <w:tcPr>
            <w:tcW w:w="4580" w:type="dxa"/>
            <w:vAlign w:val="bottom"/>
          </w:tcPr>
          <w:p>
            <w:pPr>
              <w:ind w:left="40"/>
              <w:spacing w:after="0"/>
              <w:rPr>
                <w:sz w:val="20"/>
                <w:szCs w:val="20"/>
                <w:color w:val="auto"/>
              </w:rPr>
            </w:pPr>
            <w:r>
              <w:rPr>
                <w:rFonts w:ascii="Arial" w:cs="Arial" w:eastAsia="Arial" w:hAnsi="Arial"/>
                <w:sz w:val="18"/>
                <w:szCs w:val="18"/>
                <w:color w:val="auto"/>
                <w:w w:val="94"/>
              </w:rPr>
              <w:t>– Amendment of Certificate of Incorporation to decrease the</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Majority of Shares Outstanding</w:t>
            </w:r>
          </w:p>
        </w:tc>
        <w:tc>
          <w:tcPr>
            <w:tcW w:w="80" w:type="dxa"/>
            <w:vAlign w:val="bottom"/>
          </w:tcPr>
          <w:p>
            <w:pPr>
              <w:spacing w:after="0"/>
              <w:rPr>
                <w:sz w:val="24"/>
                <w:szCs w:val="24"/>
                <w:color w:val="auto"/>
              </w:rPr>
            </w:pPr>
          </w:p>
        </w:tc>
        <w:tc>
          <w:tcPr>
            <w:tcW w:w="2160" w:type="dxa"/>
            <w:vAlign w:val="bottom"/>
          </w:tcPr>
          <w:p>
            <w:pPr>
              <w:ind w:left="940"/>
              <w:spacing w:after="0"/>
              <w:rPr>
                <w:sz w:val="20"/>
                <w:szCs w:val="20"/>
                <w:color w:val="auto"/>
              </w:rPr>
            </w:pPr>
            <w:r>
              <w:rPr>
                <w:rFonts w:ascii="Arial" w:cs="Arial" w:eastAsia="Arial" w:hAnsi="Arial"/>
                <w:sz w:val="18"/>
                <w:szCs w:val="18"/>
                <w:color w:val="auto"/>
              </w:rPr>
              <w:t>Yes</w:t>
            </w:r>
          </w:p>
        </w:tc>
      </w:tr>
    </w:tbl>
    <w:p>
      <w:pPr>
        <w:ind w:left="580"/>
        <w:spacing w:after="0"/>
        <w:rPr>
          <w:sz w:val="20"/>
          <w:szCs w:val="20"/>
          <w:color w:val="auto"/>
        </w:rPr>
      </w:pPr>
      <w:r>
        <w:rPr>
          <w:rFonts w:ascii="Arial" w:cs="Arial" w:eastAsia="Arial" w:hAnsi="Arial"/>
          <w:sz w:val="18"/>
          <w:szCs w:val="18"/>
          <w:color w:val="auto"/>
        </w:rPr>
        <w:t>number of authorized shares of common stock from 90,000,000 to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55,000,000</w:t>
      </w:r>
    </w:p>
    <w:p>
      <w:pPr>
        <w:spacing w:after="0" w:line="211"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With respect to Proposal 1, you may vote FOR or ABSTAIN. Abstentions and broker non-votes, if any, will have no effect on the outcome of Proposal 1. With respect to Proposals 2 and 3, you may vote FOR, AGAINST or ABSTAIN. Abstentions, if any, will have the same effect as an AGAINST vote for Proposals 2 and 3. Broker non-votes are not expected to result from Proposal 2 and will have the same effect as a vote AGAINST Proposal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1100" w:hanging="2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840" w:hanging="3"/>
        <w:spacing w:after="0" w:line="277" w:lineRule="auto"/>
        <w:tabs>
          <w:tab w:leader="none" w:pos="110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written notice to our Corporate Secretary at 12264 El Camino Real, Suite 350, San Diego, California 92130 before the proxy is used; or</w:t>
      </w:r>
    </w:p>
    <w:p>
      <w:pPr>
        <w:spacing w:after="0" w:line="170" w:lineRule="exact"/>
        <w:rPr>
          <w:rFonts w:ascii="Arial" w:cs="Arial" w:eastAsia="Arial" w:hAnsi="Arial"/>
          <w:sz w:val="18"/>
          <w:szCs w:val="18"/>
          <w:color w:val="auto"/>
        </w:rPr>
      </w:pPr>
    </w:p>
    <w:p>
      <w:pPr>
        <w:ind w:left="1100" w:hanging="2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2017 annual meeting of stockholders. At the Annual Meeting, stockholders will elect five directors to serve until the 2019 annual meeting of stockholders and until the directors’ respective successors are elected and qualified or their earlier death, resignation or removal.</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has selected the following five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 Set forth below are the names, ages and certain other information of each director nominee as of April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8580" w:type="dxa"/>
            <w:vAlign w:val="bottom"/>
          </w:tcPr>
          <w:p>
            <w:pPr>
              <w:ind w:left="3400"/>
              <w:spacing w:after="0"/>
              <w:rPr>
                <w:sz w:val="20"/>
                <w:szCs w:val="20"/>
                <w:color w:val="auto"/>
              </w:rPr>
            </w:pPr>
            <w:r>
              <w:rPr>
                <w:rFonts w:ascii="Arial" w:cs="Arial" w:eastAsia="Arial" w:hAnsi="Arial"/>
                <w:sz w:val="18"/>
                <w:szCs w:val="18"/>
                <w:b w:val="1"/>
                <w:bCs w:val="1"/>
                <w:color w:val="auto"/>
              </w:rPr>
              <w:t>Position &amp; Committees</w:t>
            </w:r>
          </w:p>
        </w:tc>
      </w:tr>
      <w:tr>
        <w:trPr>
          <w:trHeight w:val="202"/>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7"/>
                <w:szCs w:val="17"/>
                <w:color w:val="auto"/>
              </w:rPr>
            </w:pPr>
          </w:p>
        </w:tc>
        <w:tc>
          <w:tcPr>
            <w:tcW w:w="8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 Chief Executive Officer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Richard L. Lindstrom</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Robert J. Kammer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8"/>
              </w:rPr>
              <w:t>Chairman of the Board; Audit Committee; Compensation Committee*; Nomination and Corporate Governance</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Committee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Stephen G. Austin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Director; Audit Committee*, Nomination and Corporate Governance Committee, Compensation Committee</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Anthony J. Principi</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7"/>
              </w:rPr>
              <w:t>Director; Compensation Committee, Audit Committee and Nomination and Corporate Governance Committee*</w:t>
            </w: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is a founder, member of the board of directors and Chief Executive Officer of Imprimis Pharmaceuticals, Inc. In 2011, Mr.</w:t>
      </w:r>
      <w:r>
        <w:rPr>
          <w:rFonts w:ascii="Arial" w:cs="Arial" w:eastAsia="Arial" w:hAnsi="Arial"/>
          <w:sz w:val="17"/>
          <w:szCs w:val="17"/>
          <w:b w:val="1"/>
          <w:bCs w:val="1"/>
          <w:color w:val="auto"/>
        </w:rPr>
        <w:t xml:space="preserve"> </w:t>
      </w:r>
      <w:r>
        <w:rPr>
          <w:rFonts w:ascii="Arial" w:cs="Arial" w:eastAsia="Arial" w:hAnsi="Arial"/>
          <w:sz w:val="17"/>
          <w:szCs w:val="17"/>
          <w:color w:val="auto"/>
        </w:rPr>
        <w:t>Baum led the restructuring and reorganization of Imprimis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the chairman of the board of privately held Eton Pharmaceuticals, Inc., and a senior advisor to Curology, Inc., a privately held dermatology focused business. From November 2012 until December 2017, Mr. Baum served on the board of directors for Ideal Power, Inc., where he was also chair of its audit committee. Mr. Baum brings to the Imprimis Board years of public company executive and board experience, including knowledge of securities laws, reporting requirements and public company finance-related issues. Mr. Baum is an active participant in the national drug pricing and accessibility discussion, contributing through interviews for television, radio and print and advocating for policy changes to help ease the burden to patients and payors resulting from current drug pricing policies.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Trustee of the University of Minnesota Foundation.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a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Anthony G. Principi, J.D. </w:t>
      </w:r>
      <w:r>
        <w:rPr>
          <w:rFonts w:ascii="Arial" w:cs="Arial" w:eastAsia="Arial" w:hAnsi="Arial"/>
          <w:sz w:val="16"/>
          <w:szCs w:val="16"/>
          <w:color w:val="auto"/>
        </w:rPr>
        <w:t>has been a director since September 2015. Mr. Principi has served as the Chairman of the Principi Group, LLC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2016. He was Chairman of the Spectrum Group (2012-2016) and previously served as the CEO and president of the Principi Group until its merger with the Spectrum Group in 2012.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Genesis Supply Holdings, LLC and GetWellNetwork®, Inc. Mr. Principi previously served as Executive Chairman of QTC Management, the largest provider of medical and disability evaluations to the federal government, and also served on the board of directors of Perot Systems, Inc. and Engility Holdings, Inc. Mr. Principi received a Bachelor of Science from the U.S. Naval Academy and a Juris Doctor from Seton Hall University School of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2018,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2017 and 2016,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25,300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12,575</w:t>
            </w:r>
          </w:p>
        </w:tc>
        <w:tc>
          <w:tcPr>
            <w:tcW w:w="40" w:type="dxa"/>
            <w:vAlign w:val="bottom"/>
          </w:tcPr>
          <w:p>
            <w:pPr>
              <w:spacing w:after="0"/>
              <w:rPr>
                <w:sz w:val="18"/>
                <w:szCs w:val="18"/>
                <w:color w:val="auto"/>
              </w:rPr>
            </w:pPr>
          </w:p>
        </w:tc>
      </w:tr>
      <w:tr>
        <w:trPr>
          <w:trHeight w:val="25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Fees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164,574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There were no fees billed by or paid to our principal accountant during the years ended December 31, 2017 and 2016 for tax compliance, tax advice or tax planning services or for financial information systems design and implementation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2017 and 2016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APPROVAL OF AN AMENDMENT TO OUR CERTIFICATE OF INCORPORATION TO DECREASE THE NUMBER OF SHARES OF COMMON STOCK AUTHORIZED FOR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due consideration, our Board has determined that it is in the best interests of the Company and its stockholders to amend the Company’s Amended and Restated Certificate of Incorporation to decrease the authorized number of shares of common stock from 90,000,000 shares to 55,000,000 shares (the “Certificate Amendment”), and is submitting the Certificate Amendment to the Company’s stockholders.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2017, the Company had 20,623,129 shares of common stock issued and outstanding, 2,259,979 shares of common stock issuable upon exercise of outstanding options, 1,436,013 shares of common stock issuable upon the vesting (or otherwise vested and shares not yet delivered) of outstanding restricted stock units, 1,997,500 shares of common stock reserved for issuance and available for future grant under our equity incentive plans and 6,264,215 shares of common stock issuable upon exercise of outstanding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Certificate Amendment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authorized to issue 90,000,000 shares of common stock and 5,000,000 shares of preferred stock (which are designated as “blank check” preferred stock). Because the Board is mindful about the potential dilutive effect on existing stockholders, and because the current 90,000,000 authorized shares provides significantly more available shares than the Board believes are necessary for reasonably foreseeable future needs, the Board of Directors has approved and recommended to the stockholders an amendment to our Certificate of Incorporation to decrease the number of authorized shares of our common stock from 90,000,000 to 55,000,000. Our Board of Directors believes this number of authorized shares of common stock will provide us with sufficient shares of authorized capital stock available to be issued for any proper corporate purpose without further stockholder action. In addition, this reduction in authorized common shares will have the short-term effect of significantly reducing our Delaware franchise tax obligations. We estimate that it could reduce our Delaware franchise tax obligation by $25,000 annually.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Amendment and Additional Anti-takeover Considerations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and this proposal is not being presented with the intent that it be used in connection with any such acquisition attempt.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does not propose to make, and the Certificate Amendment would not make, any adjustments to the number of authorized shares of “blank check” preferred stock. As of the date of this proxy statement, 10 shares of preferred stock have been designated as Series A Preferred Stock, none of which are issued and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the Certificate Amendment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stockholders approve the Certificate Amendment, we propose to file with the Secretary of State of the State of Delaware a restatement of our Certificate of Incorporation that effects the reduction to our authorized shares of common stock and incorporates prior amendments to our Certificate of Incorporation, a copy of which is attached to this proxy statement as Annex A. Such reduction will become effective at the time and on the date of the filing of, or at such later time as is specified in, the restated Certificate of Incorporation. Subject to the discretion of the Board, which could elect to abandon the Certificate of Amendment at any time before or after stockholder approval, we expect to file the proposed restated Certificate of Incorporation with the Secretary of State of the State of Delaware as soon as practicable following stockholder approval.</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Delaware law, the Company’s Certificate of Incorporation, nor the Company’s Bylaws provides for appraisal or other similar rights for dissenting stockholders in connection with this proposal. Accordingly, the Company’s stockholders will have no right to dissent and obtain payment for their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our outstanding shares of common stock will be required to approve the Certificate Amendment. Broker non-votes and abstentions will have the effect of a vote against this proposal.</w:t>
      </w:r>
    </w:p>
    <w:p>
      <w:pPr>
        <w:spacing w:after="0" w:line="166" w:lineRule="exact"/>
        <w:rPr>
          <w:sz w:val="20"/>
          <w:szCs w:val="20"/>
          <w:color w:val="auto"/>
        </w:rPr>
      </w:pPr>
    </w:p>
    <w:p>
      <w:pPr>
        <w:jc w:val="both"/>
        <w:ind w:left="20" w:right="20" w:firstLine="129"/>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OUR CERTIFICATE OF INCORPORATION TO DECREASE THE NUMBER OF SHARES OF COMMON STOCK AUTHORIZED FOR ISSUANCE.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Stephen G. Austin; Dr. Richard L. Lindstrom; Anthony G. Principi, and Mark L. Baum. The Board has determined that (i) Mr. Austin, Mr. Principi and Dr. Kammer, comprising a majority of our current Board, are “independent” directors, as that term is defined by Nasdaq Marketplace Rule 5605(a)(2). Mr. Baum is not independent because he currently serves as our Chief Executive Officer.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2017, Dr. Lindstrom entered into a license agreement with the Company related to certain ophthalmology products and patents. Our Board of Directors has reviewed the license agreement and financials terms, and has continued to review independence related requirements in regard to Dr. Lindstrom and the Company. In April 2018, the Board determined that a royalty payment due to Dr. Lindstrom in May 2018 would, in aggregate with other non-board compensation, over the prior twelve consecutive months to Dr. Lindstrom be in excess of $120,000. The Board has determined that at the time of Dr. Lindstrom’s royalty payment, expected to be paid in May 2018, he will no longer be an independent director. In April 2018, Dr. Lindstrom was replaced by Dr. Kammer as a member of our Nomination and Corporate Governance Committee and as chair of the Compensation Committee of our board of directors. Dr. Lindstrom no longer serves on any committees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Securities Exchange Act of 1934, as amended (the “Exchange Act”). Stockholders may obtain a copy of our Bylaws by writing to our Corporate Secretary at Imprimis Pharmaceuticals, Inc., c/o Corporate Secretary, 12264 El Camino Real, Suite 350, San Diego, California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Imprimis Pharmaceuticals,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2017, the Board held six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2017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1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is currently composed of Messrs. Stephen Austin (Chairman), Anthony Principi and Robert Kammer. Our Board has affirmatively determined that each member of the Audit Committee in 2017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qualifies as an “audit committee financial expert” as such term is defined in Regulation S-K under the Securities Act of 1933. The Audit Committee held eight meetings in 2017.</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Compensation Committee is currently composed of Messrs. Robert Kammer (Chairman), Anthony Principi and Stephen Austin. Our Board has affirmatively determined that each member of the Compensation Committee during 2017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six meetings in 2017.</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http://imprimispharma.investorroom.com.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Nomination and Corporate Governance Committee is currently composed of Messrs. Anthony Principi (Chairman), Stephen Austin and Robert Kammer. Our Board has affirmatively determined that each member of the Nomination and Corporate Governance Committee during 2017 was independent under Nasdaq Marketplace Rule 5605(a)(2), and that each current member of the Nomination and Corporate Governance Committee is independent under Nasdaq Marketplace Rule 5605(a)(2). The Nomination and Corporate Governance Committee held four meetings in 2017.</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Nomination and Corporate Governance Committee acts pursuant to a written charter that has been adopted by the Board, which is available for review on our website at http://imprimispharma.investorroom.com.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separated Chairman of the Board and Chief Executive Officer positions are augmented by our independent directors, who comprise all of our Board committees and meet regularly in executive session without Mr. Baum or other members of our management present to ensure that our Board maintains an appropriate level of independent oversight of management.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15"/>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Board/Committee</w:t>
            </w:r>
          </w:p>
        </w:tc>
        <w:tc>
          <w:tcPr>
            <w:tcW w:w="7980" w:type="dxa"/>
            <w:vAlign w:val="bottom"/>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w:t>
            </w:r>
          </w:p>
        </w:tc>
        <w:tc>
          <w:tcPr>
            <w:tcW w:w="2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Risks and exposures associated with our business strategy and other current matters that may present material</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risk to our financial performance, operations, prospects or reputation.</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7980" w:type="dxa"/>
            <w:vAlign w:val="bottom"/>
          </w:tcPr>
          <w:p>
            <w:pPr>
              <w:spacing w:after="0"/>
              <w:rPr>
                <w:sz w:val="20"/>
                <w:szCs w:val="20"/>
                <w:color w:val="auto"/>
              </w:rPr>
            </w:pPr>
            <w:r>
              <w:rPr>
                <w:rFonts w:ascii="Arial" w:cs="Arial" w:eastAsia="Arial" w:hAnsi="Arial"/>
                <w:sz w:val="18"/>
                <w:szCs w:val="18"/>
                <w:color w:val="auto"/>
                <w:w w:val="94"/>
              </w:rPr>
              <w:t>Overall policies with respect to risk assessment and risk management, material pending legal proceedings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involving the Company and other contingent liabilities, any potential related party or conflict of interest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transactions, as well as other risks and exposures that may have a material impact on our financial statements.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7980" w:type="dxa"/>
            <w:vAlign w:val="bottom"/>
          </w:tcPr>
          <w:p>
            <w:pPr>
              <w:spacing w:after="0"/>
              <w:rPr>
                <w:sz w:val="20"/>
                <w:szCs w:val="20"/>
                <w:color w:val="auto"/>
              </w:rPr>
            </w:pPr>
            <w:r>
              <w:rPr>
                <w:rFonts w:ascii="Arial" w:cs="Arial" w:eastAsia="Arial" w:hAnsi="Arial"/>
                <w:sz w:val="18"/>
                <w:szCs w:val="18"/>
                <w:color w:val="auto"/>
                <w:w w:val="89"/>
              </w:rPr>
              <w:t>Risks and exposures associated with management succession planning and executive compensation programs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and arrangements, including incentive plans.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Nomination and Corporate Governance</w:t>
            </w:r>
          </w:p>
        </w:tc>
        <w:tc>
          <w:tcPr>
            <w:tcW w:w="7980" w:type="dxa"/>
            <w:vAlign w:val="bottom"/>
          </w:tcPr>
          <w:p>
            <w:pPr>
              <w:spacing w:after="0"/>
              <w:rPr>
                <w:sz w:val="20"/>
                <w:szCs w:val="20"/>
                <w:color w:val="auto"/>
              </w:rPr>
            </w:pPr>
            <w:r>
              <w:rPr>
                <w:rFonts w:ascii="Arial" w:cs="Arial" w:eastAsia="Arial" w:hAnsi="Arial"/>
                <w:sz w:val="18"/>
                <w:szCs w:val="18"/>
                <w:color w:val="auto"/>
                <w:w w:val="92"/>
              </w:rPr>
              <w:t>Risks and exposures associated with director succession planning, corporate governance, and overall board</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Committee</w:t>
            </w:r>
          </w:p>
        </w:tc>
        <w:tc>
          <w:tcPr>
            <w:tcW w:w="7980" w:type="dxa"/>
            <w:vAlign w:val="bottom"/>
          </w:tcPr>
          <w:p>
            <w:pPr>
              <w:spacing w:after="0"/>
              <w:rPr>
                <w:sz w:val="20"/>
                <w:szCs w:val="20"/>
                <w:color w:val="auto"/>
              </w:rPr>
            </w:pPr>
            <w:r>
              <w:rPr>
                <w:rFonts w:ascii="Arial" w:cs="Arial" w:eastAsia="Arial" w:hAnsi="Arial"/>
                <w:sz w:val="18"/>
                <w:szCs w:val="18"/>
                <w:color w:val="auto"/>
              </w:rPr>
              <w:t>effectiveness.</w:t>
            </w:r>
          </w:p>
        </w:tc>
      </w:tr>
      <w:tr>
        <w:trPr>
          <w:trHeight w:val="432"/>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Transactions with Related Persons</w:t>
            </w:r>
          </w:p>
        </w:tc>
        <w:tc>
          <w:tcPr>
            <w:tcW w:w="798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 2017, we entered into a license agreement (the “Klarity License Agreement”) with Dr. Lindstrom.,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In April 2018, the Board determined that a royalty payment due to Dr. Lindstrom in May 2018 would, in aggregate with other non-board compensation, over the prior twelve consecutive months to Dr. Lindstrom be in excess of $120,000. The Board has determined that at the time of Dr. Lindstrom’s royalty payment, expected to be paid in May 2018, he will no longer be an independent director. In April 2018, Dr. Lindstrom was replaced by Dr. Kammer as a member of our Nomination and Corporate Governance Committee and as chair of the Compensation Committee of our board of directors. Dr. Lindstrom no longer serves on any committees of the Board.</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the beginning of 2017, there have been no other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2017, all executive officers, directors and greater than 10% beneficial owners of our common stock complied with the reporting requirements of Section 16(a) of the Exchange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Executive officers are appointed by our Board and serve at its discretion. Set forth below is information regarding our executive officers as of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0" w:type="dxa"/>
            <w:vAlign w:val="bottom"/>
          </w:tcPr>
          <w:p>
            <w:pPr>
              <w:spacing w:after="0"/>
              <w:rPr>
                <w:sz w:val="17"/>
                <w:szCs w:val="17"/>
                <w:color w:val="auto"/>
              </w:rPr>
            </w:pPr>
          </w:p>
        </w:tc>
        <w:tc>
          <w:tcPr>
            <w:tcW w:w="2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00" w:type="dxa"/>
            <w:vAlign w:val="bottom"/>
          </w:tcPr>
          <w:p>
            <w:pPr>
              <w:spacing w:after="0"/>
              <w:rPr>
                <w:sz w:val="17"/>
                <w:szCs w:val="17"/>
                <w:color w:val="auto"/>
              </w:rPr>
            </w:pPr>
          </w:p>
        </w:tc>
        <w:tc>
          <w:tcPr>
            <w:tcW w:w="6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17"/>
                <w:szCs w:val="17"/>
                <w:color w:val="auto"/>
              </w:rPr>
            </w:pPr>
          </w:p>
        </w:tc>
        <w:tc>
          <w:tcPr>
            <w:tcW w:w="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45</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Andrew R. Boll</w:t>
            </w:r>
          </w:p>
        </w:tc>
        <w:tc>
          <w:tcPr>
            <w:tcW w:w="630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John P. Saharek</w:t>
            </w:r>
          </w:p>
        </w:tc>
        <w:tc>
          <w:tcPr>
            <w:tcW w:w="630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started with Imprimis in December 2011, and has served as our Chief Financial Officer since his promotion to that role</w:t>
      </w:r>
      <w:r>
        <w:rPr>
          <w:rFonts w:ascii="Arial" w:cs="Arial" w:eastAsia="Arial" w:hAnsi="Arial"/>
          <w:sz w:val="16"/>
          <w:szCs w:val="16"/>
          <w:b w:val="1"/>
          <w:bCs w:val="1"/>
          <w:color w:val="auto"/>
        </w:rPr>
        <w:t xml:space="preserve"> </w:t>
      </w:r>
      <w:r>
        <w:rPr>
          <w:rFonts w:ascii="Arial" w:cs="Arial" w:eastAsia="Arial" w:hAnsi="Arial"/>
          <w:sz w:val="16"/>
          <w:szCs w:val="16"/>
          <w:color w:val="auto"/>
        </w:rPr>
        <w:t>in February 2015. He oversees the Company’s general and administrative functions and departments including its accounting and financial reporting, investor relations, human resources, legal and other operational departments. Prior to his start at Imprimis, from November 2007 to November 2011, Mr. Boll worked for BCGU, LLC, a privately held fund manager specializing in micro-cap, small-cap and venture type investment opportunities. There he performed fund accounting and financial analyses, and provided financial and accounting consulting services to public and private company accounts. From 2004 to 2007, Mr. Boll held various accounting roles at Welsh Companies, LLC, a privately held commercial real estate company, its fund and its other subsidiaries. Mr. Boll is a CFA charterholder, Certified Management Accountant and earned his Bachelor of Science degree in Corporate and Public Finance. He is a member of the Institute of Management Accountants, the CFA Institute, and the CFA Society of San Diego.</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John P. Saharek </w:t>
      </w:r>
      <w:r>
        <w:rPr>
          <w:rFonts w:ascii="Arial" w:cs="Arial" w:eastAsia="Arial" w:hAnsi="Arial"/>
          <w:sz w:val="16"/>
          <w:szCs w:val="16"/>
          <w:color w:val="auto"/>
        </w:rPr>
        <w:t>started with Imprimis as our Vice President of Commercialization, Ophthalmology in November 2013 until his promotion to Chief</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Officer in February 2015. Mr. Saharek oversees all of the Company’s commercial activities, including marketing, sales and customer care departments. He is a senior healthcare industry executive with over 30 years of experience developing and commercializing pharmaceutical, biotech, surgical device and diagnostic product portfolios. Before joining the Company, he was the Head of U.S. Marketing and Strategy (April 2013 to October 2013) and National Director, Sales and Reimbursement (July 2011 to April 2013) for ThromboGenics Inc., a biotherapeutics company. Prior to that he was Vice President, Business Development at SurModics Inc., a provider of medical device coatings and in vitro diagnostic products, from March 2006 to July 2011. Earlier in his career, he held positions in marketing and sales at a number of companies, including his tenure with Bausch &amp; Lomb. Mr. Saharek has a Master’s degree in Business Administration from the University of Hartford and a Bachelor’s degree from Central Connecticut State University.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ind w:left="4440"/>
              <w:spacing w:after="0"/>
              <w:rPr>
                <w:sz w:val="20"/>
                <w:szCs w:val="20"/>
                <w:color w:val="auto"/>
              </w:rPr>
            </w:pPr>
            <w:r>
              <w:rPr>
                <w:rFonts w:ascii="Arial" w:cs="Arial" w:eastAsia="Arial" w:hAnsi="Arial"/>
                <w:sz w:val="18"/>
                <w:szCs w:val="18"/>
                <w:b w:val="1"/>
                <w:bCs w:val="1"/>
                <w:color w:val="auto"/>
              </w:rPr>
              <w:t>DIRECTOR COMPENSATION</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 Program for Year Ending December 31, 2017</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w w:val="94"/>
              </w:rPr>
              <w:t>A summary of the non-employee director compensation arrangements for 2017 is set forth below.</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Cash Compensation</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Retainer and</w:t>
            </w: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Meeting Fees</w:t>
            </w:r>
          </w:p>
        </w:tc>
      </w:tr>
      <w:tr>
        <w:trPr>
          <w:trHeight w:val="223"/>
        </w:trPr>
        <w:tc>
          <w:tcPr>
            <w:tcW w:w="20" w:type="dxa"/>
            <w:vAlign w:val="bottom"/>
          </w:tcPr>
          <w:p>
            <w:pPr>
              <w:spacing w:after="0"/>
              <w:rPr>
                <w:sz w:val="19"/>
                <w:szCs w:val="19"/>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Chairman of the Board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Compensation Committee Chairman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Chairman</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r>
    </w:tbl>
    <w:p>
      <w:pPr>
        <w:spacing w:after="0" w:line="22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2017, the Company granted an aggregate of 62,892 restricted stock unit awards (“RSUs”) (15,723 RSUs per director) to its non-employee directors, with an aggregate value of approximately $250,000.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compensation earned by or awarded or paid in 2017 to the individuals who served as our non-employee directors during such period. All compensation received by Mr. Baum, is disclosed in the Summary Compensation Table below. Mr. Baum did not receive any additional compensation for his services as a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Fees Earned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or Paid in</w:t>
            </w:r>
          </w:p>
        </w:tc>
        <w:tc>
          <w:tcPr>
            <w:tcW w:w="14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Cash ($)</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Awards ($)(1)(2)</w:t>
            </w:r>
          </w:p>
        </w:tc>
        <w:tc>
          <w:tcPr>
            <w:tcW w:w="18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Option 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160" w:type="dxa"/>
            <w:vAlign w:val="bottom"/>
          </w:tcPr>
          <w:p>
            <w:pPr>
              <w:jc w:val="right"/>
              <w:ind w:right="62"/>
              <w:spacing w:after="0"/>
              <w:rPr>
                <w:sz w:val="20"/>
                <w:szCs w:val="20"/>
                <w:color w:val="auto"/>
              </w:rPr>
            </w:pPr>
            <w:r>
              <w:rPr>
                <w:rFonts w:ascii="Arial" w:cs="Arial" w:eastAsia="Arial" w:hAnsi="Arial"/>
                <w:sz w:val="18"/>
                <w:szCs w:val="18"/>
                <w:b w:val="1"/>
                <w:bCs w:val="1"/>
                <w:color w:val="auto"/>
              </w:rPr>
              <w:t>Other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3"/>
              </w:rPr>
              <w:t>49,999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Stephen Austin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59,000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980"/>
              <w:spacing w:after="0"/>
              <w:rPr>
                <w:sz w:val="20"/>
                <w:szCs w:val="20"/>
                <w:color w:val="auto"/>
              </w:rPr>
            </w:pPr>
            <w:r>
              <w:rPr>
                <w:rFonts w:ascii="Arial" w:cs="Arial" w:eastAsia="Arial" w:hAnsi="Arial"/>
                <w:sz w:val="18"/>
                <w:szCs w:val="18"/>
                <w:color w:val="auto"/>
              </w:rPr>
              <w:t>49,999</w:t>
            </w:r>
          </w:p>
        </w:tc>
        <w:tc>
          <w:tcPr>
            <w:tcW w:w="94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02"/>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108,999</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49,999</w:t>
            </w:r>
          </w:p>
        </w:tc>
        <w:tc>
          <w:tcPr>
            <w:tcW w:w="940" w:type="dxa"/>
            <w:vAlign w:val="bottom"/>
            <w:gridSpan w:val="2"/>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102,874</w:t>
            </w: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58,375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980"/>
              <w:spacing w:after="0"/>
              <w:rPr>
                <w:sz w:val="20"/>
                <w:szCs w:val="20"/>
                <w:color w:val="auto"/>
              </w:rPr>
            </w:pPr>
            <w:r>
              <w:rPr>
                <w:rFonts w:ascii="Arial" w:cs="Arial" w:eastAsia="Arial" w:hAnsi="Arial"/>
                <w:sz w:val="18"/>
                <w:szCs w:val="18"/>
                <w:color w:val="auto"/>
              </w:rPr>
              <w:t>49,999</w:t>
            </w:r>
          </w:p>
        </w:tc>
        <w:tc>
          <w:tcPr>
            <w:tcW w:w="94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02"/>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108,374</w:t>
            </w:r>
          </w:p>
        </w:tc>
      </w:tr>
    </w:tbl>
    <w:p>
      <w:pPr>
        <w:spacing w:after="0" w:line="187" w:lineRule="exact"/>
        <w:rPr>
          <w:sz w:val="20"/>
          <w:szCs w:val="20"/>
          <w:color w:val="auto"/>
        </w:rPr>
      </w:pPr>
    </w:p>
    <w:p>
      <w:pPr>
        <w:jc w:val="both"/>
        <w:ind w:left="4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in 2017, measured in accordance with FASB Accounting Standards Codification (“ASC”) Topic 718 (“Topic 718”) and without adjustment for estimated forfeitures. For a discussion of the assumptions used to calculate the value of equity awards, refer to Note 13 to our consolidated financial statements for the fiscal year ended December 31, 2017 included in the Annual Report.</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2017 by each non-employee director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Restricted</w:t>
            </w: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Stock Unit</w:t>
            </w: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Stock Options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rPr>
                <w:sz w:val="20"/>
                <w:szCs w:val="20"/>
                <w:color w:val="auto"/>
              </w:rPr>
            </w:pPr>
          </w:p>
        </w:tc>
      </w:tr>
      <w:tr>
        <w:trPr>
          <w:trHeight w:val="216"/>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344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11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48,182</w:t>
            </w:r>
          </w:p>
        </w:tc>
        <w:tc>
          <w:tcPr>
            <w:tcW w:w="1240" w:type="dxa"/>
            <w:vAlign w:val="bottom"/>
          </w:tcPr>
          <w:p>
            <w:pPr>
              <w:jc w:val="right"/>
              <w:spacing w:after="0"/>
              <w:rPr>
                <w:sz w:val="20"/>
                <w:szCs w:val="20"/>
                <w:color w:val="auto"/>
              </w:rPr>
            </w:pPr>
            <w:r>
              <w:rPr>
                <w:rFonts w:ascii="Arial" w:cs="Arial" w:eastAsia="Arial" w:hAnsi="Arial"/>
                <w:sz w:val="18"/>
                <w:szCs w:val="18"/>
                <w:color w:val="auto"/>
              </w:rPr>
              <w:t>48,182</w:t>
            </w:r>
          </w:p>
        </w:tc>
        <w:tc>
          <w:tcPr>
            <w:tcW w:w="344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39,163</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39,163</w:t>
            </w:r>
          </w:p>
        </w:tc>
        <w:tc>
          <w:tcPr>
            <w:tcW w:w="3440" w:type="dxa"/>
            <w:vAlign w:val="bottom"/>
          </w:tcPr>
          <w:p>
            <w:pPr>
              <w:spacing w:after="0"/>
              <w:rPr>
                <w:sz w:val="18"/>
                <w:szCs w:val="18"/>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14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32,986</w:t>
            </w:r>
          </w:p>
        </w:tc>
        <w:tc>
          <w:tcPr>
            <w:tcW w:w="1240" w:type="dxa"/>
            <w:vAlign w:val="bottom"/>
          </w:tcPr>
          <w:p>
            <w:pPr>
              <w:jc w:val="right"/>
              <w:spacing w:after="0"/>
              <w:rPr>
                <w:sz w:val="20"/>
                <w:szCs w:val="20"/>
                <w:color w:val="auto"/>
              </w:rPr>
            </w:pPr>
            <w:r>
              <w:rPr>
                <w:rFonts w:ascii="Arial" w:cs="Arial" w:eastAsia="Arial" w:hAnsi="Arial"/>
                <w:sz w:val="18"/>
                <w:szCs w:val="18"/>
                <w:color w:val="auto"/>
              </w:rPr>
              <w:t>32,986</w:t>
            </w:r>
          </w:p>
        </w:tc>
        <w:tc>
          <w:tcPr>
            <w:tcW w:w="3440" w:type="dxa"/>
            <w:vAlign w:val="bottom"/>
          </w:tcPr>
          <w:p>
            <w:pPr>
              <w:spacing w:after="0"/>
              <w:rPr>
                <w:sz w:val="20"/>
                <w:szCs w:val="20"/>
                <w:color w:val="auto"/>
              </w:rPr>
            </w:pPr>
          </w:p>
        </w:tc>
      </w:tr>
      <w:tr>
        <w:trPr>
          <w:trHeight w:val="425"/>
        </w:trPr>
        <w:tc>
          <w:tcPr>
            <w:tcW w:w="3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724"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58"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6"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The Compensation Committee also has historically focused on the Company’s financial and working capital condition when making compensation decisions and approving performance objectives. Because the Company has historically sought to preserve cash and currently does not operate at a profit,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accordance with its charter, the Compensation Committee is responsible for, among other things, reviewing and evaluating our executive officer compensation program, including, among other things: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other executive officers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2015, the Compensation Committee retained the services of an external compensation consultant, Radford, an Aon Hewitt Company (“Radford”). The mandate of the consultant is to assist the Compensation Committee in its review of executive and director compensation practices, including the competitiveness of pay levels, executive compensation design,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decision to engage Radford was not made or recommended by the Company’s management. The Compensation Committee, after a review of the factors set forth in Section 10C-1of the Securities Exchange Act of 1934 and NASDAQ requirements, has determined that the work performed by Radford in 2015 and in 2016 does not present any conflicts of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the fourth quarter of 2015, and the Compensation Committee, with the assistance of Radford,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2015 peer group, the Compensation Committee and Radford focused on biotechnology and pharmaceutical companies with commercial products NDA’s filed, lead products in late phase 3 development, or in the beginning stages of revenue recognition, with market capitalizations ranging from $40 million to $200 million and employee headcounts ranging from 30 to 300 employees. Our current list of peer companies is comprised of the following companies: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AcelRx Pharmaceuticals, Inc.</w:t>
            </w:r>
          </w:p>
        </w:tc>
        <w:tc>
          <w:tcPr>
            <w:tcW w:w="3120" w:type="dxa"/>
            <w:vAlign w:val="bottom"/>
          </w:tcPr>
          <w:p>
            <w:pPr>
              <w:ind w:left="520"/>
              <w:spacing w:after="0"/>
              <w:rPr>
                <w:sz w:val="20"/>
                <w:szCs w:val="20"/>
                <w:color w:val="auto"/>
              </w:rPr>
            </w:pPr>
            <w:r>
              <w:rPr>
                <w:rFonts w:ascii="Arial" w:cs="Arial" w:eastAsia="Arial" w:hAnsi="Arial"/>
                <w:sz w:val="18"/>
                <w:szCs w:val="18"/>
                <w:color w:val="auto"/>
              </w:rPr>
              <w:t>Biodel</w:t>
            </w:r>
          </w:p>
        </w:tc>
        <w:tc>
          <w:tcPr>
            <w:tcW w:w="2700" w:type="dxa"/>
            <w:vAlign w:val="bottom"/>
          </w:tcPr>
          <w:p>
            <w:pPr>
              <w:ind w:left="600"/>
              <w:spacing w:after="0"/>
              <w:rPr>
                <w:sz w:val="20"/>
                <w:szCs w:val="20"/>
                <w:color w:val="auto"/>
              </w:rPr>
            </w:pPr>
            <w:r>
              <w:rPr>
                <w:rFonts w:ascii="Arial" w:cs="Arial" w:eastAsia="Arial" w:hAnsi="Arial"/>
                <w:sz w:val="18"/>
                <w:szCs w:val="18"/>
                <w:color w:val="auto"/>
              </w:rPr>
              <w:t>Omeros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ADMA Biologics</w:t>
            </w:r>
          </w:p>
        </w:tc>
        <w:tc>
          <w:tcPr>
            <w:tcW w:w="3120" w:type="dxa"/>
            <w:vAlign w:val="bottom"/>
          </w:tcPr>
          <w:p>
            <w:pPr>
              <w:ind w:left="520"/>
              <w:spacing w:after="0"/>
              <w:rPr>
                <w:sz w:val="20"/>
                <w:szCs w:val="20"/>
                <w:color w:val="auto"/>
              </w:rPr>
            </w:pPr>
            <w:r>
              <w:rPr>
                <w:rFonts w:ascii="Arial" w:cs="Arial" w:eastAsia="Arial" w:hAnsi="Arial"/>
                <w:sz w:val="18"/>
                <w:szCs w:val="18"/>
                <w:color w:val="auto"/>
              </w:rPr>
              <w:t>Biota Pharmaceuticals, Inc.</w:t>
            </w:r>
          </w:p>
        </w:tc>
        <w:tc>
          <w:tcPr>
            <w:tcW w:w="2700" w:type="dxa"/>
            <w:vAlign w:val="bottom"/>
          </w:tcPr>
          <w:p>
            <w:pPr>
              <w:ind w:left="600"/>
              <w:spacing w:after="0"/>
              <w:rPr>
                <w:sz w:val="20"/>
                <w:szCs w:val="20"/>
                <w:color w:val="auto"/>
              </w:rPr>
            </w:pPr>
            <w:r>
              <w:rPr>
                <w:rFonts w:ascii="Arial" w:cs="Arial" w:eastAsia="Arial" w:hAnsi="Arial"/>
                <w:sz w:val="18"/>
                <w:szCs w:val="18"/>
                <w:color w:val="auto"/>
                <w:w w:val="88"/>
              </w:rPr>
              <w:t>OncoGenex Pharmaceuticals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Alderyra Therapeutics</w:t>
            </w:r>
          </w:p>
        </w:tc>
        <w:tc>
          <w:tcPr>
            <w:tcW w:w="3120" w:type="dxa"/>
            <w:vAlign w:val="bottom"/>
          </w:tcPr>
          <w:p>
            <w:pPr>
              <w:ind w:left="520"/>
              <w:spacing w:after="0"/>
              <w:rPr>
                <w:sz w:val="20"/>
                <w:szCs w:val="20"/>
                <w:color w:val="auto"/>
              </w:rPr>
            </w:pPr>
            <w:r>
              <w:rPr>
                <w:rFonts w:ascii="Arial" w:cs="Arial" w:eastAsia="Arial" w:hAnsi="Arial"/>
                <w:sz w:val="18"/>
                <w:szCs w:val="18"/>
                <w:color w:val="auto"/>
              </w:rPr>
              <w:t>Caladrius Biosciences</w:t>
            </w:r>
          </w:p>
        </w:tc>
        <w:tc>
          <w:tcPr>
            <w:tcW w:w="2700" w:type="dxa"/>
            <w:vAlign w:val="bottom"/>
          </w:tcPr>
          <w:p>
            <w:pPr>
              <w:ind w:left="600"/>
              <w:spacing w:after="0"/>
              <w:rPr>
                <w:sz w:val="20"/>
                <w:szCs w:val="20"/>
                <w:color w:val="auto"/>
              </w:rPr>
            </w:pPr>
            <w:r>
              <w:rPr>
                <w:rFonts w:ascii="Arial" w:cs="Arial" w:eastAsia="Arial" w:hAnsi="Arial"/>
                <w:sz w:val="18"/>
                <w:szCs w:val="18"/>
                <w:color w:val="auto"/>
                <w:w w:val="96"/>
              </w:rPr>
              <w:t>Peregrine Pharmaceuticals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Alimera Sciences</w:t>
            </w:r>
          </w:p>
        </w:tc>
        <w:tc>
          <w:tcPr>
            <w:tcW w:w="3120" w:type="dxa"/>
            <w:vAlign w:val="bottom"/>
          </w:tcPr>
          <w:p>
            <w:pPr>
              <w:ind w:left="520"/>
              <w:spacing w:after="0"/>
              <w:rPr>
                <w:sz w:val="20"/>
                <w:szCs w:val="20"/>
                <w:color w:val="auto"/>
              </w:rPr>
            </w:pPr>
            <w:r>
              <w:rPr>
                <w:rFonts w:ascii="Arial" w:cs="Arial" w:eastAsia="Arial" w:hAnsi="Arial"/>
                <w:sz w:val="18"/>
                <w:szCs w:val="18"/>
                <w:color w:val="auto"/>
              </w:rPr>
              <w:t>Cytori Therapeutics</w:t>
            </w:r>
          </w:p>
        </w:tc>
        <w:tc>
          <w:tcPr>
            <w:tcW w:w="2700" w:type="dxa"/>
            <w:vAlign w:val="bottom"/>
          </w:tcPr>
          <w:p>
            <w:pPr>
              <w:ind w:left="600"/>
              <w:spacing w:after="0"/>
              <w:rPr>
                <w:sz w:val="20"/>
                <w:szCs w:val="20"/>
                <w:color w:val="auto"/>
              </w:rPr>
            </w:pPr>
            <w:r>
              <w:rPr>
                <w:rFonts w:ascii="Arial" w:cs="Arial" w:eastAsia="Arial" w:hAnsi="Arial"/>
                <w:sz w:val="18"/>
                <w:szCs w:val="18"/>
                <w:color w:val="auto"/>
              </w:rPr>
              <w:t>Repros Therapeutics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Apricus Biosciences</w:t>
            </w:r>
          </w:p>
        </w:tc>
        <w:tc>
          <w:tcPr>
            <w:tcW w:w="3120" w:type="dxa"/>
            <w:vAlign w:val="bottom"/>
          </w:tcPr>
          <w:p>
            <w:pPr>
              <w:ind w:left="520"/>
              <w:spacing w:after="0"/>
              <w:rPr>
                <w:sz w:val="20"/>
                <w:szCs w:val="20"/>
                <w:color w:val="auto"/>
              </w:rPr>
            </w:pPr>
            <w:r>
              <w:rPr>
                <w:rFonts w:ascii="Arial" w:cs="Arial" w:eastAsia="Arial" w:hAnsi="Arial"/>
                <w:sz w:val="18"/>
                <w:szCs w:val="18"/>
                <w:color w:val="auto"/>
              </w:rPr>
              <w:t>Histogenics</w:t>
            </w:r>
          </w:p>
        </w:tc>
        <w:tc>
          <w:tcPr>
            <w:tcW w:w="2700" w:type="dxa"/>
            <w:vAlign w:val="bottom"/>
          </w:tcPr>
          <w:p>
            <w:pPr>
              <w:ind w:left="600"/>
              <w:spacing w:after="0"/>
              <w:rPr>
                <w:sz w:val="20"/>
                <w:szCs w:val="20"/>
                <w:color w:val="auto"/>
              </w:rPr>
            </w:pPr>
            <w:r>
              <w:rPr>
                <w:rFonts w:ascii="Arial" w:cs="Arial" w:eastAsia="Arial" w:hAnsi="Arial"/>
                <w:sz w:val="18"/>
                <w:szCs w:val="18"/>
                <w:color w:val="auto"/>
              </w:rPr>
              <w:t>Vital Therapies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Aradigm</w:t>
            </w:r>
          </w:p>
        </w:tc>
        <w:tc>
          <w:tcPr>
            <w:tcW w:w="3120" w:type="dxa"/>
            <w:vAlign w:val="bottom"/>
          </w:tcPr>
          <w:p>
            <w:pPr>
              <w:ind w:left="520"/>
              <w:spacing w:after="0"/>
              <w:rPr>
                <w:sz w:val="20"/>
                <w:szCs w:val="20"/>
                <w:color w:val="auto"/>
              </w:rPr>
            </w:pPr>
            <w:r>
              <w:rPr>
                <w:rFonts w:ascii="Arial" w:cs="Arial" w:eastAsia="Arial" w:hAnsi="Arial"/>
                <w:sz w:val="18"/>
                <w:szCs w:val="18"/>
                <w:color w:val="auto"/>
              </w:rPr>
              <w:t>InSite Vision</w:t>
            </w:r>
          </w:p>
        </w:tc>
        <w:tc>
          <w:tcPr>
            <w:tcW w:w="270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AVEO Pharmaceuticals, Inc.</w:t>
            </w:r>
          </w:p>
        </w:tc>
        <w:tc>
          <w:tcPr>
            <w:tcW w:w="3120" w:type="dxa"/>
            <w:vAlign w:val="bottom"/>
          </w:tcPr>
          <w:p>
            <w:pPr>
              <w:ind w:left="520"/>
              <w:spacing w:after="0"/>
              <w:rPr>
                <w:sz w:val="20"/>
                <w:szCs w:val="20"/>
                <w:color w:val="auto"/>
              </w:rPr>
            </w:pPr>
            <w:r>
              <w:rPr>
                <w:rFonts w:ascii="Arial" w:cs="Arial" w:eastAsia="Arial" w:hAnsi="Arial"/>
                <w:sz w:val="18"/>
                <w:szCs w:val="18"/>
                <w:color w:val="auto"/>
              </w:rPr>
              <w:t>Ocular Therapeutix</w:t>
            </w:r>
          </w:p>
        </w:tc>
        <w:tc>
          <w:tcPr>
            <w:tcW w:w="270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adopting the above group of peer companies in 2015 (the “2015 peer group”), the Compensation Committee engaged Radford to conduct a comprehensive benchmarking study reporting on compensation levels and practices, including equity, relative to the 2015 peer group. An Executive Compensation Assessment report was prepared by Radford in December 2015 that provided a competitive assessment of the Company’s executive compensation program as compared to the market data for base salaries, target total cash compensation and equity compensation of the 2015 peer group. In consideration of the benchmarking data in Radford’s competitive assessment of the Company’s executive compensation programs and the Company’s performance in 2015, adjustments to compensation were made in the second quarter of 2016, as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2017, our executive compensation program consisted of the following forms of compensation, each of which are described in greater detail:</w:t>
      </w:r>
    </w:p>
    <w:p>
      <w:pPr>
        <w:spacing w:after="0" w:line="2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Committee’s choice of this target percentile reflects consideration of our stockholders’ interests in paying what is necessary to achieve our corporate goals, while conserving cash as much as practicable. We believe that, given the industry in which we operate, our current working capital needs and our compensation philosophy and objectives, base salaries at this level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assists the Compensation Committee in its annual review of the base salaries of other executive officers based on the foregoing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provides executive officers with annual performance-based cash bonuses, which are specifically designed to reward executives for overall corporate performance as well as individual performance in a given year. Corporate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fixed, which then determines the size of the total bonus pool from which annual bonus incentives are to be paid to executive officers. All cash bonuses are awarded retrospectively.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this plan, corporate and individual goals are established at the beginning of each fiscal year by the Compensation Committee with input from senior management. For 2017 and 2018, executive officers, except for the Chief Executive Officer, are assigned annual incentive bonus targets with 80% of the bonus attributed to corporate performance and 20% based on individual performance. For 2017 and 2018,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2017 and 2018 were 65% of annual base salary for our Chief Executive Officer and 50% for all other executive officers. In addition to their 2018 target bonus amounts, the executive officers are also being allowed one-time bonus opportunities related to profitability metrics and an increase in cash balance.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2017, our Chief Executive Officer a cash incentive bonus equal to 9% of his annual base salary, our Chief Financial Officer a cash incentive bonus equal to 17.5% of his annual base salary and our Chief Commercial Officer a cash incentive bonus equal to 17.5% of his annual base salary.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or restricted stock awards, which may also be granted as awards of RSUs. The Compensation Committee does not have a stated policy regarding the issuance of equity grants, however, historically our executive officers have been granted service/time based vesting equity awards and certain executive officers have also been granted options and RSUs that contain performance/market based vesting conditions. The Compensation Committee grants stock options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Compensation for 2016</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Executive Compensation Assessment report prepared by Radford in December 2015 provided a competitive assessment of the Company’s compensation practices as compared to that of the 2015 peer group. The Compensation Committee determined to aim and set its executives’ base salaries and total target based cash compensation amounts (base salary plus target bonus) for 2016, in aggregate, at levels near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bottom quartile)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salaries of executives with similar roles as compared to the 2015 peer group and set its executives equity compensation levels near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upper quartile) of level of the Company’s equity guidelines. The Compensation Committee focused on the Company’s financial and working capital condition when making these compensation decisions. The current pay structure allows the Company to preserve cash, while, we believe, providing competitive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compensation packages to its executives, and more closely align them near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in total direct compensation (cash and equity in aggregate) of their counterparts within the 2015 peer group. The Company also entered into new employment agreements in April 2016 with its executive officers as further described below which provides for uniform employment agreements with its executives and, we believe, are representative of market based terms and conditions. The April 2016 employment agreements also eliminated provisions described in prior employment agreements related to gross-up payments equal to the amount of any excise tax owed by an executive as a result of any severance payments related to a change of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total compensation paid to our named executive officers, who are comprised of (1) our principal executive officer and (2) our next two highest compensated executive officers other than the principal executive officer.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Name and principal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Non-Equity Plan</w:t>
            </w:r>
          </w:p>
        </w:tc>
        <w:tc>
          <w:tcPr>
            <w:tcW w:w="24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position</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Year</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Salary</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Awards(1)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Awards(1)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Compensation(2)</w:t>
            </w:r>
          </w:p>
        </w:tc>
        <w:tc>
          <w:tcPr>
            <w:tcW w:w="2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Compensation(1)(3)</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417,347(4)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372,386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544,860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3,153,822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285,769(6)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89,040(7)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234,110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1,050,280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267,200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46,865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Chief Commercial Officer</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247,288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102,596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550,880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jc w:val="both"/>
        <w:ind w:left="460" w:hanging="452"/>
        <w:spacing w:after="0" w:line="269"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equity awards, refer to Note 13 to our consolidated financial statements for the year ended December 31, 2017 included in the Annual Report. For information about the material terms of each equity award, see the table entitled “Outstanding Equity Awards at Fiscal Year End” below.</w:t>
      </w:r>
    </w:p>
    <w:p>
      <w:pPr>
        <w:spacing w:after="0" w:line="2" w:lineRule="exact"/>
        <w:rPr>
          <w:rFonts w:ascii="Arial" w:cs="Arial" w:eastAsia="Arial" w:hAnsi="Arial"/>
          <w:sz w:val="17"/>
          <w:szCs w:val="17"/>
          <w:color w:val="auto"/>
        </w:rPr>
      </w:pPr>
    </w:p>
    <w:p>
      <w:pPr>
        <w:jc w:val="both"/>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 and group life insurance benefit in excess of the standard threshold granted to all other employees.</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$18,602 in accrued paid vacation which Mr. Baum elected to take in the form of cash.</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$154,750 in restricted common stock awards of our subsidiary companies, Eton Pharmaceuticals, Inc. and Surface Pharmaceuticals, Inc. awarded to Mr. Baum prior to their deconsolidation.</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$28,846 in accrued paid vacation which Mr. Boll elected to take in the form of cash.</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$77,375 in restricted common stock awards of our subsidiary companies, Eton Pharmaceuticals, Inc. and Surface Pharmaceuticals, Inc. awarded to Mr. Boll prior to their deconsolidation.</w:t>
      </w:r>
    </w:p>
    <w:p>
      <w:pPr>
        <w:ind w:lef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$4,457 in stock option awards of our subsidiary companies, Eton Pharmaceuticals, Inc. and Surface Pharmaceuticals, Inc. awarded to Mr. Saharek prior to their deconsolidation.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certain information regarding outstanding equity awards held by our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Market</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of Shares</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Number of</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or</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Shares or</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Securities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or Units</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Units of</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Units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Units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Underlying</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Stock</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 Stock</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Unexercised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Option</w:t>
            </w: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Option</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that</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that</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that</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that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Options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Expiration</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Have Not</w:t>
            </w: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Have Not</w:t>
            </w:r>
          </w:p>
        </w:tc>
        <w:tc>
          <w:tcPr>
            <w:tcW w:w="0" w:type="dxa"/>
            <w:vAlign w:val="bottom"/>
          </w:tcPr>
          <w:p>
            <w:pPr>
              <w:spacing w:after="0"/>
              <w:rPr>
                <w:sz w:val="1"/>
                <w:szCs w:val="1"/>
                <w:color w:val="auto"/>
              </w:rPr>
            </w:pPr>
          </w:p>
        </w:tc>
      </w:tr>
      <w:tr>
        <w:trPr>
          <w:trHeight w:val="230"/>
        </w:trPr>
        <w:tc>
          <w:tcPr>
            <w:tcW w:w="1860" w:type="dxa"/>
            <w:vAlign w:val="bottom"/>
          </w:tcPr>
          <w:p>
            <w:pPr>
              <w:jc w:val="right"/>
              <w:ind w:right="63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4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Unexercisable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Date</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Vested(1)</w:t>
            </w: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Vested(1)</w:t>
            </w:r>
          </w:p>
        </w:tc>
        <w:tc>
          <w:tcPr>
            <w:tcW w:w="0" w:type="dxa"/>
            <w:vAlign w:val="bottom"/>
          </w:tcPr>
          <w:p>
            <w:pPr>
              <w:spacing w:after="0"/>
              <w:rPr>
                <w:sz w:val="1"/>
                <w:szCs w:val="1"/>
                <w:color w:val="auto"/>
              </w:rPr>
            </w:pPr>
          </w:p>
        </w:tc>
      </w:tr>
      <w:tr>
        <w:trPr>
          <w:trHeight w:val="27"/>
        </w:trPr>
        <w:tc>
          <w:tcPr>
            <w:tcW w:w="1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4"/>
              </w:rPr>
              <w:t>Mark L. Baum</w:t>
            </w:r>
          </w:p>
        </w:tc>
        <w:tc>
          <w:tcPr>
            <w:tcW w:w="100" w:type="dxa"/>
            <w:vAlign w:val="bottom"/>
            <w:vMerge w:val="continue"/>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1/25/2022</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180,000(3)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5/2/2023</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15,400(4)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2/10/2024</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90,000(5)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4/1/2026</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39,999(6)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2/1/2027</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7/31/2020</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1,785,000</w:t>
            </w:r>
          </w:p>
        </w:tc>
        <w:tc>
          <w:tcPr>
            <w:tcW w:w="0" w:type="dxa"/>
            <w:vAlign w:val="bottom"/>
          </w:tcPr>
          <w:p>
            <w:pPr>
              <w:spacing w:after="0"/>
              <w:rPr>
                <w:sz w:val="1"/>
                <w:szCs w:val="1"/>
                <w:color w:val="auto"/>
              </w:rPr>
            </w:pPr>
          </w:p>
        </w:tc>
      </w:tr>
      <w:tr>
        <w:trPr>
          <w:trHeight w:val="216"/>
        </w:trPr>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Andrew R. Boll</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90,000(9)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4/1/2023</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2/10/2024</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30,000(11)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4/1/2026</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13,749(12)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2/1/2027</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30,000(13)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157,500(14)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267,750</w:t>
            </w:r>
          </w:p>
        </w:tc>
        <w:tc>
          <w:tcPr>
            <w:tcW w:w="0" w:type="dxa"/>
            <w:vAlign w:val="bottom"/>
          </w:tcPr>
          <w:p>
            <w:pPr>
              <w:spacing w:after="0"/>
              <w:rPr>
                <w:sz w:val="1"/>
                <w:szCs w:val="1"/>
                <w:color w:val="auto"/>
              </w:rPr>
            </w:pPr>
          </w:p>
        </w:tc>
      </w:tr>
      <w:tr>
        <w:trPr>
          <w:trHeight w:val="216"/>
        </w:trPr>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w w:val="84"/>
              </w:rPr>
              <w:t>John P. Saharek</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20,000(15)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11/12/2023</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4,682(16)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3/3/2024</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82,500(17)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2/1/2025</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4/1/2026</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13,749(19)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41,251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2/1/2027</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0" w:name="page21"/>
    <w:bookmarkEnd w:id="20"/>
    <w:p>
      <w:pPr>
        <w:ind w:left="512" w:hanging="512"/>
        <w:spacing w:after="0" w:line="258" w:lineRule="auto"/>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$1.70, the closing price per share of our common stock on The NASDAQ Capital Market on December 29, 2017 (which was the last business day of our 2017 fiscal year).</w:t>
      </w:r>
    </w:p>
    <w:p>
      <w:pPr>
        <w:spacing w:after="0" w:line="1" w:lineRule="exact"/>
        <w:rPr>
          <w:rFonts w:ascii="Arial" w:cs="Arial" w:eastAsia="Arial" w:hAnsi="Arial"/>
          <w:sz w:val="18"/>
          <w:szCs w:val="18"/>
          <w:color w:val="auto"/>
        </w:rPr>
      </w:pPr>
    </w:p>
    <w:p>
      <w:pPr>
        <w:jc w:val="both"/>
        <w:ind w:left="512" w:hanging="512"/>
        <w:spacing w:after="0" w:line="250" w:lineRule="auto"/>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“2007 Plan”) as compensation for his services, including his service as Chairman of the Board. The option vested in 12 equal monthly installments of 10,417 shares commencing on January 25, 2012.</w:t>
      </w:r>
    </w:p>
    <w:p>
      <w:pPr>
        <w:spacing w:after="0" w:line="1" w:lineRule="exact"/>
        <w:rPr>
          <w:rFonts w:ascii="Arial" w:cs="Arial" w:eastAsia="Arial" w:hAnsi="Arial"/>
          <w:sz w:val="18"/>
          <w:szCs w:val="18"/>
          <w:color w:val="auto"/>
        </w:rPr>
      </w:pPr>
    </w:p>
    <w:p>
      <w:pPr>
        <w:jc w:val="both"/>
        <w:ind w:left="512" w:hanging="512"/>
        <w:spacing w:after="0" w:line="250" w:lineRule="auto"/>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2007 Plan in connection with his services as our Chief Executive Officer and pursuant to the terms of his employment agreement with us. The option vested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ind w:left="512" w:hanging="512"/>
        <w:spacing w:after="0" w:line="281" w:lineRule="auto"/>
        <w:tabs>
          <w:tab w:leader="none" w:pos="5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10, 2014 under the 2007 Plan in connection with his services as our Chief Executive Officer. The option vests in three equal annual installments of 5,133 shares over three years commencing on the one-year anniversary of the date of grant.</w:t>
      </w:r>
    </w:p>
    <w:p>
      <w:pPr>
        <w:spacing w:after="0" w:line="1" w:lineRule="exact"/>
        <w:rPr>
          <w:rFonts w:ascii="Arial" w:cs="Arial" w:eastAsia="Arial" w:hAnsi="Arial"/>
          <w:sz w:val="16"/>
          <w:szCs w:val="16"/>
          <w:color w:val="auto"/>
        </w:rPr>
      </w:pPr>
    </w:p>
    <w:p>
      <w:pPr>
        <w:ind w:left="512" w:hanging="512"/>
        <w:spacing w:after="0" w:line="281" w:lineRule="auto"/>
        <w:tabs>
          <w:tab w:leader="none" w:pos="5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option granted to Mr. Baum on April 1, 2016 under the 2007 Plan in connection with his services as our Chief Executive Officer. The option vests in 12 equal quarterly installments of 15,000 shares over three years commencing on the three-month anniversary of the date of grant.</w:t>
      </w:r>
    </w:p>
    <w:p>
      <w:pPr>
        <w:spacing w:after="0" w:line="1" w:lineRule="exact"/>
        <w:rPr>
          <w:rFonts w:ascii="Arial" w:cs="Arial" w:eastAsia="Arial" w:hAnsi="Arial"/>
          <w:sz w:val="16"/>
          <w:szCs w:val="16"/>
          <w:color w:val="auto"/>
        </w:rPr>
      </w:pPr>
    </w:p>
    <w:p>
      <w:pPr>
        <w:ind w:left="512" w:hanging="512"/>
        <w:spacing w:after="0" w:line="281" w:lineRule="auto"/>
        <w:tabs>
          <w:tab w:leader="none" w:pos="5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 2017 under the 2007 Plan in connection with his services as our Chief Executive Officer. The option vests in 12 equal quarterly installments of 13,333 shares over three years commencing on the three-month anniversary of the date of grant.</w:t>
      </w:r>
    </w:p>
    <w:p>
      <w:pPr>
        <w:spacing w:after="0" w:line="1" w:lineRule="exact"/>
        <w:rPr>
          <w:rFonts w:ascii="Arial" w:cs="Arial" w:eastAsia="Arial" w:hAnsi="Arial"/>
          <w:sz w:val="16"/>
          <w:szCs w:val="16"/>
          <w:color w:val="auto"/>
        </w:rPr>
      </w:pPr>
    </w:p>
    <w:p>
      <w:pPr>
        <w:ind w:left="512" w:hanging="512"/>
        <w:spacing w:after="0" w:line="261" w:lineRule="auto"/>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an option granted to Mr. Baum on July 30, 2015 under the 2007 Plan in connection with his services as our Chief Executive Officer. The option vests upon achieving certain stock price targets as described further below over a five-year period:</w:t>
      </w:r>
    </w:p>
    <w:p>
      <w:pPr>
        <w:spacing w:after="0" w:line="184" w:lineRule="exact"/>
        <w:rPr>
          <w:sz w:val="20"/>
          <w:szCs w:val="20"/>
          <w:color w:val="auto"/>
        </w:rPr>
      </w:pPr>
    </w:p>
    <w:tbl>
      <w:tblPr>
        <w:tblLayout w:type="fixed"/>
        <w:tblInd w:w="1992" w:type="dxa"/>
        <w:tblCellMar>
          <w:top w:w="0" w:type="dxa"/>
          <w:left w:w="0" w:type="dxa"/>
          <w:bottom w:w="0" w:type="dxa"/>
          <w:right w:w="0" w:type="dxa"/>
        </w:tblCellMar>
      </w:tblP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184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100,000 shares</w:t>
            </w:r>
          </w:p>
        </w:tc>
        <w:tc>
          <w:tcPr>
            <w:tcW w:w="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100,000 shares</w:t>
            </w:r>
          </w:p>
        </w:tc>
        <w:tc>
          <w:tcPr>
            <w:tcW w:w="1840" w:type="dxa"/>
            <w:vAlign w:val="bottom"/>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shares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$12.00 or greater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100,000 shares</w:t>
            </w:r>
          </w:p>
        </w:tc>
        <w:tc>
          <w:tcPr>
            <w:tcW w:w="1840" w:type="dxa"/>
            <w:vAlign w:val="bottom"/>
          </w:tcPr>
          <w:p>
            <w:pPr>
              <w:spacing w:after="0"/>
              <w:rPr>
                <w:sz w:val="20"/>
                <w:szCs w:val="20"/>
                <w:color w:val="auto"/>
              </w:rPr>
            </w:pPr>
            <w:r>
              <w:rPr>
                <w:rFonts w:ascii="Arial" w:cs="Arial" w:eastAsia="Arial" w:hAnsi="Arial"/>
                <w:sz w:val="18"/>
                <w:szCs w:val="18"/>
                <w:color w:val="auto"/>
              </w:rPr>
              <w:t>$14.00 or greater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shares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ind w:left="512" w:hanging="512"/>
        <w:spacing w:after="0" w:line="256"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April 25, 2016 under the 2007 Plan in connection with his services as our Chief Executive Officer and pursuant to the terms of his employment agreement with us. The RSUs vest upon achieving and maintaining certain stock price targets ranging from $9 to $15 a share over a five-year period.</w:t>
      </w:r>
    </w:p>
    <w:p>
      <w:pPr>
        <w:jc w:val="both"/>
        <w:ind w:left="512" w:hanging="512"/>
        <w:spacing w:after="0" w:line="250"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2007 Plan in connection with his service as our Vice President, Accounting and Public Reporting (and currently as our Chief Financial Officer). The option vested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512" w:hanging="512"/>
        <w:spacing w:after="0" w:line="250"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2007 Plan in connection with his services as our Vice President, Accounting and Public Reporting (and currently as our Chief Financial Officer). The option vested in three equal annual installments of 2,467 shares over three years commencing on the one-year anniversary of the date of grant.</w:t>
      </w:r>
    </w:p>
    <w:p>
      <w:pPr>
        <w:spacing w:after="0" w:line="1" w:lineRule="exact"/>
        <w:rPr>
          <w:rFonts w:ascii="Arial" w:cs="Arial" w:eastAsia="Arial" w:hAnsi="Arial"/>
          <w:sz w:val="18"/>
          <w:szCs w:val="18"/>
          <w:color w:val="auto"/>
        </w:rPr>
      </w:pPr>
    </w:p>
    <w:p>
      <w:pPr>
        <w:ind w:left="512" w:hanging="512"/>
        <w:spacing w:after="0" w:line="265" w:lineRule="auto"/>
        <w:tabs>
          <w:tab w:leader="none" w:pos="5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an option granted to Mr. Boll on April 1, 2016 under the 2007 Plan in connection with his services as our Chief Financial Officer. The option vests in 12 equal quarterly installments of 5,000 shares over three years commencing on the three-month anniversary of the date of grant.</w:t>
      </w:r>
    </w:p>
    <w:p>
      <w:pPr>
        <w:ind w:left="512" w:hanging="512"/>
        <w:spacing w:after="0" w:line="281" w:lineRule="auto"/>
        <w:tabs>
          <w:tab w:leader="none" w:pos="5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2017 under the 2007 Plan in connection with his services as our Chief Financial Officer. The option vests in 12 equal quarterly installments of 4,583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512" w:hanging="512"/>
        <w:spacing w:after="0" w:line="250"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February 1, 2015 under the 2007 Plan in connection with his services as our Chief Financial Officer and pursuant to the terms of his employment agreement with us. The RSUs vested in full on February 1, 2018 and were contingent upon continuous service to the Company through such date.</w:t>
      </w:r>
    </w:p>
    <w:p>
      <w:pPr>
        <w:spacing w:after="0" w:line="1" w:lineRule="exact"/>
        <w:rPr>
          <w:rFonts w:ascii="Arial" w:cs="Arial" w:eastAsia="Arial" w:hAnsi="Arial"/>
          <w:sz w:val="18"/>
          <w:szCs w:val="18"/>
          <w:color w:val="auto"/>
        </w:rPr>
      </w:pPr>
    </w:p>
    <w:p>
      <w:pPr>
        <w:jc w:val="both"/>
        <w:ind w:left="512" w:hanging="512"/>
        <w:spacing w:after="0" w:line="250"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April 25, 2016 under the 2007 Plan in connection with his services as our Chief Financial Officer and pursuant to the terms of his employment agreement with us. The RSUs vest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512" w:hanging="512"/>
        <w:spacing w:after="0" w:line="250"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Saharek on November 12, 2013 under the 2007 Plan in connection with his appointment as our Vice President of Commercialization, Ophthalmology (and currently as our Chief Commercial Officer). The option vested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1" w:lineRule="exact"/>
        <w:rPr>
          <w:rFonts w:ascii="Arial" w:cs="Arial" w:eastAsia="Arial" w:hAnsi="Arial"/>
          <w:sz w:val="18"/>
          <w:szCs w:val="18"/>
          <w:color w:val="auto"/>
        </w:rPr>
      </w:pPr>
    </w:p>
    <w:p>
      <w:pPr>
        <w:jc w:val="both"/>
        <w:ind w:left="512" w:hanging="512"/>
        <w:spacing w:after="0" w:line="273" w:lineRule="auto"/>
        <w:tabs>
          <w:tab w:leader="none" w:pos="5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an option granted to Mr. Saharek on March 3, 2014 under the 2007 Plan in connection with his appointment as our Vice President of Commercialization, Ophthalmology (and currently as our Chief Commercial Officer)..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21" w:name="page22"/>
    <w:bookmarkEnd w:id="21"/>
    <w:p>
      <w:pPr>
        <w:ind w:left="520" w:hanging="512"/>
        <w:spacing w:after="0" w:line="291"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Saharek on February 1, 2015 under the 2007 Plan in connection with his service as our Chief Commercial Officer. The option vests in 12 equal quarterly installments of 7,500 shares over three years commencing on the three-month anniversary of the date of grant.</w:t>
      </w:r>
    </w:p>
    <w:p>
      <w:pPr>
        <w:ind w:left="520" w:hanging="512"/>
        <w:spacing w:after="0" w:line="281"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Saharek on April 1, 2016 under the 2007 Plan in connection with his services as our Chief Commercial Officer. The option vests in 12 equal quarterly installments of 5,000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52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2017 under the 2007 Plan in connection with his services as our Chief Commercial Officer. The option vests in 12 equal quarterly installments of 4,583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520" w:hanging="512"/>
        <w:spacing w:after="0" w:line="255"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Saharek on February 1, 2015 under the 2007 Plan in connection with his services as our Chief Commercial Officer and pursuant to the terms of his employment agreement with us. The RSUs vested in full on February 1, 2018 and were contingent upon continuous service to the Company through such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180,000 options to purchase our common stock; (ii) 200,000 restricted stock units subject to time-based vesting; and (iii) 1,050,000 restricted stock units subject to performance-based vesting if the Company achieves and maintains certain stock price targets.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we entered into a new employment agreement (the “Baum Agreement”) with Mr. Baum with respect to his employment as Chief Executive Officer. This new agreement replaces his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180,000 options to purchase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Involuntary Termination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tbl>
      <w:tblPr>
        <w:tblLayout w:type="fixed"/>
        <w:tblInd w:w="24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Stock Price Appreciation</w:t>
            </w:r>
          </w:p>
        </w:tc>
      </w:tr>
      <w:tr>
        <w:trPr>
          <w:trHeight w:val="23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100" w:type="dxa"/>
            <w:vAlign w:val="bottom"/>
            <w:tcBorders>
              <w:bottom w:val="single" w:sz="8" w:color="CCEEFF"/>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Shares</w:t>
            </w:r>
          </w:p>
        </w:tc>
        <w:tc>
          <w:tcPr>
            <w:tcW w:w="100" w:type="dxa"/>
            <w:vAlign w:val="bottom"/>
            <w:tcBorders>
              <w:bottom w:val="single" w:sz="8" w:color="CCEEFF"/>
            </w:tcBorders>
          </w:tcPr>
          <w:p>
            <w:pPr>
              <w:spacing w:after="0"/>
              <w:rPr>
                <w:sz w:val="20"/>
                <w:szCs w:val="20"/>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Target Share Price</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as of Date of Grant(1)</w:t>
            </w:r>
          </w:p>
        </w:tc>
        <w:tc>
          <w:tcPr>
            <w:tcW w:w="180" w:type="dxa"/>
            <w:vAlign w:val="bottom"/>
            <w:tcBorders>
              <w:bottom w:val="single" w:sz="8" w:color="CCEEFF"/>
            </w:tcBorders>
          </w:tcPr>
          <w:p>
            <w:pPr>
              <w:spacing w:after="0"/>
              <w:rPr>
                <w:sz w:val="20"/>
                <w:szCs w:val="20"/>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200,000 shares</w:t>
            </w:r>
          </w:p>
        </w:tc>
        <w:tc>
          <w:tcPr>
            <w:tcW w:w="1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820" w:type="dxa"/>
            <w:vAlign w:val="bottom"/>
            <w:gridSpan w:val="2"/>
          </w:tcPr>
          <w:p>
            <w:pPr>
              <w:spacing w:after="0"/>
              <w:rPr>
                <w:sz w:val="20"/>
                <w:szCs w:val="20"/>
                <w:color w:val="auto"/>
              </w:rPr>
            </w:pPr>
            <w:r>
              <w:rPr>
                <w:rFonts w:ascii="Arial" w:cs="Arial" w:eastAsia="Arial" w:hAnsi="Arial"/>
                <w:sz w:val="18"/>
                <w:szCs w:val="18"/>
                <w:color w:val="auto"/>
              </w:rPr>
              <w:t>200,000 shares</w:t>
            </w:r>
          </w:p>
        </w:tc>
        <w:tc>
          <w:tcPr>
            <w:tcW w:w="3720" w:type="dxa"/>
            <w:vAlign w:val="bottom"/>
            <w:gridSpan w:val="2"/>
          </w:tcPr>
          <w:p>
            <w:pPr>
              <w:spacing w:after="0"/>
              <w:rPr>
                <w:sz w:val="20"/>
                <w:szCs w:val="20"/>
                <w:color w:val="auto"/>
              </w:rPr>
            </w:pPr>
            <w:r>
              <w:rPr>
                <w:rFonts w:ascii="Arial" w:cs="Arial" w:eastAsia="Arial" w:hAnsi="Arial"/>
                <w:sz w:val="18"/>
                <w:szCs w:val="18"/>
                <w:color w:val="auto"/>
              </w:rPr>
              <w:t>$10.00 or greater</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200,000 shares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820" w:type="dxa"/>
            <w:vAlign w:val="bottom"/>
            <w:gridSpan w:val="2"/>
          </w:tcPr>
          <w:p>
            <w:pPr>
              <w:spacing w:after="0"/>
              <w:rPr>
                <w:sz w:val="20"/>
                <w:szCs w:val="20"/>
                <w:color w:val="auto"/>
              </w:rPr>
            </w:pPr>
            <w:r>
              <w:rPr>
                <w:rFonts w:ascii="Arial" w:cs="Arial" w:eastAsia="Arial" w:hAnsi="Arial"/>
                <w:sz w:val="18"/>
                <w:szCs w:val="18"/>
                <w:color w:val="auto"/>
              </w:rPr>
              <w:t>200,000 shares</w:t>
            </w:r>
          </w:p>
        </w:tc>
        <w:tc>
          <w:tcPr>
            <w:tcW w:w="3720" w:type="dxa"/>
            <w:vAlign w:val="bottom"/>
            <w:gridSpan w:val="2"/>
          </w:tcPr>
          <w:p>
            <w:pPr>
              <w:spacing w:after="0"/>
              <w:rPr>
                <w:sz w:val="20"/>
                <w:szCs w:val="20"/>
                <w:color w:val="auto"/>
              </w:rPr>
            </w:pPr>
            <w:r>
              <w:rPr>
                <w:rFonts w:ascii="Arial" w:cs="Arial" w:eastAsia="Arial" w:hAnsi="Arial"/>
                <w:sz w:val="18"/>
                <w:szCs w:val="18"/>
                <w:color w:val="auto"/>
              </w:rPr>
              <w:t>$14.00 or greater</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250,000 shares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left="680" w:hanging="44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closing sale price of our Common Stock on April 25, 2016, the date the Baum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Stock Price Appreciation</w:t>
            </w:r>
          </w:p>
        </w:tc>
      </w:tr>
      <w:tr>
        <w:trPr>
          <w:trHeight w:val="23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100" w:type="dxa"/>
            <w:vAlign w:val="bottom"/>
            <w:tcBorders>
              <w:bottom w:val="single" w:sz="8" w:color="CCEEFF"/>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Shares</w:t>
            </w:r>
          </w:p>
        </w:tc>
        <w:tc>
          <w:tcPr>
            <w:tcW w:w="100" w:type="dxa"/>
            <w:vAlign w:val="bottom"/>
            <w:tcBorders>
              <w:bottom w:val="single" w:sz="8" w:color="CCEEFF"/>
            </w:tcBorders>
          </w:tcPr>
          <w:p>
            <w:pPr>
              <w:spacing w:after="0"/>
              <w:rPr>
                <w:sz w:val="20"/>
                <w:szCs w:val="20"/>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Target Share Price</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as of Date of Grant(1)</w:t>
            </w:r>
          </w:p>
        </w:tc>
        <w:tc>
          <w:tcPr>
            <w:tcW w:w="180" w:type="dxa"/>
            <w:vAlign w:val="bottom"/>
            <w:tcBorders>
              <w:bottom w:val="single" w:sz="8" w:color="CCEEFF"/>
            </w:tcBorders>
          </w:tcPr>
          <w:p>
            <w:pPr>
              <w:spacing w:after="0"/>
              <w:rPr>
                <w:sz w:val="20"/>
                <w:szCs w:val="20"/>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30,000 shares</w:t>
            </w:r>
          </w:p>
        </w:tc>
        <w:tc>
          <w:tcPr>
            <w:tcW w:w="1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82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3720" w:type="dxa"/>
            <w:vAlign w:val="bottom"/>
            <w:gridSpan w:val="2"/>
          </w:tcPr>
          <w:p>
            <w:pPr>
              <w:spacing w:after="0"/>
              <w:rPr>
                <w:sz w:val="20"/>
                <w:szCs w:val="20"/>
                <w:color w:val="auto"/>
              </w:rPr>
            </w:pPr>
            <w:r>
              <w:rPr>
                <w:rFonts w:ascii="Arial" w:cs="Arial" w:eastAsia="Arial" w:hAnsi="Arial"/>
                <w:sz w:val="18"/>
                <w:szCs w:val="18"/>
                <w:color w:val="auto"/>
              </w:rPr>
              <w:t>$10.00 or greater</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30,000 shares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820" w:type="dxa"/>
            <w:vAlign w:val="bottom"/>
            <w:gridSpan w:val="2"/>
          </w:tcPr>
          <w:p>
            <w:pPr>
              <w:spacing w:after="0"/>
              <w:rPr>
                <w:sz w:val="20"/>
                <w:szCs w:val="20"/>
                <w:color w:val="auto"/>
              </w:rPr>
            </w:pPr>
            <w:r>
              <w:rPr>
                <w:rFonts w:ascii="Arial" w:cs="Arial" w:eastAsia="Arial" w:hAnsi="Arial"/>
                <w:sz w:val="18"/>
                <w:szCs w:val="18"/>
                <w:color w:val="auto"/>
              </w:rPr>
              <w:t>30,000 shares</w:t>
            </w:r>
          </w:p>
        </w:tc>
        <w:tc>
          <w:tcPr>
            <w:tcW w:w="3720" w:type="dxa"/>
            <w:vAlign w:val="bottom"/>
            <w:gridSpan w:val="2"/>
          </w:tcPr>
          <w:p>
            <w:pPr>
              <w:spacing w:after="0"/>
              <w:rPr>
                <w:sz w:val="20"/>
                <w:szCs w:val="20"/>
                <w:color w:val="auto"/>
              </w:rPr>
            </w:pPr>
            <w:r>
              <w:rPr>
                <w:rFonts w:ascii="Arial" w:cs="Arial" w:eastAsia="Arial" w:hAnsi="Arial"/>
                <w:sz w:val="18"/>
                <w:szCs w:val="18"/>
                <w:color w:val="auto"/>
              </w:rPr>
              <w:t>$14.00 or greater</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37,500 shares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ind w:left="680" w:hanging="44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closing sale price of our Common Stock on April 25, 2016, the date the Boll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as of February 1, 2015, we entered into an employment agreement with John P. Saharek in connection with his appointment as our Chief Commercial Officer. The employment agreement provided for the following, among other things: (i) a term of three years, (ii) an annual base salary of $220,000; (iii) bonus target of 50% of his then-current annual base salary, with the precise amount to be determined at the discretion of the Board; and (iv) certain initial equity awards in connection with his appointment as our Chief Commercial Officer.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25, 2016, the Company entered into a new employment agreement (the “Saharek Agreement”) with Mr. Saharek with respect to his employment as Chief Commercial Officer. This new agreement replaces his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60,000 options to purchase our common stock (the “Saharek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CCO 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66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9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66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9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8"/>
              </w:rPr>
              <w:t>Exercise Price of</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for Future Issuance</w:t>
            </w:r>
          </w:p>
        </w:tc>
      </w:tr>
      <w:tr>
        <w:trPr>
          <w:trHeight w:val="216"/>
        </w:trPr>
        <w:tc>
          <w:tcPr>
            <w:tcW w:w="566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Options, Warrants</w:t>
            </w: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 Options,</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Under Equity</w:t>
            </w:r>
          </w:p>
        </w:tc>
      </w:tr>
      <w:tr>
        <w:trPr>
          <w:trHeight w:val="241"/>
        </w:trPr>
        <w:tc>
          <w:tcPr>
            <w:tcW w:w="566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and Rights</w:t>
            </w: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Warrants and Rights</w:t>
            </w:r>
          </w:p>
        </w:tc>
        <w:tc>
          <w:tcPr>
            <w:tcW w:w="3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Plans</w:t>
            </w:r>
          </w:p>
        </w:tc>
        <w:tc>
          <w:tcPr>
            <w:tcW w:w="100" w:type="dxa"/>
            <w:vAlign w:val="bottom"/>
            <w:tcBorders>
              <w:bottom w:val="single" w:sz="8" w:color="CCEEFF"/>
            </w:tcBorders>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7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7"/>
              </w:rPr>
              <w:t>3,698,492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5.51(2)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1,997,500</w:t>
            </w:r>
          </w:p>
        </w:tc>
        <w:tc>
          <w:tcPr>
            <w:tcW w:w="100" w:type="dxa"/>
            <w:vAlign w:val="bottom"/>
            <w:shd w:val="clear" w:color="auto" w:fill="CCEEFF"/>
          </w:tcPr>
          <w:p>
            <w:pPr>
              <w:spacing w:after="0"/>
              <w:rPr>
                <w:sz w:val="18"/>
                <w:szCs w:val="18"/>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holders(3)</w:t>
            </w:r>
          </w:p>
        </w:tc>
        <w:tc>
          <w:tcPr>
            <w:tcW w:w="1920" w:type="dxa"/>
            <w:vAlign w:val="bottom"/>
            <w:gridSpan w:val="2"/>
          </w:tcPr>
          <w:p>
            <w:pPr>
              <w:ind w:left="980"/>
              <w:spacing w:after="0"/>
              <w:rPr>
                <w:sz w:val="20"/>
                <w:szCs w:val="20"/>
                <w:color w:val="auto"/>
              </w:rPr>
            </w:pPr>
            <w:r>
              <w:rPr>
                <w:rFonts w:ascii="Arial" w:cs="Arial" w:eastAsia="Arial" w:hAnsi="Arial"/>
                <w:sz w:val="18"/>
                <w:szCs w:val="18"/>
                <w:color w:val="auto"/>
              </w:rPr>
              <w:t>6,264,215</w:t>
            </w:r>
          </w:p>
        </w:tc>
        <w:tc>
          <w:tcPr>
            <w:tcW w:w="100" w:type="dxa"/>
            <w:vAlign w:val="bottom"/>
          </w:tcPr>
          <w:p>
            <w:pPr>
              <w:spacing w:after="0"/>
              <w:rPr>
                <w:sz w:val="20"/>
                <w:szCs w:val="20"/>
                <w:color w:val="auto"/>
              </w:rPr>
            </w:pPr>
          </w:p>
        </w:tc>
        <w:tc>
          <w:tcPr>
            <w:tcW w:w="1940" w:type="dxa"/>
            <w:vAlign w:val="bottom"/>
            <w:gridSpan w:val="2"/>
          </w:tcPr>
          <w:p>
            <w:pPr>
              <w:ind w:left="1300"/>
              <w:spacing w:after="0"/>
              <w:rPr>
                <w:sz w:val="20"/>
                <w:szCs w:val="20"/>
                <w:color w:val="auto"/>
              </w:rPr>
            </w:pPr>
            <w:r>
              <w:rPr>
                <w:rFonts w:ascii="Arial" w:cs="Arial" w:eastAsia="Arial" w:hAnsi="Arial"/>
                <w:sz w:val="18"/>
                <w:szCs w:val="18"/>
                <w:color w:val="auto"/>
              </w:rPr>
              <w:t>1.93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7"/>
              </w:rPr>
              <w:t>9,962,707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2.88</w:t>
            </w:r>
          </w:p>
        </w:tc>
        <w:tc>
          <w:tcPr>
            <w:tcW w:w="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reserved under the Plan. See Note 13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Compromises warrants issued to lenders, underwriters, consultants, investors and issued in settlement of disputes.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30, 2018. Unless otherwise indicated in the footnotes to the following table, each person named in the table has sole voting and investment power with respect to shares of common stock and the address for such person is c/o Imprimis Pharmaceuticals, Inc. 12264 El Camino Real, Suite 350, San Diego, CA 92130.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80" w:type="dxa"/>
            <w:vAlign w:val="bottom"/>
            <w:gridSpan w:val="6"/>
          </w:tcPr>
          <w:p>
            <w:pPr>
              <w:spacing w:after="0"/>
              <w:rPr>
                <w:sz w:val="20"/>
                <w:szCs w:val="20"/>
                <w:color w:val="auto"/>
              </w:rPr>
            </w:pPr>
            <w:r>
              <w:rPr>
                <w:rFonts w:ascii="Arial" w:cs="Arial" w:eastAsia="Arial" w:hAnsi="Arial"/>
                <w:sz w:val="18"/>
                <w:szCs w:val="18"/>
                <w:color w:val="auto"/>
              </w:rPr>
              <w:t>Beneficial Owner</w:t>
            </w:r>
          </w:p>
        </w:tc>
        <w:tc>
          <w:tcPr>
            <w:tcW w:w="4240" w:type="dxa"/>
            <w:vAlign w:val="bottom"/>
            <w:gridSpan w:val="4"/>
          </w:tcPr>
          <w:p>
            <w:pPr>
              <w:jc w:val="right"/>
              <w:ind w:right="58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Number of Shares</w:t>
            </w:r>
          </w:p>
        </w:tc>
        <w:tc>
          <w:tcPr>
            <w:tcW w:w="19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auto"/>
              </w:rPr>
              <w:t>Longboard Capital Advisors, LLC (2)</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1,416,000</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60" w:type="dxa"/>
            <w:vAlign w:val="bottom"/>
            <w:gridSpan w:val="5"/>
          </w:tcPr>
          <w:p>
            <w:pPr>
              <w:spacing w:after="0" w:line="176" w:lineRule="exact"/>
              <w:rPr>
                <w:sz w:val="20"/>
                <w:szCs w:val="20"/>
                <w:color w:val="auto"/>
              </w:rPr>
            </w:pPr>
            <w:r>
              <w:rPr>
                <w:rFonts w:ascii="Arial" w:cs="Arial" w:eastAsia="Arial" w:hAnsi="Arial"/>
                <w:sz w:val="18"/>
                <w:szCs w:val="18"/>
                <w:i w:val="1"/>
                <w:iCs w:val="1"/>
                <w:color w:val="auto"/>
              </w:rPr>
              <w:t>Directors and Officers</w:t>
            </w: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Mark L. Baum (3)</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1,144,741</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auto"/>
              </w:rPr>
              <w:t>Andrew R. Boll (4)</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283,315</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John P. Saharek (5)</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207,915</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auto"/>
              </w:rPr>
              <w:t>Robert J. Kammer (6)</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1,088,240</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Stephen G. Austin (7)</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48,182</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auto"/>
              </w:rPr>
              <w:t>Anthony J. Principi (8)</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32,986</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Richard L. Lindstrom (9)</w:t>
            </w:r>
          </w:p>
        </w:tc>
        <w:tc>
          <w:tcPr>
            <w:tcW w:w="21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239,163</w:t>
            </w:r>
          </w:p>
        </w:tc>
        <w:tc>
          <w:tcPr>
            <w:tcW w:w="210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5"/>
          </w:tcPr>
          <w:p>
            <w:pPr>
              <w:spacing w:after="0"/>
              <w:rPr>
                <w:sz w:val="20"/>
                <w:szCs w:val="20"/>
                <w:color w:val="auto"/>
              </w:rPr>
            </w:pPr>
            <w:r>
              <w:rPr>
                <w:rFonts w:ascii="Arial" w:cs="Arial" w:eastAsia="Arial" w:hAnsi="Arial"/>
                <w:sz w:val="18"/>
                <w:szCs w:val="18"/>
                <w:color w:val="auto"/>
              </w:rPr>
              <w:t>All executives and directors as a group (7 persons)</w:t>
            </w:r>
          </w:p>
        </w:tc>
        <w:tc>
          <w:tcPr>
            <w:tcW w:w="1940" w:type="dxa"/>
            <w:vAlign w:val="bottom"/>
          </w:tcPr>
          <w:p>
            <w:pPr>
              <w:jc w:val="right"/>
              <w:spacing w:after="0"/>
              <w:rPr>
                <w:sz w:val="20"/>
                <w:szCs w:val="20"/>
                <w:color w:val="auto"/>
              </w:rPr>
            </w:pPr>
            <w:r>
              <w:rPr>
                <w:rFonts w:ascii="Arial" w:cs="Arial" w:eastAsia="Arial" w:hAnsi="Arial"/>
                <w:sz w:val="18"/>
                <w:szCs w:val="18"/>
                <w:color w:val="auto"/>
              </w:rPr>
              <w:t>3,044,542</w:t>
            </w:r>
          </w:p>
        </w:tc>
        <w:tc>
          <w:tcPr>
            <w:tcW w:w="2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Beneficial ownership percentages are based on 20,879,736 shares of our common stock outstanding as of April 30, 2018. Shares of common stock subject to options or warrants that are currently exercisable or exercisable within 60 days after April 30, 2018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as of February 8, 2018 and based on a Schedule 13G/A filed on April 19, 2017 and Form 5 filed on February 8, 2018 by Longboard Capital Advisors, LLC and Brett Conrad. Includes 260,000 shares of our common stock issuable upon exercise of warrants. The address for Longboard Capital Advisors, LLC is 1312 Cedar St. Santa Monica, California 90405.</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507,065 shares of common stock issuable upon the exercise of stock options exercisable within 60 days after April 30, 2018 and 156,000 shares of common stock issuable upon the exercise of warrants exercisable within 60 days after April 30, 2018.</w:t>
      </w:r>
    </w:p>
    <w:p>
      <w:pPr>
        <w:ind w:left="460" w:right="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160,315 shares of common stock issuable upon the exercise of stock options exercisable within 60 days after April 30, 2018 and 39,000 shares of common stock issuable upon the exercise of warrants exercisable within 60 days after April 30, 2018.</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177,915 shares of common stock issuable upon the exercise of stock options exercisable within 60 days after April 30,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48,182 shares of common stock issuable upon Mr. Kammer’s discontinuation of service as a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48,182 shares of common stock issuable upon Mr. Austin’s discontinuation of service as a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32,986 shares of common stock issuable upon Mr. Principi’s discontinuation of service as a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39,163 shares of common stock issuable upon Mr. Lindstrom’s discontinuation of service as a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http://imprimispharma.investorroom.com. All members of the Audit Committee currently meet the independence and qualification standards for Audit Committee membership set forth in the rules and listing standards of Nasdaq and the SEC.</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2017 should be included in the Annual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Anthony Principi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Kammer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Imprimis Pharmaceuticals,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2019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2019 annual meeting of stockholders, a stockholder’s proposal must be received by us no later than December 31, 2018, unless the date of our 2019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2019 Annual Meeting of Stockholders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November 1, 2018 and December 31, 2018 for our 2019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12264 El Camino Real, Suite 350, San Diego, California 92130. Our Bylaws are also available on the Investor Relations section of our website at http://imprimispharma.investorroom.com.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77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77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17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617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decimal"/>
      <w:start w:val="17"/>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2020-01-15T07:53:12Z</dcterms:created>
  <dcterms:modified xsi:type="dcterms:W3CDTF">2020-01-15T07:53:12Z</dcterms:modified>
</cp:coreProperties>
</file>