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1 to the Current Report on Form 8-K of Harrow, Inc. (the “Company”) originally filed on September 26, 2025 (the “Original Report”) is being filed solely to file as exhibits the Agreement and Plan of Merger, dated September 24, 2025, by and among the Company, Harrow Acquisition Sub, Inc., Melt Pharmaceuticals, Inc. (“Melt”), and D. Brad Osborne as stockholder representative, and the related Milestone Payment Agreement, each of which were described in Item 1.01 of the Original Report. No other changes are being made to the Original Report.</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convenience, investors are reminded that the Original Report disclosed the Company’s entry into the Merger Agreement with Melt and noted that the Company expected to file the full text of the definitive agreements as an exhibit to its Quarterly Report on Form 10-Q for the three months ending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 to this Amendment No. 1</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780" w:right="2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EE"/>
        </w:rPr>
        <w:t>Agreement and Plan of Merger, dated September 24, 2025, by and among Harrow, Inc., Harrow Acquisition Sub, Inc., Melt Pharmaceuticals, Inc., and D. Brad Osborne, as stockholder representative.*</w:t>
      </w:r>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Milestone Payment Agreement, dated September 24, 2025, by and between Harrow, Inc. and Melt Pharmaceuticals, Inc.*</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1"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Schedules and certain exhibits </w:t>
      </w:r>
      <w:r>
        <w:rPr>
          <w:rFonts w:ascii="Times New Roman" w:cs="Times New Roman" w:eastAsia="Times New Roman" w:hAnsi="Times New Roman"/>
          <w:sz w:val="18"/>
          <w:szCs w:val="18"/>
          <w:color w:val="auto"/>
        </w:rPr>
        <w:t>to the Agreement and Plan of Merger and the Milestone Payment Agreement have been omitted pursuant to Item 601(a)</w:t>
      </w:r>
    </w:p>
    <w:p>
      <w:pPr>
        <w:spacing w:after="0" w:line="3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and/or Item 601(b)(2) of Regulation S-K. The Company agrees to furnish supplementally a copy of any omitted schedule or exhibit to the SEC upon request.</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Note regarding the Merger Agreement and Milestone Payment Agreement. </w:t>
      </w:r>
      <w:r>
        <w:rPr>
          <w:rFonts w:ascii="Times New Roman" w:cs="Times New Roman" w:eastAsia="Times New Roman" w:hAnsi="Times New Roman"/>
          <w:sz w:val="18"/>
          <w:szCs w:val="18"/>
          <w:color w:val="auto"/>
        </w:rPr>
        <w:t>The agreements filed as Exhibits 2.1 and 10.1 are included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with information regarding their terms. They are not intended to provide any other factual information about the parties. The representations, warranties and covenants in the agreements were made only for purposes of those agreements and as of specific dates, were solely for the benefit of the parties thereto, may be subject to limitations agreed by the parties (including being qualified by confidential disclosures), and may be subject to standards of materiality different from those applicable to investors. Investors should not rely on the representations, warranties and covenants as characterizations of the actual state of facts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amended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1,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2"/>
          <w:szCs w:val="12"/>
          <w:b w:val="1"/>
          <w:bCs w:val="1"/>
          <w:u w:val="single" w:color="auto"/>
          <w:color w:val="auto"/>
        </w:rPr>
        <w:t>xecution</w:t>
      </w:r>
      <w:r>
        <w:rPr>
          <w:rFonts w:ascii="Times New Roman" w:cs="Times New Roman" w:eastAsia="Times New Roman" w:hAnsi="Times New Roman"/>
          <w:sz w:val="18"/>
          <w:szCs w:val="18"/>
          <w:b w:val="1"/>
          <w:bCs w:val="1"/>
          <w:u w:val="single" w:color="auto"/>
          <w:color w:val="auto"/>
        </w:rPr>
        <w:t xml:space="preserve"> V</w:t>
      </w:r>
      <w:r>
        <w:rPr>
          <w:rFonts w:ascii="Times New Roman" w:cs="Times New Roman" w:eastAsia="Times New Roman" w:hAnsi="Times New Roman"/>
          <w:sz w:val="12"/>
          <w:szCs w:val="12"/>
          <w:b w:val="1"/>
          <w:bCs w:val="1"/>
          <w:u w:val="single" w:color="auto"/>
          <w:color w:val="auto"/>
        </w:rPr>
        <w:t>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HARROW ACQUISITION SUB,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MELT PHARMACEUTICALS,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DONALD BRADFORD OSBORNE, AS STOCKHOLDER REPRESENTATIVE</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SEPTEMBER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884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Page(s)</w:t>
            </w:r>
          </w:p>
        </w:tc>
        <w:tc>
          <w:tcPr>
            <w:tcW w:w="0" w:type="dxa"/>
            <w:vAlign w:val="bottom"/>
          </w:tcPr>
          <w:p>
            <w:pPr>
              <w:spacing w:after="0"/>
              <w:rPr>
                <w:sz w:val="1"/>
                <w:szCs w:val="1"/>
                <w:color w:val="auto"/>
              </w:rPr>
            </w:pPr>
          </w:p>
        </w:tc>
      </w:tr>
      <w:tr>
        <w:trPr>
          <w:trHeight w:val="210"/>
        </w:trPr>
        <w:tc>
          <w:tcPr>
            <w:tcW w:w="10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THE MERGER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Structure.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Effective Time.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Effects of the Merger.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Organizational Documents; Directors and Officers.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Dissenting Shares.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Paying Agent; Exchange Procedures; Payment of Merger Consideration.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Lost, Stolen or Destroyed Certificates.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Withholding; No Interest; Escheat.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MERGER CONSIDERATION; TAX MATTERS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Merger Consideration.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Options, Warrants, RSUs and Other Rights.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Working Capital Adjustment; No Escrow.</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Code Section 280G; Stockholder Vote.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Transfer Taxes; Cooperation.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MELT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Enforceability.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4.4</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4.5</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Conflict; Consents.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4.6</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No Undisclosed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4.7</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4.8</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4.9</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4.10</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4.11</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Regulatory Compliance and Clinical Matters.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4.12</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4.13</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Real Property and Tangible Assets.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4.15</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Benefits.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4.16</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Employees. With respect to employees of Melt: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4.17</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4.18</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4.19</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Data Privacy and Cybersecurity.</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4.20</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4.21</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Misrepresentations.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4.23</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Exclusivity of Representations and Warranties.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HARROW AND MERGER SUB</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Melt Common Stock.</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5.3</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Authority.</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Sub; Capitalization of Merger Sub.</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5.5</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Conflict; Consents.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5.6</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Reports; Financial Statements.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5.7</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Internal Controls; SOX Compliance.</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5.8</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NASDAQ Listing.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5.9</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5.10</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Funds Available.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5.11</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Company Act.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5.13</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Acknowledgments by Harrow; Non-Reliance.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 of Melt.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Advancement of Expenses.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to Information; Transition.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Solicitation.</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6.5</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Approval; Information Statement.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6.6</w:t>
            </w: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Public Announcements.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6.7</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Matters; Benefit Plans.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6.8</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and Officers’ Indemnification; Tail 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6.9</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Further Assurances.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6.10</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6.11</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16 Matters.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6.12</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CLOSING; CLOSING DELIVERABLES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Each Party’s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7.2</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Conditions to Obligations of Harrow and Merger Sub.</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Conditions to Obligations of Melt.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7.4</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7.5</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 Deliverables.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Remedies upon 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STOCKHOLDER REPRESENTATIVE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Appointment of Stockholder Representative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Authority of Stockholder Representative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 Fund of Stockholder Representative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9.4</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Reliance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9.5</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of Stockholder Representative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Non-Recourse.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10.4</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10.5</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10.6</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10.7</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Specific Performance.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10.8</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10.9</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10.10</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Entire Agreement; No Reliance.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10.11</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and Waivers.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10.12</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Counterparts; Electronic Signatures.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Interpretation.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10.14</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Currency; Time.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10.15</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10.16</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10.17</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Presumption Against Drafter.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10.18</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 of Parent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AND PLAN OF MERGER, dated as of September 24, 2025 (the “</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is entered into by and among HARROW, INC., a Delaware corporation (“</w:t>
      </w:r>
      <w:r>
        <w:rPr>
          <w:rFonts w:ascii="Times New Roman" w:cs="Times New Roman" w:eastAsia="Times New Roman" w:hAnsi="Times New Roman"/>
          <w:sz w:val="18"/>
          <w:szCs w:val="18"/>
          <w:u w:val="single" w:color="auto"/>
          <w:color w:val="auto"/>
        </w:rPr>
        <w:t>Harrow</w:t>
      </w:r>
      <w:r>
        <w:rPr>
          <w:rFonts w:ascii="Times New Roman" w:cs="Times New Roman" w:eastAsia="Times New Roman" w:hAnsi="Times New Roman"/>
          <w:sz w:val="18"/>
          <w:szCs w:val="18"/>
          <w:color w:val="auto"/>
        </w:rPr>
        <w:t>”), HARROW ACQUISITION SUB, INC., a Delaware corporation and wholly owned subsidiary of Harrow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MELT PHARMACEUTICALS, INC., a Delaware corporation (“</w:t>
      </w:r>
      <w:r>
        <w:rPr>
          <w:rFonts w:ascii="Times New Roman" w:cs="Times New Roman" w:eastAsia="Times New Roman" w:hAnsi="Times New Roman"/>
          <w:sz w:val="18"/>
          <w:szCs w:val="18"/>
          <w:u w:val="single" w:color="auto"/>
          <w:color w:val="auto"/>
        </w:rPr>
        <w:t>Melt</w:t>
      </w:r>
      <w:r>
        <w:rPr>
          <w:rFonts w:ascii="Times New Roman" w:cs="Times New Roman" w:eastAsia="Times New Roman" w:hAnsi="Times New Roman"/>
          <w:sz w:val="18"/>
          <w:szCs w:val="18"/>
          <w:color w:val="auto"/>
        </w:rPr>
        <w:t>”), and DONALD BRADFORD OSBORNE, as Stockholder Representative.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Melt is a clinical-stage company engaged primarily in the development of MELT-300, a sublingual fixed-dose midazolam/ketamine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tablet candidate for procedural sedation in cataract surgery (“</w:t>
      </w:r>
      <w:r>
        <w:rPr>
          <w:rFonts w:ascii="Times New Roman" w:cs="Times New Roman" w:eastAsia="Times New Roman" w:hAnsi="Times New Roman"/>
          <w:sz w:val="18"/>
          <w:szCs w:val="18"/>
          <w:u w:val="single" w:color="auto"/>
          <w:color w:val="auto"/>
        </w:rPr>
        <w:t>MELT-300</w:t>
      </w:r>
      <w:r>
        <w:rPr>
          <w:rFonts w:ascii="Times New Roman" w:cs="Times New Roman" w:eastAsia="Times New Roman" w:hAnsi="Times New Roman"/>
          <w:sz w:val="18"/>
          <w:szCs w:val="18"/>
          <w:color w:val="auto"/>
        </w:rPr>
        <w:t>”), with the potential for broader label expansion;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Harrow currently owns approximately forty-five percent (45%) of the outstanding capital stock of Melt and has been a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and strategic partner to Melt in connection with the development of MELT-300;</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Harrow and Melt have engaged in extensive discussions and diligence regarding a potential business combination since early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review of Melt’s intellectual property portfolio, clinical development plans, regulatory strategy, chemistry, manufacturing and controls documentation and manufacturing activities, contracts with CROs and CMOs, and Melt’s capitalization and liabilities;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Melt (the “</w:t>
      </w:r>
      <w:r>
        <w:rPr>
          <w:rFonts w:ascii="Times New Roman" w:cs="Times New Roman" w:eastAsia="Times New Roman" w:hAnsi="Times New Roman"/>
          <w:sz w:val="18"/>
          <w:szCs w:val="18"/>
          <w:u w:val="single" w:color="auto"/>
          <w:color w:val="auto"/>
        </w:rPr>
        <w:t>Melt Board</w:t>
      </w:r>
      <w:r>
        <w:rPr>
          <w:rFonts w:ascii="Times New Roman" w:cs="Times New Roman" w:eastAsia="Times New Roman" w:hAnsi="Times New Roman"/>
          <w:sz w:val="18"/>
          <w:szCs w:val="18"/>
          <w:color w:val="auto"/>
        </w:rPr>
        <w:t>”) formed a committee of independent and disinterested directors of Melt (the “</w:t>
      </w:r>
      <w:r>
        <w:rPr>
          <w:rFonts w:ascii="Times New Roman" w:cs="Times New Roman" w:eastAsia="Times New Roman" w:hAnsi="Times New Roman"/>
          <w:sz w:val="18"/>
          <w:szCs w:val="18"/>
          <w:u w:val="single" w:color="auto"/>
          <w:color w:val="auto"/>
        </w:rPr>
        <w:t>Melt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for the purpose of evaluating the transactions contemplated hereby;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receiving the advice of outside legal and financial advisors, including a fairness opinion (“</w:t>
      </w:r>
      <w:r>
        <w:rPr>
          <w:rFonts w:ascii="Times New Roman" w:cs="Times New Roman" w:eastAsia="Times New Roman" w:hAnsi="Times New Roman"/>
          <w:sz w:val="18"/>
          <w:szCs w:val="18"/>
          <w:u w:val="single" w:color="auto"/>
          <w:color w:val="auto"/>
        </w:rPr>
        <w:t>Melt Fairness Opinion</w:t>
      </w:r>
      <w:r>
        <w:rPr>
          <w:rFonts w:ascii="Times New Roman" w:cs="Times New Roman" w:eastAsia="Times New Roman" w:hAnsi="Times New Roman"/>
          <w:sz w:val="18"/>
          <w:szCs w:val="18"/>
          <w:color w:val="auto"/>
        </w:rPr>
        <w:t>”), the Melt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Committee has determined that this Agreement and the Merger are advisable and in the best interests of Melt and its stockholders (other than Harrow) and recommended to the Melt Board to approve the Merger;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Harrow (the “</w:t>
      </w:r>
      <w:r>
        <w:rPr>
          <w:rFonts w:ascii="Times New Roman" w:cs="Times New Roman" w:eastAsia="Times New Roman" w:hAnsi="Times New Roman"/>
          <w:sz w:val="18"/>
          <w:szCs w:val="18"/>
          <w:u w:val="single" w:color="auto"/>
          <w:color w:val="auto"/>
        </w:rPr>
        <w:t>Harrow Board</w:t>
      </w:r>
      <w:r>
        <w:rPr>
          <w:rFonts w:ascii="Times New Roman" w:cs="Times New Roman" w:eastAsia="Times New Roman" w:hAnsi="Times New Roman"/>
          <w:sz w:val="18"/>
          <w:szCs w:val="18"/>
          <w:color w:val="auto"/>
        </w:rPr>
        <w:t>”) formed a committee of independent and disinterested directors of Harrow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Harrow Special Committee</w:t>
      </w:r>
      <w:r>
        <w:rPr>
          <w:rFonts w:ascii="Times New Roman" w:cs="Times New Roman" w:eastAsia="Times New Roman" w:hAnsi="Times New Roman"/>
          <w:sz w:val="18"/>
          <w:szCs w:val="18"/>
          <w:color w:val="auto"/>
        </w:rPr>
        <w:t>,” and together with the Melt Special Committee, the “</w:t>
      </w:r>
      <w:r>
        <w:rPr>
          <w:rFonts w:ascii="Times New Roman" w:cs="Times New Roman" w:eastAsia="Times New Roman" w:hAnsi="Times New Roman"/>
          <w:sz w:val="18"/>
          <w:szCs w:val="18"/>
          <w:u w:val="single" w:color="auto"/>
          <w:color w:val="auto"/>
        </w:rPr>
        <w:t>Special Committees</w:t>
      </w:r>
      <w:r>
        <w:rPr>
          <w:rFonts w:ascii="Times New Roman" w:cs="Times New Roman" w:eastAsia="Times New Roman" w:hAnsi="Times New Roman"/>
          <w:sz w:val="18"/>
          <w:szCs w:val="18"/>
          <w:color w:val="auto"/>
        </w:rPr>
        <w:t>”) for the purpose of evaluating the transactions contemplated hereby;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Harrow Special Committee, after receiving the advice of outside legal and financial advisors, including a fairness opinion (“</w:t>
      </w:r>
      <w:r>
        <w:rPr>
          <w:rFonts w:ascii="Times New Roman" w:cs="Times New Roman" w:eastAsia="Times New Roman" w:hAnsi="Times New Roman"/>
          <w:sz w:val="18"/>
          <w:szCs w:val="18"/>
          <w:u w:val="single" w:color="auto"/>
          <w:color w:val="auto"/>
        </w:rPr>
        <w:t>Harrow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Fairness Opinion</w:t>
      </w:r>
      <w:r>
        <w:rPr>
          <w:rFonts w:ascii="Times New Roman" w:cs="Times New Roman" w:eastAsia="Times New Roman" w:hAnsi="Times New Roman"/>
          <w:sz w:val="18"/>
          <w:szCs w:val="18"/>
          <w:color w:val="auto"/>
        </w:rPr>
        <w:t>”), has determined that this Agreement and the Merger are advisable and in the best interests of Harrow and its stockholders and recommended to the Harrow Board to approve the Merger;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Melt Board, the Harrow Board, and the board of directors of Merger Sub have each approved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hereby, including the Merger;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effect the merger of Merger Sub with and into Melt, with Melt as the surviving corporation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upon the terms and subject to the conditions set forth 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representations, warranties and agreements herein contained, and intending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legally bound, the parties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inquiry, proposal or offer relating to (i) any direct or indirect acquisition or purchase of (A) assets representing twenty percent (20%) or more of the consolidated assets of Melt, taken as a whole, or (B) twenty percent (20%) or more of any class of equity securities of Melt, or (ii) any merger, consolidation, business combination, recapitalization or similar transaction involving Melt.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For this purpose, “control” means the possession, directly or indirectly, of the power to direct or cause the direction of the management or policies of such Person, whether through ownership of voting securities, contract or otherwise. For the avoidance of doubt, for purposes of this Agreement and otherwise, prior to the consummation of the Merger, Harrow and Melt will not be considered to be Affiliates of each other.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Agreement and Plan of Merger, including all exhibits and schedules attached hereto, as amended, restated, supplemented or otherwise modified from time to time in accordance with its terms.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 employee pension benefit plan (as defined in Section 3(2) of ERISA), employee welfare benefit plan (as defined in Section 3(1) of ERISA), or employment, individual consulting, bonus, incentive, deferred compensation, equity or equity-based, stock purchase, stock option, severance, retention, change in control, salary continuation, retirement, vacation or paid time off, sick leave, fringe benefit or other compensatory plan, contract, or arrangement (whether or not subject to ERISA, written or oral, qualified or nonqualified, funded or unfunded, foreign or domestic, currently effective or terminated) that Melt sponsors, maintains, contributes to, or is required to contribute to or with respect to which Melt has had or could reasonably be expected to have any Liability (whether fixed, contingent or otherwise).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New York are authorized or required by Law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 Person: (a) a merger or consolidation under applicable law of such Person, in which the shareholders or equity holders of such Person, or any Affiliate that directly or indirectly controls such Person, immediately prior to such merger or consolidation do not continue to control the entity surviving or resulting from such merger or consolidation; or (b) a sale or other disposition of all or substantially all of the assets of such Person to non-Affiliate of such Person in one transaction or a series of related transactions. For the purposes of this definition,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Consideration</w:t>
      </w:r>
      <w:r>
        <w:rPr>
          <w:rFonts w:ascii="Times New Roman" w:cs="Times New Roman" w:eastAsia="Times New Roman" w:hAnsi="Times New Roman"/>
          <w:sz w:val="18"/>
          <w:szCs w:val="18"/>
          <w:color w:val="auto"/>
        </w:rPr>
        <w:t xml:space="preserve">” means an amount equal to $.50 per share of Melt Common Stock and, for Melt Options, Melt Warrants and Melt RSUs cancelled pursuant to Section 3.2, $.50 per each Melt Option Payment Right, Melt Warrant Payment Right and Melt RSU Payment right, each determined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legally-binding contract, subcontract, agreement, obligation, license, sublicense, note, bond, mortgage, indenture, deed of trust, franchise, lease, sublease, loan, credit agreement or other instrument.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CMO</w:t>
      </w:r>
      <w:r>
        <w:rPr>
          <w:rFonts w:ascii="Times New Roman" w:cs="Times New Roman" w:eastAsia="Times New Roman" w:hAnsi="Times New Roman"/>
          <w:sz w:val="18"/>
          <w:szCs w:val="18"/>
          <w:color w:val="auto"/>
        </w:rPr>
        <w:t>” means a contract manufacturing organization.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t>
      </w:r>
      <w:r>
        <w:rPr>
          <w:rFonts w:ascii="Times New Roman" w:cs="Times New Roman" w:eastAsia="Times New Roman" w:hAnsi="Times New Roman"/>
          <w:sz w:val="18"/>
          <w:szCs w:val="18"/>
          <w:color w:val="auto"/>
        </w:rPr>
        <w:t>” means a contract research organization.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any Laws applicable to Melt relating to the Processing of data, data privacy, data security and data breach notification.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Requirements</w:t>
      </w:r>
      <w:r>
        <w:rPr>
          <w:rFonts w:ascii="Times New Roman" w:cs="Times New Roman" w:eastAsia="Times New Roman" w:hAnsi="Times New Roman"/>
          <w:sz w:val="18"/>
          <w:szCs w:val="18"/>
          <w:color w:val="auto"/>
        </w:rPr>
        <w:t>” means (a) all Data Protection Laws applicable to Melt, (b) Melt’s published and posted policies relating to Melt’s Processing of Personal Information, and (c) the terms of any contracts binding on Melt concerning the Processing of Personal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Contacts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schedules delivered by Melt to Harrow concurrently with the execution of this Agreement, setting forth exceptions to the representations, warranties and covenants contained herein and other information required by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Stockholders</w:t>
      </w:r>
      <w:r>
        <w:rPr>
          <w:rFonts w:ascii="Times New Roman" w:cs="Times New Roman" w:eastAsia="Times New Roman" w:hAnsi="Times New Roman"/>
          <w:sz w:val="18"/>
          <w:szCs w:val="18"/>
          <w:color w:val="auto"/>
        </w:rPr>
        <w:t>” means stockholders of Melt other than the Excluded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Laws relating to protection of the environment, or human health and safety in respect to exposure to Hazardous Substances, including Laws relating to the generation, handling, transportation, treatment, storage, disposal, discharge, Release, threatened Release, control, or cleanup of any Hazardous Substances.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Stockholders</w:t>
      </w:r>
      <w:r>
        <w:rPr>
          <w:rFonts w:ascii="Times New Roman" w:cs="Times New Roman" w:eastAsia="Times New Roman" w:hAnsi="Times New Roman"/>
          <w:sz w:val="18"/>
          <w:szCs w:val="18"/>
          <w:color w:val="auto"/>
        </w:rPr>
        <w:t>” means Harrow, any Affiliates of Harrow, officers, directors and employees of Harrow, Persons who hold any warrants to acquire equity in Harrow, Persons who have been awarded any incentive or compensatory equity (whether vested or unvested) in Harrow, including stock options, restricted stock grants, performance grants or similar awards, Opaleye LP, Melt, any Affiliates of Melt, any officers, directors and employees of Melt, any Persons or hold warrants to acquire equity in Melt, and any Persons who have been awarded any incentive or compensatory equity (whether vested or unvested) in Melt, including stock options, restricted stock grants, performance grants or similar awards.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common law fraud under the Laws of the State of Delaware in connection with making any representation or warranty in this Agreement; provided that “Fraud” shall exclude equitable fraud, constructive fraud, promissory fraud and any other fraud based on recklessness or negligence.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xml:space="preserve">” means, with respect to Melt, the representations and warranties of Melt set forth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(Authority; Enforceability),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(Subsidiaries) and </w:t>
      </w:r>
      <w:r>
        <w:rPr>
          <w:rFonts w:ascii="Times New Roman" w:cs="Times New Roman" w:eastAsia="Times New Roman" w:hAnsi="Times New Roman"/>
          <w:sz w:val="18"/>
          <w:szCs w:val="18"/>
          <w:u w:val="single" w:color="auto"/>
          <w:color w:val="auto"/>
        </w:rPr>
        <w:t>4.22</w:t>
      </w:r>
      <w:r>
        <w:rPr>
          <w:rFonts w:ascii="Times New Roman" w:cs="Times New Roman" w:eastAsia="Times New Roman" w:hAnsi="Times New Roman"/>
          <w:sz w:val="18"/>
          <w:szCs w:val="18"/>
          <w:color w:val="auto"/>
        </w:rPr>
        <w:t xml:space="preserve"> (Brokers), and with respect to Harrow and Merger Sub, the representations and warranties of Harrow and Merger Sub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(Ownership of Melt Common Stock),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(Corporate Authority),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(Capitalization of Merger Sub),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(Funds Available) and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(Brokers).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(a) government, (b) governmental or regulatory entity, body, department, commission, subdivision, board, administrative agency or instrumentality, (c) court, tribunal, judicial body, or an arbitrator or arbitration panel, or (d) any non-governmental self-regulatory agency, securities exchange, commission or authority, in each of (a) through (d) whether supranational, national, federal, state, county, municipal, provincial, and whether local, domestic or foreign. For the avoidance of doubt, Governmental Authority includes the FDA and any other domestic or foreign entity that regulates or has jurisdiction over the quality, identity, strength, purity, safety, efficacy, testing, manufacturing, marketing, distribution, sale, storage, pricing, import or export of any Melt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Harrow</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Harrow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Harrow Fairness Opinion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Harrow Released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Harrow Special Committee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chemicals or wastes which are defined as or included in the definition of “hazardous substances,” “hazardous wastes”, “hazardous materials”, “toxic substances”, “pollutants” or “contaminants” under any environmental Law, including any petroleum or refined petroleum products, radioactive materials, friable asbestos or polychlorinated biphenyls.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shall mean any Law governing the safety, efficacy, quality research, development, manufacturing or distribution of pharmaceutical products, including the Federal Food Drug and Cosmetic Act (21 U.S.C. §§ 301 et seq.), the federal Anti-Kickback Statute (42 U.S.C. § 1320a-7b(b)), the Physician Payments Sunshine Act (42 U.S.C. § 1320a-7h), the civil False Claims Act (31 U.S.C. §§ 3729 et seq.), the criminal False Claims Law (42 U.S.C. § 1320a-7b(a)), the exclusion laws (42 U.S.C. § 1320a-7), the Healthcare Fraud Statute (18 U.S.C. §1347) and the civil monetary penalties law (42 U.S.C. § 1320a-7a), in each case, as amended and the regulations promulgated thereunder.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the sum of the following items: (a) all indebtedness for borrowed money (including the principal amount thereof and the amount of accrued and unpaid interest thereon), whether or not represented by bonds, debentures, notes or other securities, whether owing to banks, financial institutions or otherwise; (b) all obligations to pay amounts under a lease of real or personal property that is required to be classified as a capital or finance lease in accordance with GAAP (but, for the avoidance of doubt, excluding any effects of ASC 842); (c) payment obligations with respect to interest rate protection, currency swap arrangements and other hedging Contracts; (d) any Liabilities under any banker’s acceptance, letter of credit or reimbursement Contract with respect thereto; (e) all Liabilities and related costs or obligations in respect of any unfunded or underfunded Benefit Plan, any accrued but unpaid employer contributions with respect to any Benefit Plan that is a defined contribution retirement plan; (f) all outstanding severance obligations (including the employer portion of any employment or payroll Taxes related thereto); (g) any earned but unpaid bonuses for any period prior to the Closing Date; (h) any accrued and unpaid Taxes of Melt for the portion of any Straddle Period ending on the Closing Date determined in a manner consistent with the past practice of Melt and the employer’s portion of any employment Taxes associated with the amounts listed in (e), (f) and (g); (i) all obligations to pay the deferred purchase price of property, equipment or services; (j) all guaranties and other obligations in respect of the foregoing; and (k) all premiums, fees or penalties related to any of the foregoing and payment obligations with respect to swap arrangements and related break-up fees.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(a) patents, including utility models, industrial designs and design patents, and applications therefor (and any patents that issue as a result of those patent applications), and including all divisionals, continuations, continuations-in-part, continuing prosecution applications, substitutions, reissues, re-examinations, renewals, substitutions, revisions, provisionals and extensions thereof, and any counterparts worldwide claiming priority therefrom, and all rights in and to any of the foregoing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 names, logos, trademarks, service marks, service names, trade dress, company names, collective membership marks, certification marks, slogans, social media pages and other forms indicia of origin, whether or not registerable as a trademark in any given country, together with registrations and applications therefor, and the goodwill associated with any of the foregoing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 trade and industrial secrets, confidential or proprietary information, data, databases and documentation related thereto and any know how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(d) copyrights, and any other rights of authors or in published or unpublished works of authorship, including audiovisual works, collective works, computer software, compilations, databases, derivative works, literary works, mask works, all moral and economic rights of authors and inventors, however denominated, throughout the world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(e) rights in internet domain names and social media accounts and addresses, and all registrations for any of the foregoing (collectively,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and (f) all other similar or equivalent intellectual property or proprietary rights now known or hereafter recognized anywhere in the world, including the right to enforce and recover damages for the infringement or misappropriation of any of the foregoing.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software (including object code, binary code, source code, libraries, routines, subroutines, or other code, and including commercial, open-source, and freeware software), systems, servers, computers, hardware, firmware, middleware, networks, data communications lines, routers, hubs, switches, and all other information technology equipment, and all associated documentation that are owned or used by Melt in the conduct of the business.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has the meaning set forth in the definition of Intellectual Property Rights.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Melt</w:t>
      </w:r>
      <w:r>
        <w:rPr>
          <w:rFonts w:ascii="Times New Roman" w:cs="Times New Roman" w:eastAsia="Times New Roman" w:hAnsi="Times New Roman"/>
          <w:sz w:val="18"/>
          <w:szCs w:val="18"/>
          <w:color w:val="auto"/>
        </w:rPr>
        <w:t xml:space="preserve">” means the actual knowledge, after reasonable inquiry of direct reports, of the individuals listed on </w:t>
      </w:r>
      <w:r>
        <w:rPr>
          <w:rFonts w:ascii="Times New Roman" w:cs="Times New Roman" w:eastAsia="Times New Roman" w:hAnsi="Times New Roman"/>
          <w:sz w:val="18"/>
          <w:szCs w:val="18"/>
          <w:b w:val="1"/>
          <w:bCs w:val="1"/>
          <w:u w:val="single" w:color="auto"/>
          <w:color w:val="auto"/>
        </w:rPr>
        <w:t>Schedule 1.1</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any (a) civil, criminal or administrative actions, or (b) litigations, arbitrations or other proceedings, in each of (a) and (b), before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liability, Indebtedness, obligation or commitment of any kind (whether accrued, absolute, contingent, matured, unmatured or otherwise and whether or not required to be recorded or reflected on a balance sheet prepared in accordance with GAAP).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charge, restriction or other lien of any kind.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event, change, development, circumstance, condition, occurrence, effect or state of facts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in the aggregate, has had or would reasonably be expected to have a material adverse effect on the business, assets, liabilities, properties, financial condition or results of operations of Melt, taken as a whole; provided, however, that none of the following, either alone or in combination, shall constitute, or shall be taken into account in determining whether there has been or would reasonably be expected to be, a Material Adverse Effect:</w:t>
      </w:r>
    </w:p>
    <w:p>
      <w:pPr>
        <w:spacing w:after="0" w:line="183" w:lineRule="exact"/>
        <w:rPr>
          <w:sz w:val="20"/>
          <w:szCs w:val="20"/>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legislative, or regulatory conditions;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pharmaceutical or life sciences industry generally;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or GAAP (or any interpretation thereof);</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sabotage, terrorism, cyberattack, epidemics, pandemics or natural disasters;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securities, credit, financial or other capital markets;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directly or indirectly from or otherwise relating to changes in interest rates, inflation rates, tariffs or fluctuations in the value of any currency;</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relating to the announcement, execution, pendency or performance of this Agreement, the Merger or the Transactions, including (A) any claim or Legal Proceeding after the date hereof against Melt or any of its directors or officers (in their capacity as such) by any stockholders (on their own behalf or on behalf of Melt) arising out of or related to this Agreement, the Merger or any other Transactions, (B) any negative development in customer, supplier, distributor, employee, financing source, stockholder, regulatory or business partner of Melt resulting therefrom or (C) any Effect that arises out of or relates to the identity of, or any facts or circumstances relating to, Harrow or any of its Affiliates.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except, in the case of </w:t>
      </w:r>
      <w:r>
        <w:rPr>
          <w:rFonts w:ascii="Times New Roman" w:cs="Times New Roman" w:eastAsia="Times New Roman" w:hAnsi="Times New Roman"/>
          <w:sz w:val="18"/>
          <w:szCs w:val="18"/>
          <w:u w:val="single" w:color="auto"/>
          <w:color w:val="auto"/>
        </w:rPr>
        <w:t>clauses (i) through (vi)</w:t>
      </w:r>
      <w:r>
        <w:rPr>
          <w:rFonts w:ascii="Times New Roman" w:cs="Times New Roman" w:eastAsia="Times New Roman" w:hAnsi="Times New Roman"/>
          <w:sz w:val="18"/>
          <w:szCs w:val="18"/>
          <w:color w:val="auto"/>
        </w:rPr>
        <w:t>, to the extent such changes have a disproportionate adverse effect on Melt relative to other companies in the pharmaceutical or life sciences industry of similar size and stage.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MELT-300</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Releasee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Common Stock</w:t>
      </w:r>
      <w:r>
        <w:rPr>
          <w:rFonts w:ascii="Times New Roman" w:cs="Times New Roman" w:eastAsia="Times New Roman" w:hAnsi="Times New Roman"/>
          <w:sz w:val="18"/>
          <w:szCs w:val="18"/>
          <w:color w:val="auto"/>
        </w:rPr>
        <w:t>” means the common stock of Melt with a $0.001 par value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Common Stockholders</w:t>
      </w:r>
      <w:r>
        <w:rPr>
          <w:rFonts w:ascii="Times New Roman" w:cs="Times New Roman" w:eastAsia="Times New Roman" w:hAnsi="Times New Roman"/>
          <w:sz w:val="18"/>
          <w:szCs w:val="18"/>
          <w:color w:val="auto"/>
        </w:rPr>
        <w:t>” means the holders of Melt Common Stock as of the Effective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D&amp;O 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Disinterested Stockholders Approval</w:t>
      </w:r>
      <w:r>
        <w:rPr>
          <w:rFonts w:ascii="Times New Roman" w:cs="Times New Roman" w:eastAsia="Times New Roman" w:hAnsi="Times New Roman"/>
          <w:sz w:val="18"/>
          <w:szCs w:val="18"/>
          <w:color w:val="auto"/>
        </w:rPr>
        <w:t>” means the approval of the Disinterested Stockholders of Melt holding majority of the shares of Melt capital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Equity Plan</w:t>
      </w:r>
      <w:r>
        <w:rPr>
          <w:rFonts w:ascii="Times New Roman" w:cs="Times New Roman" w:eastAsia="Times New Roman" w:hAnsi="Times New Roman"/>
          <w:sz w:val="18"/>
          <w:szCs w:val="18"/>
          <w:color w:val="auto"/>
        </w:rPr>
        <w:t>” means each equity incentive, stock option, stock purchase, restricted stock, RSU, SAR, phantom equity or other compensatory plan, program or arrangement of Melt in effect prior to the Effective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IPR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Fairness Opinion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Option Payment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Preferred Stock</w:t>
      </w:r>
      <w:r>
        <w:rPr>
          <w:rFonts w:ascii="Times New Roman" w:cs="Times New Roman" w:eastAsia="Times New Roman" w:hAnsi="Times New Roman"/>
          <w:sz w:val="18"/>
          <w:szCs w:val="18"/>
          <w:color w:val="auto"/>
        </w:rPr>
        <w:t>” means the shares of preferred stock of Melt with a $0.001 par value per share; which includes Melt Series A Preferred Stock, Melt Series B Preferred Stock, and Melt Series B-1 Preferred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Product</w:t>
      </w:r>
      <w:r>
        <w:rPr>
          <w:rFonts w:ascii="Times New Roman" w:cs="Times New Roman" w:eastAsia="Times New Roman" w:hAnsi="Times New Roman"/>
          <w:sz w:val="18"/>
          <w:szCs w:val="18"/>
          <w:color w:val="auto"/>
        </w:rPr>
        <w:t>” means any pharmaceutical product that is being researched, tested, developed, commercialized, manufactured, sold or distributed by or on behalf of Melt and that is owned by, licensed to, or otherwise used in the business of, the Melt, or for which the Melt has the right to receive payment, including MELT-300, MELT-210 or MELT-400.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Requisite Stockholder Approval</w:t>
      </w:r>
      <w:r>
        <w:rPr>
          <w:rFonts w:ascii="Times New Roman" w:cs="Times New Roman" w:eastAsia="Times New Roman" w:hAnsi="Times New Roman"/>
          <w:sz w:val="18"/>
          <w:szCs w:val="18"/>
          <w:color w:val="auto"/>
        </w:rPr>
        <w:t>” means the approval required by Melt to approve the Merger under its organizational documents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RSU</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RSU Payment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Special Committee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Transaction Expenses</w:t>
      </w:r>
      <w:r>
        <w:rPr>
          <w:rFonts w:ascii="Times New Roman" w:cs="Times New Roman" w:eastAsia="Times New Roman" w:hAnsi="Times New Roman"/>
          <w:sz w:val="18"/>
          <w:szCs w:val="18"/>
          <w:color w:val="auto"/>
        </w:rPr>
        <w:t>” means all fees, costs and expenses incurred by Melt in connection with this Agreement and the transactions contemplated hereby, including legal, accounting, consulting, financial advisory and other professional fees (including fees associated with obtaining the Melt Fairness Opinion), and any severance, change-of-control or similar payments (including related Taxes) payable as a result of this Agreement, and all costs and premiums associated with obtaining the D&amp;O Tail Policy.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Warrant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Melt Warrant Payment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Agreement</w:t>
      </w:r>
      <w:r>
        <w:rPr>
          <w:rFonts w:ascii="Times New Roman" w:cs="Times New Roman" w:eastAsia="Times New Roman" w:hAnsi="Times New Roman"/>
          <w:sz w:val="18"/>
          <w:szCs w:val="18"/>
          <w:color w:val="auto"/>
        </w:rPr>
        <w:t>” means the Milestone Payment Agreement between Harrow and Stockholder Representative, dated as of even date herewith.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means, with respect to a party, any of such party’s former, current and future equityholders, controlling Persons, directors, officers, employees, agents, advisors, attorneys, representatives, Affiliates, members, managers, general or limited partners or assignees (or any former, current or future equityholder, controlling Person, director, officer, employee, agent, representative, Affiliate, member, manager, general or limited partner or assignee of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Wilmington Trust, National Association, or such other agent as may be designated by Harrow.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 Agreement</w:t>
      </w:r>
      <w:r>
        <w:rPr>
          <w:rFonts w:ascii="Times New Roman" w:cs="Times New Roman" w:eastAsia="Times New Roman" w:hAnsi="Times New Roman"/>
          <w:sz w:val="18"/>
          <w:szCs w:val="18"/>
          <w:color w:val="auto"/>
        </w:rPr>
        <w:t>” shall mean the agreement among Harrow, Stockholder Representative and the Paying Agent in a form reasonably agreed by the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Contingent Milestone Payment Amount</w:t>
      </w:r>
      <w:r>
        <w:rPr>
          <w:rFonts w:ascii="Times New Roman" w:cs="Times New Roman" w:eastAsia="Times New Roman" w:hAnsi="Times New Roman"/>
          <w:sz w:val="18"/>
          <w:szCs w:val="18"/>
          <w:color w:val="auto"/>
        </w:rPr>
        <w:t>” means the amounts described Milestone Payment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FMV</w:t>
      </w:r>
      <w:r>
        <w:rPr>
          <w:rFonts w:ascii="Times New Roman" w:cs="Times New Roman" w:eastAsia="Times New Roman" w:hAnsi="Times New Roman"/>
          <w:sz w:val="18"/>
          <w:szCs w:val="18"/>
          <w:color w:val="auto"/>
        </w:rPr>
        <w:t>” means $10.50, which represents the fair market value per share of Melt Common Stock agreed upon by the parties and calculated by adding (x) the Closing Cash Consideration and (y) the FDA approval milestone payment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permits, approvals, authorizations, consents, licenses and registrations issued by any Governmental Authority.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and other governmental charges and assessments that are not yet due and payable or that may hereafter be paid without penalty or that are being contested in good faith and for which appropriate reserves have been established, (b) Liens of landlords,</w:t>
      </w:r>
    </w:p>
    <w:p>
      <w:pPr>
        <w:jc w:val="both"/>
        <w:ind w:firstLine="8"/>
        <w:spacing w:after="0" w:line="252"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mechanics and materialmen or other like Liens incurred in the ordinary course of business and not yet delinquent, (d) security interests in any bank account in favor of the depositary bank, and security interests in any securities account in favor of the broker or other entity that maintains such account, (d) easements, covenants, rights-of-way, variances and other similar restrictions or conditions of record, imperfections of title or encumbrances and zoning, entitlement, building and other land use regulations imposed by a Governmental Authority that, in each case, is not material in amount and does not materially detract from the value of or materially impair the existing use of the property affected by such imperfection or encumbrance.</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any type of business entity (including a corporation, joint-stock company, partnership, limited liability company, joint venture, association or unincorporated association), any other type of legal entity (including a trust), or any other entity or organization, including a Governmental Authority.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shall mean (a) any information relating to an individual that identifies or can be used to identify, contact or locate such individual, and (b) any other information defined as “personal data,” “personal information,” “protected health information,” or “personally identifiable information” under applicable Data Protection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with respect to data, the access, use, collection, treatment, processing, storage, hosting, recording, organization, adaption, alteration, transfer, retrieval, transmittal, consultation, disclosure, disposal or combination of such data.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injection, deposit, disposal, discharge or dispersal into the atmosphere, soil, surface water or groundwater.</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as to any Person, such Person’s Affiliates and the respective managers, directors, officers, employees, independent contractors, consultants, advisors (including financial advisors, counsel and accountants), agents and other legal representatives of such Person or its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Representative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 period beginning before and ending after the Closing Date.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limited liability company, partnership, association, or other business entity of which: (a) if a corporation, more than fifty percent (50%) of the combined voting power of the outstanding voting stock of which is owned, directly or indirectly, by such Person or by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other Subsidiaries of such Person or a combination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or foreign net income, gross income, gross receipts, net profits, excess profits, windfall profit, severance, property, production, sales, use, license, excise, unclaimed property or escheat, franchise, regulatory, employment, payroll, withholding, alternative or add-on minimum, ad valorem, value-added, transfer or stamp tax, or any other similar tax, custom, duty, governmental fee or other like assessment or charge, together with any interest or penalty, imposed by any Governmental Authority and “Tax” means any one of the foregoing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or similar statement required to be filed with respect to any Tax (including any attached schedules), including any information return, claim for refund, amended return or declaration of estimated Tax.</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transactions contemplated by this Agreement (including the Merger) and by each other Transaction Document.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Milestone Payment Agreement, Certificate of Merger, Paying Agent Agreement and the other documents, certificates or instruments to be executed or delivered at Closing pursuant to the terms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Structure.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this Agreement, and in accordance with the DGCL, at the Effective Time, (i) Merger Sub will be merged with and into Melt; (ii) the separate corporate existence of Merger Sub will cease, and (iii) Melt will continue its corporate existence under the DGCL as the Surviving Corporation. The Merger will have the effects set forth in this Agreement and in the applicable provisions of the DGCL.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Closing.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remotely by electronic exchange of documents at 10:00 a.m. Eastern Time on the second (2nd) Business Day following the satisfaction or waiver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which, by their terms, are to be satisfied or waived at the Closing), or at such other time, place and date as Harrow and Melt may mutually agree in writing (the date on which the Closing actually occurs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Effective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On the Closing Date, the parties shall cause a certificate of merger in the form attached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duly executed and filed with the Secretary of State of the State of Delaware in accordance with the DGCL. The Merger will become effective at such time as the Certificate of Merger is so filed (or at such later time as may be specified in the Certificate of Merger and agreed by the parties in writing)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Effects of the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Effective Time, the Merger will have the effects provided under the DGCL, this Agreement and the Certificate of Merger. As a result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and without limiting the generality of the foregoing, and subject thereto, at the Effective Time:</w:t>
      </w:r>
    </w:p>
    <w:p>
      <w:pPr>
        <w:spacing w:after="0" w:line="207" w:lineRule="exact"/>
        <w:rPr>
          <w:sz w:val="20"/>
          <w:szCs w:val="20"/>
          <w:color w:val="auto"/>
        </w:rPr>
      </w:pPr>
    </w:p>
    <w:p>
      <w:pPr>
        <w:ind w:firstLine="1304"/>
        <w:spacing w:after="0" w:line="282" w:lineRule="auto"/>
        <w:tabs>
          <w:tab w:leader="none" w:pos="15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shares of capital stock and any other equity interests of Melt and Merger Sub shall be converted or canceled in the manner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(b) Surviving Corporation will thereupon and thereafter possess all rights, privileges, immunities, powers and franchises of Melt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w:t>
      </w:r>
    </w:p>
    <w:p>
      <w:pPr>
        <w:spacing w:after="0" w:line="207" w:lineRule="exact"/>
        <w:rPr>
          <w:sz w:val="20"/>
          <w:szCs w:val="20"/>
          <w:color w:val="auto"/>
        </w:rPr>
      </w:pPr>
    </w:p>
    <w:p>
      <w:pPr>
        <w:ind w:firstLine="1304"/>
        <w:spacing w:after="0" w:line="282" w:lineRule="auto"/>
        <w:tabs>
          <w:tab w:leader="none" w:pos="15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property, real, personal and mixed, tangible and intangible, of every kind and description of Melt and Merger Sub will vest in Surviving Corporation by operation of law;</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debts, liabilities and obligations of Melt (including, for the avoidance of doubt, any liabilities related to or arising from the conduct of the Melt’s business prior to the Closing Date) and Merger Sub will become the debts, liabilities and obligations of Surviving Corporation;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and all liens upon any property of Melt and Merger Sub will be preserved unimpaired, and all debts, liabilities and duties of Melt and Merger Sub will attach to Surviving Corporation and may be enforced against it to the same extent as if such debts, liabilities and duties had been incurred or contracted by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Organizational Documents; Directors and Officers.</w:t>
      </w:r>
    </w:p>
    <w:p>
      <w:pPr>
        <w:spacing w:after="0" w:line="229" w:lineRule="exact"/>
        <w:rPr>
          <w:sz w:val="20"/>
          <w:szCs w:val="20"/>
          <w:color w:val="auto"/>
        </w:rPr>
      </w:pPr>
    </w:p>
    <w:p>
      <w:pPr>
        <w:ind w:firstLine="1304"/>
        <w:spacing w:after="0" w:line="282" w:lineRule="auto"/>
        <w:tabs>
          <w:tab w:leader="none" w:pos="15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certificate of incorporation of Melt, as in effect immediately prior to the Effective Time, will be the certificate of incorporation of Surviving Corporation until thereafter amended as provided therein and in accordance with applicable Law.</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bylaws of Melt, as in effect immediately prior to the Effective Time, will be the bylaws of Surviving Corporation until thereafter amended as provided therein and in accordance with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officers of Melt immediately prior to the Effective Time shall continue as the directors and officers of Surviving Corporation, each to hold office until their respective successors are duly elected or appointed or until their earlier death, resignation or removal in accordance with this Agreement and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Dissenting Shares.</w:t>
      </w:r>
    </w:p>
    <w:p>
      <w:pPr>
        <w:spacing w:after="0" w:line="229" w:lineRule="exact"/>
        <w:rPr>
          <w:sz w:val="20"/>
          <w:szCs w:val="20"/>
          <w:color w:val="auto"/>
        </w:rPr>
      </w:pPr>
    </w:p>
    <w:p>
      <w:pPr>
        <w:jc w:val="both"/>
        <w:ind w:firstLine="1304"/>
        <w:spacing w:after="0" w:line="255" w:lineRule="auto"/>
        <w:tabs>
          <w:tab w:leader="none" w:pos="15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shares of Melt capital stock issued and outstanding immediately prior to the Effective Time and held by a holder who has properly exercised and perfected appraisal rights with respect thereto in accordance with Section 262 of the DGCL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will not be converted into, or represent the right to receive, the Merger Consideration, but will instead represent only the right to receive the fair value of such shares as may be determined pursuant to Section 262 of the DGCL. From and after the Effective Time, all Dissenting Shares will no longer be outstanding and will automatically be canceled and cease to exist, and each holder of Dissenting Shares will thereafter be entitled only to such rights as are granted by Section 262 of the DGCL, unless and until such holder fails to perfect or shall have effectively withdrawn or lost the right to appraisal under the DGCL.</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such holder fails to perfect, withdraw or otherwise loses the right to appraisal under the DGCL, such holder’s Dissenting Shares will thereupon cease to be Dissenting Shares and will be deemed to have been converted as of the Effective Time into the right to receive the Merger Consideration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without interest.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shall give Harrow prompt written notice of any demands for appraisal received by Melt, withdrawals thereof and any other instruments served pursuant to the DGCL. Melt may not, except with Harrow’s prior written consent, make any payment with respect to or settle any such demands.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Section 2.7 Paying Agent; Exchange Procedures; Payment of Merger Consideration.</w:t>
      </w:r>
    </w:p>
    <w:p>
      <w:pPr>
        <w:spacing w:after="0" w:line="229" w:lineRule="exact"/>
        <w:rPr>
          <w:sz w:val="20"/>
          <w:szCs w:val="20"/>
          <w:color w:val="auto"/>
        </w:rPr>
      </w:pPr>
    </w:p>
    <w:p>
      <w:pPr>
        <w:jc w:val="both"/>
        <w:ind w:firstLine="1304"/>
        <w:spacing w:after="0" w:line="258" w:lineRule="auto"/>
        <w:tabs>
          <w:tab w:leader="none" w:pos="15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Agreement Date, Harrow shall appoint, pursuant to the Paying Agent Agreement, the Paying Agent to act as agent of Harrow for the purpose of disbursing the Closing Cash Consideration and any contingent consideration payable pursuant to the Milestone Payment Agreement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to the Melt Common Stockholders (other than Harrow and Merger Sub) and the holders of Melt Options, Melt Warrants and Melt RSUs in connection with the Merger. Harrow or the Surviving Company shall pay (and be responsible for) all charges and expenses, of the Paying Agent (including any indemnification obligations owed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Harrow shall deposit, or cause to be deposited, with Paying Agent, by wire transfer of immediately available funds, cash in an amount sufficient to pay the aggregate Closing Cash Consideration for further disbursement to the Melt Common Stockholders (other than Harrow and Merger Sub) and the holders of Melt Options, Melt Warrants and Melt RSUs.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applicable time periods specified in the Milestone Payment Agreement, Harrow shall deposit, or cause to be deposited, with Paying Agent, by wire transfer of immediately available funds, cash in an amount sufficient to pay each Payment Amount when due for further disbursement to the Melt Common Stockholders (other than Harrow and Merger Sub) and the holders of Melt Options, Melt Warrants and Melt RSUs.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Paying Agent Agreement has been duly executed by all parties thereto (and in no event later than five (5) Business Days thereafter), Paying Agent shall mail to each holder of record of certificates representing the outstanding shares of Melt capital stock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which shares will be converted into the right to receive the Merger Consideration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(other than shares canceled pursuant to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3.1(b)(ii)</w:t>
      </w:r>
      <w:r>
        <w:rPr>
          <w:rFonts w:ascii="Times New Roman" w:cs="Times New Roman" w:eastAsia="Times New Roman" w:hAnsi="Times New Roman"/>
          <w:sz w:val="18"/>
          <w:szCs w:val="18"/>
          <w:color w:val="auto"/>
        </w:rPr>
        <w:t xml:space="preserve">, shares to be converted pursuant to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and Dissenting Shares), and to each holder of Melt Options, Melt Warrants and Melt RSUs, (i) a letter of transmittal in customary form, which shall specify that delivery shall be effected, and risk of loss and title to the Certificates shall pass, only upon proper delivery of the Certificates (or affidavits of loss in lieu thereof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to Paying Agent, and (ii) instructions for effecting the surrender of the Certificates (to the extent applicable) (or such affidavits of loss) in exchange for the Merger Consideration payable in respect thereof. Upon surrender to Paying Agent of a Certificate (or affidavit of loss) for cancellation, together with a duly executed letter of transmittal, the holder of such Certificate will be entitled to receive in exchange therefor the Merger Consideration that such holder is entitled to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and such Certificate so surrendered shall forthwith be canceled; provided that the holders of Melt Options, Melt Warrants and Melt RSUs shall only be required to submit a duly executed letter of transmittal for purposes of receiving their portion of the Merger Consideration. No interest shall accrue or be paid to any holder of Certificates with respect to the Merger Consideration to be paid upon the surrender of such Certificates.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Certificates (or affidavits of loss) representing shares of Melt stock to Paying Agent, together with a duly executed letter of transmittal, each holder will be entitled to receive in exchange therefor the portion of the Merger Consideration payable in respect of such shares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and such certificates so surrendered shall be cancelled; provided that the holders of Melt Options, Melt Warrants and Melt RSUs shall only be required to submit a duly executed letter of transmittal for purposes of receiving their portion of the Merger Consideration.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Section 2.8 Lost, Stolen or Destroyed Certificates.</w:t>
      </w:r>
    </w:p>
    <w:p>
      <w:pPr>
        <w:spacing w:after="0" w:line="229" w:lineRule="exact"/>
        <w:rPr>
          <w:sz w:val="20"/>
          <w:szCs w:val="20"/>
          <w:color w:val="auto"/>
        </w:rPr>
      </w:pPr>
    </w:p>
    <w:p>
      <w:pPr>
        <w:jc w:val="both"/>
        <w:ind w:firstLine="1304"/>
        <w:spacing w:after="0" w:line="258" w:lineRule="auto"/>
        <w:tabs>
          <w:tab w:leader="none" w:pos="15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Certificate shall have been lost, stolen or destroyed, upon the making of an affidavit of that fact by the Person claiming such Certificate to be lost, stolen or destroyed and, if required by Harrow, the posting by such Person of a bond, in such reasonable and customary amount as Harrow may direct, as indemnity against any claim that may be made against it with respect to such lost, stolen or destroyed Certificate, the Paying Agent will issue in exchange for such lost, stolen or destroyed Certificate the applicable portion of the Merger Consideration without any interest thereon and reduced by the amount of any withholding that is required under applicable Tax Law, in accordance with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Withholding; No Interest; Escheat.</w:t>
      </w:r>
    </w:p>
    <w:p>
      <w:pPr>
        <w:spacing w:after="0" w:line="229" w:lineRule="exact"/>
        <w:rPr>
          <w:sz w:val="20"/>
          <w:szCs w:val="20"/>
          <w:color w:val="auto"/>
        </w:rPr>
      </w:pPr>
    </w:p>
    <w:p>
      <w:pPr>
        <w:jc w:val="both"/>
        <w:ind w:firstLine="1304"/>
        <w:spacing w:after="0" w:line="255" w:lineRule="auto"/>
        <w:tabs>
          <w:tab w:leader="none" w:pos="15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Harrow, Surviving Corporation and Paying Agent (each, a “</w:t>
      </w:r>
      <w:r>
        <w:rPr>
          <w:rFonts w:ascii="Times New Roman" w:cs="Times New Roman" w:eastAsia="Times New Roman" w:hAnsi="Times New Roman"/>
          <w:sz w:val="18"/>
          <w:szCs w:val="18"/>
          <w:u w:val="single" w:color="auto"/>
          <w:color w:val="auto"/>
        </w:rPr>
        <w:t>Payor</w:t>
      </w:r>
      <w:r>
        <w:rPr>
          <w:rFonts w:ascii="Times New Roman" w:cs="Times New Roman" w:eastAsia="Times New Roman" w:hAnsi="Times New Roman"/>
          <w:sz w:val="18"/>
          <w:szCs w:val="18"/>
          <w:color w:val="auto"/>
        </w:rPr>
        <w:t>”) will be entitled to deduct and withhold from any amounts otherwise payable under this Agreement such amounts as are required to be deducted or withheld under applicable Tax Law; provided, however, that, except with respect to any payments that are treated as compensation for applicable Tax purposes, if a Payor determines that any payment to be made by such Payor hereunder is subject to any deduction or withholding, then such Payor shall (i) use commercially reasonable efforts to provide notice to the recipient of such payment prior to making any such deduction or withholding, and (ii) shall reasonably cooperate with such recipient to minimize any such withholding to the extent permitted by applicable Law. Any amounts so withheld shall be timely remitted to the applicable Governmental Authority and be treated as having been paid to the Person in respect of which such deduction or withholding was made.</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will be paid or accrue on any portion of the Merger Consideration payable under this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Merger Consideration remaining unclaimed by any Melt Common Stockholder or any holder of Melt Options, Melt Warrants or Melt RSUs with Paying Agent one (1) year following the Effective Time shall be returned to Harrow, and thereafter such holders shall look only to Harrow (subject to abandoned property, escheat and other similar Laws) as general unsecured creditors thereof for any amounts payable pursuant to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CONSIDERATION; TAX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Merger Consideration; Treatment of Melt Common Stockholders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Conversion of Common Stock</w:t>
      </w:r>
      <w:r>
        <w:rPr>
          <w:rFonts w:ascii="Times New Roman" w:cs="Times New Roman" w:eastAsia="Times New Roman" w:hAnsi="Times New Roman"/>
          <w:sz w:val="18"/>
          <w:szCs w:val="18"/>
          <w:color w:val="auto"/>
        </w:rPr>
        <w:t>. At the Effective Time, by virtue of the Merger and without any action on the part of any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firstLine="1952"/>
        <w:spacing w:after="0" w:line="261" w:lineRule="auto"/>
        <w:tabs>
          <w:tab w:leader="none" w:pos="21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of Melt Common Stock issued and outstanding immediately prior to the Effective Time (after giving effect to the conversion of Melt Preferred Stock pursuant to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and excluding any Dissenting Shares), shall be cancelled and converted into the right to receive (A) an amount in cash equal to the Closing Cash Consideration, payable at Closing, and (B) the contingent milestone payments, if and when payable, pursuant to and in accordance with the Milestone Payment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firstLine="1952"/>
        <w:spacing w:after="0" w:line="282" w:lineRule="auto"/>
        <w:tabs>
          <w:tab w:leader="none" w:pos="22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any holder of Melt Common Stock to receive the Merger Consideration pursuant to this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shall be subject to applicable withholding of Taxes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Certain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Melt capital stock that is owned by Melt prior to the Effective Time shall be canceled and retired without any conversion thereof and no payment or distribution shall be made with respect thereto.</w:t>
      </w:r>
    </w:p>
    <w:p>
      <w:pPr>
        <w:spacing w:after="0" w:line="162" w:lineRule="exact"/>
        <w:rPr>
          <w:sz w:val="20"/>
          <w:szCs w:val="20"/>
          <w:color w:val="auto"/>
        </w:rPr>
      </w:pPr>
    </w:p>
    <w:p>
      <w:pPr>
        <w:ind w:firstLine="1952"/>
        <w:spacing w:after="0" w:line="282" w:lineRule="auto"/>
        <w:tabs>
          <w:tab w:leader="none" w:pos="220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Melt Common Stock that is owned by Harrow prior to the Effective Time shall be canceled and retired without any conversion thereof and no payment or distribution shall be made with respect thereto.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Merger Sub Stock</w:t>
      </w:r>
      <w:r>
        <w:rPr>
          <w:rFonts w:ascii="Times New Roman" w:cs="Times New Roman" w:eastAsia="Times New Roman" w:hAnsi="Times New Roman"/>
          <w:sz w:val="18"/>
          <w:szCs w:val="18"/>
          <w:color w:val="auto"/>
        </w:rPr>
        <w:t>. Each share of capital stock of Merger Sub issued and outstanding immediately prior to the Effective Time shall be converted into and become one validly issued, fully paid and nonassessable share of common stock of Surviving Corporation, such that immediately following the Effective Time all of the issued and outstanding capital stock of Surviving Corporation will be owned directly by Harrow.</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Melt Preferred Stock</w:t>
      </w:r>
      <w:r>
        <w:rPr>
          <w:rFonts w:ascii="Times New Roman" w:cs="Times New Roman" w:eastAsia="Times New Roman" w:hAnsi="Times New Roman"/>
          <w:sz w:val="18"/>
          <w:szCs w:val="18"/>
          <w:color w:val="auto"/>
        </w:rPr>
        <w:t>. Immediately prior to the Effective Time, each share of Melt Preferred Stock that is issued and outstanding will be automatically converted into one (1) share of Melt Common Stock in accordance with Melt’s certificate of incorporation and will thereafter be treated as Melt Common Stock for all purposes of this Agreement. From and after such conversion, no holder of Melt Preferred Stock will retain any liquidation preference, dividend preference, or other preferential right with respect to Melt capital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Merger Consideration; Treatment of Options, Warrants, RSUs and Other Rights.</w:t>
      </w:r>
    </w:p>
    <w:p>
      <w:pPr>
        <w:spacing w:after="0" w:line="229" w:lineRule="exact"/>
        <w:rPr>
          <w:sz w:val="20"/>
          <w:szCs w:val="20"/>
          <w:color w:val="auto"/>
        </w:rPr>
      </w:pPr>
    </w:p>
    <w:p>
      <w:pPr>
        <w:jc w:val="both"/>
        <w:ind w:firstLine="1304"/>
        <w:spacing w:after="0" w:line="254"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Immediately prior to the Effective Time but subject to the consummation of the Merger, by virtue of the Merger and without any further action on the part of the holders thereof, Melt or Harrow, each outstanding and unexercised option to purchase shares of Melt capital stock, whether vested or unvested, outstanding immediately prior to the Effective Time (each, a “</w:t>
      </w:r>
      <w:r>
        <w:rPr>
          <w:rFonts w:ascii="Times New Roman" w:cs="Times New Roman" w:eastAsia="Times New Roman" w:hAnsi="Times New Roman"/>
          <w:sz w:val="18"/>
          <w:szCs w:val="18"/>
          <w:u w:val="single" w:color="auto"/>
          <w:color w:val="auto"/>
        </w:rPr>
        <w:t>Melt Option</w:t>
      </w:r>
      <w:r>
        <w:rPr>
          <w:rFonts w:ascii="Times New Roman" w:cs="Times New Roman" w:eastAsia="Times New Roman" w:hAnsi="Times New Roman"/>
          <w:sz w:val="18"/>
          <w:szCs w:val="18"/>
          <w:color w:val="auto"/>
        </w:rPr>
        <w:t>”), will be cancelled and no longer be outstanding or exercisable, and the holder thereof will be entitled to receive (i) an amount in cash equal to the Closing Cash Consideration multiplied by such holder’s Melt Option Payment Rights (determined as described below), plus (ii) if and when payable under the Milestone Payment Agreement, the Per Share Contingent Milestone Payment Amount then payable multiplied by such holder’s Melt Option Payment Rights. An option holder’s “</w:t>
      </w:r>
      <w:r>
        <w:rPr>
          <w:rFonts w:ascii="Times New Roman" w:cs="Times New Roman" w:eastAsia="Times New Roman" w:hAnsi="Times New Roman"/>
          <w:sz w:val="18"/>
          <w:szCs w:val="18"/>
          <w:u w:val="single" w:color="auto"/>
          <w:color w:val="auto"/>
        </w:rPr>
        <w:t>Melt Option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will be that number (rounded up to the nearest whole number) which is determined by dividing: (A) the product of (1) the number of underlying shares of Melt Common Stock subject to the Melt Options being cancelled multiplied by (2) the difference between (x) the Per Share FMV of the Melt Stock and (y) the exercise price of the subject Melt Options; by (B) the Per Share FMV.</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1304"/>
        <w:spacing w:after="0" w:line="254"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Immediately prior to the Effective Time but subject to the consummation of the Merger, by virtue of the Merger and without any further action on the part of the holders thereof, Melt or Harrow, each outstanding and unexercised warrant to purchase shares of Melt capital stock outstanding immediately prior to the Effective Time (each, a “</w:t>
      </w:r>
      <w:r>
        <w:rPr>
          <w:rFonts w:ascii="Times New Roman" w:cs="Times New Roman" w:eastAsia="Times New Roman" w:hAnsi="Times New Roman"/>
          <w:sz w:val="18"/>
          <w:szCs w:val="18"/>
          <w:u w:val="single" w:color="auto"/>
          <w:color w:val="auto"/>
        </w:rPr>
        <w:t>Melt Warrant”</w:t>
      </w:r>
      <w:r>
        <w:rPr>
          <w:rFonts w:ascii="Times New Roman" w:cs="Times New Roman" w:eastAsia="Times New Roman" w:hAnsi="Times New Roman"/>
          <w:sz w:val="18"/>
          <w:szCs w:val="18"/>
          <w:color w:val="auto"/>
        </w:rPr>
        <w:t>), will be cancelled and no longer be outstanding or exercisable, and the holder thereof will be entitled to receive (i) an amount in cash equal to the Closing Cash Consideration multiplied by such holder’s Melt Warrant Payment Rights (determined as described below), plus (ii) if and when payable under the Milestone Payment Agreement, the Per Share Contingent Milestone Payment Amount then payable multiplied by such holder’s Melt Warrant Payment Rights. An option holder’s “</w:t>
      </w:r>
      <w:r>
        <w:rPr>
          <w:rFonts w:ascii="Times New Roman" w:cs="Times New Roman" w:eastAsia="Times New Roman" w:hAnsi="Times New Roman"/>
          <w:sz w:val="18"/>
          <w:szCs w:val="18"/>
          <w:u w:val="single" w:color="auto"/>
          <w:color w:val="auto"/>
        </w:rPr>
        <w:t>Melt Warrant Payment Rights</w:t>
      </w:r>
      <w:r>
        <w:rPr>
          <w:rFonts w:ascii="Times New Roman" w:cs="Times New Roman" w:eastAsia="Times New Roman" w:hAnsi="Times New Roman"/>
          <w:sz w:val="18"/>
          <w:szCs w:val="18"/>
          <w:color w:val="auto"/>
        </w:rPr>
        <w:t>” will be that number (rounded up to the nearest whole number) which is determined by dividing: (A) the product of (1) the number of underlying shares of Melt Common Stock subject to the Melt Warrants being cancelled multiplied by (2) the difference between (x) the Per Share FMV of the Melt Stock and (y) the exercise price of the subject Melt Warrants; by (B) the Per Share FMV.</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Immediately prior to the Effective Time but subject to the consummation of the Merger, by virtue of the Merger and without any further action on the part of the holders thereof, Melt or Harrow, each restricted stock unit award with respect to shares of Melt capital stock outstanding immediately prior to the Effective Time (each, a “</w:t>
      </w:r>
      <w:r>
        <w:rPr>
          <w:rFonts w:ascii="Times New Roman" w:cs="Times New Roman" w:eastAsia="Times New Roman" w:hAnsi="Times New Roman"/>
          <w:sz w:val="18"/>
          <w:szCs w:val="18"/>
          <w:u w:val="single" w:color="auto"/>
          <w:color w:val="auto"/>
        </w:rPr>
        <w:t>Melt RSU</w:t>
      </w:r>
      <w:r>
        <w:rPr>
          <w:rFonts w:ascii="Times New Roman" w:cs="Times New Roman" w:eastAsia="Times New Roman" w:hAnsi="Times New Roman"/>
          <w:sz w:val="18"/>
          <w:szCs w:val="18"/>
          <w:color w:val="auto"/>
        </w:rPr>
        <w:t>”), will be cancelled and no longer be outstanding, and the holder thereof will be entitled to receive (i) an amount in cash equal to the per share Closing Cash Consideration multiplied by such holder’s Melt RSU Payment Rights (determined as described below), plus (ii) if and when payable under the Milestone Payment Agreement, the Per Share Contingent Milestone Payment Amount then payable multiplied by such holder’s Melt RSU Payment Rights. A Melt RSU holder’s “</w:t>
      </w:r>
      <w:r>
        <w:rPr>
          <w:rFonts w:ascii="Times New Roman" w:cs="Times New Roman" w:eastAsia="Times New Roman" w:hAnsi="Times New Roman"/>
          <w:sz w:val="18"/>
          <w:szCs w:val="18"/>
          <w:u w:val="single" w:color="auto"/>
          <w:color w:val="auto"/>
        </w:rPr>
        <w:t>Melt RSU Payment Rights</w:t>
      </w:r>
      <w:r>
        <w:rPr>
          <w:rFonts w:ascii="Times New Roman" w:cs="Times New Roman" w:eastAsia="Times New Roman" w:hAnsi="Times New Roman"/>
          <w:sz w:val="18"/>
          <w:szCs w:val="18"/>
          <w:color w:val="auto"/>
        </w:rPr>
        <w:t>” will be that number which is the number of shares that were subject to such holder’s Melt RSUs immediately prior to cancellation as aforesaid.</w:t>
      </w:r>
    </w:p>
    <w:p>
      <w:pPr>
        <w:spacing w:after="0" w:line="18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and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amounts payable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will be subject to applicable Tax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The parties intend that payments made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will comply with, or be exempt from, Section 409A of the Code, and this Agreement will be interpreted and administered accordingly. Each payment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is intended to be a separate “payment” for purposes of Section 409A of the Code and, to the greatest extent possible, to constitute payments within the “short-term deferral” period following the lapse of a “substantial risk of forfeiture” (as such terms are defined for purposes of Section 409A of the Code) or to otherwise be paid in compliance with or under an alternative exemption from Section 409A of the Code. To the extent this Agreement (and any definitions hereunder), or any payments hereunder, are not exempt, they shall be construed in a manner that complies with Section 409A of the Code, including by reason of satisfying the “transaction-based compensation” provisions thereunder, including the five-year post-closing payment limitation therein, unless otherwise permissible under Section 409A of the Code, and shall incorporate by reference all required definitions and payment terms.</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15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Equity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Effective Time, the Melt Board shall adopt resolutions terminating all Melt Equity Plans, effective immediately prior to the Effective Time, and confirming that from and after the Effective Time, no holder of a Melt Option, Melt Warrant, Melt RSU or other Melt Equity Right will have any right to acquire any equity securities of Surviving Corporation or Harrow under any Melt Equity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No Working Capital Adjustment; No Escrow.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parties agree that the Merger Consideration will not be subject to any post-Closing adjustment, including any adjustment based on working capital, cash, Indebtedness or transaction expenses. No portion of the Merger Consideration shall be held in escrow or subject to holdback, other than deductions for Taxes under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Section 3.4 Code Section 280G; Stockholder Vote.</w:t>
      </w:r>
    </w:p>
    <w:p>
      <w:pPr>
        <w:spacing w:after="0" w:line="229" w:lineRule="exact"/>
        <w:rPr>
          <w:sz w:val="20"/>
          <w:szCs w:val="20"/>
          <w:color w:val="auto"/>
        </w:rPr>
      </w:pPr>
    </w:p>
    <w:p>
      <w:pPr>
        <w:ind w:left="1540" w:hanging="236"/>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Section 280G of the Code and the regulations promulgated thereunder, Melt shall:</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18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waivers from any “disqualified individuals” (as defined in Section 280G of the Code) of rights to any payments or benefits that could, separately or in the aggregate, constitute “parachute payments” under Section 280G of the Code,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such waived payments and benefits for approval by Melt’s stockholders, in a manner intended to comply with Section 280G(b)(5)(B) of the Code, such that such payments and benefits shall not be subject to the excise tax imposed under Section 4999 of the Code.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stockholder approval is not obtained, such waived payments or benefits will not be made or provided.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3.5 Transfer Taxes; Cooperation.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transfer, documentary, sales, use, registration, stamp and other similar Taxes and fees arising out of or in connection with this Agreement will be borne 100% by Harrow. The parties shall reasonably cooperate to minimize any such Taxes and to prepare and timely file any required Tax Returns or other documentation.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MELT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Melt hereby represents and warrants to Harrow and Merger Sub, except as set forth in the Disclosure Schedules,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Organization and Qualification.</w:t>
      </w:r>
    </w:p>
    <w:p>
      <w:pPr>
        <w:spacing w:after="0" w:line="229" w:lineRule="exact"/>
        <w:rPr>
          <w:sz w:val="20"/>
          <w:szCs w:val="20"/>
          <w:color w:val="auto"/>
        </w:rPr>
      </w:pPr>
    </w:p>
    <w:p>
      <w:pPr>
        <w:ind w:left="1540" w:hanging="236"/>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a corporation duly organized, validly existing and in good standing under the Laws of the State of Delaware.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all requisite corporate power and authority to own, lease and operate its properties and to carry on its business as currently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w:t>
      </w:r>
    </w:p>
    <w:p>
      <w:pPr>
        <w:spacing w:after="0" w:line="207" w:lineRule="exact"/>
        <w:rPr>
          <w:sz w:val="20"/>
          <w:szCs w:val="20"/>
          <w:color w:val="auto"/>
        </w:rPr>
      </w:pPr>
    </w:p>
    <w:p>
      <w:pPr>
        <w:jc w:val="both"/>
        <w:ind w:firstLine="1304"/>
        <w:spacing w:after="0" w:line="266" w:lineRule="auto"/>
        <w:tabs>
          <w:tab w:leader="none" w:pos="15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duly qualified to do business and is in good standing as a foreign corporation in each jurisdiction where the ownership or operation of its properties or conduct of its business requires such qualification, except where the failure to so qualify would not reasonably be expected to result in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 Authority; Enforceability.</w:t>
      </w:r>
    </w:p>
    <w:p>
      <w:pPr>
        <w:spacing w:after="0" w:line="229" w:lineRule="exact"/>
        <w:rPr>
          <w:sz w:val="20"/>
          <w:szCs w:val="20"/>
          <w:color w:val="auto"/>
        </w:rPr>
      </w:pPr>
    </w:p>
    <w:p>
      <w:pPr>
        <w:ind w:left="1580" w:hanging="276"/>
        <w:spacing w:after="0"/>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all requisite corporate power and authority to execute and deliver this Agreement and to consummate the transactions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hereby.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firstLine="1304"/>
        <w:spacing w:after="0" w:line="282"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the performance of its obligations hereunder, and the consummation of the transactions contemplated hereby have been duly authorized by all necessary corporate action.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Melt and, assuming due execution by the other parties hereto, constitutes a valid and binding obligation of Melt enforceable against it in accordance with its terms, subject to applicable bankruptcy, insolvency, reorganization, fraudulent transfer, moratorium and similar Laws affecting creditors’ rights generally and equitable principles.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4.3 Capitalization.</w:t>
      </w:r>
    </w:p>
    <w:p>
      <w:pPr>
        <w:spacing w:after="0" w:line="225" w:lineRule="exact"/>
        <w:rPr>
          <w:sz w:val="20"/>
          <w:szCs w:val="20"/>
          <w:color w:val="auto"/>
        </w:rPr>
      </w:pPr>
    </w:p>
    <w:p>
      <w:pPr>
        <w:ind w:left="1540" w:hanging="236"/>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issued and outstanding shares of capital stock of Melt are set forth on </w:t>
      </w:r>
      <w:r>
        <w:rPr>
          <w:rFonts w:ascii="Times New Roman" w:cs="Times New Roman" w:eastAsia="Times New Roman" w:hAnsi="Times New Roman"/>
          <w:sz w:val="18"/>
          <w:szCs w:val="18"/>
          <w:b w:val="1"/>
          <w:bCs w:val="1"/>
          <w:u w:val="single" w:color="auto"/>
          <w:color w:val="auto"/>
        </w:rPr>
        <w:t>Schedule 4.3</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0" w:firstLine="1304"/>
        <w:spacing w:after="0" w:line="282" w:lineRule="auto"/>
        <w:tabs>
          <w:tab w:leader="none" w:pos="15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capital stock of Melt have been duly authorized and validly issued, are fully paid and nonassessable, and were issued in compliance with applicable Laws and contractual obligations.</w:t>
      </w:r>
    </w:p>
    <w:p>
      <w:pPr>
        <w:spacing w:after="0" w:line="15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b w:val="1"/>
          <w:bCs w:val="1"/>
          <w:u w:val="single" w:color="auto"/>
          <w:color w:val="auto"/>
        </w:rPr>
        <w:t>Schedule 4.3</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952"/>
        <w:spacing w:after="0" w:line="282" w:lineRule="auto"/>
        <w:tabs>
          <w:tab w:leader="none" w:pos="218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subscriptions, options, warrants, calls, convertible securities, stock appreciation rights, phantom equity rights, restricted stock or RSUs, or other rights to acquire equity of Melt or any agreements related to any of the foregoing;</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2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voting trusts, stockholder agreements, proxies, or other agreements or understandings relating to the issuance, voting or transfer of any securities of Melt; and</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bonds, debentures, notes or other Indebtedness of Melt entitle the holders to vote or to receive dividends on equity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Melt.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4.4 Subsidiaries.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Melt does not own, directly or indirectly, any equity interests in any other Person, and has never had any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4.5 No Conflict; Consents.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execution, delivery and performance of this Agreement, and the consummation of the transactions contemplated hereby, do not and will not: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b w:val="1"/>
          <w:bCs w:val="1"/>
          <w:u w:val="single" w:color="auto"/>
          <w:color w:val="auto"/>
        </w:rPr>
        <w:t>Schedule 4.5(a)</w:t>
      </w:r>
      <w:r>
        <w:rPr>
          <w:rFonts w:ascii="Times New Roman" w:cs="Times New Roman" w:eastAsia="Times New Roman" w:hAnsi="Times New Roman"/>
          <w:sz w:val="18"/>
          <w:szCs w:val="18"/>
          <w:color w:val="auto"/>
        </w:rPr>
        <w:t>, conflict with or violate Melt’s certificate of incorporation, bylaws or other organizational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3" w:lineRule="exact"/>
        <w:rPr>
          <w:sz w:val="20"/>
          <w:szCs w:val="20"/>
          <w:color w:val="auto"/>
        </w:rPr>
      </w:pPr>
    </w:p>
    <w:p>
      <w:pPr>
        <w:ind w:right="20" w:firstLine="1304"/>
        <w:spacing w:after="0" w:line="286" w:lineRule="auto"/>
        <w:tabs>
          <w:tab w:leader="none" w:pos="15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b w:val="1"/>
          <w:bCs w:val="1"/>
          <w:u w:val="single" w:color="auto"/>
          <w:color w:val="auto"/>
        </w:rPr>
        <w:t>Schedule 4.5(b)</w:t>
      </w:r>
      <w:r>
        <w:rPr>
          <w:rFonts w:ascii="Times New Roman" w:cs="Times New Roman" w:eastAsia="Times New Roman" w:hAnsi="Times New Roman"/>
          <w:sz w:val="18"/>
          <w:szCs w:val="18"/>
          <w:color w:val="auto"/>
        </w:rPr>
        <w:t>, conflict with, result in a breach of, constitute a default under, or require notice or consent under, any Material Contract or Permit;</w:t>
      </w:r>
    </w:p>
    <w:p>
      <w:pPr>
        <w:spacing w:after="0" w:line="15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Law applicable to Melt or its assets; 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right="20" w:firstLine="1304"/>
        <w:spacing w:after="0" w:line="282" w:lineRule="auto"/>
        <w:tabs>
          <w:tab w:leader="none" w:pos="15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approval, permit, order, authorization, registration, filing or notification from or with any Governmental Authority, other than the filing of the Certificate of Merger with the Secretary of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4.6 Financial Statements; No Undisclosed Liabilities.</w:t>
      </w:r>
    </w:p>
    <w:p>
      <w:pPr>
        <w:spacing w:after="0" w:line="229" w:lineRule="exact"/>
        <w:rPr>
          <w:sz w:val="20"/>
          <w:szCs w:val="20"/>
          <w:color w:val="auto"/>
        </w:rPr>
      </w:pPr>
    </w:p>
    <w:p>
      <w:pPr>
        <w:ind w:right="20" w:firstLine="1304"/>
        <w:spacing w:after="0" w:line="282" w:lineRule="auto"/>
        <w:tabs>
          <w:tab w:leader="none" w:pos="15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delivered to Harrow true and complete copies of its most recent unaudited balance sheet, statements of operations and cash flows for the six-month period ended June 30, 2025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derived from, and are consistent with, the books and records of Melt;</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good faith in accordance with GAAP (subject to the absence of footnotes and year-end adjustments);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26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in all material respects the assets, Liabilities and financial condition and results of operations of Melt as of the dates and for the periods indicated.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are unaudited and prepared without footnotes, and no audit of the Financial Statements has been conducted.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does not have any material Liabilities, except for:</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reflected or reserved against in the Financial Statements;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since the date of the Financial Statements in the ordinary course of business consistent with past practice;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connection with this Agreement.</w:t>
      </w:r>
    </w:p>
    <w:p>
      <w:pPr>
        <w:spacing w:after="0" w:line="221" w:lineRule="exact"/>
        <w:rPr>
          <w:rFonts w:ascii="Times New Roman" w:cs="Times New Roman" w:eastAsia="Times New Roman" w:hAnsi="Times New Roman"/>
          <w:sz w:val="18"/>
          <w:szCs w:val="18"/>
          <w:color w:val="auto"/>
        </w:rPr>
      </w:pPr>
    </w:p>
    <w:p>
      <w:pPr>
        <w:ind w:firstLine="1304"/>
        <w:spacing w:after="0" w:line="286" w:lineRule="auto"/>
        <w:tabs>
          <w:tab w:leader="none" w:pos="15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b w:val="1"/>
          <w:bCs w:val="1"/>
          <w:u w:val="single" w:color="auto"/>
          <w:color w:val="auto"/>
        </w:rPr>
        <w:t>Schedule 4.6(e)</w:t>
      </w:r>
      <w:r>
        <w:rPr>
          <w:rFonts w:ascii="Times New Roman" w:cs="Times New Roman" w:eastAsia="Times New Roman" w:hAnsi="Times New Roman"/>
          <w:sz w:val="18"/>
          <w:szCs w:val="18"/>
          <w:color w:val="auto"/>
        </w:rPr>
        <w:t>, Melt has no off-balance sheet arrangements, obligations or liabilities of the type required to be disclosed in financial statements prepared in accordance with GAAP.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4.7 Absence of Certain Changes.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the date of the Financial Statements:</w:t>
      </w:r>
    </w:p>
    <w:p>
      <w:pPr>
        <w:spacing w:after="0" w:line="225" w:lineRule="exact"/>
        <w:rPr>
          <w:sz w:val="20"/>
          <w:szCs w:val="20"/>
          <w:color w:val="auto"/>
        </w:rPr>
      </w:pPr>
    </w:p>
    <w:p>
      <w:pPr>
        <w:ind w:left="1540" w:hanging="236"/>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conducted its business in the ordinary course in all material respects;</w:t>
      </w:r>
    </w:p>
    <w:p>
      <w:pPr>
        <w:spacing w:after="0" w:line="22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b w:val="1"/>
          <w:bCs w:val="1"/>
          <w:u w:val="single" w:color="auto"/>
          <w:color w:val="auto"/>
        </w:rPr>
        <w:t>Schedule 4.7(b)</w:t>
      </w:r>
      <w:r>
        <w:rPr>
          <w:rFonts w:ascii="Times New Roman" w:cs="Times New Roman" w:eastAsia="Times New Roman" w:hAnsi="Times New Roman"/>
          <w:sz w:val="18"/>
          <w:szCs w:val="18"/>
          <w:color w:val="auto"/>
        </w:rPr>
        <w:t>, there has not been any Material Adverse Effect; and</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Melt has not:</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any Indebtedness for borrowed money;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2220" w:hanging="268"/>
        <w:spacing w:after="0"/>
        <w:tabs>
          <w:tab w:leader="none" w:pos="2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declared dividends;</w:t>
      </w:r>
    </w:p>
    <w:p>
      <w:pPr>
        <w:spacing w:after="0" w:line="22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b w:val="1"/>
          <w:bCs w:val="1"/>
          <w:u w:val="single" w:color="auto"/>
          <w:color w:val="auto"/>
        </w:rPr>
        <w:t>Schedule 4.7(c)(iii)</w:t>
      </w:r>
      <w:r>
        <w:rPr>
          <w:rFonts w:ascii="Times New Roman" w:cs="Times New Roman" w:eastAsia="Times New Roman" w:hAnsi="Times New Roman"/>
          <w:sz w:val="18"/>
          <w:szCs w:val="18"/>
          <w:color w:val="auto"/>
        </w:rPr>
        <w:t>, issued or repurchased equity;</w:t>
      </w:r>
    </w:p>
    <w:p>
      <w:pPr>
        <w:spacing w:after="0" w:line="22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its certificate of incorporation or bylaws; or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Material Contract.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4.8 Compliance with Laws; Permits.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Melt is, and in the past three (3) years has been, in compliance in all material respects with all applicable Laws, including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Laws.</w:t>
      </w:r>
    </w:p>
    <w:p>
      <w:pPr>
        <w:spacing w:after="0" w:line="207" w:lineRule="exact"/>
        <w:rPr>
          <w:sz w:val="20"/>
          <w:szCs w:val="20"/>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holds all material Permits necessary to own and operate its properties and conduct its business as presently conducted.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Permits are in full force and effect, and no suspension, cancellation, modification or revocation thereof is pending or, to the Knowledge of Melt, threatened.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4.9 Material Contracts.</w:t>
      </w:r>
    </w:p>
    <w:p>
      <w:pPr>
        <w:spacing w:after="0" w:line="225" w:lineRule="exact"/>
        <w:rPr>
          <w:sz w:val="20"/>
          <w:szCs w:val="20"/>
          <w:color w:val="auto"/>
        </w:rPr>
      </w:pPr>
    </w:p>
    <w:p>
      <w:pPr>
        <w:ind w:left="1540" w:hanging="236"/>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Schedule 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lists all of the following Contracts as of the Agreement Date (each,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 CMO, and clinical trial agreements;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licenses (inbound or outbound) and any other agreements pertaining to the Intellectual Property Rights as between Melt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other Person;</w:t>
      </w:r>
    </w:p>
    <w:p>
      <w:pPr>
        <w:spacing w:after="0" w:line="206"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involving payments by or to Melt in excess of $250,000 annually;</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 collaboration, partnership or option agreements;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or consulting agreements or offer letters with annual base compensation exceeding $200,000;</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agreements; and</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imposing non-compete or exclusivity obligations on Melt.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valid, binding and enforceable against Melt and, to the Knowledge of Melt, the other parties thereto.</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not in material default under any Material Contract, nor, to the Knowledge of Melt, is any other party.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Section 4.10 Intellectual Property.</w:t>
      </w:r>
    </w:p>
    <w:p>
      <w:pPr>
        <w:spacing w:after="0" w:line="225" w:lineRule="exact"/>
        <w:rPr>
          <w:sz w:val="20"/>
          <w:szCs w:val="20"/>
          <w:color w:val="auto"/>
        </w:rPr>
      </w:pPr>
    </w:p>
    <w:p>
      <w:pPr>
        <w:jc w:val="both"/>
        <w:ind w:firstLine="1304"/>
        <w:spacing w:after="0" w:line="262" w:lineRule="auto"/>
        <w:tabs>
          <w:tab w:leader="none" w:pos="15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Schedule 4.10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a list of (i) all Intellectual Property Rights exclusively owned by Melt that is subject to any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or application by or with any Governmental Authority or private registrar in any jurisdiction as of the date hereof, in each case listing the title and current owner, the jurisdiction in which each has been issued or registered and the application, serial or registration number; and (ii) all material unregistered Intellectual Property Rights exclusively owned by Melt.</w:t>
      </w:r>
    </w:p>
    <w:p>
      <w:pPr>
        <w:spacing w:after="0" w:line="180"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exclusively owns or has valid rights to use all Intellectual Property Rights used in or necessary for the conduct of its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Melt IPR</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Melt IPR are free and clear of Liens.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Melt, all prosecution, issuance, renewal, maintenance and annuity fees for the Melt IPR have been timely paid.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Melt Product does not infringe or misappropriate the Intellectual Property Rights of any third party.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Melt IPR are subject to any outstanding order restricting its use, validity, enforceability or licensing.</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from any Governmental Authority, university, or research institution gives such Person rights in the Melt IPR.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consultants and contractors who contributed to the creation of Melt IPR have executed enforceable agreements assigning such contributions to Melt, or such contributions have been deemed a “work made for hire.”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taken all measures reasonably necessary to protect the confidentiality of its Know-How.</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not currently, and has not in the past three (3) years been, subject to any Legal Proceedings, including any alleging infringement, misappropriation, invalidity or unenforceability of any Melt IPR.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4.11 Regulatory Compliance and Clinical Matters.</w:t>
      </w:r>
    </w:p>
    <w:p>
      <w:pPr>
        <w:spacing w:after="0" w:line="229" w:lineRule="exact"/>
        <w:rPr>
          <w:sz w:val="20"/>
          <w:szCs w:val="20"/>
          <w:color w:val="auto"/>
        </w:rPr>
      </w:pPr>
    </w:p>
    <w:p>
      <w:pPr>
        <w:ind w:left="1540" w:hanging="236"/>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and has been, in compliance in all material respects with all Healthcare Laws and other Laws applicable to its business.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preclinical and clinical studies sponsored by Melt have, in all material respects and to the extent required, been conducted in accordance with applicable FDA regulations, Good Clinical Practices, Good Laboratory Practices and Good Manufacturing Practices.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Melt, all submissions made by Melt to the FDA or other Governmental Authorities were true, complete and not misleading in any material respect when made.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not received any FDA Form 483 observations, warning letters, untitled letters, import alerts, clinical holds or similar correspondence that remain unresolved.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18"/>
          <w:szCs w:val="18"/>
          <w:color w:val="auto"/>
        </w:rPr>
        <w:t>(e) Melt has not engaged any Person debarred under 21 U.S.C. § 335a or disqualified under 21 C.F.R. § 312.70 or § 812.119.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4.12 Litigation.</w:t>
      </w:r>
    </w:p>
    <w:p>
      <w:pPr>
        <w:spacing w:after="0" w:line="229" w:lineRule="exact"/>
        <w:rPr>
          <w:sz w:val="20"/>
          <w:szCs w:val="20"/>
          <w:color w:val="auto"/>
        </w:rPr>
      </w:pPr>
    </w:p>
    <w:p>
      <w:pPr>
        <w:ind w:firstLine="1385"/>
        <w:spacing w:after="0" w:line="282" w:lineRule="auto"/>
        <w:tabs>
          <w:tab w:leader="none" w:pos="16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and during the past three (3) years there have not been any, Legal Proceedings pending, or to the Knowledge of Melt threatened, against Melt.</w:t>
      </w:r>
    </w:p>
    <w:p>
      <w:pPr>
        <w:spacing w:after="0" w:line="161" w:lineRule="exact"/>
        <w:rPr>
          <w:rFonts w:ascii="Times New Roman" w:cs="Times New Roman" w:eastAsia="Times New Roman" w:hAnsi="Times New Roman"/>
          <w:sz w:val="18"/>
          <w:szCs w:val="18"/>
          <w:color w:val="auto"/>
        </w:rPr>
      </w:pPr>
    </w:p>
    <w:p>
      <w:pPr>
        <w:ind w:left="1640" w:hanging="255"/>
        <w:spacing w:after="0"/>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not subject to any outstanding judgment, decree, injunction, ruling or order.</w:t>
      </w:r>
    </w:p>
    <w:p>
      <w:pPr>
        <w:spacing w:after="0" w:line="225" w:lineRule="exact"/>
        <w:rPr>
          <w:rFonts w:ascii="Times New Roman" w:cs="Times New Roman" w:eastAsia="Times New Roman" w:hAnsi="Times New Roman"/>
          <w:sz w:val="18"/>
          <w:szCs w:val="18"/>
          <w:color w:val="auto"/>
        </w:rPr>
      </w:pPr>
    </w:p>
    <w:p>
      <w:pPr>
        <w:ind w:left="1620" w:hanging="235"/>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Melt, there is no reasonable basis for any Legal Proceeding against Melt.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4.13 Real Property and Tangible Assets.</w:t>
      </w:r>
    </w:p>
    <w:p>
      <w:pPr>
        <w:spacing w:after="0" w:line="229" w:lineRule="exact"/>
        <w:rPr>
          <w:sz w:val="20"/>
          <w:szCs w:val="20"/>
          <w:color w:val="auto"/>
        </w:rPr>
      </w:pPr>
    </w:p>
    <w:p>
      <w:pPr>
        <w:ind w:left="1540" w:hanging="236"/>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does not own any real property.</w:t>
      </w:r>
    </w:p>
    <w:p>
      <w:pPr>
        <w:spacing w:after="0" w:line="22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Schedule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lists all real property leased by Melt, and true and correct copies of all lease agreements have been delivered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w:t>
      </w:r>
    </w:p>
    <w:p>
      <w:pPr>
        <w:spacing w:after="0" w:line="207" w:lineRule="exact"/>
        <w:rPr>
          <w:sz w:val="20"/>
          <w:szCs w:val="20"/>
          <w:color w:val="auto"/>
        </w:rPr>
      </w:pPr>
    </w:p>
    <w:p>
      <w:pPr>
        <w:ind w:firstLine="1304"/>
        <w:spacing w:after="0" w:line="282" w:lineRule="auto"/>
        <w:tabs>
          <w:tab w:leader="none" w:pos="15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good and marketable title to, or valid leasehold interests in, all tangible personal property used in its business, free and clear of all Liens other than Permitted Liens.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4.14 Insurance.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Schedule 4.14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lists all insurance policies that are held by Melt, under which Melt a beneficiary, or to which Melt is named as an insured or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payee, including those that pertain to the Melt’s assets, employees or operations, but excluding those maintained in connection with any Benefit Plan. </w:t>
      </w:r>
      <w:r>
        <w:rPr>
          <w:rFonts w:ascii="Times New Roman" w:cs="Times New Roman" w:eastAsia="Times New Roman" w:hAnsi="Times New Roman"/>
          <w:sz w:val="18"/>
          <w:szCs w:val="18"/>
          <w:b w:val="1"/>
          <w:bCs w:val="1"/>
          <w:u w:val="single" w:color="auto"/>
          <w:color w:val="auto"/>
        </w:rPr>
        <w:t>Schedule 4.14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sets forth with respect to each insurance policy, the carrier, policy number and a description or type of coverage, including whether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policy is on an occurrence, or claims made basis. With respect to each such insurance policy (a) such insurance policies are in full force and effect and no material default exists with respect to the obligations of Melt under any such policy, and (b) Melt has not received notice of cancellation or termination of any such insurance policy. Complete and accurate copies of each such insurance policy have been made available to Harrow. There is no claim by Melt pending under any such insurance policy as to which coverage has been denied or disputed by the underwriters of such policy. All premiums payable under such insurance policies have been timely paid, and Melt has otherwise complied in all material respects with the terms and conditions of all such insurance policies. To the Knowledge of Melt, there is no threatened termination of, premium increase with respect to, or material alteration of coverage under, any of such insurance policies. Except as set forth on </w:t>
      </w:r>
      <w:r>
        <w:rPr>
          <w:rFonts w:ascii="Times New Roman" w:cs="Times New Roman" w:eastAsia="Times New Roman" w:hAnsi="Times New Roman"/>
          <w:sz w:val="18"/>
          <w:szCs w:val="18"/>
          <w:b w:val="1"/>
          <w:bCs w:val="1"/>
          <w:u w:val="single" w:color="auto"/>
          <w:color w:val="auto"/>
        </w:rPr>
        <w:t>Schedule 4.14</w:t>
      </w:r>
      <w:r>
        <w:rPr>
          <w:rFonts w:ascii="Times New Roman" w:cs="Times New Roman" w:eastAsia="Times New Roman" w:hAnsi="Times New Roman"/>
          <w:sz w:val="18"/>
          <w:szCs w:val="18"/>
          <w:color w:val="auto"/>
        </w:rPr>
        <w:t>, Melt will after the Closing continue to have coverage under all insurance policies with respect to events occurring prior to the Closing.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4.15 Employee Benefits.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Schedule 4.15(a)</w:t>
      </w:r>
      <w:r>
        <w:rPr>
          <w:rFonts w:ascii="Times New Roman" w:cs="Times New Roman" w:eastAsia="Times New Roman" w:hAnsi="Times New Roman"/>
          <w:sz w:val="18"/>
          <w:szCs w:val="18"/>
          <w:color w:val="auto"/>
        </w:rPr>
        <w:t xml:space="preserve"> lists all Benefit Plans.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1304"/>
        <w:spacing w:after="0" w:line="261" w:lineRule="auto"/>
        <w:tabs>
          <w:tab w:leader="none" w:pos="157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Melt or any trade or business, whether or not incorporated, that is, along with Melt, a member of a controlled group of corporations, under common control, or a member of an affiliated service group, as described in Section 414(b), (c), or (m) of the Code or Section 4001(b)</w:t>
      </w:r>
    </w:p>
    <w:p>
      <w:pPr>
        <w:jc w:val="both"/>
        <w:ind w:firstLine="8"/>
        <w:spacing w:after="0" w:line="25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or that is required to be aggregated with Melt under Section 414(o) of the Code (an “</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maintains, contributes to, is required to contribute to or has ever had any obligation to contribute to, or has any Liability (fixed, contingent or otherwise) under or with respect to any plan or arrangement that is, whether or not terminated: (i) any employee benefit plan that is subject to Title IV of ERISA, Section 302 of ERISA or Section 412, 430 or 4971 of the Code (including a “multiemployer plan” (as defined in Section 4001(a)(3) of ERISA) or a “defined benefit” plan within the meaning of Section 414(j) of the Code or Section 3(35) of ERISA (whether or not subject thereto)); or (ii) a “multiple employer plan” within the meaning of Section 413(c) of the Code or a “multiple employer welfare arrangement” within the meaning of Section 3(40) of ERISA.</w:t>
      </w:r>
    </w:p>
    <w:p>
      <w:pPr>
        <w:spacing w:after="0" w:line="185"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b w:val="1"/>
          <w:bCs w:val="1"/>
          <w:u w:val="single" w:color="auto"/>
          <w:color w:val="auto"/>
        </w:rPr>
        <w:t>Schedule 4.15(c)</w:t>
      </w:r>
      <w:r>
        <w:rPr>
          <w:rFonts w:ascii="Times New Roman" w:cs="Times New Roman" w:eastAsia="Times New Roman" w:hAnsi="Times New Roman"/>
          <w:sz w:val="18"/>
          <w:szCs w:val="18"/>
          <w:color w:val="auto"/>
        </w:rPr>
        <w:t>, or as required by Section 4980B of the Code, Part 6 of Subtitle B of Title I of ERISA or applicable state Law for which the participant pays the full amount of the required premiums or contributions, Melt does not provide, and no written or oral Contracts have been entered into promising or guaranteeing, any current or former employee or other service provider of Melt or its ERISA Affiliates or their respective dependents or beneficiaries coverage under any retiree or post-employment medical, dental, vision, life, or disability insurance or other similar benefit coverage.</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Plan:</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07"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that is intended to qualify under Section 401(a) of the Code is in material compliance with the requirements for qualification under Section 401(a) of the Code and the regulations thereunder. Each such Benefit Plan has either received a favorable determination as to its qualification under the Code or reliance on an opinion or advisory letter as to the qualification of the underlying pre-approved plan document, in either case issued by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upon which it may rely and nothing has occurred with respect to the Benefit Plan which would reasonably be expected to result in the loss of such qualification or exemption or the imposition of any material liabilities, penalty or Tax.</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9"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is and at all times has been established, maintained and administered in compliance in all material respects with its terms and the applicable provisions of ERISA and the Code and the regulations thereunder and other applicable Laws and no event or documentation defect with respect to any Benefit Plan has occurred that would reasonably cause such Benefit Plan to violate the applicable requirements of ERISA, the Code, or other applicable Law, or that could cause Melt to incur any material penalty or other Liability. All payments required to be made to each Benefit Plan with respect to all prior periods have been made or provided for in accordance with the provisions of such Benefit Plan and applicable Law. No material nonexempt “prohibited transaction” (as such term is used in Code Section 4975 or Section 406 of ERISA) has occurred with respect to any Benefit Plan or Melt and Melt’s agents, employees, independent contractors, officers and directors have not breached any fiduciary duty with respect to any Benefit Plan. No Benefit Plan provides benefits to current or former employees or other service providers (including any dependents thereof) outside of the United States, nor is any Benefit Plan subject to any Laws or jurisdiction outside of the United States.</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69"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made available to Harrow, to the extent applicable, a true and complete copy of: (i) the Form 5500 annual report for the three most recently completed years for which such a report was required to have been filed, and attached schedules, audited financial statements and actuarial valuations; (ii) the summary plan description together with each summary of material modifications thereto; (iii) the plan document and all amendments thereto (or, to the extent not reduced to writing, an accurate description of all material terms); (iv) any related trust Contract, insurance policy or other funding instrument; (v) the most recent determination letter, opinion letter or advisory letter issued by the IRS, if applicable with respect to each Benefit Plan intended to be qualified under Code Section 401(a) or 501(c)(9); (vi) any governmental advisory opinions, rulings, compliance statements, closing agreements and similar materials; (vii) the nondiscrimination testing report for the three most recently completed plan years, and (viii) for the three most recent years, all non-ordinary course correspondence with any Governmental Authority in connection with such Benefit Plans.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firstLine="1952"/>
        <w:spacing w:after="0" w:line="282" w:lineRule="auto"/>
        <w:tabs>
          <w:tab w:leader="none" w:pos="226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routine claims for benefits arising in the ordinary course with respect to any Benefit Plan, there are no Legal Proceedings pending or, to the Knowledge of Melt, threatened with respect to any Benefit Plan.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or benefit that could be received (whether in cash or property or the vesting of property), as a result of the execution and delivery of this Agreement or the consummation of the transactions contemplated by this Agreement, by any current or former employee, officer, member, manager, director or other service provider of Melt would not be deductible (including by any direct or indirect members of Melt) by reason of Section 280G of the Code or would be subject to an excise tax under Section 4999 of the Code. Melt has no obligation to reimburse or otherwise “gross-up” any Person for any Tax, including as set forth under Section 409A(a)(1)(B) or 4999 of the Code.</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b w:val="1"/>
          <w:bCs w:val="1"/>
          <w:u w:val="single" w:color="auto"/>
          <w:color w:val="auto"/>
        </w:rPr>
        <w:t>Schedule 4.15(f</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consummation of the transactions contemplated hereby and the execution and delivery of this Agreement, either singly or in conjunction with any other event, will not (i) entitle any current or former employee, director or independent contractor to severance pay or benefits, unemployment compensation or any other payment, or (ii) other than with respect to terminating Melt’s defined contribution 401(k) plan, accelerate the time of payment or vesting or funding or increase the amount of compensation due to any current or former employee, director or independent contractor.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that constitutes any part of a nonqualified deferred compensation plan within the meaning of Section 409A of the Code is, and at all relevant times has been, established, operated and administered in operational and documentary compliance in all material respects with Section 409A of the Code and applicable guidance thereunder, such that no Taxes or interest is due and owing in respect of such Benefit Plan failing to be in compliance therewith. Neither the execution of this Agreement nor the consummation of the transactions contemplated by this Agreement will result in a violation of Section 409A of the Code.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and each Benefit Plan that is a “group health plan” as defined in Section 733(a)(1) of ERISA currently, and at all applicable times have been, in compliance in all material respects with the Patient Protection and Affordable Care Act of 2010, as amended, and all regulations and guidance issued thereunder (collectively, the “</w:t>
      </w:r>
      <w:r>
        <w:rPr>
          <w:rFonts w:ascii="Times New Roman" w:cs="Times New Roman" w:eastAsia="Times New Roman" w:hAnsi="Times New Roman"/>
          <w:sz w:val="18"/>
          <w:szCs w:val="18"/>
          <w:u w:val="single" w:color="auto"/>
          <w:color w:val="auto"/>
        </w:rPr>
        <w:t>ACA</w:t>
      </w:r>
      <w:r>
        <w:rPr>
          <w:rFonts w:ascii="Times New Roman" w:cs="Times New Roman" w:eastAsia="Times New Roman" w:hAnsi="Times New Roman"/>
          <w:sz w:val="18"/>
          <w:szCs w:val="18"/>
          <w:color w:val="auto"/>
        </w:rPr>
        <w:t>”). No event has occurred, and no condition or circumstance exists, that could reasonably be expected to subject Melt or any Benefit Plan to penalties or excise taxes under Sections 4980D or 4980H of the Code or any other provision of the ACA. Each Benefit Plan is in compliance in all material respects with the applicable requirements of Section 4980B of the Code and any similar applicable state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Section 4.16 Employees. </w:t>
      </w:r>
      <w:r>
        <w:rPr>
          <w:rFonts w:ascii="Times New Roman" w:cs="Times New Roman" w:eastAsia="Times New Roman" w:hAnsi="Times New Roman"/>
          <w:sz w:val="18"/>
          <w:szCs w:val="18"/>
          <w:color w:val="auto"/>
        </w:rPr>
        <w:t>With respect to employees of Melt:</w:t>
      </w:r>
    </w:p>
    <w:p>
      <w:pPr>
        <w:spacing w:after="0" w:line="225" w:lineRule="exact"/>
        <w:rPr>
          <w:sz w:val="20"/>
          <w:szCs w:val="20"/>
          <w:color w:val="auto"/>
        </w:rPr>
      </w:pPr>
    </w:p>
    <w:p>
      <w:pPr>
        <w:jc w:val="both"/>
        <w:ind w:firstLine="1304"/>
        <w:spacing w:after="0" w:line="254"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Schedule 4.16(a)(i)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out a complete and accurate list of, for each employee of Melt as of a date no earlier than five 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 to the Agreement Date, such employee’s: name; job title or position; status (whether full-time or part-time); hire date; work location (city, state and country); classification as exempt or non-exempt under the minimum wage and overtime requirements of the Fair Labor Standards Act and similar Laws; current base compensation rate (annual salary, hourly rate, or other form of compensation as applicable); incentive compensation received in the prior calendar year; incentive compensation expected for the current calendar year; leave status (and, if on leave, the nature of the leave and the expected return date); visa status (if applicable); indication of whether such employee is party to a Contract with Melt that governs conditions of employment. </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4.16(a)(ii)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out a complete and accurate list of, for each natural person independent contractor currently engaged by Melt, such contractor’s name;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duties; rate of compensation; start date; and indication of whether such individual is engaged pursuant to an engagement letter, agreement, or similar, with Melt.</w:t>
      </w:r>
    </w:p>
    <w:p>
      <w:pPr>
        <w:spacing w:after="0" w:line="192"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presently pending or existing, and during the three (3) year period prior to the Agreement Date, there has not been, and to the Knowledge of Melt, there is not threatened in writing:</w:t>
      </w:r>
    </w:p>
    <w:p>
      <w:pPr>
        <w:spacing w:after="0" w:line="161"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labor strike, slowdown, picketing, work stoppage, lockout or other labor dispute with respect to the employees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Melt;</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Legal Proceeding against Melt alleging violation of any Law pertaining to labor relations or employment matters, including any charge or complaint filed by an employee or union with the National Labor Relations Board, the Equal Employment Opportunity Commission or any comparable Governmental Authority; or</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not, and during the two (2) year period prior to the Agreement Date has not been, party or bound by to any collective bargaining agreement. To the Knowledge of Melt, as of the Agreement Date, there is no union organization campaign or effort in progress with respect to any employees of Melt, or any application for certification of a collective bargaining agent, nor has any such campaign, effort or application for certification occurred or been threatened during the two (2) year period prior to the Agreement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b w:val="1"/>
          <w:bCs w:val="1"/>
          <w:u w:val="single" w:color="auto"/>
          <w:color w:val="auto"/>
        </w:rPr>
        <w:t>Schedule 4.16(c)</w:t>
      </w:r>
      <w:r>
        <w:rPr>
          <w:rFonts w:ascii="Times New Roman" w:cs="Times New Roman" w:eastAsia="Times New Roman" w:hAnsi="Times New Roman"/>
          <w:sz w:val="18"/>
          <w:szCs w:val="18"/>
          <w:color w:val="auto"/>
        </w:rPr>
        <w:t>, to the Knowledge of Melt, Melt has no material Liability or obligations under any applicable Law, including under or on account of any Benefit Plan, arising out of the misclassification of any Person as a consultant, independent contractor or temporary employee, as applicable, and no such Person is entitled to any compensation or benefits in any material amount from Melt under any applicable Law or Benefit Plan that he or she has not received. All employees of Melt that are classified as exempt under the Fair Labor Standards Act or applicable employment Laws satisfy the requirements of such Laws to be classified as exempt, and no employee classified as exempt is entitled to overtime pay under such applicable Laws or any other Laws. All individuals characterized and treated by Melt as independent contractors are properly classified and treated as independent contractors under all applicable Laws.</w:t>
      </w:r>
    </w:p>
    <w:p>
      <w:pPr>
        <w:spacing w:after="0" w:line="18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Melt, no discrimination, harassment and/or retaliation Legal Proceeding by any employee of Melt is pending or threatened in writing against Melt or employee, officer or director of Melt under the 1964 Civil Rights Acts, the Equal Pay Act, the Age Discrimination in Employment Act, the Americans with Disabilities Act, the Family and Medical Leave Act, the Fair Labor Standards Act, ERISA or any other federal labor or employment Law or comparable state Law. To the Knowledge of Melt, no wrongful discharge, retaliation, libel, slander or other Legal Proceeding by any employee of Melt that arises out of the employment relationship between Melt and any employee of Melt is pending or threatened in writing against Melt under any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ind w:firstLine="1304"/>
        <w:spacing w:after="0" w:line="266" w:lineRule="auto"/>
        <w:tabs>
          <w:tab w:leader="none" w:pos="15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Melt, no employee of Melt is in violation, in any material respect, of any material term of any non-disclosure agreement, non-competition agreement or any other restrictive covenant agreement with a former employer relating to the right of any such employee to be employed by Melt because of the nature of the business conducted by Melt or to the use of trade secrets or proprietary information of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4.17 Taxes.</w:t>
      </w:r>
    </w:p>
    <w:p>
      <w:pPr>
        <w:spacing w:after="0" w:line="229" w:lineRule="exact"/>
        <w:rPr>
          <w:sz w:val="20"/>
          <w:szCs w:val="20"/>
          <w:color w:val="auto"/>
        </w:rPr>
      </w:pPr>
    </w:p>
    <w:p>
      <w:pPr>
        <w:jc w:val="both"/>
        <w:ind w:firstLine="1304"/>
        <w:spacing w:after="0" w:line="258" w:lineRule="auto"/>
        <w:tabs>
          <w:tab w:leader="none" w:pos="15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timely filed all material Tax Returns required to be filed by it and has timely paid all material Taxes required to be paid by it in the manner required by applicable Law whether or not shown on any Tax Return and has no material liability for Taxes in excess of the amounts so paid. All such Tax Returns are true, correct and complete in all material respects and have been prepared in material compliance with all applicable Law. Melt has made available to Harrow true, correct and complete copies of all material Tax Returns, examination reports and statements of deficiencies, adjustments or proposed deficiencies and adjustments in respect of Melt.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 no written claim for material Taxes asserted against Melt that has resulted in a Lien against the property of Melt other than Liens for Taxes not yet due and payable, (ii) no past, current or pending audit of, or Tax controversy associated with, any material Tax Return of Melt is being conducted by a Governmental Authority respect of which Melt has received written notification, (iii) no other procedure, proceeding or contest of any material refund or deficiency in respect of Taxes related to Melt pending or on appeal with any Governmental Authority, (iv) no extension of any statute of limitations on the assessment of any Taxes granted by Melt currently in effect and (v) no extension of time for filing any Tax Return of Melt that has not been filed (other than automatic extensions). No written claim has been made against Melt by any Governmental Authority in a jurisdiction where Melt has not filed a Tax Return that it is or may be subject to Tax in or Tax Return filing requirements by that jurisdiction.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not and has never been a party to or bound by any Tax allocation, indemnity or sharing agreement nor does Melt have any liability or potential liability to another party under any such agreement (other than any agreement entered into in the ordinary course of business and not primarily related to Taxes).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complied in all material respects (and until the Closing will comply in all material respects) with all applicable Law relating to the payment, reporting and withholding of Taxes (including withholding of Taxes pursuant to Sections 1441, 1442, 1445, 1446, 1471, 1472 and 3406 of the Code or similar provisions under any state, local or foreign law), has, within the time and in the manner prescribed by law, deducted or withheld from employee wages or consulting compensation and paid over to the proper Governmental Authority (or is properly holding for such timely payment) all material amounts required to be so withheld and paid over under all applicable Law, including federal and state income Taxes, Federal Insurance Contribution Act, Medicare and Federal Unemployment Tax Act Taxes and Taxes under relevant state income and employment Tax withholding laws, and has timely filed, all material withholding Tax Returns, for all periods through and including the Closing Date. Melt has complied in all material respects (and until the Closing will comply in all material respects) with all applicable Law relating to reporting of information with respect to payments under Sections 6041-6050Y of the Code (and any similar state, local or non-U.S.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ind w:right="20" w:firstLine="1304"/>
        <w:spacing w:after="0" w:line="282" w:lineRule="auto"/>
        <w:tabs>
          <w:tab w:leader="none" w:pos="15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does not own directly or indirectly an interest in a corporation, association, joint venture, partnership, limited liability company or other “business entity” within the meaning of Treasury Regulation Section 301.7701-2(a).</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will not be required to include any material item of income in, or exclude any item of deduction or loss from Taxable income for any Taxable period (or portion thereof) ending after the date of Closing as a result of any (i) change in method of accounting initiated prior to the Closing for a Taxable period ending on or prior to the date of Closing, (ii) “closing agreement” as described in Section 7121 of the Code (or any corresponding or similar provision of state, local or foreign Tax law) executed prior to the Closing, (iii) installment sale or open transaction disposition made on or prior to the date of Closing, or (iv) prepaid amount received prior to the Closing.</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has not constituted either a “distributing corporation” or a “controlled corporation” (each within the meaning of Section 355(a)</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(1)(A) of the Code) in any distribution of stock during the two-year period ending on the date of this Agreement that was purported or intended to be governed by Section 355 of the Code (or so much of Section 356 of the Code as relates to Section 355 of the Code). or in a distribution that could otherwise constitute part of a “plan” or “series of related transactions” (within the meaning of Section 355(e) of the Code) in conjunction with the Merger.</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all Melt Options is at least equal to the fair market value of the Melt Common Stock on the date such Melt Options were granted or repriced, and neither Melt nor Harrow has incurred or will incur any liability to report or withhold Taxes under Section 409A of the Code upon the vesting of any Melt Options. All Melt Options are with respect to “service recipient stock” (as defined under Treasury Regulation 1.409A-1(b)(5)(iii)) of the grantor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4.18 Environmental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 is, and has been, in compliance in all material respects with Environmental Laws. In the past three (3) years, Melt has not received any written notice alleging violation of Environmental Laws. There are no Legal Proceedings pending or, to the Knowledge of Melt, threatened against Melt under Environmental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4.19 Data Privacy and Cybersecurity.</w:t>
      </w:r>
    </w:p>
    <w:p>
      <w:pPr>
        <w:spacing w:after="0" w:line="229" w:lineRule="exact"/>
        <w:rPr>
          <w:sz w:val="20"/>
          <w:szCs w:val="20"/>
          <w:color w:val="auto"/>
        </w:rPr>
      </w:pPr>
    </w:p>
    <w:p>
      <w:pPr>
        <w:jc w:val="both"/>
        <w:ind w:firstLine="1304"/>
        <w:spacing w:after="0" w:line="256" w:lineRule="auto"/>
        <w:tabs>
          <w:tab w:leader="none" w:pos="15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Melt Material Adverse Effect, since January 1, 2022, (i) the IT Assets have not suffered any material failures, bugs, or outages; (ii) Melt has implemented commercially reasonable administrative and technical safeguards designed to protect the integrity, security and confidentiality of Personal Information stored in the IT systems; and (iii) to the Knowledge of Melt, in the past three (3) years, there have been no unauthorized intrusions or breaches of the security of the IT Assets. Melt has purchased a sufficient number of license seats, and scope of rights, for all material third party software used by Melt for its business as currently conducted and have complied in all material respects with the terms of the corresponding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1304"/>
        <w:spacing w:after="0" w:line="256" w:lineRule="auto"/>
        <w:tabs>
          <w:tab w:leader="none" w:pos="15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Melt Material Adverse Effect: (i) Melt is, and since January 1, 2022 has been, in compliance with applicable Data Protection Requirements; and (ii) since January 1, 2022, to the Knowledge of Melt, there have been no breaches, violations, outages or unauthorized uses of or accesses to Personal Information maintained by Melt that would require notification of individuals, law enforcement or any Governmental Authority under any applicable Data Protection Law. Since January 1, 2022 until the Agreement Date, Melt has not received written communication from any Governmental Authority that alleges that Melt is not in compliance with any Data Protection Laws.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Melt, and to the extent required under applicable Data Protection Laws, Melt has provided all notices and obtained all consents and approvals necessary to use and disclose the Personal Information maintained by Melt to the extent required in connection with the operation of Melt’s business as currently conducted except as would not, individually or in the aggregate, reasonably be expected to have a Melt Material Adverse Effect. To the Knowledge of Melt, the consummation of the transactions contemplated by this Agreement will not result in the violation of any Data Protection Requirement in any material respect.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4.20 Related Party Transactions.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b w:val="1"/>
          <w:bCs w:val="1"/>
          <w:u w:val="single" w:color="auto"/>
          <w:color w:val="auto"/>
        </w:rPr>
        <w:t>Schedule 4.20</w:t>
      </w:r>
      <w:r>
        <w:rPr>
          <w:rFonts w:ascii="Times New Roman" w:cs="Times New Roman" w:eastAsia="Times New Roman" w:hAnsi="Times New Roman"/>
          <w:sz w:val="18"/>
          <w:szCs w:val="18"/>
          <w:color w:val="auto"/>
        </w:rPr>
        <w:t>, there are no Contracts or transactions between Melt and any officer, director, stockholder, employee or Affiliate, other than ordinary course employment and consulting arrangements.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4.21 No Misrepresentations.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Subject to the exceptions set forth in the Disclosure Schedules, no representation or warranty or other statement made by Melt in this Agreement, the Disclosure Schedules attached hereto, the certificates delivered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otherwise in connection with this Agreement or the Merger contains any untrue statement of material fact.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4.22 Brokers.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broker, finder, financial advisor or investment banker is entitled to any brokerage, finder’s or similar fee or commission in connection with the Merger or the other transactions contemplated hereby based upon arrangements made by or on behalf of Melt</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4.23 Exclusivity of Representations and Warranties.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(INCLUDING AND, AS MODIFIED BY, THE DISCLOSURE SCHEDULE) ARE THE EXCLUSIVE REPRESENTATIONS AND WARRANTIES MADE BY MELT, AND MELT HEREBY EXPRESSLY DISCLAIMS AND SHALL HAVE NO LIABILITY FOR ANY OTHER REPRESENTATIONS OR WARRANTIES OF ANY KIND OR NATURE, WHETHER WRITTEN OR ORAL, EXPRESS OR IMPLIED, INCLUDING AS TO THE CONDITION, VALUE OR QUALITY OF MELT, ITS BUSINESS OR ASSETS, OR THE CAPITAL STOCK. EXCEPT AS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MELT IS NOT, DIRECTLY OR INDIRECTLY, WHETHER ORALLY OR IN WRITING, MAKING ANY REPRESENTATIONS OR WARRANTIES REGARDING ANY INFORMATION, DOCUMENTS OR MATERIAL MADE AVAILABLE TO HARROW IN ANY “DATA ROOMS,” MANAGEMENT PRESENTATIONS, DUE DILIGENCE OR IN ANY OTHER FORM IN EXPECTATION OF THE TRANSACTIONS CONTEMPLATED HEREBY, AND MELT SPECIFICALLY DISCLAIMS ANY AND ALL REPRESENTATIONS OR WARRANTIES OF ANY KIND, INCLUDING AS TO MERCHANTABILITY, USAGE, SUITABILITY OR FITNESS FOR ANY PARTICULAR PURPOSE WITH RESPECT TO THE ITS ASSETS, ANY PART THEREOF, THE WORKMANSHIP THEREOF, AND THE ABSENCE OF ANY DEFECTS THEREIN, WHETHER LATENT OR PATENT AND HARROW SHALL RELY SOLELY ON ITS OWN EXAMINATION AND INVESTIGATION THEREOF AS WELL AS THE REPRESENTATIONS AND WARRANTIES OF MELT SET FORTH IN THIS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HARROW AND MERGER SUB</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Harrow and Merger Sub, jointly and severally, hereby represent and warrant to Melt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Organization and Qualification.</w:t>
      </w:r>
    </w:p>
    <w:p>
      <w:pPr>
        <w:spacing w:after="0" w:line="229" w:lineRule="exact"/>
        <w:rPr>
          <w:sz w:val="20"/>
          <w:szCs w:val="20"/>
          <w:color w:val="auto"/>
        </w:rPr>
      </w:pPr>
    </w:p>
    <w:p>
      <w:pPr>
        <w:ind w:left="1540" w:hanging="236"/>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is a corporation duly organized, validly existing and in good standing under the Laws of the State of Delaware.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a corporation duly organized, validly existing and in good standing under the Laws of the State of Delaware.</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Harrow and Merger Sub has all requisite corporate power and authority to own, lease and operate its properties and to carry on its business as presently conducted. Merger Sub was formed solely for the purpose of engaging in the transactions contemplated by this Agreement, has not conducted any business operations since its formation, and has no assets, liabilities or obligations of any nature other than those incident to its formation and those contemplated by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Harrow and Merger Sub is duly qualified to do business and is in good standing in each jurisdiction where such qualification is required, except where the failure to so qualify would not reasonably be expected to have a material adverse effect on such party’s ability to perform its obligations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5.2 Ownership of Melt Common Stock.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Harrow has continuously held the capital stock of Melt during the three (3) years preceding the Agreement Date. Harrow acknowledges and agrees that Melt is relying on the representation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ensure compliance with Section 203 of the DGCL.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5.3 Corporate Authority.</w:t>
      </w:r>
    </w:p>
    <w:p>
      <w:pPr>
        <w:spacing w:after="0" w:line="229" w:lineRule="exact"/>
        <w:rPr>
          <w:sz w:val="20"/>
          <w:szCs w:val="20"/>
          <w:color w:val="auto"/>
        </w:rPr>
      </w:pPr>
    </w:p>
    <w:p>
      <w:pPr>
        <w:ind w:firstLine="1304"/>
        <w:spacing w:after="0" w:line="282" w:lineRule="auto"/>
        <w:tabs>
          <w:tab w:leader="none" w:pos="15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Harrow and Merger Sub has the requisite corporate power and authority to execute and deliver this Agreement and to consummate the transactions contemplated hereby.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9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each of Harrow and Merger Sub have been duly and validly authorized by all necessary corporate 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ind w:left="1540" w:hanging="236"/>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corporate proceedings on the part of Harrow or Merger Sub are necessary to authorize this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each of Harrow and Merger Sub and, assuming due execution and delivery by Melt, constitutes the valid and binding obligation of Harrow and Merger Sub, enforceable against them in accordance with its terms, subject to applicable bankruptcy, insolvency, reorganization, fraudulent transfer, moratorium and similar Laws affecting creditors’ rights generally and equitable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5.4 Merger Sub; Capitalization of Merger Sub.</w:t>
      </w:r>
    </w:p>
    <w:p>
      <w:pPr>
        <w:spacing w:after="0" w:line="229" w:lineRule="exact"/>
        <w:rPr>
          <w:sz w:val="20"/>
          <w:szCs w:val="20"/>
          <w:color w:val="auto"/>
        </w:rPr>
      </w:pPr>
    </w:p>
    <w:p>
      <w:pPr>
        <w:ind w:right="20" w:firstLine="1304"/>
        <w:spacing w:after="0" w:line="282" w:lineRule="auto"/>
        <w:tabs>
          <w:tab w:leader="none" w:pos="15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Merger Sub consists of 1,000 shares of common stock, par value $0.0001 per share, all of which shares are validly issued and outstanding.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capital stock of Merger Sub are, and at the Effective Time will be, owned directly by Harrow, free and clear of all Liens.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was formed solely for the purpose of engaging in the Transactions, and, prior to the Effective Time, Merger Sub will have engaged in no business and have no Liabilities or obligations other than in connection with the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5.5 No Conflict; Consents.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execution, delivery and performance of this Agreement by each of Harrow and Merger Sub, and the consummation of the transactions contemplated hereby, do not and will not:</w:t>
      </w:r>
    </w:p>
    <w:p>
      <w:pPr>
        <w:spacing w:after="0" w:line="162" w:lineRule="exact"/>
        <w:rPr>
          <w:sz w:val="20"/>
          <w:szCs w:val="20"/>
          <w:color w:val="auto"/>
        </w:rPr>
      </w:pPr>
    </w:p>
    <w:p>
      <w:pPr>
        <w:ind w:left="1540" w:hanging="236"/>
        <w:spacing w:after="0"/>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violate the certificate of incorporation, bylaws or comparable organizational documents of Harrow or Merger Sub;</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result in a breach of, constitute a default under, or give rise to a right of termination, cancellation or acceleration under, any material contract, permit or license to which Harrow or any of its Subsidiaries (including Merger Sub) is a party;</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Law applicable to Harrow or Merger Sub; or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approval, permit, authorization, registration, filing or notification with or from any Governmental Authority, other than the filing of the Certificate of Merger with the Secretary of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5.6 SEC Reports; Financial Statements.</w:t>
      </w:r>
    </w:p>
    <w:p>
      <w:pPr>
        <w:spacing w:after="0" w:line="229" w:lineRule="exact"/>
        <w:rPr>
          <w:sz w:val="20"/>
          <w:szCs w:val="20"/>
          <w:color w:val="auto"/>
        </w:rPr>
      </w:pPr>
    </w:p>
    <w:p>
      <w:pPr>
        <w:ind w:firstLine="1304"/>
        <w:spacing w:after="0" w:line="282" w:lineRule="auto"/>
        <w:tabs>
          <w:tab w:leader="none" w:pos="15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has filed all forms, reports, statements and other documents required to be filed by it with the SEC since January 1, 2022 (collectively,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dates, the SEC Reports complied in all material respects with the requirements of the Securities Act and the Exchange Act,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SEC Reports, at the time filed (or, if amended or supplemented, at the time of the most recent amendment or supplement), contained any untrue statement of a material fact or omitted to state a material fact required to be stated therein or necessary to make the statements therein, in light of the circumstances under which they were made, not misleading.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firstLine="1304"/>
        <w:spacing w:after="0" w:line="282" w:lineRule="auto"/>
        <w:tabs>
          <w:tab w:leader="none" w:pos="15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Harrow included in the SEC Reports complied as to form in all material respects with applicable accounting requirements and were prepared in accordance with GAAP (except as may be indicated in the notes thereto).</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financial statements fairly present in all material respects the consolidated financial condition, results of operations and cash flows of Harrow and its consolidated Subsidiaries as of the dates and for the periods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5.7 Internal Controls; SOX Compliance.</w:t>
      </w:r>
    </w:p>
    <w:p>
      <w:pPr>
        <w:spacing w:after="0" w:line="229" w:lineRule="exact"/>
        <w:rPr>
          <w:sz w:val="20"/>
          <w:szCs w:val="20"/>
          <w:color w:val="auto"/>
        </w:rPr>
      </w:pPr>
    </w:p>
    <w:p>
      <w:pPr>
        <w:jc w:val="both"/>
        <w:ind w:right="20" w:firstLine="1304"/>
        <w:spacing w:after="0" w:line="266" w:lineRule="auto"/>
        <w:tabs>
          <w:tab w:leader="none" w:pos="15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maintains disclosure controls and procedures (as defined in Rules 13a-15(e) and 15d-15(e) under the Exchange Act) designed to ensure that information required to be disclosed by Harrow in the reports it files with the SEC is recorded, processed, summarized and reported within the time periods specified in the SEC’s rules and forms.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maintains internal control over financial reporting (as defined in Rules 13a-15(f) and 15d-15(f) under the Exchange Act) as required by the Sarbanes-Oxley Act of 2002.</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Harrow’s management has (i) evaluated the effectiveness of its internal control over financial reporting as of the end of its most recent fiscal year and (ii) presented in its most recent annual report on Form 10-K its conclusions about the effectiveness of such controls.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5.8 NASDAQ Listing.</w:t>
      </w:r>
    </w:p>
    <w:p>
      <w:pPr>
        <w:spacing w:after="0" w:line="229" w:lineRule="exact"/>
        <w:rPr>
          <w:sz w:val="20"/>
          <w:szCs w:val="20"/>
          <w:color w:val="auto"/>
        </w:rPr>
      </w:pPr>
    </w:p>
    <w:p>
      <w:pPr>
        <w:ind w:left="1540" w:hanging="236"/>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of Harrow are listed on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is in compliance in all material respects with the listing and maintenance requirements of NASDAQ.</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delisting, suspension of trading or notice of noncompliance has been threatened or received by Harrow.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5.9 Absence of Certain Changes.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date of the most recent balance sheet included in Harrow’s SEC Reports, there has not been any event, change, effect or circumstance that, individually or in the aggregate, has had or would reasonably be expected to have a material adverse effect on Harrow and its Subsidiaries, taken as a whole.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5.10 Funds Available.</w:t>
      </w:r>
    </w:p>
    <w:p>
      <w:pPr>
        <w:spacing w:after="0" w:line="229" w:lineRule="exact"/>
        <w:rPr>
          <w:sz w:val="20"/>
          <w:szCs w:val="20"/>
          <w:color w:val="auto"/>
        </w:rPr>
      </w:pPr>
    </w:p>
    <w:p>
      <w:pPr>
        <w:ind w:firstLine="1304"/>
        <w:spacing w:after="0" w:line="282" w:lineRule="auto"/>
        <w:tabs>
          <w:tab w:leader="none" w:pos="154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has, and will have at the Closing or thereafter, sufficient cash, available lines of credit, or other immediately available funds to pay the aggregate Closing Cash Consideration and all other amounts payable by it pursuant to this Agreement and the Milestone Payment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ind w:firstLine="1304"/>
        <w:spacing w:after="0" w:line="282" w:lineRule="auto"/>
        <w:tabs>
          <w:tab w:leader="none" w:pos="15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receipt or availability of any funds or financing by or to Harrow, Merger Sub or any of their respective Affiliates or any other financing transaction be a condition to any of the obligations of Harrow or Merger Sub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5.11 Investment Company 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Harrow nor Merger Sub is an “investment company” within the meaning of the Investment Company Act of 1940,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5.12 Litigation.</w:t>
      </w:r>
    </w:p>
    <w:p>
      <w:pPr>
        <w:spacing w:after="0" w:line="229" w:lineRule="exact"/>
        <w:rPr>
          <w:sz w:val="20"/>
          <w:szCs w:val="20"/>
          <w:color w:val="auto"/>
        </w:rPr>
      </w:pPr>
    </w:p>
    <w:p>
      <w:pPr>
        <w:jc w:val="both"/>
        <w:ind w:firstLine="1304"/>
        <w:spacing w:after="0" w:line="266" w:lineRule="auto"/>
        <w:tabs>
          <w:tab w:leader="none" w:pos="155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or to the knowledge of Harrow threatened, against Harrow or Merger Sub, or any of their respective properties or assets, that seek to restrain, enjoin, prevent, prohibit, materially delay or otherwise challenge the consummation of the Merger or the other transactions contemplated by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Harrow nor Merger Sub is subject to any outstanding order, judgment, decree, ruling or injunction that, individually or in the aggregate, would reasonably be expected to materially impair Harrow’s or Merger Sub’s ability to consummate the transactions contemplated 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5.13 Brokers.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broker, finder, financial advisor or investment banker is entitled to any brokerage, finder’s or similar fee or commission in connection with the Merger or the other transactions contemplated hereby based upon arrangements made by or on behalf of Harrow or Merger Sub.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5.14 Acknowledgments by Harrow; Non-Reliance.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Harrow acknowledges and agrees that it (a) has conducted its own independent review and analysis of, and, based thereon, has formed an independent judgment concerning, the business, results of operations, assets, condition (financial or otherwise), operations and prospects of Melt and (b) has been furnished with or given full access to such information about Melt and its business and operations as it has requested. In entering into this Agreement, Harrow has relied solely upon its own investigation and analysis and the representations and warranties of Melt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Agreement, and Harrow acknowledges that, except for the representations and warranties expressly made by Melt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neither Melt nor any of its Affiliates, nor any of their respective Representatives, or any other Person makes, has made, shall be deemed to have made, or has been authorized to make any express or implied representation or warranty, at law or in equity, whether written or oral, statutory or otherwise, on behalf of or with respect to Melt, its Affiliates, or any of their respective Representatives or any other Person, their businesses, operations, assets, liabilities, condition (financial or otherwise), results of operations, future operating or financial results, estimates, projections, forecasts, plans or prospects (including the reasonableness of the assumptions underlying such estimates, projections, forecasts, plans or prospects), this Agreement, the Transactions, or the accuracy or completeness of any information regarding Melt, or its Affiliates furnished or made available to (or otherwise acquired by) Harrow, its Affiliates or its or their respective Representatives or any other Person (including any information, documents or materials made available to Harrow, its Affiliates or its or their Respective Representatives or any other Person in any data room or otherwise, in a confidential information memorandum or any management presentations or in any other form), including with respect to any errors therein or omissions therefrom, or as to the future revenue, profitability or success of Melt or its business (including the financial information, projections or other forward-looking statements of Melt or its business, in each case, in expectation or furtherance of the Transactions). Except for those representations and warranties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this Agreement, Harrow hereby disclaims reliance on, and agrees neither Melt nor any of its stockholders will have any liability for, any and all representations, warranties, or statements of any nature or kind, express or implied, including the accuracy or completeness of such representations, warranties, or statements. Harrow hereby waives any and all claims of any nature or kind, including, claims based upon misstatement, omission, or concealment, except for claims based upon the breach of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Notwithstanding the foregoing, Melt and Harrow each hereby acknowledges and agrees that nothing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or elsewhere in this Agreement will prevent a claim against any Person for Fraud in connection the Transactions.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Conduct of Business of Melt.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period beginning on the Agreement Date and ending on the earlier of the Effective Time or termination of this Agreement (the “</w:t>
      </w:r>
      <w:r>
        <w:rPr>
          <w:rFonts w:ascii="Times New Roman" w:cs="Times New Roman" w:eastAsia="Times New Roman" w:hAnsi="Times New Roman"/>
          <w:sz w:val="18"/>
          <w:szCs w:val="18"/>
          <w:u w:val="single" w:color="auto"/>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Melt shall, except (i) as expressly required by this Agreement, and (ii) with the prior written consent of Harrow (which shall not be unreasonably withheld, conditioned or delayed), conduct its business only in the ordinary course consistent with past practice. Without limiting the generality of the foregoing, Melt shall not do any of the following during the Interim Period without the prior written consent of Harrow:</w:t>
      </w:r>
    </w:p>
    <w:p>
      <w:pPr>
        <w:spacing w:after="0" w:line="180" w:lineRule="exact"/>
        <w:rPr>
          <w:sz w:val="20"/>
          <w:szCs w:val="20"/>
          <w:color w:val="auto"/>
        </w:rPr>
      </w:pPr>
    </w:p>
    <w:p>
      <w:pPr>
        <w:ind w:firstLine="1304"/>
        <w:spacing w:after="0" w:line="282" w:lineRule="auto"/>
        <w:tabs>
          <w:tab w:leader="none" w:pos="15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grant, pledge, encumber or otherwise dispose of any shares of its capital stock or other equity securities, or issue any securities convertible into or exchangeable for equity, or grant any options, warrants or other rights to acquire equity;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reclassify, redeem or repurchase any of its capital stock or other equity securities;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in respect of its capital stock;</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bylaws or other organizational documents;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any Indebtedness for borrowed money in excess of $250,000 individually or $500,000 in the aggregate, other than trade payables in the ordinary course;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 advance or capital contribution to, or investment in, any Person in excess of $100,000 individually;</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pledge or otherwise transfer or dispose of any material assets, other than inventory or supplies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156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compromise or settle any material claim or Legal Proceeding, other than settlements not exceeding $100,000 individually or $250,000 in the aggregate that do not impose material equitable relief;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ind w:left="1520" w:hanging="216"/>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principles, practices or methods, except as required by GAAP or applicable Law;</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or assign any material rights, claims or benefits, including with respect to Intellectual Property Rights or the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7" w:lineRule="exact"/>
        <w:rPr>
          <w:sz w:val="20"/>
          <w:szCs w:val="20"/>
          <w:color w:val="auto"/>
        </w:rPr>
      </w:pPr>
    </w:p>
    <w:p>
      <w:pPr>
        <w:ind w:right="20" w:firstLine="1304"/>
        <w:spacing w:after="0" w:line="282" w:lineRule="auto"/>
        <w:tabs>
          <w:tab w:leader="none" w:pos="15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any officer or employee with annual base compensation greater than $200,000, or materially increase compensation or benefits of employees generally, except in the ordinary course consistent with past practice;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or terminate any Melt Equity Plan, bonus, severance, retention or other compensation or benefit plan, except as required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Law;</w:t>
      </w:r>
    </w:p>
    <w:p>
      <w:pPr>
        <w:spacing w:after="0" w:line="20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Material Contract outside the ordinary course;</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capital expenditures, except within 10% of Melt’s approved operating budget provided to Harrow prior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Date;</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effect the insurance policies with limits and deductibles as in effect on Agreement Date;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extend or renew any employment, consulting, severance, retention, change-in-control, transaction bonus or similar agreement or arrangement with any current or former director, officer, employee, consultant or other service provider;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the foregoing.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6.2 Advancement of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15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Harrow shall, within two (2) Business Days following a written request from Melt, pay to Melt via wire of immediately available funds, such amounts as are sufficient funds to cover (i) all of Melt’s reasonable operating expenses during the Interim Period, (ii) all of Melt’s costs and expenses during the Interim Period in connection with Melt conducting any clinical studies and/or trials, (iii) all Melt Transaction Expenses, and (iv) any other expenses reasonably approved by the Melt Board during the Interim Period in connection with the operations of Melt’s business (collectively, the “</w:t>
      </w:r>
      <w:r>
        <w:rPr>
          <w:rFonts w:ascii="Times New Roman" w:cs="Times New Roman" w:eastAsia="Times New Roman" w:hAnsi="Times New Roman"/>
          <w:sz w:val="18"/>
          <w:szCs w:val="18"/>
          <w:u w:val="single" w:color="auto"/>
          <w:color w:val="auto"/>
        </w:rPr>
        <w:t>Interim Costs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this Agreement is terminated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Melt shall repay Harrow, no later than by December 31, 2026, all Interim Costs Harrow paid Melt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Except in the case of a termination of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Melt shall not be required to reimburse Harrow for any of the Interim Costs paid to Melt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6.3 Access to Information; Transition.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Interim Period, Melt shall:</w:t>
      </w:r>
    </w:p>
    <w:p>
      <w:pPr>
        <w:spacing w:after="0" w:line="225" w:lineRule="exact"/>
        <w:rPr>
          <w:sz w:val="20"/>
          <w:szCs w:val="20"/>
          <w:color w:val="auto"/>
        </w:rPr>
      </w:pPr>
    </w:p>
    <w:p>
      <w:pPr>
        <w:jc w:val="both"/>
        <w:ind w:firstLine="1304"/>
        <w:spacing w:after="0" w:line="261" w:lineRule="auto"/>
        <w:tabs>
          <w:tab w:leader="none" w:pos="15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Harrow and its representatives reasonable access, during normal business hours and upon reasonable notice, to Melt’s officers, employees, properties, books, records, contracts, clinical data, regulatory submissions, trial master files, and correspondence with Governmental Authorities; provided that all requests for such access will be directed to Brad Osborne, CFO, or such other Person as Melt may designate in writing from time to time (the “</w:t>
      </w:r>
      <w:r>
        <w:rPr>
          <w:rFonts w:ascii="Times New Roman" w:cs="Times New Roman" w:eastAsia="Times New Roman" w:hAnsi="Times New Roman"/>
          <w:sz w:val="18"/>
          <w:szCs w:val="18"/>
          <w:u w:val="single" w:color="auto"/>
          <w:color w:val="auto"/>
        </w:rPr>
        <w:t>Designated Contacts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1304"/>
        <w:spacing w:after="0" w:line="266" w:lineRule="auto"/>
        <w:tabs>
          <w:tab w:leader="none" w:pos="15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Harrow with copies of all material communications to or from the FDA or other regulatory authorities relating to MELT-300 or any other Melt Product candidate; access shall be provided in a manner not unreasonably disruptive to Melt’s operations and subject to confidentiality obligations owed to third parties;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cooperation to Harrow in planning for the transition of Melt’s clinical and regulatory activities relating to MELT-300, including the plan for transfer of trial master files, investigator files, INDs and correspondence with the FDA;</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preserve relationships with CROs, CMOs, clinical sites, investigators, licensors and consultants material to MELT-300;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Harrow of (i) any material adverse event or other occurrence in connection with MELT-300 or any other Melt Product, (ii) any material communication from the FDA or other regulatory authority, and (iii) any threatened or actual termination of a Material Contract;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require Melt to provide access to information that is subject to attorney-client privilege, attorney work product protection or confidentiality obligations, provided Melt shall use reasonable efforts to provide access through alternative means (e.g., redaction or common-interest arrangements).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Melt does not make any representation or warranty as to the accuracy of any information (if any) provided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Harrow may not rely on the accuracy of any such information, in each case, other than as expressly set forth in Melt’s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the Designated Contacts, Harrow is not authorized to and will not (and will cause its Representatives not to) contact any officer, director, employee, customer, supplier, lessor, lender or other material business relation of Melt prior to the Effective Time without the prior written consent of Melt. The information provided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will be governed by all the terms and conditions of the Confidentiality Agreement, dated February 20, 2025, by and between Harrow and Melt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6.4 No Solicitation.</w:t>
      </w:r>
    </w:p>
    <w:p>
      <w:pPr>
        <w:spacing w:after="0" w:line="229" w:lineRule="exact"/>
        <w:rPr>
          <w:sz w:val="20"/>
          <w:szCs w:val="20"/>
          <w:color w:val="auto"/>
        </w:rPr>
      </w:pPr>
    </w:p>
    <w:p>
      <w:pPr>
        <w:ind w:right="20" w:firstLine="1304"/>
        <w:spacing w:after="0" w:line="282" w:lineRule="auto"/>
        <w:tabs>
          <w:tab w:leader="none" w:pos="155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shall not and shall not permit its Representatives to directly or indirectly, solicit, initiate, or knowingly encourage any inquiry, proposal or offer that constitutes or would reasonably be expected to lead to an Acquisition Proposal.</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shall not furnish any non-public information to, or engage in discussions or negotiations with, any Person regarding 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Proposal.</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shall promptly notify Harrow of the receipt of any Acquisition Proposal, including the material terms thereof and the identity of the Person making such proposal.</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prohibit the Melt Board from taking and disclosing to stockholders its position with respect to an Acquisition Proposal to the extent required by applicable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Section 6.5 Stockholder Approval; Information Statement.</w:t>
      </w:r>
    </w:p>
    <w:p>
      <w:pPr>
        <w:spacing w:after="0" w:line="229" w:lineRule="exact"/>
        <w:rPr>
          <w:sz w:val="20"/>
          <w:szCs w:val="20"/>
          <w:color w:val="auto"/>
        </w:rPr>
      </w:pPr>
    </w:p>
    <w:p>
      <w:pPr>
        <w:jc w:val="both"/>
        <w:ind w:firstLine="1304"/>
        <w:spacing w:after="0" w:line="266" w:lineRule="auto"/>
        <w:tabs>
          <w:tab w:leader="none" w:pos="15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shall duly call and hold a meeting of its stockholders (or solicit written consents) and use reasonable best efforts to obtain the approval of (i) the Melt Disinterested Stockholders, and (ii) the Melt Requisite Stockholders; in each case, of this Agreement, the Merger and other Transactions in accordance with the applicable Law and the governing documents of Melt as promptly as practicable after the Agreement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Law, Melt shall prepare and distribute to its stockholders an information statement describing this Agreement, the Merger and the Merger Consideration, including a summary of the Melt Fairness Opinion, and advising stockholders of their rights to demand appraisal of their shares pursuant to Section 262 of the DGCL.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Harrow shall cooperate with Melt, as reasonably requested by Melt, in communicating with the Melt Stockholders regarding the Merger and the other Transactions for purposes of pursuing Melt Requisite Stockholder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6.6 Public Announcements.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Neither party may issue any release or make such statement regarding the Transaction, without the other party’s consent; except however, that Melt hereby acknowledges and agrees that Harrow may issue the public announcement in the form listed on </w:t>
      </w:r>
      <w:r>
        <w:rPr>
          <w:rFonts w:ascii="Times New Roman" w:cs="Times New Roman" w:eastAsia="Times New Roman" w:hAnsi="Times New Roman"/>
          <w:sz w:val="18"/>
          <w:szCs w:val="18"/>
          <w:b w:val="1"/>
          <w:bCs w:val="1"/>
          <w:u w:val="single" w:color="auto"/>
          <w:color w:val="auto"/>
        </w:rPr>
        <w:t>Schedule 6.6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6.7 Employee Matters; Benefit Plans.</w:t>
      </w:r>
    </w:p>
    <w:p>
      <w:pPr>
        <w:spacing w:after="0" w:line="225" w:lineRule="exact"/>
        <w:rPr>
          <w:sz w:val="20"/>
          <w:szCs w:val="20"/>
          <w:color w:val="auto"/>
        </w:rPr>
      </w:pPr>
    </w:p>
    <w:p>
      <w:pPr>
        <w:jc w:val="both"/>
        <w:ind w:firstLine="1304"/>
        <w:spacing w:after="0" w:line="268" w:lineRule="auto"/>
        <w:tabs>
          <w:tab w:leader="none" w:pos="1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one (1) year after the Effective Time, Harrow shall provide to the Melt employee listed on </w:t>
      </w:r>
      <w:r>
        <w:rPr>
          <w:rFonts w:ascii="Times New Roman" w:cs="Times New Roman" w:eastAsia="Times New Roman" w:hAnsi="Times New Roman"/>
          <w:sz w:val="18"/>
          <w:szCs w:val="18"/>
          <w:b w:val="1"/>
          <w:bCs w:val="1"/>
          <w:u w:val="single" w:color="auto"/>
          <w:color w:val="auto"/>
        </w:rPr>
        <w:t>Schedule 6.7(a)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base salary and employee benefits that, in the aggregate, are not materially less favorable than those provided immediately prior to the Closing.</w:t>
      </w:r>
    </w:p>
    <w:p>
      <w:pPr>
        <w:spacing w:after="0" w:line="174"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give Continuing Employee full credit for purposes of eligibility, vesting and vacation under Harrow benefit plans for service with Melt prior to the Effective Time.</w:t>
      </w:r>
    </w:p>
    <w:p>
      <w:pPr>
        <w:spacing w:after="0" w:line="157" w:lineRule="exact"/>
        <w:rPr>
          <w:rFonts w:ascii="Times New Roman" w:cs="Times New Roman" w:eastAsia="Times New Roman" w:hAnsi="Times New Roman"/>
          <w:sz w:val="18"/>
          <w:szCs w:val="18"/>
          <w:color w:val="auto"/>
        </w:rPr>
      </w:pPr>
    </w:p>
    <w:p>
      <w:pPr>
        <w:ind w:right="20" w:firstLine="1304"/>
        <w:spacing w:after="0" w:line="286" w:lineRule="auto"/>
        <w:tabs>
          <w:tab w:leader="none" w:pos="157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Harrow shall assume and honor all severance and other obligations to of the employees listed on </w:t>
      </w:r>
      <w:r>
        <w:rPr>
          <w:rFonts w:ascii="Times New Roman" w:cs="Times New Roman" w:eastAsia="Times New Roman" w:hAnsi="Times New Roman"/>
          <w:sz w:val="18"/>
          <w:szCs w:val="18"/>
          <w:b w:val="1"/>
          <w:bCs w:val="1"/>
          <w:u w:val="single" w:color="auto"/>
          <w:color w:val="auto"/>
        </w:rPr>
        <w:t>Schedule 6.7(c)</w:t>
      </w:r>
      <w:r>
        <w:rPr>
          <w:rFonts w:ascii="Times New Roman" w:cs="Times New Roman" w:eastAsia="Times New Roman" w:hAnsi="Times New Roman"/>
          <w:sz w:val="18"/>
          <w:szCs w:val="18"/>
          <w:color w:val="auto"/>
        </w:rPr>
        <w:t>, under their respective employment agreements dated May 22, 2024.</w:t>
      </w:r>
    </w:p>
    <w:p>
      <w:pPr>
        <w:spacing w:after="0" w:line="158"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construed to (i) create a right to employment, (ii) prohibit Harrow from terminating Continuing Employee at any time, or (iii) require Harrow to continue any particular Benefit Plan.</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no later than the day immediately preceding the Closing Date, Melt shall terminate its defined contribution (401(k)) plan (the “</w:t>
      </w:r>
      <w:r>
        <w:rPr>
          <w:rFonts w:ascii="Times New Roman" w:cs="Times New Roman" w:eastAsia="Times New Roman" w:hAnsi="Times New Roman"/>
          <w:sz w:val="18"/>
          <w:szCs w:val="18"/>
          <w:u w:val="single" w:color="auto"/>
          <w:color w:val="auto"/>
        </w:rPr>
        <w:t>Melt 401(k) Plan</w:t>
      </w:r>
      <w:r>
        <w:rPr>
          <w:rFonts w:ascii="Times New Roman" w:cs="Times New Roman" w:eastAsia="Times New Roman" w:hAnsi="Times New Roman"/>
          <w:sz w:val="18"/>
          <w:szCs w:val="18"/>
          <w:color w:val="auto"/>
        </w:rPr>
        <w:t xml:space="preserve">”). At Closing, Melt shall provide Harrow with an executed copy of the resolutions of Melt Board approving the termination of Melt 401(k) Plan (effective as of no later than the day immediately preceding the Closing Date). Melt shall take such other actions to implement the termination of, and/or the discontinuance of sponsorship or contribution to, Melt 401(k) Plan in a manner that complies with all applicable Law, including, but not limited to (i) timely and proper adoption (at least one day before Closing) of (x) corporate resolutions approving plan termination and (y) a plan termination amendment; (ii) making, as soon as administratively feasible, the final employee and employer contributions to the Melt 401(k) Plan on account of Compensation earned up through the plan termination effective date; (iii) preparation and submission of annual reports (form 5500); (iv) timely provision of any required notices to participants, trustees and administrators; and (v) processing the final distribution of plan assets and final wind-up of the 401(k) Plan. In the event that termination of the Melt 401(k) Plan would reasonably be anticipated to trigger liquidation charges, surrender charges or other fees (other than administrative expenses in the ordinary course of business), then such charges and/or fees shall be included in transaction expenses and shall be the responsibility of Melt, and Melt shall take such actions as are necessary to reasonably estimate the amount of such charges and/or fees and provide such estimate in writing to Harrow no later than five (5) Business Days prior to the Closing Date. The actions contemplated by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be subject to the review and consent of Harrow, which shall not be unreasonably withheld.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Section 6.8 Directors’ and Officers’ Indemnification; Tail Insurance.</w:t>
      </w:r>
    </w:p>
    <w:p>
      <w:pPr>
        <w:spacing w:after="0" w:line="229" w:lineRule="exact"/>
        <w:rPr>
          <w:sz w:val="20"/>
          <w:szCs w:val="20"/>
          <w:color w:val="auto"/>
        </w:rPr>
      </w:pPr>
    </w:p>
    <w:p>
      <w:pPr>
        <w:jc w:val="both"/>
        <w:ind w:firstLine="1304"/>
        <w:spacing w:after="0" w:line="254" w:lineRule="auto"/>
        <w:tabs>
          <w:tab w:leader="none" w:pos="15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Harrow shall cause Surviving Corporation to indemnify, defend and hold harmless each present and former director and officer of Melt (the “</w:t>
      </w:r>
      <w:r>
        <w:rPr>
          <w:rFonts w:ascii="Times New Roman" w:cs="Times New Roman" w:eastAsia="Times New Roman" w:hAnsi="Times New Roman"/>
          <w:sz w:val="18"/>
          <w:szCs w:val="18"/>
          <w:u w:val="single" w:color="auto"/>
          <w:color w:val="auto"/>
        </w:rPr>
        <w:t>Melt D&amp;O Indemnified Parties</w:t>
      </w:r>
      <w:r>
        <w:rPr>
          <w:rFonts w:ascii="Times New Roman" w:cs="Times New Roman" w:eastAsia="Times New Roman" w:hAnsi="Times New Roman"/>
          <w:sz w:val="18"/>
          <w:szCs w:val="18"/>
          <w:color w:val="auto"/>
        </w:rPr>
        <w:t xml:space="preserve">”) against any losses, liabilities, claims, damages, judgments, fines, fees, costs or expenses (including attorneys’ fees) arising out of acts or omissions occurring at or prior to the Effective Time to the fullest extent permitted under applicable Law. If Harrow or the Surviving Corporation fails to comply with its obligations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and a Melt D&amp;O Indemnified Party commences a suit which results in a determination that Harrow or the Surviving Corporation failed to comply with such obligation, Harrow shall pay such Melt D&amp;O Indemnified Party his or her costs and expenses (including reasonable attorney’s fees and disbursements) in connection with such suit, together with interest thereon at the “prime rate” as published in The Wall Street Journal, Eastern Edition, in effect on the date such payment was required to be made through the date of payment.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8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cause Surviving Corporation to maintain provisions in its certificate of incorporation and bylaws with respect to exculpation and indemnification of directors and officers no less favorable than those in effect immediately prior to the Effective Time.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Melt shall purchase a “tail” insurance policy covering the Melt D&amp;O Indemnified Parties for a period of six (6) years following the Effective Time with coverage not less favorable than Melt’s existing directors’ and officers’ liability insurance policy (the “</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Harrow, the Surviving Corporation or any of its successors or assigns consummates a Change of Control transaction, then, and in each such case, proper provision shall be made so that the successors and assigns of Harrow or the Surviving Corporation, as the case may be, shall assume the obligations set forth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(i) intended to be for the benefit of, and shall be enforceable by, each Melt D&amp;O Indemnified Party, his or her heirs and his or her representatives and (ii) in addition to, and not in substitution for, any other rights to indemnification or contribution that any such individual may have under any certificate of incorporation or bylaws, by contract or otherwise. The obligations of Parent and the Surviving Corporation under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not be terminated or modified in such a manner as to adversely affect the rights of any Melt D&amp;O Indemnified Party unless (x) such termination or modification is required by applicable Law or (y) the affected Melt D&amp;O Indemnified Party shall have consented in writing to such termination or modification (it being expressly agreed that the Melt D&amp;O Indemnified Parties shall be third party beneficiaries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Section 6.9 Further Assurances.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of this Agreement, each party shall use commercially reasonable efforts to take all actions and to do all things necessary, proper or advisable to consummate the transactions contemplated hereby as promptly as practicable, including executing and delivering such additional documents and instruments as may be reasonably requested by the other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6.10 Tax Matters.</w:t>
      </w:r>
    </w:p>
    <w:p>
      <w:pPr>
        <w:spacing w:after="0" w:line="229" w:lineRule="exact"/>
        <w:rPr>
          <w:sz w:val="20"/>
          <w:szCs w:val="20"/>
          <w:color w:val="auto"/>
        </w:rPr>
      </w:pPr>
    </w:p>
    <w:p>
      <w:pPr>
        <w:jc w:val="both"/>
        <w:ind w:firstLine="1304"/>
        <w:spacing w:after="0" w:line="266" w:lineRule="auto"/>
        <w:tabs>
          <w:tab w:leader="none" w:pos="15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as and to the extent reasonably requested by any such Person, in connection with the preparation, execution and filing of all Tax Returns, including by providing information and access to records in possession of such party and in connection with any audit, litigation or proceeding relating to Taxes of Melt.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and other similar Taxes shall be paid by Harrow.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6.11 Section 16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Effective Time, Harrow shall take all such steps as may be necessary to cause any acquisition of Harrow securities in connection with the Merger by officers or directors of Melt who are reasonably expected to become subject to Section 16 of the Exchange Act with respect to Harrow after the Effective Time to be exempt under Rule 16b-3 promulgated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6.12 Confidentiality.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Harrow and Melt agree that they shall be bound by the Confidentiality Agreement with respect to all information, documents and materials exchanged in connection with this Agreement and the negotiations related thereto. The terms of the Confidentiality Agreement are hereby incorporated herein by reference and shall continue in full force and effect until the Closing, at which time the Confidentiality Agreement shall terminate. If this Agreement is, for any reason, terminated prior to the Closing, the Confidentiality Agreement shall continue in full force and effect in accordance with its terms.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 CLOSING DELIVERABLES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 Conditions to Each Party’s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respective obligations of each party to consummate the Merger are subject to the satisfaction or waiver (to the extent permitted by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at or prior to the Closing of each of the following conditions:</w:t>
      </w:r>
    </w:p>
    <w:p>
      <w:pPr>
        <w:spacing w:after="0" w:line="203" w:lineRule="exact"/>
        <w:rPr>
          <w:sz w:val="20"/>
          <w:szCs w:val="20"/>
          <w:color w:val="auto"/>
        </w:rPr>
      </w:pPr>
    </w:p>
    <w:p>
      <w:pPr>
        <w:ind w:left="1540" w:hanging="236"/>
        <w:spacing w:after="0"/>
        <w:tabs>
          <w:tab w:leader="none" w:pos="1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Melt Requisite Stockholder Approval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Melt Requisite Stockholder Approval will have been obtained.</w:t>
      </w:r>
    </w:p>
    <w:p>
      <w:pPr>
        <w:spacing w:after="0" w:line="22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Melt Disinterested Stockholders Approval.</w:t>
      </w:r>
      <w:r>
        <w:rPr>
          <w:rFonts w:ascii="Times New Roman" w:cs="Times New Roman" w:eastAsia="Times New Roman" w:hAnsi="Times New Roman"/>
          <w:sz w:val="18"/>
          <w:szCs w:val="18"/>
          <w:color w:val="auto"/>
        </w:rPr>
        <w:t xml:space="preserve"> The Melt Disinterested Stockholders Approval will have been obtained.</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firstLine="1304"/>
        <w:spacing w:after="0" w:line="268" w:lineRule="auto"/>
        <w:tabs>
          <w:tab w:leader="none" w:pos="15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 temporary restraining order, preliminary or permanent injunction or other order issued by any Governmental Authority of competent jurisdiction will be in effect that has the effect of making the consummation of the Merger illegal or otherwise preventing or prohibiting the consummation of the Merger.</w:t>
      </w:r>
    </w:p>
    <w:p>
      <w:pPr>
        <w:spacing w:after="0" w:line="17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Fairness Opinions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Melt Special Committees will have received the Melt Fairness Opinion, which is in substantial final form as of the Agreement Date, and as of the Closing Date, shall not have been withdrawn, revoked, waived, amended, modified or supplemented in any material respect.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Harrow Special Committee will have received the Harrow Fairness Opinion, which is in substantial final form as of the Agreement Date, and as of the Closing Date, shall not have been withdrawn, revoked, waived, amended, modified or supplemented in any material respect.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7.2 Additional Conditions to Obligations of Harrow and Merger Sub.</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Harrow and Merger Sub to consummate the Merger are also subject to the satisfaction or waiver (to the extent permitted by applicable Law) at or prior to the Closing of each of the following additional conditions:</w:t>
      </w:r>
    </w:p>
    <w:p>
      <w:pPr>
        <w:spacing w:after="0" w:line="158" w:lineRule="exact"/>
        <w:rPr>
          <w:sz w:val="20"/>
          <w:szCs w:val="20"/>
          <w:color w:val="auto"/>
        </w:rPr>
      </w:pPr>
    </w:p>
    <w:p>
      <w:pPr>
        <w:ind w:left="1540" w:hanging="236"/>
        <w:spacing w:after="0"/>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 and Warranties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Melt contained in this Agreement (other than the Fundamental Representations) shall be true and correct as of the Closing Date in all material respects (without giving effect to any “material,” “in all material respects” or similar qualification and except to the extent expressly made as of an earlier date, in which case as of such earlier date).</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23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Representations shall be true and correct in all respects as of the Closing Date (except to the extent expressly made as of an earlier date, in which case as of such earlier date),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failures to be true and correct.</w:t>
      </w:r>
    </w:p>
    <w:p>
      <w:pPr>
        <w:spacing w:after="0" w:line="157" w:lineRule="exact"/>
        <w:rPr>
          <w:rFonts w:ascii="Times New Roman" w:cs="Times New Roman" w:eastAsia="Times New Roman" w:hAnsi="Times New Roman"/>
          <w:sz w:val="18"/>
          <w:szCs w:val="18"/>
          <w:color w:val="auto"/>
        </w:rPr>
      </w:pPr>
    </w:p>
    <w:p>
      <w:pPr>
        <w:ind w:right="20" w:firstLine="1304"/>
        <w:spacing w:after="0" w:line="286" w:lineRule="auto"/>
        <w:tabs>
          <w:tab w:leader="none" w:pos="15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Melt shall have complied with, performed and observed, in all material respects, with each of the covenants, obligations and agreements required to be complied with, performed or observed by Melt under this Agreement prior to the Closing Date.</w:t>
      </w:r>
    </w:p>
    <w:p>
      <w:pPr>
        <w:spacing w:after="0" w:line="154" w:lineRule="exact"/>
        <w:rPr>
          <w:rFonts w:ascii="Times New Roman" w:cs="Times New Roman" w:eastAsia="Times New Roman" w:hAnsi="Times New Roman"/>
          <w:sz w:val="18"/>
          <w:szCs w:val="18"/>
          <w:color w:val="auto"/>
        </w:rPr>
      </w:pPr>
    </w:p>
    <w:p>
      <w:pPr>
        <w:ind w:right="20" w:firstLine="1304"/>
        <w:spacing w:after="0" w:line="286" w:lineRule="auto"/>
        <w:tabs>
          <w:tab w:leader="none" w:pos="155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any disclosures and exceptions set forth on the Disclosure Schedules, no Material Adverse Effect shall have occurred.</w:t>
      </w:r>
    </w:p>
    <w:p>
      <w:pPr>
        <w:spacing w:after="0" w:line="15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Harrow shall have received (i) a certificate, dated the Closing Date and signed by the Chief Executive Officer of Melt, certifying that the conditions set forth in </w:t>
      </w:r>
      <w:r>
        <w:rPr>
          <w:rFonts w:ascii="Times New Roman" w:cs="Times New Roman" w:eastAsia="Times New Roman" w:hAnsi="Times New Roman"/>
          <w:sz w:val="18"/>
          <w:szCs w:val="18"/>
          <w:u w:val="single" w:color="auto"/>
          <w:color w:val="auto"/>
        </w:rPr>
        <w:t>Sections 7.1(d)(i)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7.2(c)</w:t>
      </w:r>
      <w:r>
        <w:rPr>
          <w:rFonts w:ascii="Times New Roman" w:cs="Times New Roman" w:eastAsia="Times New Roman" w:hAnsi="Times New Roman"/>
          <w:sz w:val="18"/>
          <w:szCs w:val="18"/>
          <w:color w:val="auto"/>
        </w:rPr>
        <w:t xml:space="preserve"> have been satisfied, and (ii) a certificate of the Secretary of Melt attaching (A) Melt’s certificate of incorporation and bylaws as in effect immediately prior to the Effective Time, and (B) resolutions of the Melt Special Committee and stockholders approving the execution, delivery and performance of this Agreement and the consummation of the transactions contemplated hereby in the form of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attached hereto (certificates referenced in the foregoing clauses (i) and (ii), collectively, the “</w:t>
      </w:r>
      <w:r>
        <w:rPr>
          <w:rFonts w:ascii="Times New Roman" w:cs="Times New Roman" w:eastAsia="Times New Roman" w:hAnsi="Times New Roman"/>
          <w:sz w:val="18"/>
          <w:szCs w:val="18"/>
          <w:u w:val="single" w:color="auto"/>
          <w:color w:val="auto"/>
        </w:rPr>
        <w:t>Melt Closing Certificates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Section 7.3 Additional Conditions to Obligations of Melt.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Melt to consummate the Merger are also subject to the satisfaction or waiver (to the extent permitted by applicable Law) at or prior to the Closing of each of the following additional conditions:</w:t>
      </w:r>
    </w:p>
    <w:p>
      <w:pPr>
        <w:spacing w:after="0" w:line="158" w:lineRule="exact"/>
        <w:rPr>
          <w:sz w:val="20"/>
          <w:szCs w:val="20"/>
          <w:color w:val="auto"/>
        </w:rPr>
      </w:pPr>
    </w:p>
    <w:p>
      <w:pPr>
        <w:ind w:left="1540" w:hanging="236"/>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 and Warranties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3"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Harrow and Merger Sub contained in this Agreement (other than the Fundamental Representations) shall be true and correct as of the Closing Date in all material respects (without giving effect to any “material,” “in all material respects” or similar qualification and except to the extent expressly made as of an earlier date, in which case as of such earlier date).</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238"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Representations shall be true and correct in all respects as of the Closing Date (except to the extent expressly made as of an earlier date, in which case as of such earlier date),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failures to be true and correct.</w:t>
      </w:r>
    </w:p>
    <w:p>
      <w:pPr>
        <w:spacing w:after="0" w:line="157"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5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Harrow and Merger Sub shall have complied with, performed and observed, in all material respects, each of the covenants and agreements set forth in this Agreement that were to be complied with, performed or observed by Harrow and Merger Sub under this Agreement prior to the Closing Date.</w:t>
      </w:r>
    </w:p>
    <w:p>
      <w:pPr>
        <w:spacing w:after="0" w:line="170"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Melt shall have received:</w:t>
      </w:r>
    </w:p>
    <w:p>
      <w:pPr>
        <w:spacing w:after="0" w:line="229" w:lineRule="exact"/>
        <w:rPr>
          <w:rFonts w:ascii="Times New Roman" w:cs="Times New Roman" w:eastAsia="Times New Roman" w:hAnsi="Times New Roman"/>
          <w:sz w:val="18"/>
          <w:szCs w:val="18"/>
          <w:color w:val="auto"/>
        </w:rPr>
      </w:pPr>
    </w:p>
    <w:p>
      <w:pPr>
        <w:ind w:firstLine="1871"/>
        <w:spacing w:after="0" w:line="282" w:lineRule="auto"/>
        <w:tabs>
          <w:tab w:leader="none" w:pos="20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the Closing Date and signed by a duly authorized officer of Harrow, certifying that the conditions set forth in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 and</w:t>
      </w:r>
    </w:p>
    <w:p>
      <w:pPr>
        <w:spacing w:after="0" w:line="161" w:lineRule="exact"/>
        <w:rPr>
          <w:rFonts w:ascii="Times New Roman" w:cs="Times New Roman" w:eastAsia="Times New Roman" w:hAnsi="Times New Roman"/>
          <w:sz w:val="18"/>
          <w:szCs w:val="18"/>
          <w:color w:val="auto"/>
        </w:rPr>
      </w:pPr>
    </w:p>
    <w:p>
      <w:pPr>
        <w:jc w:val="both"/>
        <w:ind w:firstLine="1871"/>
        <w:spacing w:after="0" w:line="261" w:lineRule="auto"/>
        <w:tabs>
          <w:tab w:leader="none" w:pos="217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the Secretary of Harrow attaching (A) Harrow’s certificate of incorporation and bylaws as in effect immediately prior to the Effective Time, and (B) resolutions of the board of directors of Harrow and the Harrow Special Committee approving the execution, delivery and performance of this Agreement and the consummation of the transactions contemplated hereby in the form of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attached hereto (certificates referenced in the foregoing clauses (i) and (ii), collectively, the “</w:t>
      </w:r>
      <w:r>
        <w:rPr>
          <w:rFonts w:ascii="Times New Roman" w:cs="Times New Roman" w:eastAsia="Times New Roman" w:hAnsi="Times New Roman"/>
          <w:sz w:val="18"/>
          <w:szCs w:val="18"/>
          <w:u w:val="single" w:color="auto"/>
          <w:color w:val="auto"/>
        </w:rPr>
        <w:t>Harrow Closing Certificates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6" w:lineRule="auto"/>
        <w:tabs>
          <w:tab w:leader="none" w:pos="15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Consideration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Harrow has deposited, or caused to be deposited, with Paying Agent the aggregate Closing Cash Consideration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7.4 Frustration of Closing Conditions.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Neither Melt, on the one hand, nor Harrow and Merger Sub, on the other hand, may rely on the failure of any 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if such failure was caused by such party’s breach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7.5 Closing Deliverables.</w:t>
      </w:r>
    </w:p>
    <w:p>
      <w:pPr>
        <w:spacing w:after="0" w:line="229" w:lineRule="exact"/>
        <w:rPr>
          <w:sz w:val="20"/>
          <w:szCs w:val="20"/>
          <w:color w:val="auto"/>
        </w:rPr>
      </w:pPr>
    </w:p>
    <w:p>
      <w:pPr>
        <w:ind w:left="1540" w:hanging="236"/>
        <w:spacing w:after="0"/>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Melt shall deliver or cause to be delivered:</w:t>
      </w:r>
    </w:p>
    <w:p>
      <w:pPr>
        <w:spacing w:after="0" w:line="225" w:lineRule="exact"/>
        <w:rPr>
          <w:rFonts w:ascii="Times New Roman" w:cs="Times New Roman" w:eastAsia="Times New Roman" w:hAnsi="Times New Roman"/>
          <w:sz w:val="18"/>
          <w:szCs w:val="18"/>
          <w:color w:val="auto"/>
        </w:rPr>
      </w:pPr>
    </w:p>
    <w:p>
      <w:pPr>
        <w:ind w:left="5540" w:right="4960" w:hanging="3669"/>
        <w:spacing w:after="0" w:line="409" w:lineRule="auto"/>
        <w:tabs>
          <w:tab w:leader="none" w:pos="2092"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duly executed copy of the Milestone Payment Agreement.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ind w:left="2140" w:hanging="269"/>
        <w:spacing w:after="0"/>
        <w:tabs>
          <w:tab w:leader="none" w:pos="2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Melt Closing Certificates.</w:t>
      </w:r>
    </w:p>
    <w:p>
      <w:pPr>
        <w:spacing w:after="0" w:line="225" w:lineRule="exact"/>
        <w:rPr>
          <w:rFonts w:ascii="Times New Roman" w:cs="Times New Roman" w:eastAsia="Times New Roman" w:hAnsi="Times New Roman"/>
          <w:sz w:val="18"/>
          <w:szCs w:val="18"/>
          <w:color w:val="auto"/>
        </w:rPr>
      </w:pPr>
    </w:p>
    <w:p>
      <w:pPr>
        <w:ind w:left="2180" w:hanging="309"/>
        <w:spacing w:after="0"/>
        <w:tabs>
          <w:tab w:leader="none" w:pos="21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Melt Requisite Stockholder Approval.</w:t>
      </w:r>
    </w:p>
    <w:p>
      <w:pPr>
        <w:spacing w:after="0" w:line="225" w:lineRule="exact"/>
        <w:rPr>
          <w:rFonts w:ascii="Times New Roman" w:cs="Times New Roman" w:eastAsia="Times New Roman" w:hAnsi="Times New Roman"/>
          <w:sz w:val="18"/>
          <w:szCs w:val="18"/>
          <w:color w:val="auto"/>
        </w:rPr>
      </w:pPr>
    </w:p>
    <w:p>
      <w:pPr>
        <w:ind w:left="2180" w:hanging="309"/>
        <w:spacing w:after="0"/>
        <w:tabs>
          <w:tab w:leader="none" w:pos="21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Melt Special Board, approving this Agreement, the Merger and other transactions contemplated hereby.</w:t>
      </w:r>
    </w:p>
    <w:p>
      <w:pPr>
        <w:spacing w:after="0" w:line="225" w:lineRule="exact"/>
        <w:rPr>
          <w:rFonts w:ascii="Times New Roman" w:cs="Times New Roman" w:eastAsia="Times New Roman" w:hAnsi="Times New Roman"/>
          <w:sz w:val="18"/>
          <w:szCs w:val="18"/>
          <w:color w:val="auto"/>
        </w:rPr>
      </w:pPr>
    </w:p>
    <w:p>
      <w:pPr>
        <w:ind w:firstLine="1871"/>
        <w:spacing w:after="0" w:line="282" w:lineRule="auto"/>
        <w:tabs>
          <w:tab w:leader="none" w:pos="213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resignations, effective as of the Effective Time, of each director and officer of Melt designated by Harrow no later than three (3) Business Days prior to the Closing.</w:t>
      </w:r>
    </w:p>
    <w:p>
      <w:pPr>
        <w:spacing w:after="0" w:line="161" w:lineRule="exact"/>
        <w:rPr>
          <w:rFonts w:ascii="Times New Roman" w:cs="Times New Roman" w:eastAsia="Times New Roman" w:hAnsi="Times New Roman"/>
          <w:sz w:val="18"/>
          <w:szCs w:val="18"/>
          <w:color w:val="auto"/>
        </w:rPr>
      </w:pPr>
    </w:p>
    <w:p>
      <w:pPr>
        <w:jc w:val="both"/>
        <w:ind w:firstLine="1871"/>
        <w:spacing w:after="0" w:line="266" w:lineRule="auto"/>
        <w:tabs>
          <w:tab w:leader="none" w:pos="218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payoff letters or evidence reasonably satisfactory to it that any Indebtedness of Melt for borrowed money (other than trade payables and accrued expenses incurred in the ordinary course) has been repaid in full, and that any Liens securing such Indebtedness have been released.</w:t>
      </w:r>
    </w:p>
    <w:p>
      <w:pPr>
        <w:spacing w:after="0" w:line="175" w:lineRule="exact"/>
        <w:rPr>
          <w:rFonts w:ascii="Times New Roman" w:cs="Times New Roman" w:eastAsia="Times New Roman" w:hAnsi="Times New Roman"/>
          <w:sz w:val="18"/>
          <w:szCs w:val="18"/>
          <w:color w:val="auto"/>
        </w:rPr>
      </w:pPr>
    </w:p>
    <w:p>
      <w:pPr>
        <w:ind w:left="2240" w:hanging="369"/>
        <w:spacing w:after="0"/>
        <w:tabs>
          <w:tab w:leader="none" w:pos="22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resolutions of Melt Board approving the termination of Melt 401(k) Plan (effective as of Effective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w:t>
      </w:r>
    </w:p>
    <w:p>
      <w:pPr>
        <w:spacing w:after="0" w:line="206" w:lineRule="exact"/>
        <w:rPr>
          <w:rFonts w:ascii="Times New Roman" w:cs="Times New Roman" w:eastAsia="Times New Roman" w:hAnsi="Times New Roman"/>
          <w:sz w:val="18"/>
          <w:szCs w:val="18"/>
          <w:color w:val="auto"/>
        </w:rPr>
      </w:pPr>
    </w:p>
    <w:p>
      <w:pPr>
        <w:jc w:val="both"/>
        <w:ind w:firstLine="1871"/>
        <w:spacing w:after="0" w:line="266" w:lineRule="auto"/>
        <w:tabs>
          <w:tab w:leader="none" w:pos="228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conforming with the requirements of Treasury Regulations Sections 1.897-2(h) and 1.1445-2(c)(3) certifying that shares of stock of Melt do not constitute “United States real property interests” under Section 897(c) of the Code, together with a notice to the IRS (which shall be filed by the Harrow with the IRS following the Closing) in accordance with the Treasury Regulations Section 1.897-2(h)(2).</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Harrow shall deliver or cause to be delivered:</w:t>
      </w:r>
    </w:p>
    <w:p>
      <w:pPr>
        <w:spacing w:after="0" w:line="225" w:lineRule="exact"/>
        <w:rPr>
          <w:rFonts w:ascii="Times New Roman" w:cs="Times New Roman" w:eastAsia="Times New Roman" w:hAnsi="Times New Roman"/>
          <w:sz w:val="18"/>
          <w:szCs w:val="18"/>
          <w:color w:val="auto"/>
        </w:rPr>
      </w:pPr>
    </w:p>
    <w:p>
      <w:pPr>
        <w:ind w:left="2080" w:hanging="209"/>
        <w:spacing w:after="0"/>
        <w:tabs>
          <w:tab w:leader="none" w:pos="20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copy of the Milestone Payment Agreement.</w:t>
      </w:r>
    </w:p>
    <w:p>
      <w:pPr>
        <w:spacing w:after="0" w:line="225" w:lineRule="exact"/>
        <w:rPr>
          <w:rFonts w:ascii="Times New Roman" w:cs="Times New Roman" w:eastAsia="Times New Roman" w:hAnsi="Times New Roman"/>
          <w:sz w:val="18"/>
          <w:szCs w:val="18"/>
          <w:color w:val="auto"/>
        </w:rPr>
      </w:pPr>
    </w:p>
    <w:p>
      <w:pPr>
        <w:ind w:left="2140" w:hanging="269"/>
        <w:spacing w:after="0"/>
        <w:tabs>
          <w:tab w:leader="none" w:pos="2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Harrow Closing Certificates.</w:t>
      </w:r>
    </w:p>
    <w:p>
      <w:pPr>
        <w:spacing w:after="0" w:line="225" w:lineRule="exact"/>
        <w:rPr>
          <w:rFonts w:ascii="Times New Roman" w:cs="Times New Roman" w:eastAsia="Times New Roman" w:hAnsi="Times New Roman"/>
          <w:sz w:val="18"/>
          <w:szCs w:val="18"/>
          <w:color w:val="auto"/>
        </w:rPr>
      </w:pPr>
    </w:p>
    <w:p>
      <w:pPr>
        <w:ind w:left="2180" w:hanging="309"/>
        <w:spacing w:after="0"/>
        <w:tabs>
          <w:tab w:leader="none" w:pos="21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Harrow Special Board, approving this Agreement, the Merger and other transactions contemplated hereby.</w:t>
      </w:r>
    </w:p>
    <w:p>
      <w:pPr>
        <w:spacing w:after="0" w:line="225" w:lineRule="exact"/>
        <w:rPr>
          <w:rFonts w:ascii="Times New Roman" w:cs="Times New Roman" w:eastAsia="Times New Roman" w:hAnsi="Times New Roman"/>
          <w:sz w:val="18"/>
          <w:szCs w:val="18"/>
          <w:color w:val="auto"/>
        </w:rPr>
      </w:pPr>
    </w:p>
    <w:p>
      <w:pPr>
        <w:ind w:firstLine="1871"/>
        <w:spacing w:after="0" w:line="282" w:lineRule="auto"/>
        <w:tabs>
          <w:tab w:leader="none" w:pos="218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offer letter for the continued engagement of Continuing Employee as Senior Director of Clinical Operations, in form reasonably acceptable to the Continuing Employee.</w:t>
      </w:r>
    </w:p>
    <w:p>
      <w:pPr>
        <w:spacing w:after="0" w:line="157" w:lineRule="exact"/>
        <w:rPr>
          <w:rFonts w:ascii="Times New Roman" w:cs="Times New Roman" w:eastAsia="Times New Roman" w:hAnsi="Times New Roman"/>
          <w:sz w:val="18"/>
          <w:szCs w:val="18"/>
          <w:color w:val="auto"/>
        </w:rPr>
      </w:pPr>
    </w:p>
    <w:p>
      <w:pPr>
        <w:ind w:right="20" w:firstLine="1871"/>
        <w:spacing w:after="0" w:line="286" w:lineRule="auto"/>
        <w:tabs>
          <w:tab w:leader="none" w:pos="213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executed copy of a transition services agreement between Harrow and the consultant listed on </w:t>
      </w:r>
      <w:r>
        <w:rPr>
          <w:rFonts w:ascii="Times New Roman" w:cs="Times New Roman" w:eastAsia="Times New Roman" w:hAnsi="Times New Roman"/>
          <w:sz w:val="18"/>
          <w:szCs w:val="18"/>
          <w:b w:val="1"/>
          <w:bCs w:val="1"/>
          <w:u w:val="single" w:color="auto"/>
          <w:color w:val="auto"/>
        </w:rPr>
        <w:t>Schedule 7.5(b)(v)</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in form reasonably acceptable to the Consultant.</w:t>
      </w:r>
    </w:p>
    <w:p>
      <w:pPr>
        <w:spacing w:after="0" w:line="15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 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terminated, and the Merger and the other transactions contemplated hereby may be abandoned, at any time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whether before or after the approval of this Agreement by the stockholders of Melt, as follows:</w:t>
      </w:r>
    </w:p>
    <w:p>
      <w:pPr>
        <w:spacing w:after="0" w:line="203" w:lineRule="exact"/>
        <w:rPr>
          <w:sz w:val="20"/>
          <w:szCs w:val="20"/>
          <w:color w:val="auto"/>
        </w:rPr>
      </w:pPr>
    </w:p>
    <w:p>
      <w:pPr>
        <w:ind w:left="5540" w:right="1040" w:hanging="4236"/>
        <w:spacing w:after="0" w:line="537" w:lineRule="auto"/>
        <w:tabs>
          <w:tab w:leader="none" w:pos="15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mutual written consent of Harrow and Melt, duly authorized by their respective boards of directors.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1304"/>
        <w:spacing w:after="0" w:line="262" w:lineRule="auto"/>
        <w:tabs>
          <w:tab w:leader="none" w:pos="15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either Harrow or Melt, if the Merger shall not have been consummated on or before December 31, 2025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provided, however, that the right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will not be available to any party whose failure to perform or comply with any obligation under this Agreement has been the primary cause of, or resulted in, the failure of the Merger to be consummated by such date, except to the extent such failure was caused by the other party’s breach of this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Obtain Stockholder Approval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either Harrow or Melt, if the Melt Requisite Stockholder Approval is not obtained at a meeting of Melt’s stockholders (or by written consent in lieu thereof) duly called or solicited for such purpose, including any adjournment or postponement thereof.</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 or Order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either Harrow or Melt, if a Governmental Authority of competent jurisdiction has issued a final, non-appealable Law, judgment, injunction, decree, ruling or order permanently enjoining, restraining or otherwise prohibiting the consummation of the Merger; provided, however, that the right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shall not be available to any party whose failure to use the efforts required hereunder has been a primary cause of such injunction.</w:t>
      </w:r>
    </w:p>
    <w:p>
      <w:pPr>
        <w:spacing w:after="0" w:line="176"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by Melt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Harrow, if Melt has breached, or failed to perform, any of its representations, warranties, covenants or agreements contained in this Agreement, which breach or failure to perform (i) would give rise to the failure of any of the conditions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be satisfied, and (ii) is incapable of being cured, or, if curable, is not cured within thirty (30) days after written notice thereof from Harrow (or such shorter period remaining prior to the Outside Date); provided, however, that, Harrow shall not be permitted to terminate this Agreement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8.1(e)</w:t>
      </w:r>
      <w:r>
        <w:rPr>
          <w:rFonts w:ascii="Times New Roman" w:cs="Times New Roman" w:eastAsia="Times New Roman" w:hAnsi="Times New Roman"/>
          <w:sz w:val="18"/>
          <w:szCs w:val="18"/>
          <w:color w:val="auto"/>
        </w:rPr>
        <w:t xml:space="preserve"> if Harrow or Merger Sub is then in breach of any of its representations, warranties or covenants contained in this Agreement, and such breach would result in the failure of the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to be satisfied.</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by Harrow or Merger Sub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Melt, if Harrow or Merger Sub has breached or failed to perform any of their respective representations, warranties, covenants or agreements contained in this Agreement, which breach or failure to perform (i) would give rise to the failure of any of the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to be satisfied, and (ii) is incapable of being cured, or, if curable, has not been cured within thirty (30) days after written notice thereof is given by Melt to Harrow (or such shorter period remaining prior to the Outside Date); provided, however, that, Melt shall not be permitted to terminate this Agreement pursuant to this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if Melt is then in breach of any of its representations, warranties or covenants contained in this Agreement, and such breach would result in the failure of the conditions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be satisfied.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8.2 Effect of Termination.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event of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shall forthwith become void and of no further force or effect, except that (a)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(Public Announcements),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(Stockholder Representative),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(Miscellaneous) shall survive such termination, and (b) nothing herein shall relieve any party from liability for Fraud or for any willful and intentional breach of this Agreement prior to such 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Section 8.3 Remedies upon Termination.</w:t>
      </w:r>
    </w:p>
    <w:p>
      <w:pPr>
        <w:spacing w:after="0" w:line="229" w:lineRule="exact"/>
        <w:rPr>
          <w:sz w:val="20"/>
          <w:szCs w:val="20"/>
          <w:color w:val="auto"/>
        </w:rPr>
      </w:pPr>
    </w:p>
    <w:p>
      <w:pPr>
        <w:jc w:val="both"/>
        <w:ind w:firstLine="1304"/>
        <w:spacing w:after="0" w:line="266" w:lineRule="auto"/>
        <w:tabs>
          <w:tab w:leader="none" w:pos="15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money damages would not be an adequate remedy for any breach of this Agreement by any party. Accordingly, in the event of any breach or threatened breach by any party of its obligations under this Agreement, the other parties will be entitled to seek equitable relief, including specific performance and injunctive relief, without proof of actual damages and without the necessity of posting bond.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in this Agreement (including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any and all remedies available to a party at law or in equity shall be cumulative and not exclusive of any other remedy. The election of any one or more remedies shall not constitute a waiver of the right to pursue other available remedies.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party be liable for punitive, exemplary, special or consequential damages in connection with this Agreement or the transactions contemplated hereby.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REPRESENTATIVE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9.1 Appointment of Stockholder Representative. </w:t>
      </w:r>
      <w:r>
        <w:rPr>
          <w:rFonts w:ascii="Times New Roman" w:cs="Times New Roman" w:eastAsia="Times New Roman" w:hAnsi="Times New Roman"/>
          <w:sz w:val="18"/>
          <w:szCs w:val="18"/>
          <w:color w:val="auto"/>
        </w:rPr>
        <w:t>Melt Common Stockholders have authorized, directed and appointed Donald Bradford Osborne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Stockholder Representative following the Closing and as the Melt Common Stockholders’ attorney-in-fact and agent in connection with the execution and performance of this Agreement, provided that if Mr. Osborne is unable to serve for any reason, then Larry Dillaha is authorized to serve in his place. This power is irrevocable and coupled with an interest, and shall not be affected by the dissolution or other inability to act of the Melt Common Stockholders. If Stockholder Representative resigns or is removed by the Melt Common Stockholders, Melt Common Stockholders shall (by consent of those Persons entitled to at least a majority of the Merger Consideration), within ten (10) days after such resignation or removal, appoint a successor to Stockholder Representative. Any such successor shall succeed the former Stockholder Representative as Stockholder Representative hereunder.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Authority of Stockholder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Melt Common Stockholders have granted Stockholder Representative full power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following the Closing:</w:t>
      </w:r>
    </w:p>
    <w:p>
      <w:pPr>
        <w:spacing w:after="0" w:line="159" w:lineRule="exact"/>
        <w:rPr>
          <w:sz w:val="20"/>
          <w:szCs w:val="20"/>
          <w:color w:val="auto"/>
        </w:rPr>
      </w:pPr>
    </w:p>
    <w:p>
      <w:pPr>
        <w:ind w:firstLine="1304"/>
        <w:spacing w:after="0" w:line="282" w:lineRule="auto"/>
        <w:tabs>
          <w:tab w:leader="none" w:pos="154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on behalf of Melt Common Stockholders, and to accept delivery of, on behalf of Melt Common Stockholders, such documents as Stockholder Representative determines, in its sole discretion, to be appropriate to consummate this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8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direct any payments due to Melt Common Stockholders, on behalf of Melt Common Stockholders, to the Paying Agent for distribution to Melt Common Stockholders in accordance with the terms of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dispute or refrain from disputing, on behalf of Melt Common Stockholders, any claim made by Harrow under this Agreement;</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and compromise, on behalf of Melt Common Stockholders, any dispute that may arise under, and to exercise or refrain from exercising any remedies available under, this Agreement; and (C) execute, on behalf of Melt Common Stockholders, any settlement agreement, release or other document with respect to such dispute or remedy;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ind w:firstLine="1304"/>
        <w:spacing w:after="0" w:line="266" w:lineRule="auto"/>
        <w:tabs>
          <w:tab w:leader="none" w:pos="15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or agree to, on behalf of Melt Common Stockholders, any and all consents, waivers, amendments or modifications, Stockholder Representative determines, in its sole discretion, to be necessary or appropriate, under this Agreement, and, in each case, to execute and deliver any documents that may be necessary or appropriate in connection therewith;</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on behalf of Melt Common Stockholders, any claim against Harrow arising under this Agreement;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attorneys, accountants and agents at the expense of Melt Common Stockholders;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manage and administer the Expense Fund for the payment of (i) any expenses (including legal, accounting, engineering and other professional fees and expenses) incurred by Stockholder Representative on Melt Common Stockholders’ behalf after the Closing Date with respect to any post-Closing matters (including any negotiations or disputes with respect to the Closing statement, or any Closing working capital adjustment) in connection with this Agreement or the transactions contemplated hereby, or (ii) for other reasonable purposes in connection with this Agreement as Stockholder Representative shall determine in its sole discretion or as otherwise noted elsewhere in this Agreement;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this Agreement (other than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or any of the instruments to be delivered to Harrow by Melt or the Stockholder Representative pursuant to this Agreement;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such instructions and to take such action or refrain from taking such action, on behalf of Melt Common Stockholders, as Stockholder Representative deems, in its sole discretion, necessary or appropriate to carry out the provisions of this Agreement.</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9.3 Expense Fund of Stockholder Representative. </w:t>
      </w:r>
      <w:r>
        <w:rPr>
          <w:rFonts w:ascii="Times New Roman" w:cs="Times New Roman" w:eastAsia="Times New Roman" w:hAnsi="Times New Roman"/>
          <w:sz w:val="18"/>
          <w:szCs w:val="18"/>
          <w:color w:val="auto"/>
        </w:rPr>
        <w:t>Upon the Closing, Harrow will wire $10,000 (the “</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to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which will be used for any expenses incurred by Stockholder Representative. Stockholder Representative will hold these funds separate from its corporate funds and will not voluntarily make these funds available to its creditors in the event of bankruptcy. As soon as practicable following the completion of Stockholder Representative’s responsibilities, Stockholder Representative will deliver any remaining balance of the Expense Fund to Harrow.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9.4 Reliance.</w:t>
      </w:r>
    </w:p>
    <w:p>
      <w:pPr>
        <w:spacing w:after="0" w:line="229" w:lineRule="exact"/>
        <w:rPr>
          <w:sz w:val="20"/>
          <w:szCs w:val="20"/>
          <w:color w:val="auto"/>
        </w:rPr>
      </w:pPr>
    </w:p>
    <w:p>
      <w:pPr>
        <w:jc w:val="both"/>
        <w:ind w:firstLine="1304"/>
        <w:spacing w:after="0" w:line="261" w:lineRule="auto"/>
        <w:tabs>
          <w:tab w:leader="none" w:pos="15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matters in which action by Stockholder Representative is required or permitted, notwithstanding any dispute or disagreement between Melt Common Stockholders and Stockholder Representative, Harrow will be entitled to rely on any and all action taken by Stockholder Representative under this Agreement without any Liability to, or obligation to inquire of, Melt Common Stockholders, regardless of whether Harrow has knowledge of any such dispute or disagreement;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6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Stockholder Representative following the Closing, delivered in a manner provided herein, will be deemed to be notice to Melt Common Stockholders for purposes of this Agreement;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firstLine="1304"/>
        <w:spacing w:after="0" w:line="282" w:lineRule="auto"/>
        <w:tabs>
          <w:tab w:leader="none" w:pos="15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and authority of Stockholder Representative, as described in this Agreement, will continue in force until all rights and obligations of Melt Common Stockholders under this Agreement shall have terminated, expired or been fully performed.</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9.5 Indemnification of Stockholder Representative. </w:t>
      </w:r>
      <w:r>
        <w:rPr>
          <w:rFonts w:ascii="Times New Roman" w:cs="Times New Roman" w:eastAsia="Times New Roman" w:hAnsi="Times New Roman"/>
          <w:sz w:val="18"/>
          <w:szCs w:val="18"/>
          <w:color w:val="auto"/>
        </w:rPr>
        <w:t>Stockholder Representative will incur no liability to Melt Common Stockholders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its services pursuant to this Agreement and any related agreements except to the extent resulting from its gross negligence or willful misconduct. Stockholder Representative will not be liable to Melt Common Stockholders for any action or omission pursuant to the advice of counsel. Harrow shall indemnify Stockholder Representative against any reasonable, documented, and out-of-pocket losses, liabilities and expenses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arising out of or in connection with this Agreement and any related agreements, in each case as such Representative Loss is suffered or incurred; provided, that in the event that any such Representative Loss is finally adjudicated to have been caused by the gross negligence or willful misconduct of Stockholder Representative, Stockholder Representative will reimburse Harrow the amount of such indemnified Representative Loss to the extent attributable to such gross negligence or willful misconduct. In no event will Stockholder Representative be required to advance its own funds. The foregoing indemnity will survive the Closing, the resignation or removal of Stockholder Representative or the termination of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Release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and after the Closing Date, each of Harrow and Melt (each a “</w:t>
      </w:r>
      <w:r>
        <w:rPr>
          <w:rFonts w:ascii="Times New Roman" w:cs="Times New Roman" w:eastAsia="Times New Roman" w:hAnsi="Times New Roman"/>
          <w:sz w:val="18"/>
          <w:szCs w:val="18"/>
          <w:u w:val="single" w:color="auto"/>
          <w:color w:val="auto"/>
        </w:rPr>
        <w:t>Harrow Releasor</w:t>
      </w:r>
      <w:r>
        <w:rPr>
          <w:rFonts w:ascii="Times New Roman" w:cs="Times New Roman" w:eastAsia="Times New Roman" w:hAnsi="Times New Roman"/>
          <w:sz w:val="18"/>
          <w:szCs w:val="18"/>
          <w:color w:val="auto"/>
        </w:rPr>
        <w:t>”), on behalf of itself and its respective Affiliates, heirs, legal representatives, successors and assigns, hereby irrevocably releases, acquits and forever discharges, to the fullest extent permitted by Law, each Melt Common Stockholders and their respective Non-Recourse Parties (each a “</w:t>
      </w:r>
      <w:r>
        <w:rPr>
          <w:rFonts w:ascii="Times New Roman" w:cs="Times New Roman" w:eastAsia="Times New Roman" w:hAnsi="Times New Roman"/>
          <w:sz w:val="18"/>
          <w:szCs w:val="18"/>
          <w:u w:val="single" w:color="auto"/>
          <w:color w:val="auto"/>
        </w:rPr>
        <w:t>Melt Releasee</w:t>
      </w:r>
      <w:r>
        <w:rPr>
          <w:rFonts w:ascii="Times New Roman" w:cs="Times New Roman" w:eastAsia="Times New Roman" w:hAnsi="Times New Roman"/>
          <w:sz w:val="18"/>
          <w:szCs w:val="18"/>
          <w:color w:val="auto"/>
        </w:rPr>
        <w:t>”) of, from and against any and all actions, causes of action, claims, demands, damages, judgments, debts, dues and suits of every kind, nature and description whatsoever (collectively, the “</w:t>
      </w:r>
      <w:r>
        <w:rPr>
          <w:rFonts w:ascii="Times New Roman" w:cs="Times New Roman" w:eastAsia="Times New Roman" w:hAnsi="Times New Roman"/>
          <w:sz w:val="18"/>
          <w:szCs w:val="18"/>
          <w:u w:val="single" w:color="auto"/>
          <w:color w:val="auto"/>
        </w:rPr>
        <w:t>Harrow 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which such Harrow Releasor or its Affiliate, heirs, legal representatives, successors or assigns ever had, now has or may have on or by reason of any matter, cause or thing whatsoever from the beginning of time until the Closing Date. Each Harrow Releasor agrees not to, and agrees to cause its Affiliates, heirs, legal representatives, successors and assigns not to, assert any Harrow Released Claim against the Harrow Releasees. Notwithstanding the foregoing, each Harrow Releasor and its respective heirs, legal representatives, successors and assigns retains, and does not release, and in no event shall any waiver, release or discharge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apply to, (i) any of their rights and interests under the terms of this Agreement, or (ii) any non-waivable statutory rights under applicable Law. Each Harrow Releasor acknowledges that it has received or has had the opportunity to receive independent legal advice from its attorneys regarding this waiver, and each Harrow Releasor hereby assumes full responsibility for any damages, loss or liability which it may incur by reason of such waiver.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10.2 Non-Recourse.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Agreement may only be enforced against, and any claims or causes of action that arise under to this Agreement, or the negotiation, execution or performance of this Agreement may only be made against the Persons that are expressly identified as the parties, including their respective successors and assigns. Notwithstanding any provision of this Agreement to the contrary or otherwise, the parties hereto agree on their own behalf and on behalf of their respective Affiliates that no Non-Recourse Party shall have any liability under this Agreement. Without limiting the rights of any party against the other parties, in no event shall any party seek to enforce this Agreement against or make any claims for breach of this Agreement against any Non-Recourse Party. For the avoidance of doubt, nothing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elsewhere in this Agreement will prevent any claim against any Person for Fraud.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Section 10.3 Survival.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Except as otherwise expressly provided herein, the representations and warranties of the parties contained in this Agreement shall not survive the Closing and shall terminate and expire at the Effective Time. All covenants and agreements contained herein that by their terms contemplate performance after the Effective Time shall survive the Closing until fully performed in accordance with their respective terms. Nothing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will limit any covenant or agreement of the parties that by its express terms contemplates performance after the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10.4 Governing Law; Jurisdiction.</w:t>
      </w:r>
    </w:p>
    <w:p>
      <w:pPr>
        <w:spacing w:after="0" w:line="229" w:lineRule="exact"/>
        <w:rPr>
          <w:sz w:val="20"/>
          <w:szCs w:val="20"/>
          <w:color w:val="auto"/>
        </w:rPr>
      </w:pPr>
    </w:p>
    <w:p>
      <w:pPr>
        <w:jc w:val="both"/>
        <w:ind w:firstLine="1304"/>
        <w:spacing w:after="0" w:line="266" w:lineRule="auto"/>
        <w:tabs>
          <w:tab w:leader="none" w:pos="15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arising out of or relating hereto, shall be governed by and construed in accordance with the Laws of the State of Delaware, without regard to principles of conflicts of Law that would cause the application of the Laws of any other jurisdiction.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irrevocably consents and submits to the exclusive jurisdiction of the Court of Chancery of the State of Delaware, New Castle County, (or, if such court does not have subject matter jurisdiction, the federal courts of the United States of Delaware sitting in Wilmington, Delaware) for the purpose of any Legal Proceeding arising out of this Agreement, (b) agrees that all claims in respect of such action or proceeding shall be heard and determined in any such court, (c) shall not attempt to deny or defeat such personal jurisdiction by motion or other request for leave from any such court and (d) shall not bring any action or proceeding arising out of or relating to this Agreement or any of the Transactions in any other court. Each of the parties hereto waives any defense of inconvenient forum to the maintenance of any action or proceeding so brought and waives any bond, surety or other security that might be required of any other Person with respect thereto.</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agrees that service of process in any Legal Proceeding may be made by mailing copies thereof by registered mail, return receipt requested, to such party at its address provided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10.5 Expenses.</w:t>
      </w:r>
    </w:p>
    <w:p>
      <w:pPr>
        <w:spacing w:after="0" w:line="229" w:lineRule="exact"/>
        <w:rPr>
          <w:sz w:val="20"/>
          <w:szCs w:val="20"/>
          <w:color w:val="auto"/>
        </w:rPr>
      </w:pPr>
    </w:p>
    <w:p>
      <w:pPr>
        <w:jc w:val="both"/>
        <w:ind w:firstLine="1304"/>
        <w:spacing w:after="0" w:line="261" w:lineRule="auto"/>
        <w:tabs>
          <w:tab w:leader="none" w:pos="15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each party will bear its own fees, costs and expenses (including the fees and expenses of its legal counsel, accountants, investment bankers and other advisors) incurred in connection with this Agreement and the transactions contemplated hereby, whether or not the Merger is consummated; provided that in the event this Agreement is terminated by Melt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Harrow shall pay Melt the amount of Melt Transaction Expenses incurred by Melt in connection with negotiations of the Transactions.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Harrow, on the one hand, or Melt or Stockholders Representative, on the other hand, initiate any Legal Proceeding against the other, involving this Agreement or the Transactions, the prevailing party (as determined by the applicable court) in such Legal Proceeding shall be entitled to receive reimbursement from the non-prevailing for all reasonable attorneys’ fees, experts’ fees, and other costs and expenses incurred by the prevailing party in respect of such Legal Proceeding, including any and all appeals thereof, and such reimbursement shall be included in judgment or final order issued in such Legal Proceeding.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Section 10.6 Notices.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notices, requests, demands and other communications required or permitted hereunder shall be in writing and shall be deemed to have been duly given:</w:t>
      </w:r>
    </w:p>
    <w:p>
      <w:pPr>
        <w:spacing w:after="0" w:line="162" w:lineRule="exact"/>
        <w:rPr>
          <w:sz w:val="20"/>
          <w:szCs w:val="20"/>
          <w:color w:val="auto"/>
        </w:rPr>
      </w:pPr>
    </w:p>
    <w:p>
      <w:pPr>
        <w:ind w:left="1540" w:hanging="236"/>
        <w:spacing w:after="0"/>
        <w:tabs>
          <w:tab w:leader="none" w:pos="1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personally to the recipient;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sent by email (with confirmation of transmission);</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 after being sent by a nationally recognized overnight courier;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Business Days after being mailed by certified or registered mail, return receipt requested, postage prepaid.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shall be sent to the addresses set forth below (or to such other address or email as a party may designate by notice to the other parties):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Harrow or Merger Sub:</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Harrow,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1A Burton Hills Blvd., Suite 200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Nashville, TN 37215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Brett Burrell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Melt (prior to Closing):</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Melt Pharmaceuticals,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5511 Virginia Way, Suite 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Brentwood, TN 37027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Lightman; Barry Steinman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 High Street, Suite 2400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 02110-1724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com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Stockholder Representative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Donald Bradford Osborne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Section 10.7 Specific Performance.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agree that monetary damages alone would not be an adequate remedy for breach of this Agreement. Accordingly, the parties agree that the non-breaching party will be entitled to seek specific performance and injunctive relief, without posting bond or other security, in addition to any other remedies at law or in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10.8 Waiver of Jury Trial.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PARTIES HERETO HEREBY IRREVOCABLY AND UNCONDITIONALLY WAIVES, TO THE FULLEST EXTENT PERMITTED BY APPLICABLE LAW, ANY RIGHT TO A TRIAL BY JURY IN ANY ACTION, PROCEEDING OR COUNTERCLAIM ARISING OUT OF OR RELATING TO THIS AGREEMENT, THE MERGER OR THE OTHER TRANSACTIONS CONTEMPLATED HEREBY.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10.9 Assignment.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Agreement may not be assigned by any party (whether by operation of law or otherwise) without the prior written consent of the other parties; provided, however, that Harrow may assign all or any of its rights and obligations under this Agreement to one or more of its Affiliates or in connection with the sale of substantially all of its assets or business (including, for the avoidance of doubt, any Change of Control if deemed an assignment under applicable Law) without the prior written consent of any other party, so long as Harrow requires any successor to agree in writing to assume and be bound by all terms and conditions of this Agreement. Any attempted assignment in violation of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will be null and void. Subject to the foregoing, this Agreement will be binding upon and inure to the benefit of the parties hereto and their respective successors and permitted assigns; provided that no such assignment shall relieve the assigning party of its obligations 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10.10 Entire Agreement; No Reliance.</w:t>
      </w:r>
    </w:p>
    <w:p>
      <w:pPr>
        <w:spacing w:after="0" w:line="229" w:lineRule="exact"/>
        <w:rPr>
          <w:sz w:val="20"/>
          <w:szCs w:val="20"/>
          <w:color w:val="auto"/>
        </w:rPr>
      </w:pPr>
    </w:p>
    <w:p>
      <w:pPr>
        <w:jc w:val="both"/>
        <w:ind w:firstLine="1304"/>
        <w:spacing w:after="0" w:line="266" w:lineRule="auto"/>
        <w:tabs>
          <w:tab w:leader="none" w:pos="159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the Disclosure Schedules and Exhibits hereto), the Milestone Payment Agreement and the other agreements and instruments contemplated hereby constitute the entire agreement among the parties with respect to the subject matter hereof and supersede all prior agreements, negotiations, term sheets, letters of intent and understandings, whether written or oral, among the parties with respect thereto.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8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acknowledges and agrees that it is not relying upon any representation, warranty, statement or promise not expressly set forth in this Agreement, the Disclosure Schedules or the other Transaction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10.11 Amendments and Waivers.</w:t>
      </w:r>
    </w:p>
    <w:p>
      <w:pPr>
        <w:spacing w:after="0" w:line="229" w:lineRule="exact"/>
        <w:rPr>
          <w:sz w:val="20"/>
          <w:szCs w:val="20"/>
          <w:color w:val="auto"/>
        </w:rPr>
      </w:pPr>
    </w:p>
    <w:p>
      <w:pPr>
        <w:jc w:val="both"/>
        <w:ind w:firstLine="1304"/>
        <w:spacing w:after="0" w:line="261" w:lineRule="auto"/>
        <w:tabs>
          <w:tab w:leader="none" w:pos="15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provision of this Agreement may be amended, modified, supplemented or waived prior to the Effective Time if, but only if, such amendment, modification, supplement or waiver is in writing and is signed, in the case of an amendment, modification or supplement by each party to this Agreement (or their respective boards of directors, if required) or, in the case of a waiver, by each party against whom the waiver is to be effective (or its board of directors, if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the Effective Time, this Agreement may not be amended, modified or supplemented.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8"/>
          <w:szCs w:val="18"/>
          <w:color w:val="auto"/>
        </w:rPr>
        <w:t>(b) No failure or delay by any party in exercising any right, power or privilege under this Agreement shall operate as a waiver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10.12 Counterparts; Electronic 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 but all of which together shall constitute one and the same instrument. Delivery of an executed counterpart of this Agreement by electronic means, including by .pdf, DocuSign or other electronic signature technology, shall be deemed as effective as delivery of an original executed counterpart.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10.13 Interpretation.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table of contents and headings in this Agreement are for convenience only and shall not affect the interpretation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580" w:hanging="276"/>
        <w:spacing w:after="0"/>
        <w:tabs>
          <w:tab w:leader="none" w:pos="15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words of similar import, refer to this Agreement as a whole and not to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particular provision.</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the terms “include,” “includes” and “including” shall be deemed to be followed by the words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Articles, Sections, Schedules and Exhibits are to Articles, Sections, Schedules and Exhibits of 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“ordinary course of business” means consistent with past practice and prudent industry standards for a similarly situated life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sciences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10.14 Currency; Time.</w:t>
      </w:r>
    </w:p>
    <w:p>
      <w:pPr>
        <w:spacing w:after="0" w:line="229" w:lineRule="exact"/>
        <w:rPr>
          <w:sz w:val="20"/>
          <w:szCs w:val="20"/>
          <w:color w:val="auto"/>
        </w:rPr>
      </w:pPr>
    </w:p>
    <w:p>
      <w:pPr>
        <w:ind w:left="1540" w:hanging="236"/>
        <w:spacing w:after="0"/>
        <w:tabs>
          <w:tab w:leader="none" w:pos="1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in this Agreement are expressed in United States dollars.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or “dollars” mean lawful currency of the United States.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days shall mean calendar days unless specifically stated as Business Days.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of time ending on a day that is not a Business Day shall end on the next succeeding Business Day.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10.15 Severability.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Agreement is held invalid, illegal or unenforceable in any respect under any applicable Law, the validity, legality and enforceability of the remaining provisions shall not be affected or impaired thereby.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Section 10.16 Third-Party Beneficiaries.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Agreement will be binding upon and inure solely to the benefit of the parties hereto and their respective successors and permitted assigns. Nothing in this Agreement, express or implied, is intended to or shall confer upon any Person other than the parties hereto any legal or equitable right, benefit or remedy of any nature whatsoever, except that (a) the provisions of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(Directors’ and Officers’ Indemnification; Tail Insurance) are intended for the benefit of, and shall be enforceable by, the Melt D&amp;O Indemnified Parties referenced therein, (b) the provisions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(Release) are intended for the benefit of, and shall be enforceable by, the Melt Releasees referenced therein, and (c)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(Non-Recourse) are intended for the benefit of, and shall be enforceable by, the Non-Recourse Parties referenced therein.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10.17 No Presumption Against Drafter.</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Agreement has been reviewed by each of the parties and their respective counsel. The parties agree that any rule of construction to the effect that ambiguities are to be resolved against the drafting party shall not be applied in the interpretation of this Agreement. No presumption will arise in favor of or against any party by virtue of the authorship of any of the provisions of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10.18 Obligation of Parent.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Harrow shall cause Merger Sub to comply in all respects with each of the representations, warranties, covenants, obligations, agreements and undertakings made or required to be performed by Merger Sub in accordance with the terms of this Agreement, the Merger, and the other Transactions. As a material inducement to Melt’s willingness to enter into this Agreement and perform its obligations hereunder, Harrow hereby unconditionally guarantees full performance and payment by Merger Sub of each of the covenants, obligations and undertakings required to be performed by Merger Sub under this Agreement and the Transactions, subject to all terms, conditions and limitations contained in this Agreement, and hereby represents, acknowledges and agrees that any such breach of any such representation and warranty or default in the performance of any such covenant, obligation, agreement or undertaking of Merger Sub shall also be deemed to be a breach or default of Harrow, and Melt shall have the right, exercisable in its sole discretion, to pursue any and all available remedies it may have arising out of any such breach or nonperformance directly against either or both of Harrow and Merger Sub in the first instance. As applicable, references in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to “Merger Sub” shall also include the Surviving Corporation following the Effective Time.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w:t>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t>IN WITNESS WHEREOF, each party hereto has executed this Agreement as of the day and year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HARROW,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HARROW ACQUISITION SUB,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MELT PHARMACEUTICALS,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Larry Dillaha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Larry Dillaha, M.D.</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STOCKHOLDER REPRESENTATIVE</w:t>
      </w:r>
    </w:p>
    <w:p>
      <w:pPr>
        <w:spacing w:after="0" w:line="2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/s/ D. Bradford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18415</wp:posOffset>
            </wp:positionV>
            <wp:extent cx="35572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Donald Bradford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960" w:type="dxa"/>
            <w:vAlign w:val="bottom"/>
          </w:tcPr>
          <w:p>
            <w:pPr>
              <w:jc w:val="center"/>
              <w:ind w:right="4190"/>
              <w:spacing w:after="0"/>
              <w:rPr>
                <w:sz w:val="20"/>
                <w:szCs w:val="20"/>
                <w:color w:val="auto"/>
              </w:rPr>
            </w:pPr>
            <w:r>
              <w:rPr>
                <w:rFonts w:ascii="Times New Roman" w:cs="Times New Roman" w:eastAsia="Times New Roman" w:hAnsi="Times New Roman"/>
                <w:sz w:val="18"/>
                <w:szCs w:val="18"/>
                <w:b w:val="1"/>
                <w:bCs w:val="1"/>
                <w:color w:val="auto"/>
                <w:w w:val="99"/>
              </w:rPr>
              <w:t>SCHEDULES</w:t>
            </w:r>
          </w:p>
        </w:tc>
      </w:tr>
      <w:tr>
        <w:trPr>
          <w:trHeight w:val="414"/>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Schedule 1.1</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Knowledge of Melt</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Schedule 4.3</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Capitalization</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Schedule 4.5</w:t>
            </w:r>
          </w:p>
        </w:tc>
        <w:tc>
          <w:tcPr>
            <w:tcW w:w="69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No Conflicts; Consents</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Schedule 4.6(e)</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Financial Statements</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Schedule 4.7</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Absence of Certain Changes</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Schedule 4.9</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Material Contracts</w:t>
            </w:r>
          </w:p>
        </w:tc>
      </w:tr>
      <w:tr>
        <w:trPr>
          <w:trHeight w:val="216"/>
        </w:trPr>
        <w:tc>
          <w:tcPr>
            <w:tcW w:w="42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Schedule 4.10</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Intellectual Property</w:t>
            </w:r>
          </w:p>
        </w:tc>
      </w:tr>
      <w:tr>
        <w:trPr>
          <w:trHeight w:val="216"/>
        </w:trPr>
        <w:tc>
          <w:tcPr>
            <w:tcW w:w="42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Schedule 4.13</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Real Property</w:t>
            </w:r>
          </w:p>
        </w:tc>
      </w:tr>
      <w:tr>
        <w:trPr>
          <w:trHeight w:val="216"/>
        </w:trPr>
        <w:tc>
          <w:tcPr>
            <w:tcW w:w="42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Schedule 4.14</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Insurance</w:t>
            </w:r>
          </w:p>
        </w:tc>
      </w:tr>
      <w:tr>
        <w:trPr>
          <w:trHeight w:val="216"/>
        </w:trPr>
        <w:tc>
          <w:tcPr>
            <w:tcW w:w="42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Schedule 4.15(a)</w:t>
            </w:r>
          </w:p>
        </w:tc>
        <w:tc>
          <w:tcPr>
            <w:tcW w:w="69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Benefit Plans</w:t>
            </w:r>
          </w:p>
        </w:tc>
      </w:tr>
      <w:tr>
        <w:trPr>
          <w:trHeight w:val="216"/>
        </w:trPr>
        <w:tc>
          <w:tcPr>
            <w:tcW w:w="42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Schedule 4.15(c)</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Benefit Plans Post-Employment</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Schedule 4.15(f)</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Benefit Plans - Closing</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Schedule 4.16(a)(i)</w:t>
            </w:r>
          </w:p>
        </w:tc>
        <w:tc>
          <w:tcPr>
            <w:tcW w:w="69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Employees</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Schedule 4.16(a)(ii)</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Independent Contractors</w:t>
            </w:r>
          </w:p>
        </w:tc>
      </w:tr>
      <w:tr>
        <w:trPr>
          <w:trHeight w:val="216"/>
        </w:trPr>
        <w:tc>
          <w:tcPr>
            <w:tcW w:w="42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Schedule 4.16(c)</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Employee Liability and Obligations</w:t>
            </w:r>
          </w:p>
        </w:tc>
      </w:tr>
      <w:tr>
        <w:trPr>
          <w:trHeight w:val="216"/>
        </w:trPr>
        <w:tc>
          <w:tcPr>
            <w:tcW w:w="42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Schedule 4.20</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Related Party Transactions</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Schedule 6.6</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Public Announcements</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Schedule 6.7(a)</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Continuing Employee</w:t>
            </w: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Schedule 6.7(c)</w:t>
            </w:r>
          </w:p>
        </w:tc>
        <w:tc>
          <w:tcPr>
            <w:tcW w:w="69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Severance and Other Employee Obligations</w:t>
            </w:r>
          </w:p>
        </w:tc>
      </w:tr>
      <w:tr>
        <w:trPr>
          <w:trHeight w:val="234"/>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Schedule 7.5(b)(v)</w:t>
            </w:r>
          </w:p>
        </w:tc>
        <w:tc>
          <w:tcPr>
            <w:tcW w:w="69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Consultant</w:t>
            </w:r>
          </w:p>
        </w:tc>
      </w:tr>
      <w:tr>
        <w:trPr>
          <w:trHeight w:val="459"/>
        </w:trPr>
        <w:tc>
          <w:tcPr>
            <w:tcW w:w="42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684" w:right="339" w:bottom="1440" w:gutter="0" w:footer="0" w:header="0"/>
        </w:sectPr>
      </w:pPr>
    </w:p>
    <w:bookmarkStart w:id="60" w:name="page61"/>
    <w:bookmarkEnd w:id="60"/>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 Form of Certificate of Merger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(Template DGCL form with standard merger language; to be filed with Delaware Secretary of State.)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 Form of Melt Closing Certificate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(Certifying compliance with reps, warranties, covenants, no MAE.)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b w:val="1"/>
          <w:bCs w:val="1"/>
          <w:color w:val="auto"/>
        </w:rPr>
        <w:t xml:space="preserve"> – Form of Harrow Closing Certificate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(Certifying compliance with reps, warranties,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PAYMENT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MILESTONE PAYMENT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24, 2025, is entered into by and among HARROW, INC., a Delaware corporation (“</w:t>
      </w:r>
      <w:r>
        <w:rPr>
          <w:rFonts w:ascii="Times New Roman" w:cs="Times New Roman" w:eastAsia="Times New Roman" w:hAnsi="Times New Roman"/>
          <w:sz w:val="18"/>
          <w:szCs w:val="18"/>
          <w:u w:val="single" w:color="auto"/>
          <w:color w:val="auto"/>
        </w:rPr>
        <w:t>Harrow</w:t>
      </w:r>
      <w:r>
        <w:rPr>
          <w:rFonts w:ascii="Times New Roman" w:cs="Times New Roman" w:eastAsia="Times New Roman" w:hAnsi="Times New Roman"/>
          <w:sz w:val="18"/>
          <w:szCs w:val="18"/>
          <w:color w:val="auto"/>
        </w:rPr>
        <w:t>”) and Donald Bradford Osborne, solely in his capacity as representative of the former stockholders of Melt Pharmaceuticals, Inc. (“</w:t>
      </w:r>
      <w:r>
        <w:rPr>
          <w:rFonts w:ascii="Times New Roman" w:cs="Times New Roman" w:eastAsia="Times New Roman" w:hAnsi="Times New Roman"/>
          <w:sz w:val="18"/>
          <w:szCs w:val="18"/>
          <w:u w:val="single" w:color="auto"/>
          <w:color w:val="auto"/>
        </w:rPr>
        <w:t>Stockholder Representative</w:t>
      </w:r>
      <w:r>
        <w:rPr>
          <w:rFonts w:ascii="Times New Roman" w:cs="Times New Roman" w:eastAsia="Times New Roman" w:hAnsi="Times New Roman"/>
          <w:sz w:val="18"/>
          <w:szCs w:val="18"/>
          <w:color w:val="auto"/>
        </w:rPr>
        <w:t>”). Capitalized terms used but not defined in this Agreement will have the meanings assigned to them in the Merger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1.1 Defined Terms. </w:t>
      </w: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Net Sales</w:t>
      </w:r>
      <w:r>
        <w:rPr>
          <w:rFonts w:ascii="Times New Roman" w:cs="Times New Roman" w:eastAsia="Times New Roman" w:hAnsi="Times New Roman"/>
          <w:sz w:val="18"/>
          <w:szCs w:val="18"/>
          <w:color w:val="auto"/>
        </w:rPr>
        <w:t>” means Net Sales occurring From January 1 through December 31 of any calendar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Melt Business</w:t>
      </w:r>
      <w:r>
        <w:rPr>
          <w:rFonts w:ascii="Times New Roman" w:cs="Times New Roman" w:eastAsia="Times New Roman" w:hAnsi="Times New Roman"/>
          <w:sz w:val="18"/>
          <w:szCs w:val="18"/>
          <w:color w:val="auto"/>
        </w:rPr>
        <w:t>” means business of Melt as currently conducted and as proposed to be conducted.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“Commercially Reasonable Efforts” </w:t>
      </w:r>
      <w:r>
        <w:rPr>
          <w:rFonts w:ascii="Times New Roman" w:cs="Times New Roman" w:eastAsia="Times New Roman" w:hAnsi="Times New Roman"/>
          <w:sz w:val="18"/>
          <w:szCs w:val="18"/>
          <w:color w:val="auto"/>
        </w:rPr>
        <w:t>means the efforts, expertise and resources normally used by a pharmaceutical company of similar size and resources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 product of similar market potential, profitability and stage of development.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“FDA Approval” </w:t>
      </w:r>
      <w:r>
        <w:rPr>
          <w:rFonts w:ascii="Times New Roman" w:cs="Times New Roman" w:eastAsia="Times New Roman" w:hAnsi="Times New Roman"/>
          <w:sz w:val="18"/>
          <w:szCs w:val="18"/>
          <w:color w:val="auto"/>
        </w:rPr>
        <w:t>means, with respect to any Melt Product, receipt of any regulatory approval, licensure or authorization granted by the FDA permitting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marketing or selling of such Melt Product in the United States for any purpose in any medical field.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means the Agreement and Plan of Merger, dated as of September 24, 2025, by and among Harrow, Harrow Acquisition Sub, Inc., Melt Pharmaceuticals, Inc., and the Stockholder Representative.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“Milestones” </w:t>
      </w:r>
      <w:r>
        <w:rPr>
          <w:rFonts w:ascii="Times New Roman" w:cs="Times New Roman" w:eastAsia="Times New Roman" w:hAnsi="Times New Roman"/>
          <w:sz w:val="18"/>
          <w:szCs w:val="18"/>
          <w:color w:val="auto"/>
        </w:rPr>
        <w:t>means the Regulatory Milestones and the Commercial Milestones (each as defined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means the Regulatory Milestone Payments and Commercial Milestone Payments.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for all purposes under this Agreement shall be accounted for in accordance with standard accounting practices, as practiced by Harrow,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its respective sublicensees in the relevant country in the Territory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GAAP), but in any event consistent with Harrow’s revenue recognition policy. Net Sales will also include royalties and any other revenues or profit distributions received by Harrow related to a Melt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 dispositions of any product by Harrow to its Affiliates or by Harrow or its Affiliates to its respective sublicensees, in each case, for resale shall not be considered to be a sale for purposes of the definition of Net Sales hereunder unless such Affiliate end customer or sublicensee end customer is the last person in the distribution chain of the product, and (ii) any royalties or other payments made to Harrow’s Affiliates shall not be deducted when determining the amount of Net Sales. In any event, any amounts received or invoiced by Harrow, its Affiliates, or its sublicensees shall be accounted for only once. For purposes of determining Net Sales, a product shall be deemed to be sold when recorded as a sale by Harrow, its Affiliates or its respective sublicensees in accordance with the applicable accounting standards. For clarity, a particular deduction may only be accounted for once in the calculation of Net Sales. Net Sales shall exclude any samples of product transferred or disposed of at no expense for promotional or educational purposes.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“Payment Amount” </w:t>
      </w:r>
      <w:r>
        <w:rPr>
          <w:rFonts w:ascii="Times New Roman" w:cs="Times New Roman" w:eastAsia="Times New Roman" w:hAnsi="Times New Roman"/>
          <w:sz w:val="18"/>
          <w:szCs w:val="18"/>
          <w:color w:val="auto"/>
        </w:rPr>
        <w:t>means the Regulatory Milestone Payments and the Commercial Milestone Payments payable upon achievement of each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Milestone, as set forth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Period</w:t>
      </w:r>
      <w:r>
        <w:rPr>
          <w:rFonts w:ascii="Times New Roman" w:cs="Times New Roman" w:eastAsia="Times New Roman" w:hAnsi="Times New Roman"/>
          <w:sz w:val="18"/>
          <w:szCs w:val="18"/>
          <w:color w:val="auto"/>
        </w:rPr>
        <w:t>” means the period beginning on the Closing Date and ending on June 30, 2036.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Regulatory Milestones.</w:t>
      </w:r>
    </w:p>
    <w:p>
      <w:pPr>
        <w:spacing w:after="0" w:line="229" w:lineRule="exact"/>
        <w:rPr>
          <w:sz w:val="20"/>
          <w:szCs w:val="20"/>
          <w:color w:val="auto"/>
        </w:rPr>
      </w:pPr>
    </w:p>
    <w:p>
      <w:pPr>
        <w:jc w:val="both"/>
        <w:ind w:firstLine="1304"/>
        <w:spacing w:after="0" w:line="261" w:lineRule="auto"/>
        <w:tabs>
          <w:tab w:leader="none" w:pos="154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Harrow shall pay Paying Agent, for further disbursement to the Melt Common Stockholders (other than Harrow and Merger Sub) and the holders of Melt Options, Melt Warrants and Melt RSU’s (subject to Section 3.2 of the Merger Agreement), the amounts set forth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Regulatory Milestone Payment</w:t>
      </w:r>
      <w:r>
        <w:rPr>
          <w:rFonts w:ascii="Times New Roman" w:cs="Times New Roman" w:eastAsia="Times New Roman" w:hAnsi="Times New Roman"/>
          <w:sz w:val="18"/>
          <w:szCs w:val="18"/>
          <w:color w:val="auto"/>
        </w:rPr>
        <w:t xml:space="preserve">”) upon the achievement of each regulatory Milestone event set forth on and in accordance with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(e.g., FDA Approval, J-Code (or similar designation) assignment) (each a “</w:t>
      </w:r>
      <w:r>
        <w:rPr>
          <w:rFonts w:ascii="Times New Roman" w:cs="Times New Roman" w:eastAsia="Times New Roman" w:hAnsi="Times New Roman"/>
          <w:sz w:val="18"/>
          <w:szCs w:val="18"/>
          <w:b w:val="1"/>
          <w:bCs w:val="1"/>
          <w:color w:val="auto"/>
        </w:rPr>
        <w:t>Regulatory Milestone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Regulatory Milestone Payment shall be payable only once upon the achievement of the applicable Regulatory Milestone.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Regulatory Milestone must be achieved on or before December 31, 2035.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Commercial Milestones.</w:t>
      </w:r>
    </w:p>
    <w:p>
      <w:pPr>
        <w:spacing w:after="0" w:line="229" w:lineRule="exact"/>
        <w:rPr>
          <w:sz w:val="20"/>
          <w:szCs w:val="20"/>
          <w:color w:val="auto"/>
        </w:rPr>
      </w:pPr>
    </w:p>
    <w:p>
      <w:pPr>
        <w:jc w:val="both"/>
        <w:ind w:firstLine="1304"/>
        <w:spacing w:after="0" w:line="261" w:lineRule="auto"/>
        <w:tabs>
          <w:tab w:leader="none" w:pos="15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Harrow shall pay or issue (as applicable) to the Paying Agent, for further disbursement to the Melt Common Stockholders (other than Harrow and Merger Sub) and the holders of Melt Options Melt Warrants and Melt RSUs (subject to Section 3.2 of the Merger Agreement), the amounts or the shares (as appliable) set forth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Commercial Milestone Payment</w:t>
      </w:r>
      <w:r>
        <w:rPr>
          <w:rFonts w:ascii="Times New Roman" w:cs="Times New Roman" w:eastAsia="Times New Roman" w:hAnsi="Times New Roman"/>
          <w:sz w:val="18"/>
          <w:szCs w:val="18"/>
          <w:color w:val="auto"/>
        </w:rPr>
        <w:t xml:space="preserve">”) upon achievement of the specified Annual Net Sales of Melt Products thresholds set forth on and in accordance with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Commercial Milestone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Commercial Milestone will be deemed achieved in the calendar year in which Annual Net Sales equal or exceed the applicable Commercial Milestone threshold.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8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Commercial Milestone Payment will be payable only once, and any subsequent achievement of the same Commercial Milestones in later calendar years shall not trigger an additional Commercial Milestone Payment.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Commercial Milestone must be achieved on or before December 31, 2035.</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the event more than one (1) Commercial Milestones are achieved in the same calendar year, Harrow shall make in such calendar year the applicable Commercial Milestone Payments for each such Commercial Milestone.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Section 2.3 Timing of Payments.</w:t>
      </w:r>
    </w:p>
    <w:p>
      <w:pPr>
        <w:spacing w:after="0" w:line="229" w:lineRule="exact"/>
        <w:rPr>
          <w:sz w:val="20"/>
          <w:szCs w:val="20"/>
          <w:color w:val="auto"/>
        </w:rPr>
      </w:pPr>
    </w:p>
    <w:p>
      <w:pPr>
        <w:ind w:left="1560" w:hanging="256"/>
        <w:spacing w:after="0"/>
        <w:tabs>
          <w:tab w:leader="none" w:pos="15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pay the applicable Regulatory Milestone Payment for the achievement of a Regulatory Milestone within seventy-five</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achievement of such Regulatory Milestone.</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pay the applicable Commercial Milestone Payment for the achievement of a Commercial Milestone within seventy-five</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the calendar year in which such Commercial Milestone is achieved.</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Milestone Payment is intended to be a separate “payment” for purposes of Section 409A of the Code and, to the greatest extent possible, to constitute payments within the “short-term deferral” period following the lapse of a “substantial risk of forfeiture” (as such terms are defined for purposes of Section 409A of the Code) or to otherwise be paid in compliance with or under an alternative exemption from Section 409A of the Code. To the extent this Agreement (and any definitions hereunder), or any Milestone Payments hereunder, are not exempt, they shall be construed in a manner that complies with Section 409A of the Code, including by reason of satisfying the “transaction-based compensation” provisions thereunder, including the five-year post-closing payment limitation therein, unless otherwise permissible under Section 409A of the Code, and shall incorporate by reference all required definitions and payment terms.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EFFORTS; REPORTING; AUDITS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Efforts.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Harrow shall use Commercially Reasonable Efforts to pursue the development, regulatory approval and commercialization of MELT-300, including J-Code (or similar any other similar designation) is issued by the Center for Medicare &amp; Medicaid Services (CMS) for MELT-300. Harrow will retain sole control over all strategic, regulatory and commercial decisions relating to MELT-300, subject only to its obligation to use Commercially Reasonable Efforts and its payment obligations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Reports.</w:t>
      </w:r>
    </w:p>
    <w:p>
      <w:pPr>
        <w:spacing w:after="0" w:line="229" w:lineRule="exact"/>
        <w:rPr>
          <w:sz w:val="20"/>
          <w:szCs w:val="20"/>
          <w:color w:val="auto"/>
        </w:rPr>
      </w:pPr>
    </w:p>
    <w:p>
      <w:pPr>
        <w:jc w:val="both"/>
        <w:ind w:firstLine="1304"/>
        <w:spacing w:after="0" w:line="266" w:lineRule="auto"/>
        <w:tabs>
          <w:tab w:leader="none" w:pos="15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achievement of any Regulatory Milestone (and in any event no later than five (5) Business Days) after the date on which the Milestone is achieved, Harrow shall deliver (or cause to be delivered) to the Stockholders Representative a written notice indicating which Milestone has been achieved (or indicating that both Regulatory Milestones were achieved).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provide Stockholder Representative with written report (including all supporting documents) within forty-five (45) days following the end of Harrow’s fiscal year summarizing Annual Net Sales of Melt Products (“</w:t>
      </w:r>
      <w:r>
        <w:rPr>
          <w:rFonts w:ascii="Times New Roman" w:cs="Times New Roman" w:eastAsia="Times New Roman" w:hAnsi="Times New Roman"/>
          <w:sz w:val="18"/>
          <w:szCs w:val="18"/>
          <w:u w:val="single" w:color="auto"/>
          <w:color w:val="auto"/>
        </w:rPr>
        <w:t>Net Sale Statements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Section 3.3 Audit Rights.</w:t>
      </w:r>
    </w:p>
    <w:p>
      <w:pPr>
        <w:spacing w:after="0" w:line="229" w:lineRule="exact"/>
        <w:rPr>
          <w:sz w:val="20"/>
          <w:szCs w:val="20"/>
          <w:color w:val="auto"/>
        </w:rPr>
      </w:pPr>
    </w:p>
    <w:p>
      <w:pPr>
        <w:jc w:val="both"/>
        <w:ind w:firstLine="1304"/>
        <w:spacing w:after="0" w:line="254" w:lineRule="auto"/>
        <w:tabs>
          <w:tab w:leader="none" w:pos="154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Representative will have the right, at its own expense, to cause an independent nationally recognized accounting firm to audit Harrow’s Annual Net Sales of Melt Products reports no more than twice in the immediately previous twelve (12) month period. Harrow shall permit, and shall cause its Affiliates to permit, the such accounting firm to have access at reasonable times during normal business hours, to Harrow’s and its Affiliates’ (including the Surviving Corporation’s) books and records to verify the accuracy of the applicable Net Sales Statements for the most recently completed calendar year to determine whether the applicable Commercial Milestone Payments should have been made in respect of such calendar years and the figures underlying the calculations set forth therein. Harrow shall, and shall cause its Subsidiaries (including the Surviving Corporation), to reasonably cooperate with each such audit. The accounting firm shall prepare a report based on each such audit (any such report, an “Audit Report”), a copy of which shall be sent or otherwise provided to the Stockholder Representative and Harrow at the same time he opinion of the Accounting Firm provided in an Audit Report shall be final, conclusive and binding on Harrow and the Stockholders Representative.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audit reveals an underpayment Harrow, shall promptly pay the deficiency, and, if such deficiency is greater than ten percent (10%), also reimburse Stockholder Representative for its reasonable out-of-pocket audit costs in connection with the audit.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Assumption.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Change of Control of Harrow or a sale of all or substantially all of the assets of Harrow relating to MELT-300, the successor or purchaser in such Change of Control or asset sale transaction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any potential Successor shall be required by Harrow to agree in writing to assume and be bound by all terms and conditions of this Milestone Agreement as a condition to its transaction with Harrow. The failure of any such potential Successor to so agree and assume will cause all Regulatory and Commercial Milestone Payments hereunder to accelerate and become fully due and payable immediately prior to the consummation of any such Change of Control or sale of MELT-300 assets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 Optional Acceleration.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Harrow may, at its option, prepay in full all unpaid Milestone Payments at their stated Payment Amounts, in which case no further Milestone Payments will be due under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Governing Law; Jurisdiction; Waiver of Jury Trial.</w:t>
      </w:r>
    </w:p>
    <w:p>
      <w:pPr>
        <w:spacing w:after="0" w:line="229" w:lineRule="exact"/>
        <w:rPr>
          <w:sz w:val="20"/>
          <w:szCs w:val="20"/>
          <w:color w:val="auto"/>
        </w:rPr>
      </w:pPr>
    </w:p>
    <w:p>
      <w:pPr>
        <w:jc w:val="both"/>
        <w:ind w:firstLine="1304"/>
        <w:spacing w:after="0" w:line="256" w:lineRule="auto"/>
        <w:tabs>
          <w:tab w:leader="none" w:pos="15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and all claims or causes of action arising out of or relating to this Agreement shall be resolved,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(Governing Law; Jurisdiction) and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(Waiver of Jury Trial) of the Merger Agreement; provided that, if consented to by the Stockholder Representative in writing, any dispute regarding whether a Milestone has been achieved, or regarding the calculation of Annual Net Sales and/or any Milestone Payment, shall be submitted to an independent expert mutually agreed upon by Harrow and Stockholder Representative (such as a regulatory consultant for FDA matters, or a nationally recognized accounting firm for sales matters). The determination of such expert selected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be final, binding and non-appealable.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both"/>
        <w:ind w:firstLine="1304"/>
        <w:spacing w:after="0" w:line="258" w:lineRule="auto"/>
        <w:tabs>
          <w:tab w:leader="none" w:pos="15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Harrow, on the one hand, or Stockholders Representative, on the other hand, initiate any Legal Proceeding against the other, involving this Agreement, the prevailing party (as determined by the applicable court) in such Legal Proceeding shall be entitled to receive reimbursement from the non-prevailing party for all reasonable attorneys’ fees, experts’ fees, and other costs and expenses incurred by the prevailing party in respect of such Legal Proceeding, including any and all appeals thereof, and such reimbursement shall be included in judgment or final order issued in such Legal Proceeding.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Notices under this Agreement shall be given in the manner specified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Merger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6.2 Entire Agreement.</w:t>
      </w:r>
    </w:p>
    <w:p>
      <w:pPr>
        <w:spacing w:after="0" w:line="229" w:lineRule="exact"/>
        <w:rPr>
          <w:sz w:val="20"/>
          <w:szCs w:val="20"/>
          <w:color w:val="auto"/>
        </w:rPr>
      </w:pPr>
    </w:p>
    <w:p>
      <w:pPr>
        <w:jc w:val="both"/>
        <w:ind w:firstLine="1304"/>
        <w:spacing w:after="0" w:line="266" w:lineRule="auto"/>
        <w:tabs>
          <w:tab w:leader="none" w:pos="1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any Schedules and Exhibits hereto), the Merger Agreement and the other agreements and instruments contemplated hereby constitute the entire agreement among the parties with respect to the subject matter hereof and supersede all prior agreements, negotiations, term sheets, letters of intent and understandings, whether written or oral, among the parties with respect thereto.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8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acknowledges and agrees that it is not relying upon any representation, warranty, statement or promise not expressly set forth in this Agreement, the Merger Agreement, the Disclosure Schedules or the other Transaction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6.3 Amendments.</w:t>
      </w:r>
    </w:p>
    <w:p>
      <w:pPr>
        <w:spacing w:after="0" w:line="229" w:lineRule="exact"/>
        <w:rPr>
          <w:sz w:val="20"/>
          <w:szCs w:val="20"/>
          <w:color w:val="auto"/>
        </w:rPr>
      </w:pPr>
    </w:p>
    <w:p>
      <w:pPr>
        <w:jc w:val="both"/>
        <w:ind w:firstLine="1304"/>
        <w:spacing w:after="0" w:line="261" w:lineRule="auto"/>
        <w:tabs>
          <w:tab w:leader="none" w:pos="153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provision of this Agreement may be amended, modified, supplemented or waived prior to the Effective Time if, but only if, such amendment, modification, supplement or waiver is in writing and is signed, in the case of an amendment, modification or supplement by each party to this Agreement (or their respective boards of directors, if required) or, in the case of a waiver, by each party against whom the waiver is to be effective (or its board of directors, if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the Effective Time, this Agreement may not be amended, modified or supplemented.</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in exercising any right, power or privilege under this Agreement shall operate as a waiver thereof.</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6.4 Assignment. </w:t>
      </w:r>
      <w:r>
        <w:rPr>
          <w:rFonts w:ascii="Times New Roman" w:cs="Times New Roman" w:eastAsia="Times New Roman" w:hAnsi="Times New Roman"/>
          <w:sz w:val="18"/>
          <w:szCs w:val="18"/>
          <w:color w:val="auto"/>
        </w:rPr>
        <w:t>This Agreement may not be assigned by any party (whether by operation of law or otherwise) without the prior written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other party; provided, however, that Harrow may assign all or any of its rights and obligations under this Agreement to one or more of its Affiliates or in connection with the sale of substantially all of its assets or business (including, for the avoidance of doubt, any Change of Control if deemed an assignment under applicable Law) without the prior written consent of Stockholder Representative so long as Harrow requires any successor to agree in writing to assume and be bound by all terms and conditions of this Milestone Agreement. Any attempted assignment in violation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will be null and void. Subject to the foregoing, this Agreement will be binding upon and inure to the benefit of the parties hereto and their respective successors and permitted assigns; provided that no such assignment shall relieve the assigning party of its obligations 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6.5 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 but all of which together shall constitute one and the same instrument. Delivery of an executed counterpart of this Agreement by electronic means, including by .pdf, DocuSign or other electronic signature technology, shall be deemed as effective as delivery of an original executed counterpart.</w:t>
      </w:r>
    </w:p>
    <w:p>
      <w:pPr>
        <w:spacing w:after="0" w:line="1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color w:val="auto"/>
        </w:rPr>
        <w:t>IN WITNESS WHEREOF, each party hereto has executed this Agreement as of the day and year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HARROW,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STOCKHOLDER REPRESENTATIVE</w:t>
      </w: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 Bradford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18415</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Donald Bradford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67" w:name="page68"/>
    <w:bookmarkEnd w:id="67"/>
    <w:p>
      <w:pPr>
        <w:ind w:left="4360"/>
        <w:spacing w:after="0"/>
        <w:rPr>
          <w:sz w:val="20"/>
          <w:szCs w:val="20"/>
          <w:color w:val="auto"/>
        </w:rPr>
      </w:pPr>
      <w:r>
        <w:rPr>
          <w:rFonts w:ascii="Times New Roman" w:cs="Times New Roman" w:eastAsia="Times New Roman" w:hAnsi="Times New Roman"/>
          <w:sz w:val="18"/>
          <w:szCs w:val="18"/>
          <w:b w:val="1"/>
          <w:bCs w:val="1"/>
          <w:color w:val="auto"/>
        </w:rPr>
        <w:t>SCHEDULE A –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MILESTONES PAYABLE BY HARROW:</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MELT-300 has received FDA Approval, then Harrow shall, by wire of immediately available funds, pay to the Paying Agent, for further disbursement to the Melt Common Stockholders, an aggregate of $87,167,940, with a Per Share Contingent Milestone Payment Amount of $10.00*.</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pass-through status is awarded and J-Code (or similar any other similar designation) is issued by the Center for Medicare &amp; Medicaid Services (CMS) for MELT-300, then Harrow shall issue to the Melt Common Stockholders, a pro rata portion (in proportion of their ownership of the Melt Common Stock as of the Effective Time) of the shares in Harrow common stock, par value $0.001 per share, having an aggregate value of $47,942,367 (with a Per Share Contingent Milestone Payment Amount of $5.50*) calculated based on an amount equal to $43.13 per share of Harrow common stock (“</w:t>
      </w:r>
      <w:r>
        <w:rPr>
          <w:rFonts w:ascii="Times New Roman" w:cs="Times New Roman" w:eastAsia="Times New Roman" w:hAnsi="Times New Roman"/>
          <w:sz w:val="18"/>
          <w:szCs w:val="18"/>
          <w:u w:val="single" w:color="auto"/>
          <w:color w:val="auto"/>
        </w:rPr>
        <w:t>Consideration Shares</w:t>
      </w:r>
      <w:r>
        <w:rPr>
          <w:rFonts w:ascii="Times New Roman" w:cs="Times New Roman" w:eastAsia="Times New Roman" w:hAnsi="Times New Roman"/>
          <w:sz w:val="18"/>
          <w:szCs w:val="18"/>
          <w:color w:val="auto"/>
        </w:rPr>
        <w:t>”), which Consideration Shares shall be registered for resale at the time of issuance pursuant to a registrations statement filed by Harrow with the U.S. Securities and Exchange Commission. Any fractional shares resulting from such actions will be rounded up to the nearest whole share. For the avoidance of doubt, each of Melt and Harrow agree and acknowledge that the Melt Common Stockholder’s right to receive Consideration Shares: (i) is an integral part of the Merger Consideration, (ii) does not represent any ownership or equity interest in Harrow and does not carry any voting or dividend rights, (iii) does not bear a stated rate of interest, (iii) is not transferrable (except by operation of law), and (iv) will not be evidenced by any form of certificate or instrument. For the avoidance of doubt the aggregate number Consideration Shares will be determined at Closing and not impacted by any future increase or decrease in the value of Harrow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MILESTONES PAYABLE BY HARROW: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Share Contingent</w:t>
            </w: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Aggregate Contingent</w:t>
            </w:r>
          </w:p>
        </w:tc>
      </w:tr>
      <w:tr>
        <w:trPr>
          <w:trHeight w:val="216"/>
        </w:trPr>
        <w:tc>
          <w:tcPr>
            <w:tcW w:w="4740" w:type="dxa"/>
            <w:vAlign w:val="bottom"/>
          </w:tcPr>
          <w:p>
            <w:pPr>
              <w:spacing w:after="0"/>
              <w:rPr>
                <w:sz w:val="18"/>
                <w:szCs w:val="18"/>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Annual Net Sales of</w:t>
            </w:r>
          </w:p>
        </w:tc>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Milestone Payment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Milestone Payment</w:t>
            </w:r>
          </w:p>
        </w:tc>
      </w:tr>
      <w:tr>
        <w:trPr>
          <w:trHeight w:val="238"/>
        </w:trPr>
        <w:tc>
          <w:tcPr>
            <w:tcW w:w="474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Melt Products:</w:t>
            </w:r>
          </w:p>
        </w:tc>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Milestones</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3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10,024,313.10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250,000,000</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25,017,198.78</w:t>
            </w:r>
          </w:p>
        </w:tc>
      </w:tr>
      <w:tr>
        <w:trPr>
          <w:trHeight w:val="216"/>
        </w:trPr>
        <w:tc>
          <w:tcPr>
            <w:tcW w:w="4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500,000,000</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50,034,397.56</w:t>
            </w:r>
          </w:p>
        </w:tc>
      </w:tr>
      <w:tr>
        <w:trPr>
          <w:trHeight w:val="216"/>
        </w:trPr>
        <w:tc>
          <w:tcPr>
            <w:tcW w:w="47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750,000,000</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74,964,428.40</w:t>
            </w:r>
          </w:p>
        </w:tc>
      </w:tr>
      <w:tr>
        <w:trPr>
          <w:trHeight w:val="216"/>
        </w:trPr>
        <w:tc>
          <w:tcPr>
            <w:tcW w:w="4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1,000,000,000</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11.47</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99,981,627.18</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Per Share Contingent Milestone Payment Amount is calculated as the aggregate amount for the applicable Milestone divided by the Fully-Diluted Common Shares (defined below):</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Fully-Diluted Common Shares</w:t>
      </w:r>
      <w:r>
        <w:rPr>
          <w:rFonts w:ascii="Times New Roman" w:cs="Times New Roman" w:eastAsia="Times New Roman" w:hAnsi="Times New Roman"/>
          <w:sz w:val="18"/>
          <w:szCs w:val="18"/>
          <w:color w:val="auto"/>
        </w:rPr>
        <w:t xml:space="preserve">” means the aggregate number of shares of Melt Common Stock as of the Agreement Date, including the shares of Melt Preferred Stock converted to Melt Common Stock pursuant to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the number of Melt Option Payment Rights in respect of all Melt Options calculated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Merger Agreement,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number of Melt Warrant Payment Rights in respect of Melt Warrants calculated pursuant to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Merger Agreement,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number of Melt RSU Payment Rights in respect of Melt RSUs calculated pursuant to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1)"/>
      <w:numFmt w:val="lowerLetter"/>
      <w:start w:val="4"/>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lowerRoman"/>
      <w:start w:val="1"/>
    </w:lvl>
  </w:abstractNum>
  <w:abstractNum w:abstractNumId="4">
    <w:nsid w:val="4F4EF005"/>
    <w:multiLevelType w:val="hybridMultilevel"/>
    <w:lvl w:ilvl="0">
      <w:lvlJc w:val="left"/>
      <w:lvlText w:val="(%1)"/>
      <w:numFmt w:val="lowerLetter"/>
      <w:start w:val="3"/>
    </w:lvl>
  </w:abstractNum>
  <w:abstractNum w:abstractNumId="5">
    <w:nsid w:val="23F9C13C"/>
    <w:multiLevelType w:val="hybridMultilevel"/>
    <w:lvl w:ilvl="0">
      <w:lvlJc w:val="left"/>
      <w:lvlText w:val="(%1)"/>
      <w:numFmt w:val="lowerLetter"/>
      <w:start w:val="1"/>
    </w:lvl>
  </w:abstractNum>
  <w:abstractNum w:abstractNumId="6">
    <w:nsid w:val="649BB77C"/>
    <w:multiLevelType w:val="hybridMultilevel"/>
    <w:lvl w:ilvl="0">
      <w:lvlJc w:val="left"/>
      <w:lvlText w:val="(%1)"/>
      <w:numFmt w:val="lowerLetter"/>
      <w:start w:val="3"/>
    </w:lvl>
  </w:abstractNum>
  <w:abstractNum w:abstractNumId="7">
    <w:nsid w:val="275AC794"/>
    <w:multiLevelType w:val="hybridMultilevel"/>
    <w:lvl w:ilvl="0">
      <w:lvlJc w:val="left"/>
      <w:lvlText w:val="(%1)"/>
      <w:numFmt w:val="lowerLetter"/>
      <w:start w:val="1"/>
    </w:lvl>
  </w:abstractNum>
  <w:abstractNum w:abstractNumId="8">
    <w:nsid w:val="39386575"/>
    <w:multiLevelType w:val="hybridMultilevel"/>
    <w:lvl w:ilvl="0">
      <w:lvlJc w:val="left"/>
      <w:lvlText w:val="(%1)"/>
      <w:numFmt w:val="lowerLetter"/>
      <w:start w:val="1"/>
    </w:lvl>
  </w:abstractNum>
  <w:abstractNum w:abstractNumId="9">
    <w:nsid w:val="1CF10FD8"/>
    <w:multiLevelType w:val="hybridMultilevel"/>
    <w:lvl w:ilvl="0">
      <w:lvlJc w:val="left"/>
      <w:lvlText w:val="(%1)"/>
      <w:numFmt w:val="lowerLetter"/>
      <w:start w:val="1"/>
    </w:lvl>
  </w:abstractNum>
  <w:abstractNum w:abstractNumId="10">
    <w:nsid w:val="180115BE"/>
    <w:multiLevelType w:val="hybridMultilevel"/>
    <w:lvl w:ilvl="0">
      <w:lvlJc w:val="left"/>
      <w:lvlText w:val="(%1)"/>
      <w:numFmt w:val="lowerLetter"/>
      <w:start w:val="1"/>
    </w:lvl>
  </w:abstractNum>
  <w:abstractNum w:abstractNumId="11">
    <w:nsid w:val="235BA861"/>
    <w:multiLevelType w:val="hybridMultilevel"/>
    <w:lvl w:ilvl="0">
      <w:lvlJc w:val="left"/>
      <w:lvlText w:val="(%1)"/>
      <w:numFmt w:val="lowerLetter"/>
      <w:start w:val="1"/>
    </w:lvl>
  </w:abstractNum>
  <w:abstractNum w:abstractNumId="12">
    <w:nsid w:val="47398C89"/>
    <w:multiLevelType w:val="hybridMultilevel"/>
    <w:lvl w:ilvl="0">
      <w:lvlJc w:val="left"/>
      <w:lvlText w:val="(%1)"/>
      <w:numFmt w:val="lowerRoman"/>
      <w:start w:val="1"/>
    </w:lvl>
  </w:abstractNum>
  <w:abstractNum w:abstractNumId="13">
    <w:nsid w:val="354FE9F9"/>
    <w:multiLevelType w:val="hybridMultilevel"/>
    <w:lvl w:ilvl="0">
      <w:lvlJc w:val="left"/>
      <w:lvlText w:val="%1"/>
      <w:numFmt w:val="lowerLetter"/>
      <w:start w:val="1"/>
    </w:lvl>
    <w:lvl w:ilvl="1">
      <w:lvlJc w:val="left"/>
      <w:lvlText w:val="(%2)"/>
      <w:numFmt w:val="lowerLetter"/>
      <w:start w:val="35"/>
    </w:lvl>
  </w:abstractNum>
  <w:abstractNum w:abstractNumId="14">
    <w:nsid w:val="15B5AF5C"/>
    <w:multiLevelType w:val="hybridMultilevel"/>
    <w:lvl w:ilvl="0">
      <w:lvlJc w:val="left"/>
      <w:lvlText w:val="(%1)"/>
      <w:numFmt w:val="lowerLetter"/>
      <w:start w:val="2"/>
    </w:lvl>
    <w:lvl w:ilvl="1">
      <w:lvlJc w:val="left"/>
      <w:lvlText w:val="(%2)"/>
      <w:numFmt w:val="lowerLetter"/>
      <w:start w:val="9"/>
    </w:lvl>
  </w:abstractNum>
  <w:abstractNum w:abstractNumId="15">
    <w:nsid w:val="741226BB"/>
    <w:multiLevelType w:val="hybridMultilevel"/>
    <w:lvl w:ilvl="0">
      <w:lvlJc w:val="left"/>
      <w:lvlText w:val="%1"/>
      <w:numFmt w:val="lowerLetter"/>
      <w:start w:val="1"/>
    </w:lvl>
    <w:lvl w:ilvl="1">
      <w:lvlJc w:val="left"/>
      <w:lvlText w:val="(%2)"/>
      <w:numFmt w:val="lowerLetter"/>
      <w:start w:val="35"/>
    </w:lvl>
  </w:abstractNum>
  <w:abstractNum w:abstractNumId="16">
    <w:nsid w:val="D34B6A8"/>
    <w:multiLevelType w:val="hybridMultilevel"/>
    <w:lvl w:ilvl="0">
      <w:lvlJc w:val="left"/>
      <w:lvlText w:val="(%1)"/>
      <w:numFmt w:val="lowerLetter"/>
      <w:start w:val="3"/>
    </w:lvl>
    <w:lvl w:ilvl="1">
      <w:lvlJc w:val="left"/>
      <w:lvlText w:val="%2"/>
      <w:numFmt w:val="lowerLetter"/>
      <w:start w:val="1"/>
    </w:lvl>
  </w:abstractNum>
  <w:abstractNum w:abstractNumId="17">
    <w:nsid w:val="10233C99"/>
    <w:multiLevelType w:val="hybridMultilevel"/>
    <w:lvl w:ilvl="0">
      <w:lvlJc w:val="left"/>
      <w:lvlText w:val="(%1)"/>
      <w:numFmt w:val="lowerLetter"/>
      <w:start w:val="1"/>
    </w:lvl>
  </w:abstractNum>
  <w:abstractNum w:abstractNumId="18">
    <w:nsid w:val="3F6AB60F"/>
    <w:multiLevelType w:val="hybridMultilevel"/>
    <w:lvl w:ilvl="0">
      <w:lvlJc w:val="left"/>
      <w:lvlText w:val="(%1)"/>
      <w:numFmt w:val="lowerLetter"/>
      <w:start w:val="2"/>
    </w:lvl>
  </w:abstractNum>
  <w:abstractNum w:abstractNumId="19">
    <w:nsid w:val="61574095"/>
    <w:multiLevelType w:val="hybridMultilevel"/>
    <w:lvl w:ilvl="0">
      <w:lvlJc w:val="left"/>
      <w:lvlText w:val="(%1)"/>
      <w:numFmt w:val="lowerLetter"/>
      <w:start w:val="1"/>
    </w:lvl>
    <w:lvl w:ilvl="1">
      <w:lvlJc w:val="left"/>
      <w:lvlText w:val="(%2)"/>
      <w:numFmt w:val="lowerRoman"/>
      <w:start w:val="1"/>
    </w:lvl>
  </w:abstractNum>
  <w:abstractNum w:abstractNumId="20">
    <w:nsid w:val="7E0C57B1"/>
    <w:multiLevelType w:val="hybridMultilevel"/>
    <w:lvl w:ilvl="0">
      <w:lvlJc w:val="left"/>
      <w:lvlText w:val="(%1)"/>
      <w:numFmt w:val="lowerLetter"/>
      <w:start w:val="1"/>
    </w:lvl>
  </w:abstractNum>
  <w:abstractNum w:abstractNumId="21">
    <w:nsid w:val="77AE35EB"/>
    <w:multiLevelType w:val="hybridMultilevel"/>
    <w:lvl w:ilvl="0">
      <w:lvlJc w:val="left"/>
      <w:lvlText w:val="(%1)"/>
      <w:numFmt w:val="lowerLetter"/>
      <w:start w:val="3"/>
    </w:lvl>
  </w:abstractNum>
  <w:abstractNum w:abstractNumId="22">
    <w:nsid w:val="579BE4F1"/>
    <w:multiLevelType w:val="hybridMultilevel"/>
    <w:lvl w:ilvl="0">
      <w:lvlJc w:val="left"/>
      <w:lvlText w:val="(%1)"/>
      <w:numFmt w:val="lowerLetter"/>
      <w:start w:val="1"/>
    </w:lvl>
  </w:abstractNum>
  <w:abstractNum w:abstractNumId="23">
    <w:nsid w:val="310C50B3"/>
    <w:multiLevelType w:val="hybridMultilevel"/>
    <w:lvl w:ilvl="0">
      <w:lvlJc w:val="left"/>
      <w:lvlText w:val="(%1)"/>
      <w:numFmt w:val="lowerLetter"/>
      <w:start w:val="2"/>
    </w:lvl>
  </w:abstractNum>
  <w:abstractNum w:abstractNumId="24">
    <w:nsid w:val="5FF87E05"/>
    <w:multiLevelType w:val="hybridMultilevel"/>
    <w:lvl w:ilvl="0">
      <w:lvlJc w:val="left"/>
      <w:lvlText w:val="(%1)"/>
      <w:numFmt w:val="lowerLetter"/>
      <w:start w:val="1"/>
    </w:lvl>
    <w:lvl w:ilvl="1">
      <w:lvlJc w:val="left"/>
      <w:lvlText w:val="(%2)"/>
      <w:numFmt w:val="lowerRoman"/>
      <w:start w:val="1"/>
    </w:lvl>
  </w:abstractNum>
  <w:abstractNum w:abstractNumId="25">
    <w:nsid w:val="2F305DEF"/>
    <w:multiLevelType w:val="hybridMultilevel"/>
    <w:lvl w:ilvl="0">
      <w:lvlJc w:val="left"/>
      <w:lvlText w:val="(%1)"/>
      <w:numFmt w:val="lowerLetter"/>
      <w:start w:val="2"/>
    </w:lvl>
  </w:abstractNum>
  <w:abstractNum w:abstractNumId="26">
    <w:nsid w:val="25A70BF7"/>
    <w:multiLevelType w:val="hybridMultilevel"/>
    <w:lvl w:ilvl="0">
      <w:lvlJc w:val="left"/>
      <w:lvlText w:val="(%1)"/>
      <w:numFmt w:val="lowerLetter"/>
      <w:start w:val="4"/>
    </w:lvl>
  </w:abstractNum>
  <w:abstractNum w:abstractNumId="27">
    <w:nsid w:val="1DBABF00"/>
    <w:multiLevelType w:val="hybridMultilevel"/>
    <w:lvl w:ilvl="0">
      <w:lvlJc w:val="left"/>
      <w:lvlText w:val="(%1)"/>
      <w:numFmt w:val="lowerLetter"/>
      <w:start w:val="1"/>
    </w:lvl>
    <w:lvl w:ilvl="1">
      <w:lvlJc w:val="left"/>
      <w:lvlText w:val="(%2)"/>
      <w:numFmt w:val="lowerRoman"/>
      <w:start w:val="1"/>
    </w:lvl>
  </w:abstractNum>
  <w:abstractNum w:abstractNumId="28">
    <w:nsid w:val="4AD084E9"/>
    <w:multiLevelType w:val="hybridMultilevel"/>
    <w:lvl w:ilvl="0">
      <w:lvlJc w:val="left"/>
      <w:lvlText w:val="(%1)"/>
      <w:numFmt w:val="lowerLetter"/>
      <w:start w:val="1"/>
    </w:lvl>
    <w:lvl w:ilvl="1">
      <w:lvlJc w:val="left"/>
      <w:lvlText w:val="(%2)"/>
      <w:numFmt w:val="lowerLetter"/>
      <w:start w:val="9"/>
    </w:lvl>
  </w:abstractNum>
  <w:abstractNum w:abstractNumId="29">
    <w:nsid w:val="1F48EAA1"/>
    <w:multiLevelType w:val="hybridMultilevel"/>
    <w:lvl w:ilvl="0">
      <w:lvlJc w:val="left"/>
      <w:lvlText w:val="(%1)"/>
      <w:numFmt w:val="lowerRoman"/>
      <w:start w:val="2"/>
    </w:lvl>
  </w:abstractNum>
  <w:abstractNum w:abstractNumId="30">
    <w:nsid w:val="1381823A"/>
    <w:multiLevelType w:val="hybridMultilevel"/>
    <w:lvl w:ilvl="0">
      <w:lvlJc w:val="left"/>
      <w:lvlText w:val="(%1)"/>
      <w:numFmt w:val="lowerLetter"/>
      <w:start w:val="2"/>
    </w:lvl>
  </w:abstractNum>
  <w:abstractNum w:abstractNumId="31">
    <w:nsid w:val="5DB70AE5"/>
    <w:multiLevelType w:val="hybridMultilevel"/>
    <w:lvl w:ilvl="0">
      <w:lvlJc w:val="left"/>
      <w:lvlText w:val="(%1)"/>
      <w:numFmt w:val="lowerLetter"/>
      <w:start w:val="1"/>
    </w:lvl>
    <w:lvl w:ilvl="1">
      <w:lvlJc w:val="left"/>
      <w:lvlText w:val="(%2)"/>
      <w:numFmt w:val="lowerRoman"/>
      <w:start w:val="1"/>
    </w:lvl>
  </w:abstractNum>
  <w:abstractNum w:abstractNumId="32">
    <w:nsid w:val="100F8FCA"/>
    <w:multiLevelType w:val="hybridMultilevel"/>
    <w:lvl w:ilvl="0">
      <w:lvlJc w:val="left"/>
      <w:lvlText w:val="(%1)"/>
      <w:numFmt w:val="lowerLetter"/>
      <w:start w:val="1"/>
    </w:lvl>
  </w:abstractNum>
  <w:abstractNum w:abstractNumId="33">
    <w:nsid w:val="6590700B"/>
    <w:multiLevelType w:val="hybridMultilevel"/>
    <w:lvl w:ilvl="0">
      <w:lvlJc w:val="left"/>
      <w:lvlText w:val="(%1)"/>
      <w:numFmt w:val="lowerLetter"/>
      <w:start w:val="1"/>
    </w:lvl>
  </w:abstractNum>
  <w:abstractNum w:abstractNumId="34">
    <w:nsid w:val="15014ACB"/>
    <w:multiLevelType w:val="hybridMultilevel"/>
    <w:lvl w:ilvl="0">
      <w:lvlJc w:val="left"/>
      <w:lvlText w:val="(%1)"/>
      <w:numFmt w:val="lowerLetter"/>
      <w:start w:val="1"/>
    </w:lvl>
  </w:abstractNum>
  <w:abstractNum w:abstractNumId="35">
    <w:nsid w:val="5F5E7FD0"/>
    <w:multiLevelType w:val="hybridMultilevel"/>
    <w:lvl w:ilvl="0">
      <w:lvlJc w:val="left"/>
      <w:lvlText w:val="(%1)"/>
      <w:numFmt w:val="lowerLetter"/>
      <w:start w:val="1"/>
    </w:lvl>
  </w:abstractNum>
  <w:abstractNum w:abstractNumId="36">
    <w:nsid w:val="98A3148"/>
    <w:multiLevelType w:val="hybridMultilevel"/>
    <w:lvl w:ilvl="0">
      <w:lvlJc w:val="left"/>
      <w:lvlText w:val="(%1)"/>
      <w:numFmt w:val="lowerLetter"/>
      <w:start w:val="3"/>
    </w:lvl>
  </w:abstractNum>
  <w:abstractNum w:abstractNumId="37">
    <w:nsid w:val="799D02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8">
    <w:nsid w:val="6B947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9">
    <w:nsid w:val="42C296BD"/>
    <w:multiLevelType w:val="hybridMultilevel"/>
    <w:lvl w:ilvl="0">
      <w:lvlJc w:val="left"/>
      <w:lvlText w:val="%1"/>
      <w:numFmt w:val="lowerLetter"/>
      <w:start w:val="1"/>
    </w:lvl>
    <w:lvl w:ilvl="1">
      <w:lvlJc w:val="left"/>
      <w:lvlText w:val="(%2)"/>
      <w:numFmt w:val="lowerRoman"/>
      <w:start w:val="4"/>
    </w:lvl>
  </w:abstractNum>
  <w:abstractNum w:abstractNumId="40">
    <w:nsid w:val="168E121F"/>
    <w:multiLevelType w:val="hybridMultilevel"/>
    <w:lvl w:ilvl="0">
      <w:lvlJc w:val="left"/>
      <w:lvlText w:val="(%1)"/>
      <w:numFmt w:val="lowerLetter"/>
      <w:start w:val="5"/>
    </w:lvl>
    <w:lvl w:ilvl="1">
      <w:lvlJc w:val="left"/>
      <w:lvlText w:val="%2"/>
      <w:numFmt w:val="lowerRoman"/>
      <w:start w:val="1"/>
    </w:lvl>
  </w:abstractNum>
  <w:abstractNum w:abstractNumId="41">
    <w:nsid w:val="1EBA5D23"/>
    <w:multiLevelType w:val="hybridMultilevel"/>
    <w:lvl w:ilvl="0">
      <w:lvlJc w:val="left"/>
      <w:lvlText w:val="(%1)"/>
      <w:numFmt w:val="lowerLetter"/>
      <w:start w:val="1"/>
    </w:lvl>
    <w:lvl w:ilvl="1">
      <w:lvlJc w:val="left"/>
      <w:lvlText w:val="(%2)"/>
      <w:numFmt w:val="lowerRoman"/>
      <w:start w:val="1"/>
    </w:lvl>
  </w:abstractNum>
  <w:abstractNum w:abstractNumId="42">
    <w:nsid w:val="661E3F1E"/>
    <w:multiLevelType w:val="hybridMultilevel"/>
    <w:lvl w:ilvl="0">
      <w:lvlJc w:val="left"/>
      <w:lvlText w:val="(%1)"/>
      <w:numFmt w:val="lowerLetter"/>
      <w:start w:val="5"/>
    </w:lvl>
  </w:abstractNum>
  <w:abstractNum w:abstractNumId="43">
    <w:nsid w:val="5DC79EA8"/>
    <w:multiLevelType w:val="hybridMultilevel"/>
    <w:lvl w:ilvl="0">
      <w:lvlJc w:val="left"/>
      <w:lvlText w:val="(%1)"/>
      <w:numFmt w:val="lowerLetter"/>
      <w:start w:val="1"/>
    </w:lvl>
  </w:abstractNum>
  <w:abstractNum w:abstractNumId="44">
    <w:nsid w:val="540A471C"/>
    <w:multiLevelType w:val="hybridMultilevel"/>
    <w:lvl w:ilvl="0">
      <w:lvlJc w:val="left"/>
      <w:lvlText w:val="(%1)"/>
      <w:numFmt w:val="lowerLetter"/>
      <w:start w:val="5"/>
    </w:lvl>
  </w:abstractNum>
  <w:abstractNum w:abstractNumId="45">
    <w:nsid w:val="7BD3EE7B"/>
    <w:multiLevelType w:val="hybridMultilevel"/>
    <w:lvl w:ilvl="0">
      <w:lvlJc w:val="left"/>
      <w:lvlText w:val="(%1)"/>
      <w:numFmt w:val="lowerLetter"/>
      <w:start w:val="1"/>
    </w:lvl>
  </w:abstractNum>
  <w:abstractNum w:abstractNumId="46">
    <w:nsid w:val="51D9C564"/>
    <w:multiLevelType w:val="hybridMultilevel"/>
    <w:lvl w:ilvl="0">
      <w:lvlJc w:val="left"/>
      <w:lvlText w:val="(%1)"/>
      <w:numFmt w:val="lowerLetter"/>
      <w:start w:val="2"/>
    </w:lvl>
  </w:abstractNum>
  <w:abstractNum w:abstractNumId="47">
    <w:nsid w:val="613EFDC5"/>
    <w:multiLevelType w:val="hybridMultilevel"/>
    <w:lvl w:ilvl="0">
      <w:lvlJc w:val="left"/>
      <w:lvlText w:val="(%1)"/>
      <w:numFmt w:val="lowerLetter"/>
      <w:start w:val="1"/>
    </w:lvl>
  </w:abstractNum>
  <w:abstractNum w:abstractNumId="48">
    <w:nsid w:val="BF72B14"/>
    <w:multiLevelType w:val="hybridMultilevel"/>
    <w:lvl w:ilvl="0">
      <w:lvlJc w:val="left"/>
      <w:lvlText w:val="(%1)"/>
      <w:numFmt w:val="lowerLetter"/>
      <w:start w:val="1"/>
    </w:lvl>
  </w:abstractNum>
  <w:abstractNum w:abstractNumId="49">
    <w:nsid w:val="11447B73"/>
    <w:multiLevelType w:val="hybridMultilevel"/>
    <w:lvl w:ilvl="0">
      <w:lvlJc w:val="left"/>
      <w:lvlText w:val="(%1)"/>
      <w:numFmt w:val="lowerLetter"/>
      <w:start w:val="3"/>
    </w:lvl>
  </w:abstractNum>
  <w:abstractNum w:abstractNumId="50">
    <w:nsid w:val="42963E5A"/>
    <w:multiLevelType w:val="hybridMultilevel"/>
    <w:lvl w:ilvl="0">
      <w:lvlJc w:val="left"/>
      <w:lvlText w:val="(%1)"/>
      <w:numFmt w:val="lowerLetter"/>
      <w:start w:val="1"/>
    </w:lvl>
  </w:abstractNum>
  <w:abstractNum w:abstractNumId="51">
    <w:nsid w:val="A0382C5"/>
    <w:multiLevelType w:val="hybridMultilevel"/>
    <w:lvl w:ilvl="0">
      <w:lvlJc w:val="left"/>
      <w:lvlText w:val="(%1)"/>
      <w:numFmt w:val="lowerLetter"/>
      <w:start w:val="1"/>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Letter"/>
      <w:start w:val="4"/>
    </w:lvl>
  </w:abstractNum>
  <w:abstractNum w:abstractNumId="54">
    <w:nsid w:val="3B0FD379"/>
    <w:multiLevelType w:val="hybridMultilevel"/>
    <w:lvl w:ilvl="0">
      <w:lvlJc w:val="left"/>
      <w:lvlText w:val="(%1)"/>
      <w:numFmt w:val="lowerLetter"/>
      <w:start w:val="1"/>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lowerLetter"/>
      <w:start w:val="2"/>
    </w:lvl>
  </w:abstractNum>
  <w:abstractNum w:abstractNumId="58">
    <w:nsid w:val="6A5EE64"/>
    <w:multiLevelType w:val="hybridMultilevel"/>
    <w:lvl w:ilvl="0">
      <w:lvlJc w:val="left"/>
      <w:lvlText w:val="(%1)"/>
      <w:numFmt w:val="lowerLetter"/>
      <w:start w:val="1"/>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lowerLetter"/>
      <w:start w:val="9"/>
    </w:lvl>
  </w:abstractNum>
  <w:abstractNum w:abstractNumId="61">
    <w:nsid w:val="1A27709E"/>
    <w:multiLevelType w:val="hybridMultilevel"/>
    <w:lvl w:ilvl="0">
      <w:lvlJc w:val="left"/>
      <w:lvlText w:val="(%1)"/>
      <w:numFmt w:val="lowerLetter"/>
      <w:start w:val="11"/>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1)"/>
      <w:numFmt w:val="lowerLetter"/>
      <w:start w:val="1"/>
    </w:lvl>
  </w:abstractNum>
  <w:abstractNum w:abstractNumId="64">
    <w:nsid w:val="7FB7E0AA"/>
    <w:multiLevelType w:val="hybridMultilevel"/>
    <w:lvl w:ilvl="0">
      <w:lvlJc w:val="left"/>
      <w:lvlText w:val="(%1)"/>
      <w:numFmt w:val="lowerLetter"/>
      <w:start w:val="2"/>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1"/>
    </w:lvl>
  </w:abstractNum>
  <w:abstractNum w:abstractNumId="69">
    <w:nsid w:val="76272110"/>
    <w:multiLevelType w:val="hybridMultilevel"/>
    <w:lvl w:ilvl="0">
      <w:lvlJc w:val="left"/>
      <w:lvlText w:val="(%1)"/>
      <w:numFmt w:val="lowerLetter"/>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3"/>
    </w:lvl>
    <w:lvl w:ilvl="1">
      <w:lvlJc w:val="left"/>
      <w:lvlText w:val="(%2)"/>
      <w:numFmt w:val="lowerRoman"/>
      <w:start w:val="1"/>
    </w:lvl>
  </w:abstractNum>
  <w:abstractNum w:abstractNumId="72">
    <w:nsid w:val="14E17E33"/>
    <w:multiLevelType w:val="hybridMultilevel"/>
    <w:lvl w:ilvl="0">
      <w:lvlJc w:val="left"/>
      <w:lvlText w:val="(%1)"/>
      <w:numFmt w:val="lowerLetter"/>
      <w:start w:val="1"/>
    </w:lvl>
    <w:lvl w:ilvl="1">
      <w:lvlJc w:val="left"/>
      <w:lvlText w:val="(%2)"/>
      <w:numFmt w:val="lowerRoman"/>
      <w:start w:val="1"/>
    </w:lvl>
  </w:abstractNum>
  <w:abstractNum w:abstractNumId="73">
    <w:nsid w:val="3222E7C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4">
    <w:nsid w:val="74DE0EE3"/>
    <w:multiLevelType w:val="hybridMultilevel"/>
    <w:lvl w:ilvl="0">
      <w:lvlJc w:val="left"/>
      <w:lvlText w:val="(%1)"/>
      <w:numFmt w:val="lowerLetter"/>
      <w:start w:val="1"/>
    </w:lvl>
    <w:lvl w:ilvl="1">
      <w:lvlJc w:val="left"/>
      <w:lvlText w:val="(%2)"/>
      <w:numFmt w:val="lowerLetter"/>
      <w:start w:val="9"/>
    </w:lvl>
  </w:abstractNum>
  <w:abstractNum w:abstractNumId="75">
    <w:nsid w:val="68EBC550"/>
    <w:multiLevelType w:val="hybridMultilevel"/>
    <w:lvl w:ilvl="0">
      <w:lvlJc w:val="left"/>
      <w:lvlText w:val="%1"/>
      <w:numFmt w:val="lowerLetter"/>
      <w:start w:val="1"/>
    </w:lvl>
    <w:lvl w:ilvl="1">
      <w:lvlJc w:val="left"/>
      <w:lvlText w:val="(%2)"/>
      <w:numFmt w:val="lowerRoman"/>
      <w:start w:val="2"/>
    </w:lvl>
  </w:abstractNum>
  <w:abstractNum w:abstractNumId="76">
    <w:nsid w:val="2DF6D648"/>
    <w:multiLevelType w:val="hybridMultilevel"/>
    <w:lvl w:ilvl="0">
      <w:lvlJc w:val="left"/>
      <w:lvlText w:val="(%1)"/>
      <w:numFmt w:val="lowerLetter"/>
      <w:start w:val="2"/>
    </w:lvl>
    <w:lvl w:ilvl="1">
      <w:lvlJc w:val="left"/>
      <w:lvlText w:val="(%2)"/>
      <w:numFmt w:val="lowerRoman"/>
      <w:start w:val="1"/>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2"/>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upperLetter"/>
      <w:start w:val="1"/>
    </w:lvl>
    <w:lvl w:ilvl="1">
      <w:lvlJc w:val="left"/>
      <w:lvlText w:val="(%2)"/>
      <w:numFmt w:val="lowerLetter"/>
      <w:start w:val="1"/>
    </w:lvl>
  </w:abstractNum>
  <w:abstractNum w:abstractNumId="81">
    <w:nsid w:val="CC1016F"/>
    <w:multiLevelType w:val="hybridMultilevel"/>
    <w:lvl w:ilvl="0">
      <w:lvlJc w:val="left"/>
      <w:lvlText w:val="(%1)"/>
      <w:numFmt w:val="upperLetter"/>
      <w:start w:val="2"/>
    </w:lvl>
    <w:lvl w:ilvl="1">
      <w:lvlJc w:val="left"/>
      <w:lvlText w:val="%2"/>
      <w:numFmt w:val="lowerLetter"/>
      <w:start w:val="1"/>
    </w:lvl>
  </w:abstractNum>
  <w:abstractNum w:abstractNumId="82">
    <w:nsid w:val="43F18422"/>
    <w:multiLevelType w:val="hybridMultilevel"/>
    <w:lvl w:ilvl="0">
      <w:lvlJc w:val="left"/>
      <w:lvlText w:val="(%1)"/>
      <w:numFmt w:val="lowerLetter"/>
      <w:start w:val="4"/>
    </w:lvl>
  </w:abstractNum>
  <w:abstractNum w:abstractNumId="83">
    <w:nsid w:val="60EF0119"/>
    <w:multiLevelType w:val="hybridMultilevel"/>
    <w:lvl w:ilvl="0">
      <w:lvlJc w:val="left"/>
      <w:lvlText w:val="(%1)"/>
      <w:numFmt w:val="lowerLetter"/>
      <w:start w:val="1"/>
    </w:lvl>
  </w:abstractNum>
  <w:abstractNum w:abstractNumId="84">
    <w:nsid w:val="26F324BA"/>
    <w:multiLevelType w:val="hybridMultilevel"/>
    <w:lvl w:ilvl="0">
      <w:lvlJc w:val="left"/>
      <w:lvlText w:val="(%1)"/>
      <w:numFmt w:val="lowerLetter"/>
      <w:start w:val="3"/>
    </w:lvl>
  </w:abstractNum>
  <w:abstractNum w:abstractNumId="85">
    <w:nsid w:val="7F01579B"/>
    <w:multiLevelType w:val="hybridMultilevel"/>
    <w:lvl w:ilvl="0">
      <w:lvlJc w:val="left"/>
      <w:lvlText w:val="(%1)"/>
      <w:numFmt w:val="lowerLetter"/>
      <w:start w:val="1"/>
    </w:lvl>
  </w:abstractNum>
  <w:abstractNum w:abstractNumId="86">
    <w:nsid w:val="49DA307D"/>
    <w:multiLevelType w:val="hybridMultilevel"/>
    <w:lvl w:ilvl="0">
      <w:lvlJc w:val="left"/>
      <w:lvlText w:val="(%1)"/>
      <w:numFmt w:val="lowerLetter"/>
      <w:start w:val="1"/>
    </w:lvl>
  </w:abstractNum>
  <w:abstractNum w:abstractNumId="87">
    <w:nsid w:val="7055A5F5"/>
    <w:multiLevelType w:val="hybridMultilevel"/>
    <w:lvl w:ilvl="0">
      <w:lvlJc w:val="left"/>
      <w:lvlText w:val="(%1)"/>
      <w:numFmt w:val="lowerLetter"/>
      <w:start w:val="1"/>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Letter"/>
      <w:start w:val="2"/>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lowerLetter"/>
      <w:start w:val="1"/>
    </w:lvl>
  </w:abstractNum>
  <w:abstractNum w:abstractNumId="93">
    <w:nsid w:val="7672BD23"/>
    <w:multiLevelType w:val="hybridMultilevel"/>
    <w:lvl w:ilvl="0">
      <w:lvlJc w:val="left"/>
      <w:lvlText w:val="(%1)"/>
      <w:numFmt w:val="lowerLetter"/>
      <w:start w:val="1"/>
    </w:lvl>
  </w:abstractNum>
  <w:abstractNum w:abstractNumId="94">
    <w:nsid w:val="6FC75AF8"/>
    <w:multiLevelType w:val="hybridMultilevel"/>
    <w:lvl w:ilvl="0">
      <w:lvlJc w:val="left"/>
      <w:lvlText w:val="%1"/>
      <w:numFmt w:val="decimal"/>
      <w:start w:val="1"/>
    </w:lvl>
    <w:lvl w:ilvl="1">
      <w:lvlJc w:val="left"/>
      <w:lvlText w:val="(%2)"/>
      <w:numFmt w:val="lowerLetter"/>
      <w:start w:val="1"/>
    </w:lvl>
  </w:abstractNum>
  <w:abstractNum w:abstractNumId="95">
    <w:nsid w:val="6A5F7029"/>
    <w:multiLevelType w:val="hybridMultilevel"/>
    <w:lvl w:ilvl="0">
      <w:lvlJc w:val="left"/>
      <w:lvlText w:val="(%1)"/>
      <w:numFmt w:val="decimal"/>
      <w:start w:val="75"/>
    </w:lvl>
    <w:lvl w:ilvl="1">
      <w:lvlJc w:val="left"/>
      <w:lvlText w:val="(%2)"/>
      <w:numFmt w:val="lowerLetter"/>
      <w:start w:val="2"/>
    </w:lvl>
  </w:abstractNum>
  <w:abstractNum w:abstractNumId="96">
    <w:nsid w:val="7D5E18F8"/>
    <w:multiLevelType w:val="hybridMultilevel"/>
    <w:lvl w:ilvl="0">
      <w:lvlJc w:val="left"/>
      <w:lvlText w:val="(%1)"/>
      <w:numFmt w:val="decimal"/>
      <w:start w:val="75"/>
    </w:lvl>
    <w:lvl w:ilvl="1">
      <w:lvlJc w:val="left"/>
      <w:lvlText w:val="(%2)"/>
      <w:numFmt w:val="lowerLetter"/>
      <w:start w:val="3"/>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1"/>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lowerLetter"/>
      <w:start w:val="6"/>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lowerLetter"/>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2025-10-01T06:44:01Z</dcterms:created>
  <dcterms:modified xsi:type="dcterms:W3CDTF">2025-10-01T06:44:01Z</dcterms:modified>
</cp:coreProperties>
</file>