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820" w:right="1880" w:hanging="3812"/>
        <w:spacing w:after="0" w:line="500" w:lineRule="auto"/>
        <w:tabs>
          <w:tab w:leader="none" w:pos="2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40" w:right="1860" w:hanging="323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80" w:type="dxa"/>
            <w:vAlign w:val="bottom"/>
          </w:tcPr>
          <w:p>
            <w:pPr>
              <w:jc w:val="right"/>
              <w:ind w:right="22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2"/>
              </w:rPr>
              <w:t>of incorporation or organization)</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8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9"/>
              </w:rPr>
              <w:t>102 Woodmont Blvd., Suite 610</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0"/>
        </w:trPr>
        <w:tc>
          <w:tcPr>
            <w:tcW w:w="428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5"/>
              </w:rPr>
              <w:t>Nashville, Tennessee</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80" w:type="dxa"/>
            <w:vAlign w:val="bottom"/>
          </w:tcPr>
          <w:p>
            <w:pPr>
              <w:jc w:val="right"/>
              <w:ind w:right="2430"/>
              <w:spacing w:after="0"/>
              <w:rPr>
                <w:sz w:val="20"/>
                <w:szCs w:val="20"/>
                <w:color w:val="auto"/>
              </w:rPr>
            </w:pPr>
            <w:r>
              <w:rPr>
                <w:rFonts w:ascii="Arial" w:cs="Arial" w:eastAsia="Arial" w:hAnsi="Arial"/>
                <w:sz w:val="18"/>
                <w:szCs w:val="18"/>
                <w:b w:val="1"/>
                <w:bCs w:val="1"/>
                <w:color w:val="auto"/>
              </w:rPr>
              <w:t>37205</w:t>
            </w:r>
          </w:p>
        </w:tc>
      </w:tr>
      <w:tr>
        <w:trPr>
          <w:trHeight w:val="230"/>
        </w:trPr>
        <w:tc>
          <w:tcPr>
            <w:tcW w:w="4280" w:type="dxa"/>
            <w:vAlign w:val="bottom"/>
            <w:gridSpan w:val="2"/>
          </w:tcPr>
          <w:p>
            <w:pPr>
              <w:jc w:val="center"/>
              <w:ind w:left="115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Arial" w:cs="Arial" w:eastAsia="Arial" w:hAnsi="Arial"/>
                <w:sz w:val="18"/>
                <w:szCs w:val="18"/>
                <w:color w:val="auto"/>
                <w:w w:val="91"/>
              </w:rPr>
              <w:t>(Zip code)</w:t>
            </w:r>
          </w:p>
        </w:tc>
      </w:tr>
      <w:tr>
        <w:trPr>
          <w:trHeight w:val="418"/>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jc w:val="right"/>
              <w:ind w:right="270"/>
              <w:spacing w:after="0"/>
              <w:rPr>
                <w:sz w:val="20"/>
                <w:szCs w:val="20"/>
                <w:color w:val="auto"/>
              </w:rPr>
            </w:pPr>
            <w:r>
              <w:rPr>
                <w:rFonts w:ascii="Arial" w:cs="Arial" w:eastAsia="Arial" w:hAnsi="Arial"/>
                <w:sz w:val="18"/>
                <w:szCs w:val="18"/>
                <w:b w:val="1"/>
                <w:bCs w:val="1"/>
                <w:color w:val="auto"/>
              </w:rPr>
              <w:t>(615) 733-4730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0"/>
        </w:trPr>
        <w:tc>
          <w:tcPr>
            <w:tcW w:w="7560" w:type="dxa"/>
            <w:vAlign w:val="bottom"/>
            <w:gridSpan w:val="5"/>
          </w:tcPr>
          <w:p>
            <w:pPr>
              <w:jc w:val="center"/>
              <w:ind w:left="3590"/>
              <w:spacing w:after="0"/>
              <w:rPr>
                <w:sz w:val="20"/>
                <w:szCs w:val="20"/>
                <w:color w:val="auto"/>
              </w:rPr>
            </w:pPr>
            <w:r>
              <w:rPr>
                <w:rFonts w:ascii="Arial" w:cs="Arial" w:eastAsia="Arial" w:hAnsi="Arial"/>
                <w:sz w:val="18"/>
                <w:szCs w:val="18"/>
                <w:color w:val="auto"/>
                <w:w w:val="89"/>
              </w:rPr>
              <w:t>(Registrant’s telephone number, including area code)</w:t>
            </w:r>
          </w:p>
        </w:tc>
        <w:tc>
          <w:tcPr>
            <w:tcW w:w="3680" w:type="dxa"/>
            <w:vAlign w:val="bottom"/>
          </w:tcPr>
          <w:p>
            <w:pPr>
              <w:spacing w:after="0"/>
              <w:rPr>
                <w:sz w:val="20"/>
                <w:szCs w:val="20"/>
                <w:color w:val="auto"/>
              </w:rPr>
            </w:pPr>
          </w:p>
        </w:tc>
      </w:tr>
      <w:tr>
        <w:trPr>
          <w:trHeight w:val="432"/>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52"/>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28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Trading Symbol(s)</w:t>
            </w:r>
          </w:p>
        </w:tc>
        <w:tc>
          <w:tcPr>
            <w:tcW w:w="3680" w:type="dxa"/>
            <w:vAlign w:val="bottom"/>
          </w:tcPr>
          <w:p>
            <w:pPr>
              <w:jc w:val="center"/>
              <w:ind w:right="710"/>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0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2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710"/>
              <w:spacing w:after="0" w:line="201" w:lineRule="exact"/>
              <w:rPr>
                <w:sz w:val="20"/>
                <w:szCs w:val="20"/>
                <w:color w:val="auto"/>
              </w:rPr>
            </w:pPr>
            <w:r>
              <w:rPr>
                <w:rFonts w:ascii="Arial" w:cs="Arial" w:eastAsia="Arial" w:hAnsi="Arial"/>
                <w:sz w:val="18"/>
                <w:szCs w:val="18"/>
                <w:color w:val="auto"/>
                <w:w w:val="91"/>
              </w:rPr>
              <w:t>The Nasdaq Global Market</w:t>
            </w:r>
          </w:p>
        </w:tc>
      </w:tr>
      <w:tr>
        <w:trPr>
          <w:trHeight w:val="230"/>
        </w:trPr>
        <w:tc>
          <w:tcPr>
            <w:tcW w:w="4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8.625% Senior Notes due 2026</w:t>
            </w:r>
          </w:p>
        </w:tc>
        <w:tc>
          <w:tcPr>
            <w:tcW w:w="3280" w:type="dxa"/>
            <w:vAlign w:val="bottom"/>
            <w:gridSpan w:val="3"/>
          </w:tcPr>
          <w:p>
            <w:pPr>
              <w:jc w:val="center"/>
              <w:ind w:right="1020"/>
              <w:spacing w:after="0"/>
              <w:rPr>
                <w:sz w:val="20"/>
                <w:szCs w:val="20"/>
                <w:color w:val="auto"/>
              </w:rPr>
            </w:pPr>
            <w:r>
              <w:rPr>
                <w:rFonts w:ascii="Arial" w:cs="Arial" w:eastAsia="Arial" w:hAnsi="Arial"/>
                <w:sz w:val="18"/>
                <w:szCs w:val="18"/>
                <w:color w:val="auto"/>
                <w:w w:val="98"/>
              </w:rPr>
              <w:t>HROWL</w:t>
            </w:r>
          </w:p>
        </w:tc>
        <w:tc>
          <w:tcPr>
            <w:tcW w:w="3680" w:type="dxa"/>
            <w:vAlign w:val="bottom"/>
          </w:tcPr>
          <w:p>
            <w:pPr>
              <w:jc w:val="center"/>
              <w:ind w:right="710"/>
              <w:spacing w:after="0"/>
              <w:rPr>
                <w:sz w:val="20"/>
                <w:szCs w:val="20"/>
                <w:color w:val="auto"/>
              </w:rPr>
            </w:pPr>
            <w:r>
              <w:rPr>
                <w:rFonts w:ascii="Arial" w:cs="Arial" w:eastAsia="Arial" w:hAnsi="Arial"/>
                <w:sz w:val="18"/>
                <w:szCs w:val="18"/>
                <w:color w:val="auto"/>
                <w:w w:val="91"/>
              </w:rPr>
              <w:t>The Nasdaq Global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8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18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80" w:type="dxa"/>
            <w:vAlign w:val="bottom"/>
          </w:tcPr>
          <w:p>
            <w:pPr>
              <w:ind w:left="18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4, 2022, there were 27,031,127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20" w:type="dxa"/>
            <w:vAlign w:val="bottom"/>
            <w:gridSpan w:val="6"/>
          </w:tcPr>
          <w:p>
            <w:pPr>
              <w:jc w:val="center"/>
              <w:ind w:right="284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r>
      <w:tr>
        <w:trPr>
          <w:trHeight w:val="391"/>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20" w:type="dxa"/>
            <w:vAlign w:val="bottom"/>
            <w:gridSpan w:val="5"/>
          </w:tcPr>
          <w:p>
            <w:pPr>
              <w:jc w:val="center"/>
              <w:ind w:right="43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80"/>
        </w:trPr>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89"/>
        </w:trPr>
        <w:tc>
          <w:tcPr>
            <w:tcW w:w="960" w:type="dxa"/>
            <w:vAlign w:val="bottom"/>
            <w:shd w:val="clear" w:color="auto" w:fill="CCEEFF"/>
          </w:tcPr>
          <w:p>
            <w:pPr>
              <w:spacing w:after="0" w:line="136" w:lineRule="exact"/>
              <w:rPr>
                <w:sz w:val="20"/>
                <w:szCs w:val="20"/>
                <w:color w:val="auto"/>
              </w:rPr>
            </w:pPr>
            <w:r>
              <w:rPr>
                <w:rFonts w:ascii="Arial" w:cs="Arial" w:eastAsia="Arial" w:hAnsi="Arial"/>
                <w:sz w:val="15"/>
                <w:szCs w:val="15"/>
                <w:color w:val="auto"/>
              </w:rPr>
              <w:t>Part I</w:t>
            </w:r>
          </w:p>
        </w:tc>
        <w:tc>
          <w:tcPr>
            <w:tcW w:w="9640" w:type="dxa"/>
            <w:vAlign w:val="bottom"/>
            <w:gridSpan w:val="17"/>
            <w:shd w:val="clear" w:color="auto" w:fill="CCEEFF"/>
          </w:tcPr>
          <w:p>
            <w:pPr>
              <w:ind w:left="140"/>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1.</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2.</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3.</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4.</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1.</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Item 1A.</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2.</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3.</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4.</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5.</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Item 6.</w:t>
            </w:r>
          </w:p>
        </w:tc>
        <w:tc>
          <w:tcPr>
            <w:tcW w:w="9640" w:type="dxa"/>
            <w:vAlign w:val="bottom"/>
            <w:gridSpan w:val="17"/>
            <w:shd w:val="clear" w:color="auto" w:fill="CCEEFF"/>
          </w:tcPr>
          <w:p>
            <w:pPr>
              <w:ind w:left="1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00" w:type="dxa"/>
            <w:vAlign w:val="bottom"/>
            <w:gridSpan w:val="1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439"/>
        </w:trPr>
        <w:tc>
          <w:tcPr>
            <w:tcW w:w="9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00" w:type="dxa"/>
            <w:vAlign w:val="bottom"/>
            <w:tcBorders>
              <w:top w:val="single" w:sz="8" w:color="CCEEFF"/>
              <w:bottom w:val="single" w:sz="8" w:color="auto"/>
            </w:tcBorders>
            <w:gridSpan w:val="12"/>
          </w:tcPr>
          <w:p>
            <w:pPr>
              <w:jc w:val="center"/>
              <w:ind w:left="3030"/>
              <w:spacing w:after="0"/>
              <w:rPr>
                <w:sz w:val="20"/>
                <w:szCs w:val="20"/>
                <w:color w:val="auto"/>
              </w:rPr>
            </w:pPr>
            <w:r>
              <w:rPr>
                <w:rFonts w:ascii="Arial" w:cs="Arial" w:eastAsia="Arial" w:hAnsi="Arial"/>
                <w:sz w:val="18"/>
                <w:szCs w:val="18"/>
                <w:color w:val="auto"/>
                <w:w w:val="79"/>
              </w:rPr>
              <w:t>2</w:t>
            </w:r>
          </w:p>
        </w:tc>
        <w:tc>
          <w:tcPr>
            <w:tcW w:w="1300" w:type="dxa"/>
            <w:vAlign w:val="bottom"/>
            <w:tcBorders>
              <w:top w:val="single" w:sz="8" w:color="CCEEFF"/>
              <w:bottom w:val="single" w:sz="8" w:color="auto"/>
            </w:tcBorders>
          </w:tcPr>
          <w:p>
            <w:pPr>
              <w:spacing w:after="0"/>
              <w:rPr>
                <w:sz w:val="24"/>
                <w:szCs w:val="24"/>
                <w:color w:val="auto"/>
              </w:rPr>
            </w:pPr>
          </w:p>
        </w:tc>
        <w:tc>
          <w:tcPr>
            <w:tcW w:w="30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March 31,</w:t>
            </w:r>
          </w:p>
        </w:tc>
        <w:tc>
          <w:tcPr>
            <w:tcW w:w="200" w:type="dxa"/>
            <w:vAlign w:val="bottom"/>
          </w:tcPr>
          <w:p>
            <w:pPr>
              <w:spacing w:after="0"/>
              <w:rPr>
                <w:sz w:val="19"/>
                <w:szCs w:val="19"/>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2022</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color w:val="auto"/>
                <w:w w:val="92"/>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41,948,000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42,167,000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8,642,000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8,503,000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5,995,000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4,396,000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4,217,000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1,334,000</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62,315,000</w:t>
            </w: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60,662,000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2,968,000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Capitalized software costs,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1,471,000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1,313,000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6,847,000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15,415,000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15,813,000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8,247,000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332,000</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332,000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98,329,000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6,758,000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6,337,000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1,948,000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23,000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445,000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lease obligations, net of current portion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6,823,000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6,012,000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net of current portion</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Loans payable, net of current portion and unamortized debt discount</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71,847,000</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71,654,000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87,859,000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87,398,000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stock, $0.001 par value, 50,000,000 shares authorized, 27,031,127 and 26,902,763</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shares issued and outstanding at March 31, 2022 and December 31, 2021, respectively</w:t>
            </w:r>
          </w:p>
        </w:tc>
        <w:tc>
          <w:tcPr>
            <w:tcW w:w="26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27,000</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107,909,000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106,666,000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(97,845,000)</w:t>
            </w:r>
          </w:p>
        </w:tc>
        <w:tc>
          <w:tcPr>
            <w:tcW w:w="20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(95,407,000)</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10,091,000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11,286,000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(355,000)</w:t>
            </w:r>
          </w:p>
        </w:tc>
        <w:tc>
          <w:tcPr>
            <w:tcW w:w="200" w:type="dxa"/>
            <w:vAlign w:val="bottom"/>
          </w:tcPr>
          <w:p>
            <w:pPr>
              <w:spacing w:after="0"/>
              <w:rPr>
                <w:sz w:val="20"/>
                <w:szCs w:val="20"/>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(355,000)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10,931,000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4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97,595,000</w:t>
            </w: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98,329,000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For the</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3"/>
          </w:tcPr>
          <w:p>
            <w:pPr>
              <w:jc w:val="center"/>
              <w:ind w:left="570"/>
              <w:spacing w:after="0"/>
              <w:rPr>
                <w:sz w:val="20"/>
                <w:szCs w:val="20"/>
                <w:color w:val="auto"/>
              </w:rPr>
            </w:pPr>
            <w:r>
              <w:rPr>
                <w:rFonts w:ascii="Arial" w:cs="Arial" w:eastAsia="Arial" w:hAnsi="Arial"/>
                <w:sz w:val="18"/>
                <w:szCs w:val="18"/>
                <w:color w:val="auto"/>
                <w:w w:val="90"/>
              </w:rPr>
              <w:t>Three Months Ended</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92"/>
              </w:rPr>
              <w:t>March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4"/>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20,340,000</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14,948,000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1,780,000</w:t>
            </w:r>
          </w:p>
        </w:tc>
        <w:tc>
          <w:tcPr>
            <w:tcW w:w="6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22,120,000</w:t>
            </w:r>
          </w:p>
        </w:tc>
        <w:tc>
          <w:tcPr>
            <w:tcW w:w="3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15,443,000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(5,963,000)</w:t>
            </w:r>
          </w:p>
        </w:tc>
        <w:tc>
          <w:tcPr>
            <w:tcW w:w="6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(3,770,000)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16,157,000</w:t>
            </w:r>
          </w:p>
        </w:tc>
        <w:tc>
          <w:tcPr>
            <w:tcW w:w="3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11,673,000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13,398,000</w:t>
            </w:r>
          </w:p>
        </w:tc>
        <w:tc>
          <w:tcPr>
            <w:tcW w:w="6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8,164,000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658,000</w:t>
            </w:r>
          </w:p>
        </w:tc>
        <w:tc>
          <w:tcPr>
            <w:tcW w:w="6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14,056,000</w:t>
            </w:r>
          </w:p>
        </w:tc>
        <w:tc>
          <w:tcPr>
            <w:tcW w:w="3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8,756,000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2,101,000</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Other (expense) income: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(1,792,000)</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Equity in losses of unconsolidated entities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(2,886,000)</w:t>
            </w:r>
          </w:p>
        </w:tc>
        <w:tc>
          <w:tcPr>
            <w:tcW w:w="6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(1,319,000)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gain (loss) from Eton Pharmaceuticals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139,000</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(2,835,000)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Gain on forgiveness of PPP loan</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1,967,000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color w:val="auto"/>
              </w:rPr>
              <w:t>(Loss) income before income taxes</w:t>
            </w: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(2,438,000)</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217,000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 income attributable to common stockholders</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(2,438,000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217,000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net (loss) income per share of common stock</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(0.09</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Diluted net (loss) income per share of common stock</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(0.09</w:t>
            </w:r>
          </w:p>
        </w:tc>
        <w:tc>
          <w:tcPr>
            <w:tcW w:w="32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Weighted average number of shares of common stock outstanding, basic</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27,226,819</w:t>
            </w:r>
          </w:p>
        </w:tc>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26,019,255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diluted</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27,226,819</w:t>
            </w:r>
          </w:p>
        </w:tc>
        <w:tc>
          <w:tcPr>
            <w:tcW w:w="320" w:type="dxa"/>
            <w:vAlign w:val="bottom"/>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27,480,622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Total</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Harrow</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Non</w:t>
            </w:r>
          </w:p>
        </w:tc>
        <w:tc>
          <w:tcPr>
            <w:tcW w:w="140" w:type="dxa"/>
            <w:vAlign w:val="bottom"/>
          </w:tcPr>
          <w:p>
            <w:pPr>
              <w:spacing w:after="0"/>
              <w:rPr>
                <w:sz w:val="18"/>
                <w:szCs w:val="18"/>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22"/>
                <w:szCs w:val="22"/>
                <w:color w:val="auto"/>
              </w:rPr>
              <w:t>Total</w:t>
            </w:r>
          </w:p>
        </w:tc>
        <w:tc>
          <w:tcPr>
            <w:tcW w:w="0" w:type="dxa"/>
            <w:vAlign w:val="bottom"/>
          </w:tcPr>
          <w:p>
            <w:pPr>
              <w:spacing w:after="0"/>
              <w:rPr>
                <w:sz w:val="1"/>
                <w:szCs w:val="1"/>
                <w:color w:val="auto"/>
              </w:rPr>
            </w:pPr>
          </w:p>
        </w:tc>
      </w:tr>
      <w:tr>
        <w:trPr>
          <w:trHeight w:val="251"/>
        </w:trPr>
        <w:tc>
          <w:tcPr>
            <w:tcW w:w="2000" w:type="dxa"/>
            <w:vAlign w:val="bottom"/>
          </w:tcPr>
          <w:p>
            <w:pPr>
              <w:spacing w:after="0"/>
              <w:rPr>
                <w:sz w:val="21"/>
                <w:szCs w:val="21"/>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w w:val="92"/>
              </w:rPr>
              <w:t>Preferred Stock</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4"/>
          </w:tcPr>
          <w:p>
            <w:pPr>
              <w:jc w:val="right"/>
              <w:ind w:right="520"/>
              <w:spacing w:after="0"/>
              <w:rPr>
                <w:sz w:val="20"/>
                <w:szCs w:val="20"/>
                <w:color w:val="auto"/>
              </w:rPr>
            </w:pPr>
            <w:r>
              <w:rPr>
                <w:rFonts w:ascii="Arial" w:cs="Arial" w:eastAsia="Arial" w:hAnsi="Arial"/>
                <w:sz w:val="18"/>
                <w:szCs w:val="18"/>
                <w:color w:val="auto"/>
              </w:rPr>
              <w:t>Common Stock</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Additional</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Health, Inc.</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controlling</w:t>
            </w: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Par</w:t>
            </w: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Par</w:t>
            </w: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Paid-in</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Accumulated</w:t>
            </w: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Interest</w:t>
            </w: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Value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Value</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Capital</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Equity</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188"/>
        </w:trPr>
        <w:tc>
          <w:tcPr>
            <w:tcW w:w="20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7"/>
              </w:rPr>
              <w:t>Balance at December 31,</w:t>
            </w: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25,749,875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$ 26,000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$ 104,557,000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(77,400,000)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27,183,000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(355,000)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26,828,000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stock in connection with:</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Exercise of employee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options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11,301</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RSUs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230,000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tcPr>
          <w:p>
            <w:pPr>
              <w:ind w:left="180"/>
              <w:spacing w:after="0" w:line="201" w:lineRule="exact"/>
              <w:rPr>
                <w:sz w:val="20"/>
                <w:szCs w:val="20"/>
                <w:color w:val="auto"/>
              </w:rPr>
            </w:pPr>
            <w:r>
              <w:rPr>
                <w:rFonts w:ascii="Arial" w:cs="Arial" w:eastAsia="Arial" w:hAnsi="Arial"/>
                <w:sz w:val="18"/>
                <w:szCs w:val="18"/>
                <w:color w:val="auto"/>
              </w:rPr>
              <w:t>Shares withheld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rPr>
              <w:t>related to net share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rPr>
              <w:t>settlement of equity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rPr>
              <w:t>awards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(7,500)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(57,000)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217,000</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217,000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at March 31,</w:t>
            </w: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25,983,676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26,000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105,382,000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(77,183,000)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28,225,000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(355,000)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27,870,000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Balance at December 31,</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26,902,763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$ 27,000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$ 106,666,000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(95,407,000)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11,286,000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(355,000)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10,931,000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stock in connection with:</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 employee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89,986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Arial" w:cs="Arial" w:eastAsia="Arial" w:hAnsi="Arial"/>
                <w:sz w:val="18"/>
                <w:szCs w:val="18"/>
                <w:color w:val="auto"/>
              </w:rPr>
              <w:t>Vesting of RSUs</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135,000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withheld</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net share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equity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(96,622)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(777,000)</w:t>
            </w:r>
          </w:p>
        </w:tc>
        <w:tc>
          <w:tcPr>
            <w:tcW w:w="0" w:type="dxa"/>
            <w:vAlign w:val="bottom"/>
          </w:tcPr>
          <w:p>
            <w:pPr>
              <w:spacing w:after="0"/>
              <w:rPr>
                <w:sz w:val="1"/>
                <w:szCs w:val="1"/>
                <w:color w:val="auto"/>
              </w:rPr>
            </w:pP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compensation expense</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2,016,000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2,016,000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(2,438,000)</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(2,438,000)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(2,438,000)</w:t>
            </w:r>
          </w:p>
        </w:tc>
        <w:tc>
          <w:tcPr>
            <w:tcW w:w="0" w:type="dxa"/>
            <w:vAlign w:val="bottom"/>
          </w:tcPr>
          <w:p>
            <w:pPr>
              <w:spacing w:after="0"/>
              <w:rPr>
                <w:sz w:val="1"/>
                <w:szCs w:val="1"/>
                <w:color w:val="auto"/>
              </w:rPr>
            </w:pPr>
          </w:p>
        </w:tc>
      </w:tr>
      <w:tr>
        <w:trPr>
          <w:trHeight w:val="175"/>
        </w:trPr>
        <w:tc>
          <w:tcPr>
            <w:tcW w:w="20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at March 31,</w:t>
            </w: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0"/>
                <w:szCs w:val="20"/>
                <w:color w:val="auto"/>
              </w:rPr>
            </w:pPr>
            <w:r>
              <w:rPr>
                <w:rFonts w:ascii="Arial" w:cs="Arial" w:eastAsia="Arial" w:hAnsi="Arial"/>
                <w:sz w:val="18"/>
                <w:szCs w:val="18"/>
                <w:color w:val="auto"/>
              </w:rPr>
              <w:t>2022</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27,031,127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27,000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107,909,000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 (97,845,000)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10,091,000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 (355,000)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9,736,000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6"/>
          </w:tcPr>
          <w:p>
            <w:pPr>
              <w:jc w:val="right"/>
              <w:ind w:right="920"/>
              <w:spacing w:after="0"/>
              <w:rPr>
                <w:sz w:val="20"/>
                <w:szCs w:val="20"/>
                <w:color w:val="auto"/>
              </w:rPr>
            </w:pPr>
            <w:r>
              <w:rPr>
                <w:rFonts w:ascii="Arial" w:cs="Arial" w:eastAsia="Arial" w:hAnsi="Arial"/>
                <w:sz w:val="18"/>
                <w:szCs w:val="18"/>
                <w:color w:val="auto"/>
              </w:rPr>
              <w:t>For the Three Months Ended</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color w:val="auto"/>
              </w:rPr>
              <w:t>March 31,</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(2,438,000)</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419,000</w:t>
            </w: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404,000</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124,000</w:t>
            </w: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bad debt expense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193,000</w:t>
            </w:r>
          </w:p>
        </w:tc>
        <w:tc>
          <w:tcPr>
            <w:tcW w:w="42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forgiveness of PPP loan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(1,967,000)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(gain) loss from investment in Eton</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(139,000)</w:t>
            </w: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2,835,000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losses of unconsolidated entities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2,886,000</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2,016,000</w:t>
            </w: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(1,535,000)</w:t>
            </w:r>
          </w:p>
        </w:tc>
        <w:tc>
          <w:tcPr>
            <w:tcW w:w="42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(610,000)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(179,000)</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(534,000)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(29,000)</w:t>
            </w:r>
          </w:p>
        </w:tc>
        <w:tc>
          <w:tcPr>
            <w:tcW w:w="42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369,000</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(1,141,000)</w:t>
            </w:r>
          </w:p>
        </w:tc>
        <w:tc>
          <w:tcPr>
            <w:tcW w:w="42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(684,000)</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967,000</w:t>
            </w:r>
          </w:p>
        </w:tc>
        <w:tc>
          <w:tcPr>
            <w:tcW w:w="3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3,208,000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(6,000)</w:t>
            </w:r>
          </w:p>
        </w:tc>
        <w:tc>
          <w:tcPr>
            <w:tcW w:w="42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 and capitalized software development costs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(404,000)</w:t>
            </w:r>
          </w:p>
        </w:tc>
        <w:tc>
          <w:tcPr>
            <w:tcW w:w="4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(410,000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Payments on finance lease obligations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 on SWK loan</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the exercise of stock options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4,000</w:t>
            </w:r>
          </w:p>
        </w:tc>
        <w:tc>
          <w:tcPr>
            <w:tcW w:w="4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taxes upon vesting of RSUs and exercise of stock options</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(777,000)</w:t>
            </w:r>
          </w:p>
        </w:tc>
        <w:tc>
          <w:tcPr>
            <w:tcW w:w="4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(776,000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42,167,000</w:t>
            </w:r>
          </w:p>
        </w:tc>
        <w:tc>
          <w:tcPr>
            <w:tcW w:w="4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4,301,000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41,948,000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1,617,000</w:t>
            </w:r>
          </w:p>
        </w:tc>
        <w:tc>
          <w:tcPr>
            <w:tcW w:w="3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415,000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440" w:type="dxa"/>
            <w:vAlign w:val="bottom"/>
            <w:shd w:val="clear" w:color="auto" w:fill="CCEEFF"/>
          </w:tcPr>
          <w:p>
            <w:pPr>
              <w:ind w:left="180"/>
              <w:spacing w:after="0" w:line="155" w:lineRule="exact"/>
              <w:rPr>
                <w:sz w:val="20"/>
                <w:szCs w:val="20"/>
                <w:color w:val="auto"/>
              </w:rPr>
            </w:pPr>
            <w:r>
              <w:rPr>
                <w:rFonts w:ascii="Arial" w:cs="Arial" w:eastAsia="Arial" w:hAnsi="Arial"/>
                <w:sz w:val="17"/>
                <w:szCs w:val="17"/>
                <w:color w:val="auto"/>
              </w:rPr>
              <w:t>SUPPLEMENTAL DISCLOSURES OF NON-CASH INVESTING AND FINANCING</w:t>
            </w:r>
          </w:p>
        </w:tc>
        <w:tc>
          <w:tcPr>
            <w:tcW w:w="3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1,036,000</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Harrow Health, Inc. (together with its subsidiaries, partially owned companies and royalty arrangements unless the context indicates or otherwise requires, the “Company” or “Harrow”) is an ophthalmic-focused healthcare company that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non-controlling equity positions in Surface Ophthalmics, Inc. (“Surface”) and Melt Pharmaceuticals, Inc. (“Melt”), both companies that began as subsidiaries of Harrow. In 2020, Harrow created Visionology, Inc. (“Visionology”), which launched a digital eye health platform business during 2021. Harrow also owns royalty rights in various drug candidates being developed by Surface and Melt.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2022 are not necessarily indicative of the results that may be expected for the year ending December 31, 2022 or for any other period. For further information, refer to the Company’s audited consolidated financial statements and footnotes thereto included in the Company’s Annual Report on Form 10-K for the year ended December 31, 2021.</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and majority-owned subsidiaries. All intercompany accounts and transactions have been eliminated in consolidation.</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Harrow consolidates entities in which it has a controlling financial interest. The Company assesses control under the variable interest entity (“VIE”) model to determine whether the Company is the primary beneficiary of that entity’s operations. If an entity is not deemed to be a VIE, the Company consolidates entities in which it holds and/or controls, directly or indirectly, more than 50% of the voting rights.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months ended March 31, 2022 to the significant accounting policies described in the Company’s Annual Report on Form 10-K for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shifts in the Company’s strategic plans to further focus on growing the Company’s ImprimisRx business and suspension of activities related to starting up development-stage pharmaceutical companies, along with changes to the Company’s organizational and internal reporting structure, beginning in January 2022 management no longer evaluates the Company’s business in two segments and instead focuses on the performance of the business as a single operating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Basic and Diluted Net (Loss) Income per Common Share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net (loss) income per common share is computed by dividing net (loss) income attributable to common stockholders for the period by the weighted average number of common shares outstanding during the period. Diluted net (loss) income per share is computed by dividing the net (loss) income attributable to common stockholders for the period by the weighted average number of common and common equivalent shares, such as stock options, restricted stock units (“RSUs”) and warrants, outstanding during the period. Common equivalent shares (using the treasury stock method) from stock options, unvested RSUs and warrants were 5,546,200 and 5,486,678 at March 31, 2022 and 2021, respectively. For the three months ended March 31, 2022, the common equivalent shares are excluded in the calculation of diluted net loss per share because the effect is anti-dilutive. Included in the basic and diluted net (loss) income per share calculation were RSUs awarded to directors that had vested, but the issuance and delivery of the shares are deferred until the director resigns. The number of shares underlying vested RSUs at March 31, 2022 and 2021 was 277,405 and 223,219,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(loss) income per share of common stock for the three months ended March 31,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gridSpan w:val="5"/>
          </w:tcPr>
          <w:p>
            <w:pPr>
              <w:ind w:left="3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 income attributable to Harrow Health, Inc. common stockholders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(2,438,000)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 - weighted average number of shares outstanding, basic</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27,226,819</w:t>
            </w:r>
          </w:p>
        </w:tc>
        <w:tc>
          <w:tcPr>
            <w:tcW w:w="320" w:type="dxa"/>
            <w:vAlign w:val="bottom"/>
            <w:tcBorders>
              <w:bottom w:val="single" w:sz="8" w:color="CCEEFF"/>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26,019,255</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 basic</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the Company had net income. As a result, the Company computed diluted net income per share using the weighted-average number of common shares and dilutive common equivalent shares outstanding during the period. Diluted common equivalent shares for the three months ended March 31, 2021, consisted of the following:</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Diluted shares related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Dilutive common equivalent shares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60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168910</wp:posOffset>
            </wp:positionV>
            <wp:extent cx="570039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-175260</wp:posOffset>
            </wp:positionH>
            <wp:positionV relativeFrom="paragraph">
              <wp:posOffset>14605</wp:posOffset>
            </wp:positionV>
            <wp:extent cx="17659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576,275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14605</wp:posOffset>
            </wp:positionV>
            <wp:extent cx="570039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3"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885,092</w:t>
      </w:r>
    </w:p>
    <w:p>
      <w:pPr>
        <w:spacing w:after="0" w:line="49"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1,461,367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14605</wp:posOffset>
            </wp:positionV>
            <wp:extent cx="1705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31750</wp:posOffset>
            </wp:positionV>
            <wp:extent cx="1705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661"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diluted net (loss) income per share of common stock for the three months ended March 31,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 net (loss) income attributable to Harrow Health, Inc.</w:t>
            </w:r>
          </w:p>
        </w:tc>
        <w:tc>
          <w:tcPr>
            <w:tcW w:w="13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(2,438,000</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w w:val="94"/>
              </w:rPr>
              <w:t>Denominator – weighted average number of shares outstanding, basic</w:t>
            </w: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27,226,819</w:t>
            </w:r>
          </w:p>
        </w:tc>
        <w:tc>
          <w:tcPr>
            <w:tcW w:w="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26,019,255</w:t>
            </w:r>
          </w:p>
        </w:tc>
        <w:tc>
          <w:tcPr>
            <w:tcW w:w="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 shares</w:t>
            </w:r>
          </w:p>
        </w:tc>
        <w:tc>
          <w:tcPr>
            <w:tcW w:w="1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1,461,367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Number of shares used for diluted earnings per share computation</w:t>
            </w:r>
          </w:p>
        </w:tc>
        <w:tc>
          <w:tcPr>
            <w:tcW w:w="13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27,226,819</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27,480,622</w:t>
            </w:r>
          </w:p>
        </w:tc>
        <w:tc>
          <w:tcPr>
            <w:tcW w:w="80" w:type="dxa"/>
            <w:vAlign w:val="bottom"/>
            <w:tcBorders>
              <w:top w:val="single" w:sz="8" w:color="CCEEFF"/>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per share, diluted</w:t>
            </w:r>
          </w:p>
        </w:tc>
        <w:tc>
          <w:tcPr>
            <w:tcW w:w="13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vMerge w:val="restart"/>
          </w:tcPr>
          <w:p>
            <w:pPr>
              <w:jc w:val="right"/>
              <w:ind w:right="93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March 31, 2022, the Company owned 1,982,000 shares of Eton common stock, which represents less than 10% of the equity interests of Eton. At March 31, 2022, the fair market value of Eton’s common stock was $4.36 per share. In accordance with the Accounting Standards Update (“ASU”) 2016-01, </w:t>
      </w:r>
      <w:r>
        <w:rPr>
          <w:rFonts w:ascii="Arial" w:cs="Arial" w:eastAsia="Arial" w:hAnsi="Arial"/>
          <w:sz w:val="18"/>
          <w:szCs w:val="18"/>
          <w:i w:val="1"/>
          <w:iCs w:val="1"/>
          <w:color w:val="auto"/>
        </w:rPr>
        <w:t>Financial Instruments-Overall (Subtopic 825-10): Recognition and Measurement of Financial Assets and Financial Liabilities</w:t>
      </w:r>
      <w:r>
        <w:rPr>
          <w:rFonts w:ascii="Arial" w:cs="Arial" w:eastAsia="Arial" w:hAnsi="Arial"/>
          <w:sz w:val="18"/>
          <w:szCs w:val="18"/>
          <w:color w:val="auto"/>
        </w:rPr>
        <w:t>, the Company recorded an unrealized investment gain (loss) from its Eton common stock position of $139,000 and $(2,835,000) during the three months ended March 31, 2022 and 2021, respectively, related to the change in fair market value of its investment in Eton during the measurement period. As of March 31, 2022, the fair market value of the Company’s investment in Eton was $8,642,000.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owns 3,500,000 shares of common stock of Melt (representing approximately 46% of the equity interests as of March 31, 2022).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condensed consolidated financial statements and adjusts the carrying amount of its investment in Melt accordingly. Any intra-entity profits and losses are eliminated. During the year ended December 31, 2021, the Company reduced the carrying value of its common stock investment in Melt to $0 as a result of the Company recording its share of equity losses in Melt since its deconsolidation in 2019. As of March 31, 2022 and at the time of entering into the Melt Loan Agreement (see Note 4),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in Melt as of March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Cost</w:t>
            </w:r>
          </w:p>
        </w:tc>
        <w:tc>
          <w:tcPr>
            <w:tcW w:w="180" w:type="dxa"/>
            <w:vAlign w:val="bottom"/>
          </w:tcPr>
          <w:p>
            <w:pPr>
              <w:spacing w:after="0"/>
              <w:rPr>
                <w:sz w:val="19"/>
                <w:szCs w:val="19"/>
                <w:color w:val="auto"/>
              </w:rPr>
            </w:pPr>
          </w:p>
        </w:tc>
        <w:tc>
          <w:tcPr>
            <w:tcW w:w="1720" w:type="dxa"/>
            <w:vAlign w:val="bottom"/>
            <w:gridSpan w:val="2"/>
          </w:tcPr>
          <w:p>
            <w:pPr>
              <w:jc w:val="right"/>
              <w:ind w:right="421"/>
              <w:spacing w:after="0"/>
              <w:rPr>
                <w:sz w:val="20"/>
                <w:szCs w:val="20"/>
                <w:color w:val="auto"/>
              </w:rPr>
            </w:pPr>
            <w:r>
              <w:rPr>
                <w:rFonts w:ascii="Arial" w:cs="Arial" w:eastAsia="Arial" w:hAnsi="Arial"/>
                <w:sz w:val="18"/>
                <w:szCs w:val="18"/>
                <w:color w:val="auto"/>
                <w:w w:val="97"/>
              </w:rPr>
              <w:t>Share of Equity</w:t>
            </w:r>
          </w:p>
        </w:tc>
        <w:tc>
          <w:tcPr>
            <w:tcW w:w="220" w:type="dxa"/>
            <w:vAlign w:val="bottom"/>
          </w:tcPr>
          <w:p>
            <w:pPr>
              <w:spacing w:after="0"/>
              <w:rPr>
                <w:sz w:val="19"/>
                <w:szCs w:val="19"/>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Paid-in-Kind</w:t>
            </w:r>
          </w:p>
        </w:tc>
        <w:tc>
          <w:tcPr>
            <w:tcW w:w="1920" w:type="dxa"/>
            <w:vAlign w:val="bottom"/>
            <w:gridSpan w:val="3"/>
          </w:tcPr>
          <w:p>
            <w:pPr>
              <w:jc w:val="right"/>
              <w:ind w:right="261"/>
              <w:spacing w:after="0"/>
              <w:rPr>
                <w:sz w:val="20"/>
                <w:szCs w:val="20"/>
                <w:color w:val="auto"/>
              </w:rPr>
            </w:pPr>
            <w:r>
              <w:rPr>
                <w:rFonts w:ascii="Arial" w:cs="Arial" w:eastAsia="Arial" w:hAnsi="Arial"/>
                <w:sz w:val="18"/>
                <w:szCs w:val="18"/>
                <w:color w:val="auto"/>
                <w:w w:val="95"/>
              </w:rPr>
              <w:t>In-substance Capital</w:t>
            </w: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Net</w:t>
            </w:r>
          </w:p>
        </w:tc>
      </w:tr>
      <w:tr>
        <w:trPr>
          <w:trHeight w:val="237"/>
        </w:trPr>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8"/>
                <w:szCs w:val="18"/>
                <w:color w:val="auto"/>
                <w:w w:val="86"/>
              </w:rPr>
              <w:t>Basis</w:t>
            </w:r>
          </w:p>
        </w:tc>
        <w:tc>
          <w:tcPr>
            <w:tcW w:w="180" w:type="dxa"/>
            <w:vAlign w:val="bottom"/>
          </w:tcPr>
          <w:p>
            <w:pPr>
              <w:spacing w:after="0"/>
              <w:rPr>
                <w:sz w:val="20"/>
                <w:szCs w:val="20"/>
                <w:color w:val="auto"/>
              </w:rPr>
            </w:pPr>
          </w:p>
        </w:tc>
        <w:tc>
          <w:tcPr>
            <w:tcW w:w="1720" w:type="dxa"/>
            <w:vAlign w:val="bottom"/>
            <w:gridSpan w:val="2"/>
          </w:tcPr>
          <w:p>
            <w:pPr>
              <w:jc w:val="right"/>
              <w:ind w:right="441"/>
              <w:spacing w:after="0"/>
              <w:rPr>
                <w:sz w:val="20"/>
                <w:szCs w:val="20"/>
                <w:color w:val="auto"/>
              </w:rPr>
            </w:pPr>
            <w:r>
              <w:rPr>
                <w:rFonts w:ascii="Arial" w:cs="Arial" w:eastAsia="Arial" w:hAnsi="Arial"/>
                <w:sz w:val="18"/>
                <w:szCs w:val="18"/>
                <w:color w:val="auto"/>
                <w:w w:val="96"/>
              </w:rPr>
              <w:t>Method Losses</w:t>
            </w:r>
          </w:p>
        </w:tc>
        <w:tc>
          <w:tcPr>
            <w:tcW w:w="220" w:type="dxa"/>
            <w:vAlign w:val="bottom"/>
          </w:tcPr>
          <w:p>
            <w:pPr>
              <w:spacing w:after="0"/>
              <w:rPr>
                <w:sz w:val="20"/>
                <w:szCs w:val="20"/>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20"/>
                <w:szCs w:val="20"/>
                <w:color w:val="auto"/>
              </w:rPr>
            </w:pPr>
          </w:p>
        </w:tc>
        <w:tc>
          <w:tcPr>
            <w:tcW w:w="1680" w:type="dxa"/>
            <w:vAlign w:val="bottom"/>
            <w:gridSpan w:val="2"/>
          </w:tcPr>
          <w:p>
            <w:pPr>
              <w:jc w:val="right"/>
              <w:ind w:right="501"/>
              <w:spacing w:after="0"/>
              <w:rPr>
                <w:sz w:val="20"/>
                <w:szCs w:val="20"/>
                <w:color w:val="auto"/>
              </w:rPr>
            </w:pPr>
            <w:r>
              <w:rPr>
                <w:rFonts w:ascii="Arial" w:cs="Arial" w:eastAsia="Arial" w:hAnsi="Arial"/>
                <w:sz w:val="18"/>
                <w:szCs w:val="18"/>
                <w:color w:val="auto"/>
              </w:rPr>
              <w:t>Contributions</w:t>
            </w: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Carrying value</w:t>
            </w:r>
          </w:p>
        </w:tc>
      </w:tr>
      <w:tr>
        <w:trPr>
          <w:trHeight w:val="216"/>
        </w:trPr>
        <w:tc>
          <w:tcPr>
            <w:tcW w:w="1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820" w:type="dxa"/>
            <w:vAlign w:val="bottom"/>
          </w:tcPr>
          <w:p>
            <w:pPr>
              <w:spacing w:after="0"/>
              <w:rPr>
                <w:sz w:val="20"/>
                <w:szCs w:val="20"/>
                <w:color w:val="auto"/>
              </w:rPr>
            </w:pPr>
            <w:r>
              <w:rPr>
                <w:rFonts w:ascii="Arial" w:cs="Arial" w:eastAsia="Arial" w:hAnsi="Arial"/>
                <w:sz w:val="18"/>
                <w:szCs w:val="18"/>
                <w:color w:val="auto"/>
              </w:rPr>
              <w:t>Loan</w:t>
            </w:r>
          </w:p>
        </w:tc>
        <w:tc>
          <w:tcPr>
            <w:tcW w:w="36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13,500,000</w:t>
            </w:r>
          </w:p>
        </w:tc>
        <w:tc>
          <w:tcPr>
            <w:tcW w:w="180" w:type="dxa"/>
            <w:vAlign w:val="bottom"/>
          </w:tcPr>
          <w:p>
            <w:pPr>
              <w:spacing w:after="0"/>
              <w:rPr>
                <w:sz w:val="20"/>
                <w:szCs w:val="20"/>
                <w:color w:val="auto"/>
              </w:rPr>
            </w:pPr>
          </w:p>
        </w:tc>
        <w:tc>
          <w:tcPr>
            <w:tcW w:w="1720" w:type="dxa"/>
            <w:vAlign w:val="bottom"/>
            <w:gridSpan w:val="2"/>
          </w:tcPr>
          <w:p>
            <w:pPr>
              <w:jc w:val="right"/>
              <w:ind w:right="81"/>
              <w:spacing w:after="0"/>
              <w:rPr>
                <w:sz w:val="20"/>
                <w:szCs w:val="20"/>
                <w:color w:val="auto"/>
              </w:rPr>
            </w:pPr>
            <w:r>
              <w:rPr>
                <w:rFonts w:ascii="Arial" w:cs="Arial" w:eastAsia="Arial" w:hAnsi="Arial"/>
                <w:sz w:val="18"/>
                <w:szCs w:val="18"/>
                <w:color w:val="auto"/>
              </w:rPr>
              <w:t>(5,253,000)</w:t>
            </w:r>
          </w:p>
        </w:tc>
        <w:tc>
          <w:tcPr>
            <w:tcW w:w="22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1,021,000</w:t>
            </w:r>
          </w:p>
        </w:tc>
        <w:tc>
          <w:tcPr>
            <w:tcW w:w="240" w:type="dxa"/>
            <w:vAlign w:val="bottom"/>
          </w:tcPr>
          <w:p>
            <w:pPr>
              <w:spacing w:after="0"/>
              <w:rPr>
                <w:sz w:val="20"/>
                <w:szCs w:val="20"/>
                <w:color w:val="auto"/>
              </w:rPr>
            </w:pPr>
          </w:p>
        </w:tc>
        <w:tc>
          <w:tcPr>
            <w:tcW w:w="1680" w:type="dxa"/>
            <w:vAlign w:val="bottom"/>
            <w:gridSpan w:val="2"/>
          </w:tcPr>
          <w:p>
            <w:pPr>
              <w:jc w:val="right"/>
              <w:ind w:right="81"/>
              <w:spacing w:after="0"/>
              <w:rPr>
                <w:sz w:val="20"/>
                <w:szCs w:val="20"/>
                <w:color w:val="auto"/>
              </w:rPr>
            </w:pPr>
            <w:r>
              <w:rPr>
                <w:rFonts w:ascii="Arial" w:cs="Arial" w:eastAsia="Arial" w:hAnsi="Arial"/>
                <w:sz w:val="18"/>
                <w:szCs w:val="18"/>
                <w:color w:val="auto"/>
              </w:rPr>
              <w:t>(1,021,000)</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8,247,000</w:t>
            </w:r>
          </w:p>
        </w:tc>
      </w:tr>
      <w:tr>
        <w:trPr>
          <w:trHeight w:val="230"/>
        </w:trPr>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(11,063,000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and 2021, the Company recorded $30,000 due from Melt for reimbursable expenses and amounts payable pursuant to a Management Services Agreement between the Company and Melt (the “Melt MSA”), which are included in prepaid expenses and other current assets in the accompanying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3,500,000 common shares of Surface (representing approximately 20% of Surface’s equity interests following the closing of a round of financing completed by Surface in July 2021)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 in Surface as of March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Cost</w:t>
            </w:r>
          </w:p>
        </w:tc>
        <w:tc>
          <w:tcPr>
            <w:tcW w:w="14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color w:val="auto"/>
              </w:rPr>
              <w:t>Share of Equity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37"/>
        </w:trPr>
        <w:tc>
          <w:tcPr>
            <w:tcW w:w="3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8"/>
                <w:szCs w:val="18"/>
                <w:color w:val="auto"/>
                <w:w w:val="86"/>
              </w:rPr>
              <w:t>Basis</w:t>
            </w:r>
          </w:p>
        </w:tc>
        <w:tc>
          <w:tcPr>
            <w:tcW w:w="140" w:type="dxa"/>
            <w:vAlign w:val="bottom"/>
          </w:tcPr>
          <w:p>
            <w:pPr>
              <w:spacing w:after="0"/>
              <w:rPr>
                <w:sz w:val="20"/>
                <w:szCs w:val="20"/>
                <w:color w:val="auto"/>
              </w:rPr>
            </w:pPr>
          </w:p>
        </w:tc>
        <w:tc>
          <w:tcPr>
            <w:tcW w:w="1800" w:type="dxa"/>
            <w:vAlign w:val="bottom"/>
            <w:gridSpan w:val="3"/>
          </w:tcPr>
          <w:p>
            <w:pPr>
              <w:ind w:left="80"/>
              <w:spacing w:after="0"/>
              <w:rPr>
                <w:sz w:val="20"/>
                <w:szCs w:val="20"/>
                <w:color w:val="auto"/>
              </w:rPr>
            </w:pPr>
            <w:r>
              <w:rPr>
                <w:rFonts w:ascii="Arial" w:cs="Arial" w:eastAsia="Arial" w:hAnsi="Arial"/>
                <w:sz w:val="18"/>
                <w:szCs w:val="18"/>
                <w:color w:val="auto"/>
              </w:rPr>
              <w:t>Method Losses</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Carrying value</w:t>
            </w:r>
          </w:p>
        </w:tc>
      </w:tr>
      <w:tr>
        <w:trPr>
          <w:trHeight w:val="230"/>
        </w:trPr>
        <w:tc>
          <w:tcPr>
            <w:tcW w:w="3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(5,320,000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Impairment of Equity Method Investments and Note Receivable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quarterly basis, management assesses whether there are any indicators that the carrying value of the Company’s equity method investments and note receivable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and note receivable. At March 31, 2022 and December 31, 2021, no indicators of impairment existed.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contracts with customers in accordance with Accounting Standards Codification (“ASC”) 606, </w:t>
      </w:r>
      <w:r>
        <w:rPr>
          <w:rFonts w:ascii="Arial" w:cs="Arial" w:eastAsia="Arial" w:hAnsi="Arial"/>
          <w:sz w:val="18"/>
          <w:szCs w:val="18"/>
          <w:i w:val="1"/>
          <w:iCs w:val="1"/>
          <w:color w:val="auto"/>
        </w:rPr>
        <w:t>Revenues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The Company has two primary streams of revenue: (1) revenue recognized from its sale of products within pharmacy services and (2)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from intellectual property license and asset purchase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its pharmacy and outsourcing facility.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spacing w:after="0" w:line="18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34"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The order received contains the performance obligations to be met, in almost all cases the product the customer is wishing to receive. If we are unable to be meet the performance obligations the customer is notified.</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the Company’s order management software.</w:t>
      </w: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ind w:left="340" w:hanging="332"/>
        <w:spacing w:after="0" w:line="26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Company’s pharmacy services: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Revenues generated from prescription or office use drugs sold by the Company’s pharmacies and outsourcing facility are recognized when the prescription is shipped. At the time of shipment, the pharmacy services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entered into an agreement whereby it is paid a fee calculated based on sales the Company generates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the Company and no consequential continuing involvement on the Company’s part to recognize the associated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Acquired Product Profit Revenues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entered into an agreement whereby it purchased the exclusive commercial rights to assets associated with certain ophthalmic products from another pharmaceutical company (the “Seller”). During a temporary, six month transition period, the Seller will continue to manufacture and market these products and transfer the net profit from the sale of the products to the Company. The revenue recognized by the Company from the transfer of net profit is recognized at the time profit from the products sales has been calculated by the Seller and confirmed by the Company, typically on a monthly basis, at which point there is no future performance obligation required by the Company and no consequential continuing involvement on the Company’s part to recognize the associated revenue. On a quarterly basis, the Seller invoices the Company for all credits and reimbursements (“Chargebacks”) made to customers related to the products. The Company uses historical actual experience to estimate Chargebacks associated with the net profit transferred. The estimate is recorded as a reduction in revenues in the Company’s condensed consolidated statements of operations and accounts receivable in the condensed consolidated balance sheets, at the time the revenue is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licenses and related agreements in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for the three months ended March 31, 2022 and 2021, consists of the following:</w:t>
      </w:r>
    </w:p>
    <w:p>
      <w:pPr>
        <w:spacing w:after="0" w:line="221" w:lineRule="exact"/>
        <w:rPr>
          <w:sz w:val="20"/>
          <w:szCs w:val="20"/>
          <w:color w:val="auto"/>
        </w:rPr>
      </w:pPr>
    </w:p>
    <w:p>
      <w:pPr>
        <w:jc w:val="center"/>
        <w:ind w:left="2140"/>
        <w:spacing w:after="0"/>
        <w:rPr>
          <w:sz w:val="20"/>
          <w:szCs w:val="20"/>
          <w:color w:val="auto"/>
        </w:rPr>
      </w:pPr>
      <w:r>
        <w:rPr>
          <w:rFonts w:ascii="Arial" w:cs="Arial" w:eastAsia="Arial" w:hAnsi="Arial"/>
          <w:sz w:val="18"/>
          <w:szCs w:val="18"/>
          <w:b w:val="1"/>
          <w:bCs w:val="1"/>
          <w:color w:val="auto"/>
        </w:rPr>
        <w:t>For the Three Months Ended March</w:t>
      </w:r>
    </w:p>
    <w:p>
      <w:pPr>
        <w:spacing w:after="0" w:line="27" w:lineRule="exact"/>
        <w:rPr>
          <w:sz w:val="20"/>
          <w:szCs w:val="20"/>
          <w:color w:val="auto"/>
        </w:rPr>
      </w:pPr>
    </w:p>
    <w:p>
      <w:pPr>
        <w:jc w:val="center"/>
        <w:ind w:left="214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5715</wp:posOffset>
            </wp:positionV>
            <wp:extent cx="18942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4205" cy="17145"/>
                    </a:xfrm>
                    <a:prstGeom prst="rect">
                      <a:avLst/>
                    </a:prstGeom>
                    <a:noFill/>
                  </pic:spPr>
                </pic:pic>
              </a:graphicData>
            </a:graphic>
          </wp:anchor>
        </w:drawing>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4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14,948,000</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b w:val="1"/>
                <w:bCs w:val="1"/>
                <w:color w:val="auto"/>
              </w:rPr>
              <w:t>Commissions</w:t>
            </w:r>
          </w:p>
        </w:tc>
        <w:tc>
          <w:tcPr>
            <w:tcW w:w="3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1,320,000</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485,000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Transfer of profit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License</w:t>
            </w:r>
          </w:p>
        </w:tc>
        <w:tc>
          <w:tcPr>
            <w:tcW w:w="3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15,443,000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Deferred revenue and customer deposits at March 31, 2022 and December 31, 2021 were $23,000 and $16,000, respectively. All deferred revenue and customer deposit amounts at December 31, 2021 were recognized as revenue during the three months ended March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INVESTMENT IN, AND NOTE RECEIVABLE FROM MELT PHARMACEUTICALS, INC. -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spacing w:after="0" w:line="18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February 2019, the Company and Melt entered into the Melt MSA, whereby the Company provides to Melt certain administrative services and support, including bookkeeping, web services and human resources related activities, and Melt is required to pay the Company a monthly amount of $10,000. As of March 31, 2022 and December 31, 2021, the Company was due $70,000 and $48,000, respectively, from Melt for reimbursable expenses and amounts due under the Melt MSA. Melt did not make any payments to the Company during the three months ended March 31, 2022.</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Chief Executive Officer, Mark L. Baum, was previously a member of the Melt board of directors until his resignation during the year ended December 31, 2021. Following Mr. Baum’s departure, the Company no longer has any representation on Melt’s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p>
      <w:pPr>
        <w:jc w:val="center"/>
        <w:ind w:left="32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5715</wp:posOffset>
            </wp:positionV>
            <wp:extent cx="20999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9945" cy="1714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gridSpan w:val="2"/>
          </w:tcPr>
          <w:p>
            <w:pPr>
              <w:jc w:val="right"/>
              <w:ind w:right="503"/>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720" w:type="dxa"/>
            <w:vAlign w:val="bottom"/>
            <w:gridSpan w:val="5"/>
          </w:tcPr>
          <w:p>
            <w:pPr>
              <w:jc w:val="right"/>
              <w:ind w:right="503"/>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(3,337,000)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1"/>
              </w:rPr>
              <w:t>(1,099,000)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(3,337,000</w:t>
            </w:r>
          </w:p>
        </w:tc>
        <w:tc>
          <w:tcPr>
            <w:tcW w:w="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(1,099,000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060" w:type="dxa"/>
            <w:vAlign w:val="bottom"/>
            <w:gridSpan w:val="2"/>
          </w:tcPr>
          <w:p>
            <w:pPr>
              <w:spacing w:after="0"/>
              <w:rPr>
                <w:sz w:val="20"/>
                <w:szCs w:val="20"/>
                <w:color w:val="auto"/>
              </w:rPr>
            </w:pPr>
            <w:r>
              <w:rPr>
                <w:rFonts w:ascii="Arial" w:cs="Arial" w:eastAsia="Arial" w:hAnsi="Arial"/>
                <w:sz w:val="18"/>
                <w:szCs w:val="18"/>
                <w:color w:val="auto"/>
                <w:w w:val="92"/>
              </w:rPr>
              <w:t>The unaudited condensed balance sheet information of Melt is summarized below:</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5"/>
              </w:rPr>
              <w:t>At March 31,</w:t>
            </w:r>
          </w:p>
        </w:tc>
        <w:tc>
          <w:tcPr>
            <w:tcW w:w="220" w:type="dxa"/>
            <w:vAlign w:val="bottom"/>
          </w:tcPr>
          <w:p>
            <w:pPr>
              <w:spacing w:after="0"/>
              <w:rPr>
                <w:sz w:val="24"/>
                <w:szCs w:val="24"/>
                <w:color w:val="auto"/>
              </w:rPr>
            </w:pPr>
          </w:p>
        </w:tc>
        <w:tc>
          <w:tcPr>
            <w:tcW w:w="17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At December 31,</w:t>
            </w:r>
          </w:p>
        </w:tc>
      </w:tr>
      <w:tr>
        <w:trPr>
          <w:trHeight w:val="241"/>
        </w:trPr>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9"/>
              </w:rPr>
              <w:t>2022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w w:val="84"/>
              </w:rPr>
              <w:t>2021</w:t>
            </w:r>
          </w:p>
        </w:tc>
        <w:tc>
          <w:tcPr>
            <w:tcW w:w="80" w:type="dxa"/>
            <w:vAlign w:val="bottom"/>
          </w:tcPr>
          <w:p>
            <w:pPr>
              <w:spacing w:after="0"/>
              <w:rPr>
                <w:sz w:val="20"/>
                <w:szCs w:val="20"/>
                <w:color w:val="auto"/>
              </w:rPr>
            </w:pP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9,025,000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Non-current assets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360,000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9,385,000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17,313,000</w:t>
            </w:r>
          </w:p>
        </w:tc>
        <w:tc>
          <w:tcPr>
            <w:tcW w:w="8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15,732,000</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Total preferred stock and stockholders’ deficit</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(7,928,000)</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(4,454,000)</w:t>
            </w: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9,385,000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Note Receivable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2021, the Company entered into a loan and security agreement in the principal amount of $13,500,000 (the “Melt Loan Agreement”), as lender, with Melt, as borrower. Amounts borrowed under the Melt Loan Agreement bear interest at twelve and one-half percent (12.50%) per annum, which interest can be paid in-kind at the option of Melt until the maturity date. The Melt Loan Agreement permits Melt to pay interest only on the principal amount loaned thereunder through the term and all amounts owed will be due and payable on September 1, 2022. Melt may elect to prepay all, but not less than all, of the amounts owed prior to the maturity date at any time without penalty.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three percent (3%) per annum. See Note 17 regarding an Amendment to the Melt Loan Agreement entered into in April 2022.</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funds received by Melt excluded $908,000 for amounts owed to the Company for reimbursable expenses and amounts due under the Melt MSA prior to the effective date of the note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OPHTHALMICS, INC.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2022, the Company owned 3,500,000 shares of Surface common stock (representing approximately 20% of Surface’s issued and outstanding equity interests). A Company director, Richard L. Lindstrom, and the Company’s Chief Executive Officer, Mark L. Baum, are directors of Surface. Dr. Lindstrom is a principal of Flying L Partners, an affiliate of an investor who purchased Surface Series A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80" w:type="dxa"/>
            <w:vAlign w:val="bottom"/>
            <w:gridSpan w:val="5"/>
          </w:tcPr>
          <w:p>
            <w:pPr>
              <w:jc w:val="right"/>
              <w:ind w:right="121"/>
              <w:spacing w:after="0"/>
              <w:rPr>
                <w:sz w:val="20"/>
                <w:szCs w:val="20"/>
                <w:color w:val="auto"/>
              </w:rPr>
            </w:pPr>
            <w:r>
              <w:rPr>
                <w:rFonts w:ascii="Arial" w:cs="Arial" w:eastAsia="Arial" w:hAnsi="Arial"/>
                <w:sz w:val="18"/>
                <w:szCs w:val="18"/>
                <w:b w:val="1"/>
                <w:bCs w:val="1"/>
                <w:color w:val="auto"/>
                <w:w w:val="92"/>
              </w:rPr>
              <w:t>For the Three Months Ended March 31,</w:t>
            </w:r>
          </w:p>
        </w:tc>
      </w:tr>
      <w:tr>
        <w:trPr>
          <w:trHeight w:val="241"/>
        </w:trPr>
        <w:tc>
          <w:tcPr>
            <w:tcW w:w="5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(1,996,000)</w:t>
            </w: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(2,831,000)</w:t>
            </w:r>
          </w:p>
        </w:tc>
      </w:tr>
      <w:tr>
        <w:trPr>
          <w:trHeight w:val="229"/>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(1,996,000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At March 31,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r>
      <w:tr>
        <w:trPr>
          <w:trHeight w:val="241"/>
        </w:trPr>
        <w:tc>
          <w:tcPr>
            <w:tcW w:w="6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21,731,000</w:t>
            </w:r>
          </w:p>
        </w:tc>
        <w:tc>
          <w:tcPr>
            <w:tcW w:w="80" w:type="dxa"/>
            <w:vAlign w:val="bottom"/>
            <w:shd w:val="clear" w:color="auto" w:fill="CCEEFF"/>
          </w:tcPr>
          <w:p>
            <w:pPr>
              <w:spacing w:after="0"/>
              <w:rPr>
                <w:sz w:val="18"/>
                <w:szCs w:val="18"/>
                <w:color w:val="auto"/>
              </w:rPr>
            </w:pP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411,000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412,000</w:t>
            </w:r>
          </w:p>
        </w:tc>
      </w:tr>
      <w:tr>
        <w:trPr>
          <w:trHeight w:val="229"/>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20,331,000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1,937,000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1,514,000</w:t>
            </w: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Total preferred stock and stockholders’ deficit</w:t>
            </w:r>
          </w:p>
        </w:tc>
        <w:tc>
          <w:tcPr>
            <w:tcW w:w="2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18,394,000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20,629,000</w:t>
            </w:r>
          </w:p>
        </w:tc>
      </w:tr>
      <w:tr>
        <w:trPr>
          <w:trHeight w:val="229"/>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20,331,000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March 31, 2022 and December 31, 2021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2022</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Work in progress</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1,911,000</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1,776,000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Total inventories</w:t>
            </w:r>
          </w:p>
        </w:tc>
        <w:tc>
          <w:tcPr>
            <w:tcW w:w="2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4,396,000</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780" w:type="dxa"/>
            <w:vAlign w:val="bottom"/>
            <w:vMerge w:val="restart"/>
          </w:tcPr>
          <w:p>
            <w:pPr>
              <w:jc w:val="right"/>
              <w:ind w:right="9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March 31, 2022 and December 31, 2021, consisted of the following:</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March 31, 2022</w:t>
            </w:r>
          </w:p>
        </w:tc>
        <w:tc>
          <w:tcPr>
            <w:tcW w:w="26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 31, 2021</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Due from Melt Pharmaceuticals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70,000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437,000</w:t>
            </w:r>
          </w:p>
        </w:tc>
        <w:tc>
          <w:tcPr>
            <w:tcW w:w="80" w:type="dxa"/>
            <w:vAlign w:val="bottom"/>
            <w:shd w:val="clear" w:color="auto" w:fill="CCEEFF"/>
          </w:tcPr>
          <w:p>
            <w:pPr>
              <w:spacing w:after="0"/>
              <w:rPr>
                <w:sz w:val="18"/>
                <w:szCs w:val="18"/>
                <w:color w:val="auto"/>
              </w:rPr>
            </w:pPr>
          </w:p>
        </w:tc>
      </w:tr>
      <w:tr>
        <w:trPr>
          <w:trHeight w:val="237"/>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 and other current assets</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52,000</w:t>
            </w: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92,000</w:t>
            </w:r>
          </w:p>
        </w:tc>
        <w:tc>
          <w:tcPr>
            <w:tcW w:w="80" w:type="dxa"/>
            <w:vAlign w:val="bottom"/>
            <w:tcBorders>
              <w:bottom w:val="single" w:sz="8" w:color="CCEEFF"/>
            </w:tcBorders>
          </w:tcPr>
          <w:p>
            <w:pPr>
              <w:spacing w:after="0"/>
              <w:rPr>
                <w:sz w:val="20"/>
                <w:szCs w:val="20"/>
                <w:color w:val="auto"/>
              </w:rPr>
            </w:pPr>
          </w:p>
        </w:tc>
      </w:tr>
      <w:tr>
        <w:trPr>
          <w:trHeight w:val="23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1,334,000</w:t>
            </w:r>
          </w:p>
        </w:tc>
        <w:tc>
          <w:tcPr>
            <w:tcW w:w="2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March 31, 2022 and December 31, 2021,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4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March 31, 2022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Computer hardware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786,000</w:t>
            </w:r>
          </w:p>
        </w:tc>
        <w:tc>
          <w:tcPr>
            <w:tcW w:w="24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772,000</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4,142,000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4,056,000</w:t>
            </w:r>
          </w:p>
        </w:tc>
        <w:tc>
          <w:tcPr>
            <w:tcW w:w="80" w:type="dxa"/>
            <w:vAlign w:val="bottom"/>
          </w:tcPr>
          <w:p>
            <w:pPr>
              <w:spacing w:after="0"/>
              <w:rPr>
                <w:sz w:val="18"/>
                <w:szCs w:val="18"/>
                <w:color w:val="auto"/>
              </w:rPr>
            </w:pPr>
          </w:p>
        </w:tc>
      </w:tr>
      <w:tr>
        <w:trPr>
          <w:trHeight w:val="236"/>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5,728,000</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5,703,000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6"/>
        </w:trPr>
        <w:tc>
          <w:tcPr>
            <w:tcW w:w="4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11,177,000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10,974,000</w:t>
            </w:r>
          </w:p>
        </w:tc>
        <w:tc>
          <w:tcPr>
            <w:tcW w:w="80" w:type="dxa"/>
            <w:vAlign w:val="bottom"/>
          </w:tcPr>
          <w:p>
            <w:pPr>
              <w:spacing w:after="0"/>
              <w:rPr>
                <w:sz w:val="18"/>
                <w:szCs w:val="18"/>
                <w:color w:val="auto"/>
              </w:rPr>
            </w:pPr>
          </w:p>
        </w:tc>
      </w:tr>
      <w:tr>
        <w:trPr>
          <w:trHeight w:val="24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(8,209,000)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(7,833,000)</w:t>
            </w:r>
          </w:p>
        </w:tc>
      </w:tr>
      <w:tr>
        <w:trPr>
          <w:trHeight w:val="217"/>
        </w:trPr>
        <w:tc>
          <w:tcPr>
            <w:tcW w:w="4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2,968,000</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3,141,000</w:t>
            </w:r>
          </w:p>
        </w:tc>
        <w:tc>
          <w:tcPr>
            <w:tcW w:w="80" w:type="dxa"/>
            <w:vAlign w:val="bottom"/>
            <w:tcBorders>
              <w:top w:val="single" w:sz="8" w:color="CCEEFF"/>
            </w:tcBorders>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2022 and 2021, depreciation related to the property, plant and equipment was $376,000 and $436,000,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CAPITALIZED SOFTWARE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at March 31, 2022 and December 31, 2021 consisted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March 31, 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2021</w:t>
            </w:r>
          </w:p>
        </w:tc>
      </w:tr>
      <w:tr>
        <w:trPr>
          <w:trHeight w:val="216"/>
        </w:trPr>
        <w:tc>
          <w:tcPr>
            <w:tcW w:w="6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internal-use software development costs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Acquired third-party software license for internal-use</w:t>
            </w:r>
          </w:p>
        </w:tc>
        <w:tc>
          <w:tcPr>
            <w:tcW w:w="18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159,000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159,000</w:t>
            </w:r>
          </w:p>
        </w:tc>
        <w:tc>
          <w:tcPr>
            <w:tcW w:w="80" w:type="dxa"/>
            <w:vAlign w:val="bottom"/>
          </w:tcPr>
          <w:p>
            <w:pPr>
              <w:spacing w:after="0"/>
              <w:rPr>
                <w:sz w:val="20"/>
                <w:szCs w:val="20"/>
                <w:color w:val="auto"/>
              </w:rPr>
            </w:pPr>
          </w:p>
        </w:tc>
      </w:tr>
      <w:tr>
        <w:trPr>
          <w:trHeight w:val="236"/>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capitalized software for internal-use</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260" w:type="dxa"/>
            <w:vAlign w:val="bottom"/>
          </w:tcPr>
          <w:p>
            <w:pPr>
              <w:ind w:left="180"/>
              <w:spacing w:after="0" w:line="203" w:lineRule="exact"/>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(612,000)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(569,000)</w:t>
            </w:r>
          </w:p>
        </w:tc>
        <w:tc>
          <w:tcPr>
            <w:tcW w:w="100" w:type="dxa"/>
            <w:vAlign w:val="bottom"/>
            <w:gridSpan w:val="2"/>
          </w:tcPr>
          <w:p>
            <w:pPr>
              <w:spacing w:after="0"/>
              <w:rPr>
                <w:sz w:val="17"/>
                <w:szCs w:val="17"/>
                <w:color w:val="auto"/>
              </w:rPr>
            </w:pPr>
          </w:p>
        </w:tc>
      </w:tr>
      <w:tr>
        <w:trPr>
          <w:trHeight w:val="25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internal-use software in process</w:t>
            </w: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982,000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781,000</w:t>
            </w:r>
          </w:p>
        </w:tc>
        <w:tc>
          <w:tcPr>
            <w:tcW w:w="80" w:type="dxa"/>
            <w:vAlign w:val="bottom"/>
            <w:shd w:val="clear" w:color="auto" w:fill="CCEEFF"/>
          </w:tcPr>
          <w:p>
            <w:pPr>
              <w:spacing w:after="0"/>
              <w:rPr>
                <w:sz w:val="21"/>
                <w:szCs w:val="21"/>
                <w:color w:val="auto"/>
              </w:rPr>
            </w:pPr>
          </w:p>
        </w:tc>
      </w:tr>
      <w:tr>
        <w:trPr>
          <w:trHeight w:val="217"/>
        </w:trPr>
        <w:tc>
          <w:tcPr>
            <w:tcW w:w="6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1,471,000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Company recorded amortization expense of $43,000 and $28,000 related to capitalized software development costs during the three months ended March 31, 2022 and 2021, respectively.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w w:val="99"/>
              </w:rPr>
              <w:t>NOTE 10. INTANGIBLE ASSETS AND GOODWILL</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80" w:type="dxa"/>
            <w:vAlign w:val="bottom"/>
            <w:gridSpan w:val="5"/>
          </w:tcPr>
          <w:p>
            <w:pPr>
              <w:spacing w:after="0"/>
              <w:rPr>
                <w:sz w:val="20"/>
                <w:szCs w:val="20"/>
                <w:color w:val="auto"/>
              </w:rPr>
            </w:pPr>
            <w:r>
              <w:rPr>
                <w:rFonts w:ascii="Arial" w:cs="Arial" w:eastAsia="Arial" w:hAnsi="Arial"/>
                <w:sz w:val="18"/>
                <w:szCs w:val="18"/>
                <w:color w:val="auto"/>
                <w:w w:val="93"/>
              </w:rPr>
              <w:t>The Company’s intangible assets at March 31, 2022 consisted of the following:</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Periods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3"/>
              </w:rPr>
              <w:t>Accumulated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Carrying</w:t>
            </w:r>
          </w:p>
        </w:tc>
      </w:tr>
      <w:tr>
        <w:trPr>
          <w:trHeight w:val="241"/>
        </w:trPr>
        <w:tc>
          <w:tcPr>
            <w:tcW w:w="4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4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6"/>
              </w:rPr>
              <w:t>Amortization</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Impairment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17-19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972,000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Licenses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(15,000)</w:t>
            </w:r>
          </w:p>
        </w:tc>
        <w:tc>
          <w:tcPr>
            <w:tcW w:w="102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Indefinite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Acquired NDAs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13,635,000</w:t>
            </w:r>
          </w:p>
        </w:tc>
        <w:tc>
          <w:tcPr>
            <w:tcW w:w="2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(341,000)</w:t>
            </w:r>
          </w:p>
        </w:tc>
        <w:tc>
          <w:tcPr>
            <w:tcW w:w="102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13,294,000</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1,519,000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(619,000)</w:t>
            </w: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(5,000)</w:t>
            </w:r>
          </w:p>
        </w:tc>
        <w:tc>
          <w:tcPr>
            <w:tcW w:w="102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220" w:type="dxa"/>
            <w:vAlign w:val="bottom"/>
            <w:gridSpan w:val="2"/>
          </w:tcPr>
          <w:p>
            <w:pPr>
              <w:spacing w:after="0"/>
              <w:rPr>
                <w:sz w:val="20"/>
                <w:szCs w:val="20"/>
                <w:color w:val="auto"/>
              </w:rPr>
            </w:pPr>
            <w:r>
              <w:rPr>
                <w:rFonts w:ascii="Arial" w:cs="Arial" w:eastAsia="Arial" w:hAnsi="Arial"/>
                <w:sz w:val="18"/>
                <w:szCs w:val="18"/>
                <w:color w:val="auto"/>
              </w:rPr>
              <w:t>State pharmacy licenses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20"/>
                <w:szCs w:val="20"/>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(7,000)</w:t>
            </w:r>
          </w:p>
        </w:tc>
        <w:tc>
          <w:tcPr>
            <w:tcW w:w="1020" w:type="dxa"/>
            <w:vAlign w:val="bottom"/>
          </w:tcPr>
          <w:p>
            <w:pPr>
              <w:spacing w:after="0"/>
              <w:rPr>
                <w:sz w:val="20"/>
                <w:szCs w:val="20"/>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30"/>
        </w:trPr>
        <w:tc>
          <w:tcPr>
            <w:tcW w:w="4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16,549,000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(1,134,000</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months ended March 31, 2022 and 2021 was as follows:</w:t>
      </w:r>
    </w:p>
    <w:p>
      <w:pPr>
        <w:spacing w:after="0" w:line="221"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142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18516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Licenses</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8,000</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Acquired NDAs</w:t>
            </w: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341,000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33,000</w:t>
            </w:r>
          </w:p>
        </w:tc>
        <w:tc>
          <w:tcPr>
            <w:tcW w:w="3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33,000</w:t>
            </w:r>
          </w:p>
        </w:tc>
      </w:tr>
      <w:tr>
        <w:trPr>
          <w:trHeight w:val="230"/>
        </w:trPr>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w w:val="94"/>
              </w:rPr>
              <w:t>Estimated future amortization expense for the Company’s intangible assets at March 31, 2022 is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7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7,590,000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15,155,000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at March 31, 2022 and December 31,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2022</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1,114,000</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1,114,000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accounts payable and accrued expenses</w:t>
            </w:r>
          </w:p>
        </w:tc>
        <w:tc>
          <w:tcPr>
            <w:tcW w:w="17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6,758,000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80" w:type="dxa"/>
            <w:vAlign w:val="bottom"/>
            <w:vMerge w:val="restart"/>
          </w:tcPr>
          <w:p>
            <w:pPr>
              <w:jc w:val="right"/>
              <w:ind w:right="9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 Due 2026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2021, the Company closed an offering of $50,000,000 aggregate principal amount of 8.625% senior notes due April 2026, and in May 2021 issued an additional $5,000,000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$51,909,000 after deducting underwriting discounts and commissions and expenses of $3,091,000. In June 2021, in a further issuance of the April Notes, the Company sold an additional $20,000,000 aggregate principal amount of such notes (the “June Notes,” and together with the April Notes, the “Notes”), at a price of $25.75 per June Note, with interest of $278,000 on the June Notes being accrued from April 20, 2021 as of the date of issuance. The June offering resulted in net proceeds to the Company of approximately $19,164,000 after deducting underwriting discounts and commissions and expenses of $1,158,000 and a premium on note issuance of $322,000. The June Notes are treated as a single series with the April Notes under the indenture governing the April Notes, dated as of April 20, 2021, and have the same terms as the April Notes (other than the initial offering price and issue date). The Notes are senior unsecured obligations of the Company and rank equally in right of payment with all of our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a rate of 8.625% per annum. Interest on the Notes is payable quarterly in arrears on January 31, April 30, July 31 and October 31 of each year, commencing on July 31, 2021. The Notes will mature on April 30, 2026. The issuance costs were recorded as a debt discount and are being amortized as interest expense, net of the amortization of the premium on note issuance, over the term of the Notes using the effective interest rate method.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if any, plus accrued and unpaid interest to, but excluding, the date of redemption. 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Notes totaled $1,810,000 for the three months ended March 31, 2022, and included amortization of debt issuance costs and discount of $193,000 for three months ended March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At March 31, 2022, future minimum payments under the Company’s debt were as follows: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1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14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6,469,000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6,469,000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6,469,000</w:t>
            </w:r>
          </w:p>
        </w:tc>
        <w:tc>
          <w:tcPr>
            <w:tcW w:w="8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77,158,000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1140" w:type="dxa"/>
            <w:vAlign w:val="bottom"/>
          </w:tcPr>
          <w:p>
            <w:pPr>
              <w:spacing w:after="0"/>
              <w:rPr>
                <w:sz w:val="17"/>
                <w:szCs w:val="17"/>
                <w:color w:val="auto"/>
              </w:rPr>
            </w:pPr>
          </w:p>
        </w:tc>
        <w:tc>
          <w:tcPr>
            <w:tcW w:w="7360" w:type="dxa"/>
            <w:vAlign w:val="bottom"/>
          </w:tcPr>
          <w:p>
            <w:pPr>
              <w:spacing w:after="0" w:line="203" w:lineRule="exact"/>
              <w:rPr>
                <w:sz w:val="20"/>
                <w:szCs w:val="20"/>
                <w:color w:val="auto"/>
              </w:rPr>
            </w:pPr>
            <w:r>
              <w:rPr>
                <w:rFonts w:ascii="Arial" w:cs="Arial" w:eastAsia="Arial" w:hAnsi="Arial"/>
                <w:sz w:val="18"/>
                <w:szCs w:val="18"/>
                <w:color w:val="auto"/>
              </w:rPr>
              <w:t>Total minimum payments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101,417,000</w:t>
            </w:r>
          </w:p>
        </w:tc>
        <w:tc>
          <w:tcPr>
            <w:tcW w:w="8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(26,417,000)</w:t>
            </w:r>
          </w:p>
        </w:tc>
      </w:tr>
      <w:tr>
        <w:trPr>
          <w:trHeight w:val="203"/>
        </w:trPr>
        <w:tc>
          <w:tcPr>
            <w:tcW w:w="1140" w:type="dxa"/>
            <w:vAlign w:val="bottom"/>
          </w:tcPr>
          <w:p>
            <w:pPr>
              <w:spacing w:after="0"/>
              <w:rPr>
                <w:sz w:val="17"/>
                <w:szCs w:val="17"/>
                <w:color w:val="auto"/>
              </w:rPr>
            </w:pPr>
          </w:p>
        </w:tc>
        <w:tc>
          <w:tcPr>
            <w:tcW w:w="7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75,000,000</w:t>
            </w:r>
          </w:p>
        </w:tc>
        <w:tc>
          <w:tcPr>
            <w:tcW w:w="80" w:type="dxa"/>
            <w:vAlign w:val="bottom"/>
            <w:tcBorders>
              <w:top w:val="single" w:sz="8" w:color="CCEEFF"/>
            </w:tcBorders>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net of premium</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(3,153,000)</w:t>
            </w:r>
          </w:p>
        </w:tc>
      </w:tr>
      <w:tr>
        <w:trPr>
          <w:trHeight w:val="216"/>
        </w:trPr>
        <w:tc>
          <w:tcPr>
            <w:tcW w:w="1140" w:type="dxa"/>
            <w:vAlign w:val="bottom"/>
          </w:tcPr>
          <w:p>
            <w:pPr>
              <w:spacing w:after="0"/>
              <w:rPr>
                <w:sz w:val="18"/>
                <w:szCs w:val="18"/>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Notes payable, net of unamortized discount</w:t>
            </w: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71,847,000</w:t>
            </w:r>
          </w:p>
        </w:tc>
        <w:tc>
          <w:tcPr>
            <w:tcW w:w="80" w:type="dxa"/>
            <w:vAlign w:val="bottom"/>
            <w:tcBorders>
              <w:top w:val="single" w:sz="8" w:color="CCEEFF"/>
            </w:tcBorders>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space under non-cancelable operating leases listed below. These lease agreements have remaining terms between one to five years and contain various clauses for renewal at the Company’s option.</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operating lease for 5,789 square feet of office space in Carlsbad, California, which commenced in January 2022 and will expire in July 2027.</w:t>
      </w:r>
    </w:p>
    <w:p>
      <w:pPr>
        <w:spacing w:after="0" w:line="2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operating lease for 35,326 square feet of lab, warehouse and office space in Ledgewood, New Jersey that expires in July 2026, with an option to extend the term for two additional five-year periods. This includes an amendment that was made effective July 2020 that extended the term of the original lease and added 1,400 of additional square footage to the lease and another amendment entered into in May 2021 that extended the term of the lease to July 2027 and added 8,900 square feet of space.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At March 31, 2022, the weighted average incremental borrowing rate and the weighted average remaining lease term for the operating leases held by the Company were 6.34% and 13.45 years,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and 2021, cash paid for amounts included for the operating lease liabilities was $166,000 and $251,000, respectively, and the Company recorded operating lease expense of $238,000 and $261,000, included in selling, general and administrative expenses,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color w:val="auto"/>
              </w:rPr>
              <w:t>Future lease payments under operating leases as of March 31, 2022 were as follows</w:t>
            </w: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Operating Leases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944,000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6,648,000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(3,555,000)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(445,000)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w w:val="94"/>
              </w:rPr>
              <w:t>The Company also has a finance lease that is included in its lease accounting but is not considered significant.</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Future lease payments under the non-cancelable finance lease as of March 31, 2022 were as follows</w:t>
            </w: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Finance Lease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7200" w:type="dxa"/>
            <w:vAlign w:val="bottom"/>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16,000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15,000</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finance lease obligation</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Finance lease obligation, net of current portion</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2022, the incremental borrowing rate and the remaining lease term for the finance lease held by the Company were 6.36% and 1.83 years,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and 2021, depreciation expense related to the equipment held under the finance lease obligation was $2,000 and $2,000,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and 2021, cash paid and expense recognized for interest expense related to the finance lease obligation was $0 and $1,000,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2022 and December 31, 2021,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March 31, 2022, the Company issued 53,594 shares of common stock to Mark L. Baum, the Company’s Chief Executive Officer, upon the cashless exercise of options to purchase 125,000 shares at an exercise price of $2.40 per share. The Company withheld from Mr. Baum 36,014 shares as consideration for the cashless exercise and an additional 35,392 shares for payroll tax obligations totaling $295,000.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50,000 RSUs granted in February 2019 to Andrew R. Boll, the Company’s Chief Financial Officer, vested, and in February 2022, the Company issued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29,395 shares of common stock to Mr. Boll, net of 20,605 shares of common stock withheld for payroll tax withholdings totaling $162,000.</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50,000 RSUs granted in February 2019 to John P. Saharek, the President of ImprimisRx, vested, and in February 2022, the Company issued 24,077 shares of common stock to Mr. Saharek, net of 25,923 shares of common stock withheld for payroll tax withholdings totaling $204,000.</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35,000 RSUs granted in February 2019 vested, and in February 2022, the Company issued 20,298 shares of common stock, net of 14,702 shares of common stock withheld for payroll tax withholdings totaling $116,000.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2022, the Company issued 1,000 shares of common stock and received net proceeds of $4,000 upon the exercise of options to purchase 1,000 shares of common stock with exercise price of $3.95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9,644 shares of the Company’s common stock underlying RSUs issued to directors vested, but the issuance and delivery of these shares are deferred until the applicable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March 31, 2022, the 2017 Plan provides for the issuance of a maximum of 6,000,000 shares of the Company’s common stock. The purposes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2,229,399 shares available for future issuances under the 2017 Plan at March 31,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three months ended March 31,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0"/>
              </w:rPr>
              <w:t>Weighted Average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4280" w:type="dxa"/>
            <w:vAlign w:val="bottom"/>
          </w:tcPr>
          <w:p>
            <w:pPr>
              <w:spacing w:after="0"/>
              <w:rPr>
                <w:sz w:val="20"/>
                <w:szCs w:val="20"/>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Number of Shares</w:t>
            </w:r>
          </w:p>
        </w:tc>
        <w:tc>
          <w:tcPr>
            <w:tcW w:w="160" w:type="dxa"/>
            <w:vAlign w:val="bottom"/>
          </w:tcPr>
          <w:p>
            <w:pPr>
              <w:spacing w:after="0"/>
              <w:rPr>
                <w:sz w:val="20"/>
                <w:szCs w:val="20"/>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Exercise Price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3,039,546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Options granted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170,250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7.60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3,083,796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2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4,781,000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5.29</w:t>
            </w: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4.61</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4,639,000</w:t>
            </w: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2,408,629</w:t>
            </w:r>
          </w:p>
        </w:tc>
        <w:tc>
          <w:tcPr>
            <w:tcW w:w="3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3,083,796</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5.76</w:t>
            </w:r>
          </w:p>
        </w:tc>
        <w:tc>
          <w:tcPr>
            <w:tcW w:w="160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5.01</w:t>
            </w:r>
          </w:p>
        </w:tc>
        <w:tc>
          <w:tcPr>
            <w:tcW w:w="28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4,781,000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March 31, 2022, based on the closing price of the Company’s common stock of $6.82 on that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During the three months ended March 31, 2022,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during the three months ended March 31, 2022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7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Options Outstanding</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gridSpan w:val="5"/>
          </w:tcPr>
          <w:p>
            <w:pPr>
              <w:ind w:left="860"/>
              <w:spacing w:after="0"/>
              <w:rPr>
                <w:sz w:val="20"/>
                <w:szCs w:val="20"/>
                <w:color w:val="auto"/>
              </w:rPr>
            </w:pPr>
            <w:r>
              <w:rPr>
                <w:rFonts w:ascii="Arial" w:cs="Arial" w:eastAsia="Arial" w:hAnsi="Arial"/>
                <w:sz w:val="18"/>
                <w:szCs w:val="18"/>
                <w:b w:val="1"/>
                <w:bCs w:val="1"/>
                <w:color w:val="auto"/>
              </w:rPr>
              <w:t>Options Exercisable</w:t>
            </w:r>
          </w:p>
        </w:tc>
      </w:tr>
      <w:tr>
        <w:trPr>
          <w:trHeight w:val="414"/>
        </w:trPr>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8"/>
              </w:rPr>
              <w:t>Range of Exercise</w:t>
            </w:r>
          </w:p>
        </w:tc>
        <w:tc>
          <w:tcPr>
            <w:tcW w:w="17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200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Weighted Average</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Number</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41"/>
        </w:trPr>
        <w:tc>
          <w:tcPr>
            <w:tcW w:w="100" w:type="dxa"/>
            <w:vAlign w:val="bottom"/>
          </w:tcPr>
          <w:p>
            <w:pPr>
              <w:spacing w:after="0"/>
              <w:rPr>
                <w:sz w:val="20"/>
                <w:szCs w:val="20"/>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Prices</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Life in Years</w:t>
            </w:r>
          </w:p>
        </w:tc>
        <w:tc>
          <w:tcPr>
            <w:tcW w:w="160" w:type="dxa"/>
            <w:vAlign w:val="bottom"/>
          </w:tcPr>
          <w:p>
            <w:pPr>
              <w:spacing w:after="0"/>
              <w:rPr>
                <w:sz w:val="20"/>
                <w:szCs w:val="20"/>
                <w:color w:val="auto"/>
              </w:rPr>
            </w:pPr>
          </w:p>
        </w:tc>
        <w:tc>
          <w:tcPr>
            <w:tcW w:w="18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9"/>
              </w:rPr>
              <w:t>Exercise Price</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Exercisable</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r>
      <w:tr>
        <w:trPr>
          <w:trHeight w:val="216"/>
        </w:trPr>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 $1.73</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2.23 - $2.60</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313,068</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4.84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312,943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6"/>
        </w:trPr>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2.76 - $3.50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25,500</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3.95</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370,000</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4.00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370,000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4.08 - $6.30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578,850</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6.81 - $7.37</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388,995</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6.27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297,495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r>
      <w:tr>
        <w:trPr>
          <w:trHeight w:val="216"/>
        </w:trPr>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7.52 - $7.79</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221,823</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7.87</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3.33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r>
      <w:tr>
        <w:trPr>
          <w:trHeight w:val="216"/>
        </w:trPr>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7.89 - $8.98</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92,673</w:t>
            </w: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r>
      <w:tr>
        <w:trPr>
          <w:trHeight w:val="23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8.99</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1.09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180,000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r>
      <w:tr>
        <w:trPr>
          <w:trHeight w:val="229"/>
        </w:trPr>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CCEEFF"/>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1.47 - $8.99</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3,083,796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CCEEFF"/>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2,408,629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r>
      <w:tr>
        <w:trPr>
          <w:trHeight w:val="20"/>
        </w:trPr>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2022, there was approximately $1,806,000 of total unrecognized compensation expense related to unvested stock options granted under the Plans. That expense is expected to be recognized over the weighted-average remaining vesting period of 4.89 years. The stock-based compensation for all stock options was $272,000 and $452,000 during the three months ended March 31, 2022 and 2021,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during the three months ended March 31, 2022 was $745,000.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Restricted Stock Units/Performance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RSU activity (including performance stock units) and related information for the three months ended March 31, 2022 is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Grant Date Fair</w:t>
            </w:r>
          </w:p>
        </w:tc>
      </w:tr>
      <w:tr>
        <w:trPr>
          <w:trHeight w:val="241"/>
        </w:trPr>
        <w:tc>
          <w:tcPr>
            <w:tcW w:w="560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Number of RSUs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2,233,202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RSUs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18"/>
                <w:szCs w:val="18"/>
                <w:color w:val="auto"/>
              </w:rPr>
            </w:pPr>
          </w:p>
        </w:tc>
      </w:tr>
      <w:tr>
        <w:trPr>
          <w:trHeight w:val="23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r>
      <w:tr>
        <w:trPr>
          <w:trHeight w:val="23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2,088,558</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2022, the total unrecognized compensation expense related to unvested RSUs was approximately $8,756,000, which is expected to be recognized over a weighted-average period of 1.33 years, based on estimated and actual vesting schedules of the applicable RSUs. The stock-based compensation for RSUs during the three months ended March 31, 2022 and 2021 was $1,744,000 and $346,000,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three months ended March 31,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7"/>
              </w:rPr>
              <w:t>Shares Subject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to Warrants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Outstanding</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6"/>
        </w:trPr>
        <w:tc>
          <w:tcPr>
            <w:tcW w:w="41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Warrants outstanding - January 1, 2022</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20" w:type="dxa"/>
            <w:vAlign w:val="bottom"/>
            <w:gridSpan w:val="3"/>
          </w:tcPr>
          <w:p>
            <w:pPr>
              <w:spacing w:after="0"/>
              <w:rPr>
                <w:sz w:val="20"/>
                <w:szCs w:val="20"/>
                <w:color w:val="auto"/>
              </w:rPr>
            </w:pPr>
            <w:r>
              <w:rPr>
                <w:rFonts w:ascii="Arial" w:cs="Arial" w:eastAsia="Arial" w:hAnsi="Arial"/>
                <w:sz w:val="18"/>
                <w:szCs w:val="18"/>
                <w:color w:val="auto"/>
              </w:rPr>
              <w:t>Expired</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2"/>
              </w:rPr>
              <w:t>Warrants outstanding and exercisable - March 31, 2022</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980" w:type="dxa"/>
            <w:vAlign w:val="bottom"/>
            <w:gridSpan w:val="6"/>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 March 31,</w:t>
            </w: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gridSpan w:val="6"/>
            <w:vMerge w:val="continue"/>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gridSpan w:val="5"/>
            <w:vMerge w:val="restart"/>
          </w:tcPr>
          <w:p>
            <w:pPr>
              <w:spacing w:after="0"/>
              <w:rPr>
                <w:sz w:val="20"/>
                <w:szCs w:val="20"/>
                <w:color w:val="auto"/>
              </w:rPr>
            </w:pPr>
            <w:r>
              <w:rPr>
                <w:rFonts w:ascii="Arial" w:cs="Arial" w:eastAsia="Arial" w:hAnsi="Arial"/>
                <w:sz w:val="18"/>
                <w:szCs w:val="18"/>
                <w:color w:val="auto"/>
                <w:w w:val="94"/>
              </w:rPr>
              <w:t>Warrants outstanding and exercisable as of March 31, 2022 are as follows:</w:t>
            </w:r>
          </w:p>
        </w:tc>
        <w:tc>
          <w:tcPr>
            <w:tcW w:w="1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5"/>
            <w:vMerge w:val="continue"/>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3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Exercise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Warrant Series</w:t>
            </w:r>
          </w:p>
        </w:tc>
        <w:tc>
          <w:tcPr>
            <w:tcW w:w="15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Issue Date</w:t>
            </w:r>
          </w:p>
        </w:tc>
        <w:tc>
          <w:tcPr>
            <w:tcW w:w="1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Outstanding</w:t>
            </w:r>
          </w:p>
        </w:tc>
        <w:tc>
          <w:tcPr>
            <w:tcW w:w="3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Price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7/19/2017</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7/19/2024</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$0 and $57,000 in stock-based compensation expense related to subsidiary stock options during the three months ended March 31, 2022 and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For the Three Months Ended</w:t>
            </w:r>
          </w:p>
        </w:tc>
      </w:tr>
      <w:tr>
        <w:trPr>
          <w:trHeight w:val="241"/>
        </w:trPr>
        <w:tc>
          <w:tcPr>
            <w:tcW w:w="5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6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1,676,000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Employees – research and development</w:t>
            </w:r>
          </w:p>
        </w:tc>
        <w:tc>
          <w:tcPr>
            <w:tcW w:w="3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186,000</w:t>
            </w:r>
          </w:p>
        </w:tc>
        <w:tc>
          <w:tcPr>
            <w:tcW w:w="4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r>
      <w:tr>
        <w:trPr>
          <w:trHeight w:val="236"/>
        </w:trPr>
        <w:tc>
          <w:tcPr>
            <w:tcW w:w="5600" w:type="dxa"/>
            <w:vAlign w:val="bottom"/>
          </w:tcPr>
          <w:p>
            <w:pPr>
              <w:spacing w:after="0"/>
              <w:rPr>
                <w:sz w:val="20"/>
                <w:szCs w:val="20"/>
                <w:color w:val="auto"/>
              </w:rPr>
            </w:pPr>
            <w:r>
              <w:rPr>
                <w:rFonts w:ascii="Arial" w:cs="Arial" w:eastAsia="Arial" w:hAnsi="Arial"/>
                <w:sz w:val="18"/>
                <w:szCs w:val="18"/>
                <w:color w:val="auto"/>
              </w:rPr>
              <w:t>Consultants – research and development</w:t>
            </w:r>
          </w:p>
        </w:tc>
        <w:tc>
          <w:tcPr>
            <w:tcW w:w="30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54,000</w:t>
            </w:r>
          </w:p>
        </w:tc>
        <w:tc>
          <w:tcPr>
            <w:tcW w:w="4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- 6% of net sales, dependent upon the final formulation of the Klarity Product sold. In addition, the Company was required to make certain milestone payments to Dr. Lindstrom. All of the above referenced milestone payments were payable at the Company’s election in cash or shares of the Company’s restricted common stock. Payments totaling $30,000 and $35,000 were made during the three months ended March 31, 2022 and 2021, respectively. $71,000 and $35,000 were incurred as royalty expenses during the three months ended March 31, 2022 and 2021, respectively, and was included in accounts payable to Dr. Lindstrom.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$33,000 upon execution of the Lindstrom APA. Dr. Lindstrom was paid $8,000 and $7,000 in cash during the three months ended March 31, 2022 and 2021, respectively. The Company incurred $7,000 and $7,000 for royalty expenses related to the Lindstrom APA during the three months ended March 31, 2022 and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Eyepoint Commercial Alliance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DEXYCU in excess of predefined volumes to specific customers of the Company in the U.S. Under the terms of the Dexycu Agreement, the Company shall use commercially reasonable efforts to promote and market DEXYCU in the U.S.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Dexycu Agreement expires on August 1, 2025, subject to early termination in accordance with the terms set forth therein. Either party may terminate the Dexycu Agreement, subject to specified notice periods and limitations, in the event of (i) uncured material breach by the other party or (ii) if DEXYCU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 During the three months ended March 31, 2022 and 2021, the Company recorded $1,320,000 and $485,000, respectively, in commission revenues related to the Dexycu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generally required to make commission payments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Commission expenses of $1,047,000 and $804,000 were incurred under these agreements during the three months ended March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months ended March 31, 2022 and 2021, $213,000 and $232,000 were incurred under these agreements as royalty expenses,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Sintetica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July 2021, the Company entered into a License and Supply Agreement (the “Sintetica Agreement”) with Sintetica S.A. (“Sintetica”), pursuant to which Sintetica granted the Company the exclusive license and marketing rights to its patented ophthalmic drug candidate (“AMP-100”) in the U.S. and Canada.</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Sintetica Agreement, the Company will pay Sintetica a per unit transfer price to supply AMP-100, along with a per unit royalty for units sold. The Company is required to pay Sintetica up to $18,000,000 in one-time milestone payments including a $5,000,000 payment (the “Upfront Payment”) due within 30 days of signing the Sintetica Agreement and the balance of payments due upon achievement of certain regulatory and commercial milestones. Under the terms of the Sintetica Agreement, Sintetica will be responsible for regulatory filings for AMP-100 in the U.S. The Upfront Payment along with an additional milestone payment of $3,117,000 was paid and recorded as a R&amp;D expenses during the year ended December 31, 2021. For the three months ended March 31, 2022, no amounts have been paid or accrued under the Sintetica agreement.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Subject to certain limitations, the term of the Sintetica Agreement is ten years, and allows for a ten-year extension if certain sales thresholds are met.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Wakamoto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Wakamoto Agreements, Wakamoto will supply MAQ-100 to the Company, and the Company will pay Wakamoto a per unit transfer price to supply MAQ-100. In addition, the Company is required to pay Wakamoto various one-time milestone payments totaling up to $2,000,000 upon the achievement of certain regulatory milestones and up to $6,200,000 upon the achievement of certain commercial milestones. Under the terms of the Agreements, the Company will be responsible for regulatory filings and fees for MAQ-100 in the U.S. and Canada. Through March 31, 2022, no amounts have been paid or accrued under the Wakamoto agreement.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limitations, the term of the Agreements is for five years from the date of the FDA’s market approval of MAQ-100 and allows for a five-year extension if certain unit sales thresholds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Presbyopia Asset Purchase Agreement – Related Party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2019, the Company entered into an asset purchase agreement (the “Presbyopia APA”) with Richard L. Lindstrom, M.D.,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Presbyopia Product, the Company is required to make royalty payments to Dr. Lindstrom ranging from 2% to 4% of net sales, dependent upon the final formulation and patent protection of the Presbyopia Product sold. Dr. Lindstrom was paid $0 in cash during the periods ended March 31, 2022 and 2021, and was due $0 at March 31, 2022 and 2021. The Company incurred $0 for royalty expenses related to the Presbyopia APA during the periods ended March 31, 2022 and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16. CONCENTRATIONS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two products that each comprised more than 10% of total revenues. These products collectively accounted for 32% and 36% of revenues during the three months ended March 31, 2022 and 2021,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during the three months ended March 31, 2022 and 2021.</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74% and 82% of active pharmaceutical ingredient purchases during the three months ended March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2022 through the filing date of this Quarterly Report. Based on its evaluation, no events other than those described below need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Conditional Melt Loan Amendment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April 2022, the Company entered into a First Amendment (the “Amendment”) to its loan and security agreement previously entered into on September 1, 2021 with Melt. The Amendment provides for:</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Melt is required to maintain a minimum cash balance of $7,000,000 for one (1) year following the effective date of the Amendment; and a minimum cash balance of $5,000,000 at all times after the one year anniversary of the effective date of the Amendment.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 by which all amounts owed under the loan agreement are payable was extended to September 1, 2026, unless otherwise accelerated pursuant to the terms of the loan agreement.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Material Adverse Effect was amended so that such an effect will be deemed to have occurred if the data from the phase 2 study of MELT-300 fails to demonstrate the benefit of the combination MELT-300 study drug versus the individual components of the same MELT-300 study drug, as reasonably determined by the Company.</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the Amendment is subject to, among other conditions, Melt consummating a qualifying financing of a minimum amount of $15,000,000 from third party investors by August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2021 and subsequent reports, which discuss our business in greater detail. As used in this discussion and analysis, unless the context indicates otherwise, the terms the “Company,” “Harrow,” “we,” “us” and “our” refer to Harrow Health, Inc. and its consolidated subsidiaries, consisting of ImprimisRx, LLC, ImprimisRx NJ, LLC dba ImprimisRx, Imprimis NJOF, LLC, and Imprimis Pharmaceuticals USA, LLC. In this discussion and analysis, we refer to our consolidated subsidiaries ImprimisRx, LLC, ImprimisRx NJ, LLC and Imprimis NJOF, LLC collectively as “ImprimisRx.”</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ophthalmic-focused healthcare company. Our business specializes in the development, production, sale, and distribution of innovative prescription medications that offer unique competitive advantages and serve unmet needs in the marketplace through our subsidiaries and deconsolidated companies. We own and operate ImprimisRx, one of the nation’s leading ophthalmology-focused pharmaceutical businesses, and Visionology, Inc. (“Visionology”), a direct-to-consumer digital eyecare subsidiary. In addition, we also have non-controlling equity positions in Surface Ophthalmics, Inc. (“Surface”) and Melt Pharmaceuticals, Inc. (“Melt”), both companies that began as subsidiaries of Harrow and were subsequently deconsolidated. We also own royalty rights in various drug candidates being developed by Surface and Melt.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ImprimisRx is our ophthalmology-focused prescription pharmaceutical business. From its inception in 2014, ImprimisRx, which consists of integrated research and development, production, dispensing/distribution, sales, marketing, and customer serve capabilities, has offered physician customers and their patients access to critical medicines to meet their clinical needs. Initially, ImprimisRx focused exclusively on compounded medications to serve needs unmet by commercially available drugs. We make our formulations available at prices that are, in most cases, lower than non-customized commercial drugs. ImprimisRx’s customer base has grown to include more than 10,000 U.S. eyecare dedicated prescribers and institutions. Our current ophthalmology formulary includes over twenty compounded formulations, many of which are patented or patent-pending, and are customizable for the specific needs of a patient. Some of our compounded medications are various combinations of drugs formulated into one bottle and others are preservative free formulations. Depending on the formulation, the regulations of a specific state, and ultimately, the needs of the patient, ImprimisRx products may be dispensed as patient-specific medications from our 503A pharmacy, or for in-office use, or made according to current good manufacturing practices (or “cGMPs”) or other FDA-guidance documents, in our FDA-registered New Jersey outsourcing facility (“NJOF”).</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past two years, in order to more fully serve the needs of our growing customer base, we have invested in broadening ImprimisRx’s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DEXYCU®</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ImprimisRx entered into a Commercial Alliance Agreement (the “Dexycu Agreement”) with Eyepoint Pharmaceuticals, Inc. (“Eyepoint”), pursuant to which Eyepoint granted ImprimisRx the right to promote DEXYCU® (dexamethasone intraocular suspension) 9% for the treatment of post-operative inflammation following ocular surgery in the United States. Pursuant to the Dexycu Agreement, Eyepoint pays ImprimisRx a fee that is calculated based on the quarterly sales of DEXYCU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IOPIDINE®, MAXITROL®, MOXEZA®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ImprimisRx platform to introduce unique lifecycle management strategies that could grow sales and address needs of our customers that we are unable to meet with our other compounded product offerings.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time of closing the acquisition of the four products, we agreed to a transitional period with the seller, which is expected to last approximately six months following the closing of the transaction. During the transition period, the seller will continue to sell the products and transfer the net profit to us. Following the transition period, we expect to have the products manufactured by third parties and commercialize the products for the U.S.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AMP-100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2021, we acquired the exclusive marketing and supply rights to AMP-100 in the U.S. and Canada from Sintetica S.A. (“Sintetica”). AMP-100 is a patented, ophthalmic topical anesthetic drug candidate. If FDA-approved, the active ingredient used in AMP-100 will be the first approved use of this active ingredient in the U.S. ophthalmic market. A new drug application (“NDA”) for AMP-100 was submitted by Sintetica to the FDA in the fourth quarter of 2021 and the FDA has assigned the application standard review and a Prescription Drug User Fee Act (PDUFA) target action date of October 16,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MAQ-100</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August 2021, we acquired the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w:t>
      </w:r>
    </w:p>
    <w:p>
      <w:pPr>
        <w:spacing w:after="0" w:line="1" w:lineRule="exact"/>
        <w:rPr>
          <w:sz w:val="20"/>
          <w:szCs w:val="20"/>
          <w:color w:val="auto"/>
        </w:rPr>
      </w:pPr>
    </w:p>
    <w:p>
      <w:pPr>
        <w:jc w:val="both"/>
        <w:ind w:firstLine="8"/>
        <w:spacing w:after="0" w:line="253" w:lineRule="auto"/>
        <w:tabs>
          <w:tab w:leader="none" w:pos="2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We intend to request a meeting with FDA during the first half of 2022 to discuss our planned clinical program for MAQ-100.</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to acquire and/or develop additional FDA-approved/approvable ophthalmic products and product candidates that will allow us to leverage our commercial infrastructure to promote, sell, and ultimately bring these products to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Visionology, a direct-to-consumer digital eye health platform, leverages our experience in the ophthalmic pharmaceutical business as well as our relationships with eyecare professionals across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2021, Surface announced positive top-line results from a Phase 2 trial of its drug candidate SURF-201, a 0.2% betamethasone, preservative-free ophthalmic solution in the Klarity delivery vehicle for the treatment of post cataract surgery pain and inflammation.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 Also in January 2021, Surface announced the first patient dosed in a head-to-head Phase 2 trial for its drug candidate SURF-100 (mycophenolate sodium and betamethasone in Klarity vehicle) for the treatment of chronic dry eye disease. In February 2021, Surface announced the first patient dosed in a Phase 2 trial for its drug candidate SURF-200 (betamethasone in Klarity vehicle) for the treatment of episodic dry eye flares.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the equity and voting interests as of March 31, 2022. Harrow owns mid-single digit royalty rights on net sales of SURF-100, SURF-200 and SURF-201.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began enrolling patients in its Phase 2 study for MELT-300 during the fourth quarter of 2021.</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the equity and voting interests issued and outstanding as of March 31, 2022. In September 2021, we provided Melt with a senior secured loan with a principle amount of $13,500,000, which is intended to fund the Phase 2 program of MELT-300. In connection with the loan, we were given the right, but not the obligation, to match any offer received by Melt associated with the commercial rights to any of its drug candidates for a period of five years. 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Eton is a commercial-stage orphan-disease focused pharmaceutical company developing and commercializing innovative drug products. Its product portfolio and pipeline includes several products and drug candidates in various stages of development across a variety of dosage forms. In May 2017, we gave up our controlling interest in Eton. We own 1,982,000 shares of Eton common stock, which is less than 10% of the equity and voting interests issued and outstanding of Eton as of March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Dexycu is covered under Medicare Part B, and we are developing drug candidates that we believe will be covered under Medicare Part B. 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the Centers for Medicare &amp; Medicaid Services (“CMS”), pass-through status applies for a period of three years; that is measured from the date Medicare makes its first pass-through payment for the product, following which the product would be incorporated into the cataract bundled payment system, which could significantly reduce the pricing for that product. Following expiration of pass-through status, under current CMS policy, non-opioid pain management surgical drugs when used on Medicare Part B patients in an outpatient setting can qualify for ongoing separate payment. CMS’ current non-opioid separate payment policy, like other CMS policies, can be changed by CMS through its annual rulemaking and comment process. We believe that CMS will continue its separate payment policy for non-opioid pain management surgical drugs, which has been in effect since 2019.</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working with outside consultants to potentially gain an extension to the transitional payment system, or to separate the drug payment from the bundled cataract surgery payment after the three-year transitional payment ends and continue to be reimbursed separately for a longer period of time, potentially through patent life. Unless extended, Dexycu transitional pass-through reimbursement status will expire on December 31, 2022, which will have an adverse impact on our commission revenues from this product.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expect that MOXEZA, MAXITROL and IOPIDINE are, and we expect that other drug candidates we are developing, if approved, will be eligible for reimbursement by third-party payors. We may devote time and other resources to seek reimbursement and patient pay opportunities for these and other drug products and candidates. However, we may be unsuccessful in achieving these goals, as many third-party payors have imposed significant challenges for products to be eligible for reimbursement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conceivably have a material adverse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drug products and candidates available to more patients and at optimized pricing levels. However, if government and other third-party payors do not provide adequate coverage and reimbursement levels for our drug products and candidates, the market acceptance and opportunity for them may be limited.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 In May 2020 and the following months, U.S. states and geographies began easing restrictions associated with the COVID-19 pandemic including those restrictions related to elective procedures. We have since seen sales of our products return to near historical norms and trends as restrictions associated with elective procedures and the COVID-19 pandemic have continued to ease.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given the unprecedented and dynamic nature of the COVID-19 pandemic virus, including any mutations/variants, we may not be able to reasonably estimate the impacts it may have on our financial condition, results of operations or cash flows in the future, especially if there are new restrictions in elective procedures in the future which would have an adverse impact, which may be material, on our future revenues, profitability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2022, we entered into a First Amendment (the “Amendment”) to our loan and security agreement previously entered into on September 1, 2021 with Melt. The Amendment provides for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Melt is required to maintain a minimum cash balance of $7,000,000 for one (1) year following the effective date of the Amendment; and a minimum cash balance of $5,000,000 at all times after the one year anniversary of the effective date of the Amendment.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 by which all amounts owed under the loan agreement are payable was extended to September 1, 2026, unless otherwise accelerated pursuant to the terms of the loan agreement.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definition of Material Adverse Effect was amended so that such an effect will be deemed to have occurred if the data from the phase 2 study of MELT-300 fails to demonstrate the benefit of the combination MELT-300 study drug versus the individual components of the same MELT-300 study drug, as reasonably determined by us.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the Amendment is subject to, among other conditions, Melt consummating a qualifying financing of a minimum amount of $15,000,000 from third-party investors by August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months ended March 31, 2022 and 2021, are not necessarily indicative of results for the current period 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commissions from third parties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months ended March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1"/>
              </w:rPr>
              <w:t>For the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3"/>
              </w:rPr>
              <w:t>March 31,</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4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 Variance</w:t>
            </w: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20,340,000</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14,948,000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1,320,000</w:t>
            </w:r>
          </w:p>
        </w:tc>
        <w:tc>
          <w:tcPr>
            <w:tcW w:w="3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485,000</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835,000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Transfer of profit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460,000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460,000</w:t>
            </w:r>
          </w:p>
        </w:tc>
      </w:tr>
      <w:tr>
        <w:trPr>
          <w:trHeight w:val="236"/>
        </w:trPr>
        <w:tc>
          <w:tcPr>
            <w:tcW w:w="4320" w:type="dxa"/>
            <w:vAlign w:val="bottom"/>
          </w:tcPr>
          <w:p>
            <w:pPr>
              <w:spacing w:after="0"/>
              <w:rPr>
                <w:sz w:val="20"/>
                <w:szCs w:val="20"/>
                <w:color w:val="auto"/>
              </w:rPr>
            </w:pPr>
            <w:r>
              <w:rPr>
                <w:rFonts w:ascii="Arial" w:cs="Arial" w:eastAsia="Arial" w:hAnsi="Arial"/>
                <w:sz w:val="18"/>
                <w:szCs w:val="18"/>
                <w:b w:val="1"/>
                <w:bCs w:val="1"/>
                <w:color w:val="auto"/>
              </w:rPr>
              <w:t>License revenues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3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increase in revenues between periods was related to an increase in sales volumes of our ophthalmology products, an increase in commissions attributable to sales of Dexycu® and transfer of profit from recently acquired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months ended March 31, 2022 and 2021:</w:t>
      </w: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 Variance</w:t>
            </w: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our cost of sales between periods was largely attributable to an increase in unit volumes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Margin</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9"/>
              </w:rPr>
              <w:t>$ Variance</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73.0</w:t>
            </w:r>
          </w:p>
        </w:tc>
        <w:tc>
          <w:tcPr>
            <w:tcW w:w="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75.6</w:t>
            </w:r>
          </w:p>
        </w:tc>
        <w:tc>
          <w:tcPr>
            <w:tcW w:w="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gross margin between the three months ended March 31, 2022 and 2021 is primarily attributable to amortization of certain intangible assets related to recently acquired products beginning in January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months ended March 31, 2022 and 2021:</w:t>
      </w: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 Variance</w:t>
            </w: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13,398,000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increase in selling, general and administrative expenses between periods was primarily attributable to an increase in compensation expense related to an increase in stock-based compensation associated with performance stock units that were granted in July 2021, an increase in consulting expenses associated with regulatory improvements and to support the transition of recent product acquisitions, and increase in sales and marketing expenses related to new employee costs to support current sales and expected future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months ended March 31, 2022 and 2021:</w:t>
      </w:r>
    </w:p>
    <w:p>
      <w:pPr>
        <w:spacing w:after="0" w:line="22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For the</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 Variance</w:t>
            </w:r>
          </w:p>
        </w:tc>
        <w:tc>
          <w:tcPr>
            <w:tcW w:w="2260" w:type="dxa"/>
            <w:vAlign w:val="bottom"/>
          </w:tcPr>
          <w:p>
            <w:pPr>
              <w:spacing w:after="0"/>
              <w:rPr>
                <w:sz w:val="21"/>
                <w:szCs w:val="21"/>
                <w:color w:val="auto"/>
              </w:rPr>
            </w:pPr>
          </w:p>
        </w:tc>
      </w:tr>
      <w:tr>
        <w:trPr>
          <w:trHeight w:val="23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4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30" w:name="page31"/>
    <w:bookmarkEnd w:id="30"/>
    <w:p>
      <w:pPr>
        <w:ind w:right="40" w:firstLine="648"/>
        <w:spacing w:after="0" w:line="277" w:lineRule="auto"/>
        <w:rPr>
          <w:sz w:val="20"/>
          <w:szCs w:val="20"/>
          <w:color w:val="auto"/>
        </w:rPr>
      </w:pPr>
      <w:r>
        <w:rPr>
          <w:rFonts w:ascii="Arial" w:cs="Arial" w:eastAsia="Arial" w:hAnsi="Arial"/>
          <w:sz w:val="18"/>
          <w:szCs w:val="18"/>
          <w:color w:val="auto"/>
        </w:rPr>
        <w:t>During the three months ended March 31, 2022, research and development expenses increased compared to the same period in 2021 primarily as a result of increased costs associated with the clinical programs for AMP-100 and MAQ-100.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$1,792,000 for the three months ended March 31, 2022 compared to $513,000 for the same period in 2021. The increase during the period ended March 31, 2022 compared to the same period in 2021 was primarily due to an increase in the outstanding principal amount of our debt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from Unconsolidated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2022, we recorded a loss of $2,886,000 related to our share of losses in Melt compared to $1,319,000 for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Eton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recorded an unrealized gain of $139,000 related to the change in fair market value of Eton’s common stock during the three months ended March 31, 2022. We recorded an unrealized loss of $2,835,000 related to the change in fair market value of Eton’s common stock for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Forgiveness of PPP Loan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2021, we recorded gain on forgiveness of PPP (as defined below) loan of $1,967,000 related to the forgiveness of our $1,967,000 loan received pursuant to the Paycheck Protection Program (“PPP”) under the Federal Coronavirus Aid, Relief, and Economic Security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net (loss) income and per share net (loss) income for the three months ended March 31,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1"/>
              </w:rPr>
              <w:t>For the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96"/>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Numerator – net (loss) income attributable to Harrow Health, Inc. common stockholders</w:t>
            </w: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(2,438,000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 per share, basic</w:t>
            </w:r>
          </w:p>
        </w:tc>
        <w:tc>
          <w:tcPr>
            <w:tcW w:w="3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(0.09)</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 diluted</w:t>
            </w:r>
          </w:p>
        </w:tc>
        <w:tc>
          <w:tcPr>
            <w:tcW w:w="7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on hand at March 31, 2022 was $41,948,000, compared to $42,167,000 at December 31, 2021.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date of this Quarterly Report, we believe that cash and cash equivalents of $41,948,000 at March 31, 2022 will be sufficient to sustain our planned level of operations and capital expenditures for at least the next 12 months. In addition, we may consider the sale of certain assets including, but not limited to, part of, or all of, our investments in Eton, Surface, Melt, and/or any of our consolidated subsidiaries. However, we may pursue acquisitions of revenue generating products, drug candidates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to support our operations.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pharmacy, outsourcing facilities, drug company and manufacturers, drug products, drug candidates,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i w:val="1"/>
                <w:iCs w:val="1"/>
                <w:color w:val="auto"/>
              </w:rPr>
              <w:t>Net Cash Flow</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40" w:type="dxa"/>
            <w:vAlign w:val="bottom"/>
          </w:tcPr>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For the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Three Months Ended March 31,</w:t>
            </w:r>
          </w:p>
        </w:tc>
      </w:tr>
      <w:tr>
        <w:trPr>
          <w:trHeight w:val="236"/>
        </w:trPr>
        <w:tc>
          <w:tcPr>
            <w:tcW w:w="63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967,000</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3,208,000</w:t>
            </w:r>
          </w:p>
        </w:tc>
      </w:tr>
      <w:tr>
        <w:trPr>
          <w:trHeight w:val="216"/>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(224,000)</w:t>
            </w:r>
          </w:p>
        </w:tc>
      </w:tr>
      <w:tr>
        <w:trPr>
          <w:trHeight w:val="237"/>
        </w:trPr>
        <w:tc>
          <w:tcPr>
            <w:tcW w:w="63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(776,000)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(781,000)</w:t>
            </w:r>
          </w:p>
        </w:tc>
      </w:tr>
      <w:tr>
        <w:trPr>
          <w:trHeight w:val="216"/>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42,167,000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4,301,000</w:t>
            </w:r>
          </w:p>
        </w:tc>
      </w:tr>
      <w:tr>
        <w:trPr>
          <w:trHeight w:val="229"/>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operating activities during the three months ended March 31, 2022 was $967,000 compared to $3,208,000 during the same period in the prior year. The decrease in net cash provided by operating activities during the periods was mainly attributed to an increase in our accounts receivable amounts and decrease in our accounts payable and accrued liabilities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during the three months ended March 31, 2022 was $410,000 compared to $224,000, during the same period in the prior year. Cash used in investing activities in 2022 and 2021 was primarily associated with equipment and software purchases and upgrades along with investments in our intellectual property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during the three months ended March 31, 2022 and 2021 was $776,000 and $781,000, respectively. Cash used in financing activities during the three months ended March 31, 2022 was primarily related to payment of taxes upon vesting of RSUs and exercise of stock options and principal payments on loans outstanding during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sources of cash consist of cash provided by operating activities from our ImprimisRx business, and recently, proceeds from the sale of senior notes and a portion of our Eton common stock. We may also sell some or all of our ownership interests in Surface, Melt or our subsidiaries, along with the some or all of the remaining portion of our Eton common stock.</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changing trends and overall economic outlook in light of the COVID-19 pandemic, including the historic interim stay-at-home orders and bans on elective surgeries, created uncertainty surrounding our operating outlook and may impact our future operating results if there is a rise in COVID-19 related cases in the U.S. In addition, 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2022. Based on this evaluation, our principal executive officer and principal financial officer have concluded that our disclosure controls and procedures were effective to achieve their stated purpose as of March 31, 2022,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March 31, 2022, that has materially affected, or is reasonably likely to materially affect, our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15 to our condensed consolidated financial statements included in this Quarterly Report for information on various legal proceedings,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In addition to the other information contained in this Quarterly Report you should consider the risk factors and the other information in our Annual Report on Form 10-K for the year ended December 31, 2021,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31.1*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5"/>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Mark L. Baum, principal executive officer, pursuant to Rule 13a-14(a) or 15d-14(a) of the Securities and Exchange Act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1934, as adopted pursuant to Section 302 of the Sarbanes- Oxley Act of 2002.</w:t>
              </w:r>
            </w:hyperlink>
          </w:p>
        </w:tc>
        <w:tc>
          <w:tcPr>
            <w:tcW w:w="45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24"/>
                <w:szCs w:val="24"/>
                <w:color w:val="auto"/>
              </w:rPr>
            </w:pPr>
          </w:p>
        </w:tc>
        <w:tc>
          <w:tcPr>
            <w:tcW w:w="10140" w:type="dxa"/>
            <w:vAlign w:val="bottom"/>
            <w:gridSpan w:val="5"/>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Certification of Andrew R. Boll, principal financial and accounting officer, pursuant to Rule 13a-14(a) or 15d-14(a) of the Securities and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Exchange Act of 1934, as adopted pursuant to Section 302 of the Sarbanes- 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line="20" w:lineRule="exact"/>
              <w:rPr>
                <w:sz w:val="1"/>
                <w:szCs w:val="1"/>
                <w:color w:val="auto"/>
              </w:rPr>
            </w:pPr>
          </w:p>
        </w:tc>
        <w:tc>
          <w:tcPr>
            <w:tcW w:w="68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pursuant to 18 U.S.C. Section 1350, as adopted pursuant to Section 906 of the Sarbanes-Oxley Act of 2002, executed by Mark</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 Baum, principal executive officer, and Andrew R. Boll, principal financial and accounting officer.</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100" w:hanging="1092"/>
        <w:spacing w:after="0" w:line="261" w:lineRule="auto"/>
        <w:tabs>
          <w:tab w:leader="none" w:pos="108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tabs>
          <w:tab w:leader="none" w:pos="1080" w:val="left"/>
        </w:tabs>
        <w:rPr>
          <w:sz w:val="20"/>
          <w:szCs w:val="20"/>
          <w:color w:val="auto"/>
        </w:rPr>
      </w:pPr>
      <w:r>
        <w:rPr>
          <w:rFonts w:ascii="Arial" w:cs="Arial" w:eastAsia="Arial" w:hAnsi="Arial"/>
          <w:sz w:val="18"/>
          <w:szCs w:val="18"/>
          <w:b w:val="1"/>
          <w:bCs w:val="1"/>
          <w:color w:val="auto"/>
        </w:rPr>
        <w:t>101.SCH*</w:t>
      </w:r>
      <w:r>
        <w:rPr>
          <w:sz w:val="20"/>
          <w:szCs w:val="20"/>
          <w:color w:val="auto"/>
        </w:rPr>
        <w:tab/>
      </w:r>
      <w:r>
        <w:rPr>
          <w:rFonts w:ascii="Arial" w:cs="Arial" w:eastAsia="Arial" w:hAnsi="Arial"/>
          <w:sz w:val="16"/>
          <w:szCs w:val="16"/>
          <w:color w:val="auto"/>
        </w:rPr>
        <w:t>Inline XBRL Taxonomy Extension Schema Document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101.CAL*</w:t>
      </w:r>
      <w:r>
        <w:rPr>
          <w:sz w:val="20"/>
          <w:szCs w:val="20"/>
          <w:color w:val="auto"/>
        </w:rPr>
        <w:tab/>
      </w:r>
      <w:r>
        <w:rPr>
          <w:rFonts w:ascii="Arial" w:cs="Arial" w:eastAsia="Arial" w:hAnsi="Arial"/>
          <w:sz w:val="16"/>
          <w:szCs w:val="16"/>
          <w:color w:val="auto"/>
        </w:rPr>
        <w:t>Inline XBRL Taxonomy Extension Calculation Linkbase Document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Inline XBRL Taxonomy Extension Definition Linkbase Document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101.LAB*</w:t>
      </w:r>
      <w:r>
        <w:rPr>
          <w:sz w:val="20"/>
          <w:szCs w:val="20"/>
          <w:color w:val="auto"/>
        </w:rPr>
        <w:tab/>
      </w:r>
      <w:r>
        <w:rPr>
          <w:rFonts w:ascii="Arial" w:cs="Arial" w:eastAsia="Arial" w:hAnsi="Arial"/>
          <w:sz w:val="16"/>
          <w:szCs w:val="16"/>
          <w:color w:val="auto"/>
        </w:rPr>
        <w:t>Inline XBRL Taxonomy Extension Label Linkbase Document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9" w:lineRule="exact"/>
        <w:rPr>
          <w:sz w:val="20"/>
          <w:szCs w:val="20"/>
          <w:color w:val="auto"/>
        </w:rPr>
      </w:pPr>
    </w:p>
    <w:p>
      <w:pPr>
        <w:ind w:left="1100" w:hanging="1092"/>
        <w:spacing w:after="0" w:line="260" w:lineRule="auto"/>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cover page from the Company’s Quarterly Report on Form 10-Q for the quarter ended March 31, 2022, has been formatted in Inline XBRL.</w:t>
      </w:r>
    </w:p>
    <w:p>
      <w:pPr>
        <w:spacing w:after="0" w:line="18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5540" w:right="4380" w:hanging="5532"/>
        <w:spacing w:after="0" w:line="555" w:lineRule="auto"/>
        <w:tabs>
          <w:tab w:leader="none" w:pos="338"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Portions of this exhibit have been omitted in compliance with Item 601 of Regulation S-K.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March 31, 2022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Mark L. Baum </w:t>
      </w: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Andrew R. Boll </w:t>
      </w: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4"/>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2022-05-06T12:04:24Z</dcterms:created>
  <dcterms:modified xsi:type="dcterms:W3CDTF">2022-05-06T12:04:24Z</dcterms:modified>
</cp:coreProperties>
</file>