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30,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4, 2022, ImprimisRx, LLC, ImprimisRx NJ, LLC and Imprimis NJOF, LLC, each wholly-owned subsidiaries of Harrow Health, Inc. (collectively, the “Company”) entered into an Asset Purchase Agreement (the “Agreement”) with Innovation Compounding Pharmacy, LLC (the “Buyer”), the closing of the Agreement was made effective on September 30, 2022. Under the terms of the Agreement, the Company agreed to sell substantially all its assets associated with its non-ophthalmology related compounding business, including but not limited to, certain intellectual property rights, customer lists, databases, and formulations (the “Assets”). The Buyer agreed to make offers of employment to six of the Company’s employees that were responsible for the sales activities associated with the Assets. In connection with the Agreement, the Company entered into a separate transition services agreement with the Buyer related to providing on going services, such as procuring and dispensing prescription orders associated with Assets. The Company expects to provide transition services to the Buyer for up to six months following the effective date of the Agreement.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the Buyer paid to the Company an aggregate cash amount of $6,000,000 on October 5, 2022. In addition, the Buyer is obligated to pay up to $4,500,000 to the Company based on mutually agreed upon revenue milestones during the calendar year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Agreement, is not complete and is qualified in its entirety by reference to the text of the Agreement, which the Company expects to file as an exhibit to the Company’s Quarterly Report on Form 10-Q for the quarter ended September 30, 2022.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announcing the Agreement on October 5, 2022, a copy of which is attached hereto as Exhibit 99.1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Harrow Press Release dated October 5, 2022</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October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874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Sells Non-Ophthalmic Compounding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NASHVILLE, Tenn., October 5, 2022 – Harrow (Nasdaq: HROW), an eyecare pharmaceutical company exclusively focused on the discovery, development, and commercialization of innovative ophthalmic therapies, today announced the sale of its non-ophthalmic compounding business to Innovation Compounding Pharmacy, LLC, an affiliate of Revelation Pharma Corporation (“Revelation”).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transaction, Revelation purchased the assets of Harrow’s non-ophthalmic compounding business, including its formulations, customer accounts, and other related assets. The transaction did not involve a pharmaceutical production or dispensing facility. Harrow will continue to support Revelation during an estimated three-month transition period, and Revelation will offer employment to Harrow employees supporting the acquired business.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transaction is consistent with Harrow’s strategic vision to focus exclusively on ophthalmic medicines – </w:t>
      </w:r>
      <w:r>
        <w:rPr>
          <w:rFonts w:ascii="Times New Roman" w:cs="Times New Roman" w:eastAsia="Times New Roman" w:hAnsi="Times New Roman"/>
          <w:sz w:val="18"/>
          <w:szCs w:val="18"/>
          <w:i w:val="1"/>
          <w:iCs w:val="1"/>
          <w:color w:val="auto"/>
        </w:rPr>
        <w:t>to be a ‘pure play’ ophthalmic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company</w:t>
      </w:r>
      <w:r>
        <w:rPr>
          <w:rFonts w:ascii="Times New Roman" w:cs="Times New Roman" w:eastAsia="Times New Roman" w:hAnsi="Times New Roman"/>
          <w:sz w:val="18"/>
          <w:szCs w:val="18"/>
          <w:color w:val="auto"/>
        </w:rPr>
        <w:t>,” said Mark L. Baum, Harrow’s Chairman and Chief Executive Officer. “As we approach several key milestones,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upcoming commercial launch of recently FDA-approved </w:t>
      </w:r>
      <w:r>
        <w:rPr>
          <w:rFonts w:ascii="Times New Roman" w:cs="Times New Roman" w:eastAsia="Times New Roman" w:hAnsi="Times New Roman"/>
          <w:sz w:val="18"/>
          <w:szCs w:val="18"/>
          <w:u w:val="single" w:color="auto"/>
          <w:color w:val="auto"/>
        </w:rPr>
        <w:t>IHEEZO</w:t>
      </w:r>
      <w:r>
        <w:rPr>
          <w:rFonts w:ascii="Times New Roman" w:cs="Times New Roman" w:eastAsia="Times New Roman" w:hAnsi="Times New Roman"/>
          <w:sz w:val="18"/>
          <w:szCs w:val="18"/>
          <w:color w:val="auto"/>
        </w:rPr>
        <w:t xml:space="preserve">™; the launch of our patent-pending </w:t>
      </w:r>
      <w:r>
        <w:rPr>
          <w:rFonts w:ascii="Times New Roman" w:cs="Times New Roman" w:eastAsia="Times New Roman" w:hAnsi="Times New Roman"/>
          <w:sz w:val="18"/>
          <w:szCs w:val="18"/>
          <w:u w:val="single" w:color="auto"/>
          <w:color w:val="auto"/>
        </w:rPr>
        <w:t>Fortisite</w:t>
      </w:r>
      <w:r>
        <w:rPr>
          <w:rFonts w:ascii="Times New Roman" w:cs="Times New Roman" w:eastAsia="Times New Roman" w:hAnsi="Times New Roman"/>
          <w:sz w:val="18"/>
          <w:szCs w:val="18"/>
          <w:color w:val="auto"/>
        </w:rPr>
        <w:t xml:space="preserve">™ compounded combination antibiotics; the outcome of the </w:t>
      </w:r>
      <w:r>
        <w:rPr>
          <w:rFonts w:ascii="Times New Roman" w:cs="Times New Roman" w:eastAsia="Times New Roman" w:hAnsi="Times New Roman"/>
          <w:sz w:val="18"/>
          <w:szCs w:val="18"/>
          <w:u w:val="single" w:color="auto"/>
          <w:color w:val="auto"/>
        </w:rPr>
        <w:t>MELT-300</w:t>
      </w:r>
      <w:r>
        <w:rPr>
          <w:rFonts w:ascii="Times New Roman" w:cs="Times New Roman" w:eastAsia="Times New Roman" w:hAnsi="Times New Roman"/>
          <w:sz w:val="18"/>
          <w:szCs w:val="18"/>
          <w:color w:val="auto"/>
        </w:rPr>
        <w:t xml:space="preserve"> pivotal efficacy study, expected before the end of this year, for one of our former subsidiaries, </w:t>
      </w:r>
      <w:r>
        <w:rPr>
          <w:rFonts w:ascii="Times New Roman" w:cs="Times New Roman" w:eastAsia="Times New Roman" w:hAnsi="Times New Roman"/>
          <w:sz w:val="18"/>
          <w:szCs w:val="18"/>
          <w:u w:val="single" w:color="auto"/>
          <w:color w:val="auto"/>
        </w:rPr>
        <w:t>Melt Pharmaceuticals</w:t>
      </w:r>
      <w:r>
        <w:rPr>
          <w:rFonts w:ascii="Times New Roman" w:cs="Times New Roman" w:eastAsia="Times New Roman" w:hAnsi="Times New Roman"/>
          <w:sz w:val="18"/>
          <w:szCs w:val="18"/>
          <w:color w:val="auto"/>
        </w:rPr>
        <w:t>; progress on product acquisition activities we are pursuing, and new ophthalmic compounded product launches expected in the coming months, we believe this transaction demonstrates our resolve to concentrate on our core competencies and commercial expertise in the North American ophthalmic pharmaceuticals market. Going forward, our capital allocation strategy, including proceeds from this transaction, will be aimed at expanding Harrow’s branded ophthalmic product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Harrow (Nasdaq: HROW) is an eyecare pharmaceutical company exclusively focused on the discovery, development, and commercialization of innovative ophthalmic therapies that are accessible and affordable. For more information about Harrow, including investor-related materials, please visit the corporate website, </w:t>
      </w:r>
      <w:r>
        <w:rPr>
          <w:rFonts w:ascii="Times New Roman" w:cs="Times New Roman" w:eastAsia="Times New Roman" w:hAnsi="Times New Roman"/>
          <w:sz w:val="18"/>
          <w:szCs w:val="18"/>
          <w:u w:val="single" w:color="auto"/>
          <w:color w:val="auto"/>
        </w:rPr>
        <w:t>harrowinc.com</w:t>
      </w:r>
      <w:r>
        <w:rPr>
          <w:rFonts w:ascii="Times New Roman" w:cs="Times New Roman" w:eastAsia="Times New Roman" w:hAnsi="Times New Roman"/>
          <w:sz w:val="18"/>
          <w:szCs w:val="18"/>
          <w:color w:val="auto"/>
        </w:rPr>
        <w:t xml:space="preserve">, or Harrow’s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page.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Revelation Pharma Corporation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Revelation Pharma is a national network of 503A and 503B compounding pharmacies providing innovative and quality pharmaceutical products and services through “industry best” patient care and solutions for customers. </w:t>
      </w:r>
      <w:r>
        <w:rPr>
          <w:rFonts w:ascii="Times New Roman" w:cs="Times New Roman" w:eastAsia="Times New Roman" w:hAnsi="Times New Roman"/>
          <w:sz w:val="18"/>
          <w:szCs w:val="18"/>
          <w:u w:val="single" w:color="auto"/>
          <w:color w:val="auto"/>
        </w:rPr>
        <w:t>Revelation Pharma</w:t>
      </w:r>
      <w:r>
        <w:rPr>
          <w:rFonts w:ascii="Times New Roman" w:cs="Times New Roman" w:eastAsia="Times New Roman" w:hAnsi="Times New Roman"/>
          <w:sz w:val="18"/>
          <w:szCs w:val="18"/>
          <w:color w:val="auto"/>
        </w:rPr>
        <w:t xml:space="preserve"> is owned by </w:t>
      </w:r>
      <w:r>
        <w:rPr>
          <w:rFonts w:ascii="Times New Roman" w:cs="Times New Roman" w:eastAsia="Times New Roman" w:hAnsi="Times New Roman"/>
          <w:sz w:val="18"/>
          <w:szCs w:val="18"/>
          <w:u w:val="single" w:color="auto"/>
          <w:color w:val="auto"/>
        </w:rPr>
        <w:t>Osceola Capital</w:t>
      </w:r>
      <w:r>
        <w:rPr>
          <w:rFonts w:ascii="Times New Roman" w:cs="Times New Roman" w:eastAsia="Times New Roman" w:hAnsi="Times New Roman"/>
          <w:sz w:val="18"/>
          <w:szCs w:val="18"/>
          <w:color w:val="auto"/>
        </w:rPr>
        <w:t>, a Tampa-based private equity firm that invests in lower middle-market services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Harrow Contacts:</w:t>
            </w:r>
          </w:p>
        </w:tc>
        <w:tc>
          <w:tcPr>
            <w:tcW w:w="1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w:t>
            </w:r>
          </w:p>
        </w:tc>
        <w:tc>
          <w:tcPr>
            <w:tcW w:w="106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Webb</w:t>
            </w:r>
          </w:p>
        </w:tc>
        <w:tc>
          <w:tcPr>
            <w:tcW w:w="106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 Holliday</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Communications and Investor Relations</w:t>
            </w:r>
          </w:p>
        </w:tc>
        <w:tc>
          <w:tcPr>
            <w:tcW w:w="106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Holliday Communications, Inc.</w:t>
            </w:r>
          </w:p>
        </w:tc>
      </w:tr>
      <w:tr>
        <w:trPr>
          <w:trHeight w:val="194"/>
        </w:trPr>
        <w:tc>
          <w:tcPr>
            <w:tcW w:w="17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jwebb@harrowinc.com</w:t>
            </w:r>
          </w:p>
        </w:tc>
        <w:tc>
          <w:tcPr>
            <w:tcW w:w="2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deb@hollidaycommunications.net</w:t>
            </w:r>
          </w:p>
        </w:tc>
        <w:tc>
          <w:tcPr>
            <w:tcW w:w="314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615-733-4737</w:t>
            </w:r>
          </w:p>
        </w:tc>
        <w:tc>
          <w:tcPr>
            <w:tcW w:w="2860" w:type="dxa"/>
            <w:vAlign w:val="bottom"/>
          </w:tcPr>
          <w:p>
            <w:pPr>
              <w:spacing w:after="0"/>
              <w:rPr>
                <w:sz w:val="20"/>
                <w:szCs w:val="20"/>
                <w:color w:val="auto"/>
              </w:rPr>
            </w:pPr>
          </w:p>
        </w:tc>
        <w:tc>
          <w:tcPr>
            <w:tcW w:w="35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412-877-4519</w:t>
            </w:r>
          </w:p>
        </w:tc>
        <w:tc>
          <w:tcPr>
            <w:tcW w:w="314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-END-</w:t>
            </w:r>
          </w:p>
        </w:tc>
      </w:tr>
      <w:tr>
        <w:trPr>
          <w:trHeight w:val="439"/>
        </w:trPr>
        <w:tc>
          <w:tcPr>
            <w:tcW w:w="17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2022-10-05T16:30:38Z</dcterms:created>
  <dcterms:modified xsi:type="dcterms:W3CDTF">2022-10-05T16:30:38Z</dcterms:modified>
</cp:coreProperties>
</file>