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0_edei--DocumentType_c202301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3" w:name="xdx_909_edei--DocumentQuarterlyReport_c2"/>
      <w:bookmarkEnd w:id="3"/>
      <w:r>
        <w:rPr>
          <w:caps w:val="false"/>
          <w:smallCaps w:val="false"/>
        </w:rPr>
        <w:t xml:space="preserve">☒ </w:t>
      </w:r>
      <w:r>
        <w:rPr>
          <w:rFonts w:ascii="Times New Roman;Times;Serif" w:hAnsi="Times New Roman;Times;Serif"/>
          <w:b/>
          <w:i w:val="false"/>
          <w:caps w:val="false"/>
          <w:smallCaps w:val="false"/>
          <w:sz w:val="20"/>
        </w:rPr>
        <w:t xml:space="preserve">QUARTERLY REPORT PURSUANT TO SECTION 13 OR 15(d) 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D_edei--DocumentPeriodEndDate_c202"/>
      <w:bookmarkEnd w:id="4"/>
      <w:r>
        <w:rPr>
          <w:rFonts w:ascii="Times New Roman;Times;Serif" w:hAnsi="Times New Roman;Times;Serif"/>
          <w:b/>
          <w:i w:val="false"/>
          <w:caps w:val="false"/>
          <w:smallCaps w:val="false"/>
          <w:sz w:val="20"/>
        </w:rPr>
        <w:t xml:space="preserve">March 31, </w:t>
      </w:r>
      <w:bookmarkStart w:id="5" w:name="xdx_902_edei--DocumentFiscalYearFocus_c2"/>
      <w:bookmarkEnd w:id="5"/>
      <w:r>
        <w:rPr>
          <w:rFonts w:ascii="Times New Roman;Times;Serif" w:hAnsi="Times New Roman;Times;Serif"/>
          <w:b/>
          <w:i w:val="false"/>
          <w:caps w:val="false"/>
          <w:smallCaps w:val="false"/>
          <w:sz w:val="20"/>
        </w:rPr>
        <w:t>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6" w:name="xdx_900_edei--DocumentTransitionReport_c"/>
      <w:bookmarkEnd w:id="6"/>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___________ to 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A_edei--EntityFileNumber_c20230101"/>
      <w:bookmarkEnd w:id="7"/>
      <w:r>
        <w:rPr>
          <w:rFonts w:ascii="Times New Roman;Times;Serif" w:hAnsi="Times New Roman;Times;Serif"/>
          <w:b/>
          <w:i w:val="false"/>
          <w:caps w:val="false"/>
          <w:smallCaps w:val="false"/>
          <w:sz w:val="20"/>
        </w:rPr>
        <w:t>001-35814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8" w:name="xdx_906_edei--EntityRegistrantName_c2023"/>
      <w:bookmarkEnd w:id="8"/>
      <w:r>
        <w:rPr>
          <w:rFonts w:ascii="Times New Roman;Times;Serif" w:hAnsi="Times New Roman;Times;Serif"/>
          <w:b/>
          <w:i w:val="false"/>
          <w:caps w:val="false"/>
          <w:smallCaps w:val="false"/>
          <w:sz w:val="36"/>
        </w:rPr>
        <w:t>Harrow Health,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2495"/>
        <w:gridCol w:w="60"/>
        <w:gridCol w:w="1535"/>
      </w:tblGrid>
      <w:tr>
        <w:trPr/>
        <w:tc>
          <w:tcPr>
            <w:tcW w:w="24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C_edei--EntityIncorporationStateCo"/>
            <w:bookmarkEnd w:id="9"/>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E_edei--EntityTaxIdentificationNum"/>
            <w:bookmarkEnd w:id="10"/>
            <w:r>
              <w:rPr>
                <w:rFonts w:ascii="Times New Roman;Times;Serif" w:hAnsi="Times New Roman;Times;Serif"/>
                <w:b/>
                <w:i w:val="false"/>
                <w:caps w:val="false"/>
                <w:smallCaps w:val="false"/>
                <w:sz w:val="20"/>
              </w:rPr>
              <w:t>45-0567010</w:t>
            </w:r>
          </w:p>
        </w:tc>
      </w:tr>
      <w:tr>
        <w:trPr/>
        <w:tc>
          <w:tcPr>
            <w:tcW w:w="24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br/>
              <w:t>incorporation or organization)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3215"/>
        <w:gridCol w:w="60"/>
        <w:gridCol w:w="875"/>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0_edei--EntityAddressAddressLine1_"/>
            <w:bookmarkEnd w:id="11"/>
            <w:r>
              <w:rPr>
                <w:rFonts w:ascii="Times New Roman;Times;Serif" w:hAnsi="Times New Roman;Times;Serif"/>
                <w:b/>
                <w:i w:val="false"/>
                <w:caps w:val="false"/>
                <w:smallCaps w:val="false"/>
                <w:sz w:val="20"/>
              </w:rPr>
              <w:t xml:space="preserve">102 Woodmont Blvd., </w:t>
            </w:r>
            <w:bookmarkStart w:id="12" w:name="xdx_900_edei--EntityAddressAddressLine2_"/>
            <w:bookmarkEnd w:id="12"/>
            <w:r>
              <w:rPr>
                <w:rFonts w:ascii="Times New Roman;Times;Serif" w:hAnsi="Times New Roman;Times;Serif"/>
                <w:b/>
                <w:i w:val="false"/>
                <w:caps w:val="false"/>
                <w:smallCaps w:val="false"/>
                <w:sz w:val="20"/>
              </w:rPr>
              <w:t>Suite 610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3" w:name="xdx_908_edei--EntityAddressCityOrTown_c2"/>
            <w:bookmarkEnd w:id="13"/>
            <w:r>
              <w:rPr>
                <w:rFonts w:ascii="Times New Roman;Times;Serif" w:hAnsi="Times New Roman;Times;Serif"/>
                <w:b/>
                <w:i w:val="false"/>
                <w:caps w:val="false"/>
                <w:smallCaps w:val="false"/>
                <w:sz w:val="20"/>
              </w:rPr>
              <w:t xml:space="preserve">Nashville, </w:t>
            </w:r>
            <w:bookmarkStart w:id="14" w:name="xdx_900_edei--EntityAddressStateOrProvin"/>
            <w:bookmarkEnd w:id="14"/>
            <w:r>
              <w:rPr>
                <w:rFonts w:ascii="Times New Roman;Times;Serif" w:hAnsi="Times New Roman;Times;Serif"/>
                <w:b/>
                <w:i w:val="false"/>
                <w:caps w:val="false"/>
                <w:smallCaps w:val="false"/>
                <w:sz w:val="20"/>
              </w:rPr>
              <w:t xml:space="preserve">Tennessee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5" w:name="xdx_902_edei--EntityAddressPostalZipCode"/>
            <w:bookmarkEnd w:id="15"/>
            <w:r>
              <w:rPr>
                <w:rFonts w:ascii="Times New Roman;Times;Serif" w:hAnsi="Times New Roman;Times;Serif"/>
                <w:b/>
                <w:i w:val="false"/>
                <w:caps w:val="false"/>
                <w:smallCaps w:val="false"/>
                <w:sz w:val="20"/>
              </w:rPr>
              <w:t>37205</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xdx_908_edei--CityAreaCode_c20230101__20"/>
      <w:bookmarkEnd w:id="16"/>
      <w:r>
        <w:rPr>
          <w:rFonts w:ascii="Times New Roman;Times;Serif" w:hAnsi="Times New Roman;Times;Serif"/>
          <w:b/>
          <w:i w:val="false"/>
          <w:caps w:val="false"/>
          <w:smallCaps w:val="false"/>
          <w:sz w:val="20"/>
        </w:rPr>
        <w:t xml:space="preserve">(615) </w:t>
      </w:r>
      <w:bookmarkStart w:id="17" w:name="xdx_90C_edei--LocalPhoneNumber_c20230101"/>
      <w:bookmarkEnd w:id="17"/>
      <w:r>
        <w:rPr>
          <w:rFonts w:ascii="Times New Roman;Times;Serif" w:hAnsi="Times New Roman;Times;Serif"/>
          <w:b/>
          <w:i w:val="false"/>
          <w:caps w:val="false"/>
          <w:smallCaps w:val="false"/>
          <w:sz w:val="20"/>
        </w:rPr>
        <w:t>733-4730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385" w:type="dxa"/>
        <w:jc w:val="left"/>
        <w:tblInd w:w="0" w:type="dxa"/>
        <w:tblLayout w:type="fixed"/>
        <w:tblCellMar>
          <w:top w:w="0" w:type="dxa"/>
          <w:left w:w="0" w:type="dxa"/>
          <w:bottom w:w="28" w:type="dxa"/>
          <w:right w:w="0" w:type="dxa"/>
        </w:tblCellMar>
      </w:tblPr>
      <w:tblGrid>
        <w:gridCol w:w="3515"/>
        <w:gridCol w:w="60"/>
        <w:gridCol w:w="1535"/>
        <w:gridCol w:w="60"/>
        <w:gridCol w:w="3215"/>
      </w:tblGrid>
      <w:tr>
        <w:trPr/>
        <w:tc>
          <w:tcPr>
            <w:tcW w:w="351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21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on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8_edei--Security12bTitle_c20230101"/>
            <w:bookmarkEnd w:id="18"/>
            <w:r>
              <w:rPr>
                <w:rFonts w:ascii="Times New Roman;Times;Serif" w:hAnsi="Times New Roman;Times;Serif"/>
                <w:b w:val="false"/>
                <w:i w:val="false"/>
                <w:caps w:val="false"/>
                <w:smallCaps w:val="false"/>
                <w:sz w:val="20"/>
              </w:rPr>
              <w:t>Common Stock, $0.001 par value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1_edei--TradingSymbol_c20230101__2"/>
            <w:bookmarkEnd w:id="19"/>
            <w:r>
              <w:rPr>
                <w:rFonts w:ascii="Times New Roman;Times;Serif" w:hAnsi="Times New Roman;Times;Serif"/>
                <w:b w:val="false"/>
                <w:i w:val="false"/>
                <w:caps w:val="false"/>
                <w:smallCaps w:val="false"/>
                <w:sz w:val="20"/>
              </w:rPr>
              <w:t>HROW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A_edei--SecurityExchangeName_c2023"/>
            <w:bookmarkEnd w:id="20"/>
            <w:r>
              <w:rPr>
                <w:rFonts w:ascii="Times New Roman;Times;Serif" w:hAnsi="Times New Roman;Times;Serif"/>
                <w:b w:val="false"/>
                <w:i w:val="false"/>
                <w:caps w:val="false"/>
                <w:smallCaps w:val="false"/>
                <w:sz w:val="20"/>
              </w:rPr>
              <w:t>Nasdaq Stock Market LLC</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6_edei--Security12bTitle_c20230101"/>
            <w:bookmarkEnd w:id="21"/>
            <w:r>
              <w:rPr>
                <w:rFonts w:ascii="Times New Roman;Times;Serif" w:hAnsi="Times New Roman;Times;Serif"/>
                <w:b w:val="false"/>
                <w:i w:val="false"/>
                <w:caps w:val="false"/>
                <w:smallCaps w:val="false"/>
                <w:sz w:val="20"/>
              </w:rPr>
              <w:t>8.625% Senior Notes due 2026</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3_edei--TradingSymbol_c20230101__2"/>
            <w:bookmarkEnd w:id="22"/>
            <w:r>
              <w:rPr>
                <w:rFonts w:ascii="Times New Roman;Times;Serif" w:hAnsi="Times New Roman;Times;Serif"/>
                <w:b w:val="false"/>
                <w:i w:val="false"/>
                <w:caps w:val="false"/>
                <w:smallCaps w:val="false"/>
                <w:sz w:val="20"/>
              </w:rPr>
              <w:t>HROWL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3" w:name="xdx_90D_edei--SecurityExchangeName_c2023"/>
            <w:bookmarkEnd w:id="23"/>
            <w:r>
              <w:rPr>
                <w:rFonts w:ascii="Times New Roman;Times;Serif" w:hAnsi="Times New Roman;Times;Serif"/>
                <w:b w:val="false"/>
                <w:i w:val="false"/>
                <w:caps w:val="false"/>
                <w:smallCaps w:val="false"/>
                <w:sz w:val="20"/>
              </w:rPr>
              <w:t>Nasdaq Stock Market LLC</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4_edei--Security12bTitle_c20230101"/>
            <w:bookmarkEnd w:id="24"/>
            <w:r>
              <w:rPr>
                <w:rFonts w:ascii="Times New Roman;Times;Serif" w:hAnsi="Times New Roman;Times;Serif"/>
                <w:b w:val="false"/>
                <w:i w:val="false"/>
                <w:caps w:val="false"/>
                <w:smallCaps w:val="false"/>
                <w:sz w:val="20"/>
              </w:rPr>
              <w:t>11.875% Senior Notes due 2027</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5" w:name="xdx_908_edei--TradingSymbol_c20230101__2"/>
            <w:bookmarkEnd w:id="25"/>
            <w:r>
              <w:rPr>
                <w:rFonts w:ascii="Times New Roman;Times;Serif" w:hAnsi="Times New Roman;Times;Serif"/>
                <w:b w:val="false"/>
                <w:i w:val="false"/>
                <w:caps w:val="false"/>
                <w:smallCaps w:val="false"/>
                <w:sz w:val="20"/>
              </w:rPr>
              <w:t>HROWM</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6" w:name="xdx_903_edei--SecurityExchangeName_c2023"/>
            <w:bookmarkEnd w:id="26"/>
            <w:r>
              <w:rPr>
                <w:rFonts w:ascii="Times New Roman;Times;Serif" w:hAnsi="Times New Roman;Times;Serif"/>
                <w:b w:val="false"/>
                <w:i w:val="false"/>
                <w:caps w:val="false"/>
                <w:smallCaps w:val="false"/>
                <w:sz w:val="20"/>
              </w:rPr>
              <w:t>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7" w:name="xdx_90F_edei--EntityCurrentReportingStat"/>
      <w:bookmarkEnd w:id="27"/>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8" w:name="xdx_902_edei--EntityInteractiveDataCurre"/>
      <w:bookmarkEnd w:id="28"/>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center"/>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1835"/>
        <w:gridCol w:w="29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9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9" w:name="xdx_909_edei--EntityFilerCategory_c20230"/>
            <w:bookmarkEnd w:id="29"/>
            <w:r>
              <w:rPr>
                <w:rFonts w:ascii="Times New Roman;Times;Serif" w:hAnsi="Times New Roman;Times;Serif"/>
                <w:b w:val="false"/>
                <w:i w:val="false"/>
                <w:caps w:val="false"/>
                <w:smallCaps w:val="false"/>
                <w:sz w:val="20"/>
              </w:rPr>
              <w:t>Non-accelerated filer</w:t>
            </w:r>
          </w:p>
        </w:tc>
        <w:tc>
          <w:tcPr>
            <w:tcW w:w="29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bookmarkStart w:id="30" w:name="xdx_90F_edei--EntitySmallBusiness_c20230"/>
            <w:bookmarkEnd w:id="30"/>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bookmarkStart w:id="31" w:name="xdx_90D_edei--EntityEmergingGrowthCompan"/>
            <w:bookmarkEnd w:id="31"/>
            <w:r>
              <w:rPr>
                <w:caps w:val="false"/>
                <w:smallCaps w:val="false"/>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a check mark whether the registrant is a shell company (as defined in Rule 12b-2 of the Exchange Act). Yes ☐ </w:t>
      </w:r>
      <w:bookmarkStart w:id="32" w:name="xdx_90B_edei--EntityShellCompany_c202301"/>
      <w:bookmarkEnd w:id="32"/>
      <w:r>
        <w:rPr>
          <w:rFonts w:ascii="Times New Roman;Times;Serif" w:hAnsi="Times New Roman;Times;Serif"/>
          <w:b w:val="false"/>
          <w:i w:val="false"/>
          <w:caps w:val="false"/>
          <w:smallCaps w:val="false"/>
          <w:sz w:val="20"/>
        </w:rPr>
        <w:t>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May 10, 2023, there were </w:t>
      </w:r>
      <w:bookmarkStart w:id="33" w:name="xdx_901_edei--EntityCommonStockSharesOut"/>
      <w:bookmarkEnd w:id="33"/>
      <w:r>
        <w:rPr>
          <w:rFonts w:ascii="Times New Roman;Times;Serif" w:hAnsi="Times New Roman;Times;Serif"/>
          <w:b w:val="false"/>
          <w:i w:val="false"/>
          <w:caps w:val="false"/>
          <w:smallCaps w:val="false"/>
          <w:sz w:val="20"/>
        </w:rPr>
        <w:t>30,121,997 shares of the registrant’s common stock, $0.001 par value, outstanding.</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HEALTH,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of Contents</w:t>
      </w:r>
    </w:p>
    <w:p>
      <w:pPr>
        <w:pStyle w:val="TextBody"/>
        <w:bidi w:val="0"/>
        <w:spacing w:before="0" w:after="0"/>
        <w:ind w:left="0" w:right="0" w:hanging="0"/>
        <w:jc w:val="both"/>
        <w:rPr>
          <w:caps w:val="false"/>
          <w:smallCaps w:val="false"/>
        </w:rPr>
      </w:pPr>
      <w:r>
        <w:rPr>
          <w:caps w:val="false"/>
          <w:smallCaps w:val="false"/>
        </w:rPr>
        <w:t> </w:t>
      </w:r>
    </w:p>
    <w:tbl>
      <w:tblPr>
        <w:tblW w:w="8580" w:type="dxa"/>
        <w:jc w:val="left"/>
        <w:tblInd w:w="0" w:type="dxa"/>
        <w:tblLayout w:type="fixed"/>
        <w:tblCellMar>
          <w:top w:w="0" w:type="dxa"/>
          <w:left w:w="0" w:type="dxa"/>
          <w:bottom w:w="0" w:type="dxa"/>
          <w:right w:w="0" w:type="dxa"/>
        </w:tblCellMar>
      </w:tblPr>
      <w:tblGrid>
        <w:gridCol w:w="725"/>
        <w:gridCol w:w="60"/>
        <w:gridCol w:w="7280"/>
        <w:gridCol w:w="60"/>
        <w:gridCol w:w="455"/>
      </w:tblGrid>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ap_001">
              <w:r>
                <w:rPr>
                  <w:rStyle w:val="InternetLink"/>
                  <w:rFonts w:ascii="Times New Roman;Times;Serif" w:hAnsi="Times New Roman;Times;Serif"/>
                  <w:b w:val="false"/>
                  <w:i w:val="false"/>
                  <w:caps w:val="false"/>
                  <w:smallCaps w:val="false"/>
                  <w:sz w:val="20"/>
                </w:rPr>
                <w:t>FINANCIAL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ap_002">
              <w:r>
                <w:rPr>
                  <w:rStyle w:val="InternetLink"/>
                  <w:rFonts w:ascii="Times New Roman;Times;Serif" w:hAnsi="Times New Roman;Times;Serif"/>
                  <w:b w:val="false"/>
                  <w:i w:val="false"/>
                  <w:caps w:val="false"/>
                  <w:smallCaps w:val="false"/>
                  <w:sz w:val="20"/>
                </w:rPr>
                <w:t>Financial Statements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ap_003">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ap_004">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ap_005">
              <w:r>
                <w:rPr>
                  <w:rStyle w:val="InternetLink"/>
                  <w:rFonts w:ascii="Times New Roman;Times;Serif" w:hAnsi="Times New Roman;Times;Serif"/>
                  <w:b w:val="false"/>
                  <w:i w:val="false"/>
                  <w:caps w:val="false"/>
                  <w:smallCaps w:val="false"/>
                  <w:sz w:val="20"/>
                </w:rPr>
                <w:t>Controls and Procedures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ap_006">
              <w:r>
                <w:rPr>
                  <w:rStyle w:val="InternetLink"/>
                  <w:rFonts w:ascii="Times New Roman;Times;Serif" w:hAnsi="Times New Roman;Times;Serif"/>
                  <w:b w:val="false"/>
                  <w:i w:val="false"/>
                  <w:caps w:val="false"/>
                  <w:smallCaps w:val="false"/>
                  <w:sz w:val="20"/>
                </w:rPr>
                <w:t>OTHER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ap_007">
              <w:r>
                <w:rPr>
                  <w:rStyle w:val="InternetLink"/>
                  <w:rFonts w:ascii="Times New Roman;Times;Serif" w:hAnsi="Times New Roman;Times;Serif"/>
                  <w:b w:val="false"/>
                  <w:i w:val="false"/>
                  <w:caps w:val="false"/>
                  <w:smallCaps w:val="false"/>
                  <w:sz w:val="20"/>
                </w:rPr>
                <w:t>Legal Proceedings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ap_008">
              <w:r>
                <w:rPr>
                  <w:rStyle w:val="InternetLink"/>
                  <w:rFonts w:ascii="Times New Roman;Times;Serif" w:hAnsi="Times New Roman;Times;Serif"/>
                  <w:b w:val="false"/>
                  <w:i w:val="false"/>
                  <w:caps w:val="false"/>
                  <w:smallCaps w:val="false"/>
                  <w:sz w:val="20"/>
                </w:rPr>
                <w:t>Risk Factors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ap_009">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ap_010">
              <w:r>
                <w:rPr>
                  <w:rStyle w:val="InternetLink"/>
                  <w:rFonts w:ascii="Times New Roman;Times;Serif" w:hAnsi="Times New Roman;Times;Serif"/>
                  <w:b w:val="false"/>
                  <w:i w:val="false"/>
                  <w:caps w:val="false"/>
                  <w:smallCaps w:val="false"/>
                  <w:sz w:val="20"/>
                </w:rPr>
                <w:t>Defaults Upon Senior Securities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ap_011">
              <w:r>
                <w:rPr>
                  <w:rStyle w:val="InternetLink"/>
                  <w:rFonts w:ascii="Times New Roman;Times;Serif" w:hAnsi="Times New Roman;Times;Serif"/>
                  <w:b w:val="false"/>
                  <w:i w:val="false"/>
                  <w:caps w:val="false"/>
                  <w:smallCaps w:val="false"/>
                  <w:sz w:val="20"/>
                </w:rPr>
                <w:t>Mine Safety Disclosures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ap_012">
              <w:r>
                <w:rPr>
                  <w:rStyle w:val="InternetLink"/>
                  <w:rFonts w:ascii="Times New Roman;Times;Serif" w:hAnsi="Times New Roman;Times;Serif"/>
                  <w:b w:val="false"/>
                  <w:i w:val="false"/>
                  <w:caps w:val="false"/>
                  <w:smallCaps w:val="false"/>
                  <w:sz w:val="20"/>
                </w:rPr>
                <w:t>Other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ap_013">
              <w:r>
                <w:rPr>
                  <w:rStyle w:val="InternetLink"/>
                  <w:rFonts w:ascii="Times New Roman;Times;Serif" w:hAnsi="Times New Roman;Times;Serif"/>
                  <w:b w:val="false"/>
                  <w:i w:val="false"/>
                  <w:caps w:val="false"/>
                  <w:smallCaps w:val="false"/>
                  <w:sz w:val="20"/>
                </w:rPr>
                <w:t>Exhibits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ap_014">
              <w:r>
                <w:rPr>
                  <w:rStyle w:val="InternetLink"/>
                  <w:rFonts w:ascii="Times New Roman;Times;Serif" w:hAnsi="Times New Roman;Times;Serif"/>
                  <w:b w:val="false"/>
                  <w:i w:val="false"/>
                  <w:caps w:val="false"/>
                  <w:smallCaps w:val="false"/>
                  <w:sz w:val="20"/>
                </w:rPr>
                <w:t>Signatures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ap_001"/>
      <w:bookmarkEnd w:id="34"/>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5" w:name="ap_002"/>
      <w:bookmarkEnd w:id="35"/>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HEALTH,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6" w:name="xdx_30A_111_zUXjVnEie114"/>
      <w:bookmarkStart w:id="37" w:name="xdx_30A_111_zUXjVnEie114"/>
      <w:bookmarkEnd w:id="37"/>
    </w:p>
    <w:tbl>
      <w:tblPr>
        <w:tblW w:w="10205" w:type="dxa"/>
        <w:jc w:val="left"/>
        <w:tblInd w:w="0" w:type="dxa"/>
        <w:tblLayout w:type="fixed"/>
        <w:tblCellMar>
          <w:top w:w="0" w:type="dxa"/>
          <w:left w:w="0" w:type="dxa"/>
          <w:bottom w:w="0" w:type="dxa"/>
          <w:right w:w="0" w:type="dxa"/>
        </w:tblCellMar>
      </w:tblPr>
      <w:tblGrid>
        <w:gridCol w:w="7010"/>
        <w:gridCol w:w="60"/>
        <w:gridCol w:w="140"/>
        <w:gridCol w:w="1295"/>
        <w:gridCol w:w="95"/>
        <w:gridCol w:w="60"/>
        <w:gridCol w:w="140"/>
        <w:gridCol w:w="1295"/>
        <w:gridCol w:w="110"/>
      </w:tblGrid>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8" w:name="xdx_490_20230331_z8NIcQeIgxTc"/>
            <w:bookmarkEnd w:id="38"/>
          </w:p>
        </w:tc>
        <w:tc>
          <w:tcPr>
            <w:tcW w:w="1435" w:type="dxa"/>
            <w:gridSpan w:val="2"/>
            <w:tcBorders/>
            <w:vAlign w:val="center"/>
          </w:tcPr>
          <w:p>
            <w:pPr>
              <w:pStyle w:val="TableContents"/>
              <w:bidi w:val="0"/>
              <w:spacing w:before="0" w:after="283"/>
              <w:jc w:val="center"/>
              <w:rPr/>
            </w:pPr>
            <w:r>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 w:name="xdx_494_20221231_z9jKXCY7eQ03"/>
            <w:bookmarkEnd w:id="39"/>
          </w:p>
        </w:tc>
        <w:tc>
          <w:tcPr>
            <w:tcW w:w="1435" w:type="dxa"/>
            <w:gridSpan w:val="2"/>
            <w:tcBorders/>
            <w:vAlign w:val="center"/>
          </w:tcPr>
          <w:p>
            <w:pPr>
              <w:pStyle w:val="TableContents"/>
              <w:bidi w:val="0"/>
              <w:spacing w:before="0" w:after="283"/>
              <w:jc w:val="center"/>
              <w:rPr/>
            </w:pPr>
            <w:r>
              <w:rPr/>
              <w:t>December 31,</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40" w:name="xdx_406_eus-gaap--AssetsAbstract_iB_z1LY"/>
            <w:bookmarkEnd w:id="40"/>
          </w:p>
        </w:tc>
      </w:tr>
      <w:tr>
        <w:trPr/>
        <w:tc>
          <w:tcPr>
            <w:tcW w:w="7010" w:type="dxa"/>
            <w:tcBorders/>
            <w:shd w:fill="CCEEFF" w:val="clear"/>
            <w:vAlign w:val="center"/>
          </w:tcPr>
          <w:p>
            <w:pPr>
              <w:pStyle w:val="TableContents"/>
              <w:bidi w:val="0"/>
              <w:spacing w:before="0" w:after="283"/>
              <w:jc w:val="center"/>
              <w:rPr/>
            </w:pPr>
            <w:r>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1" w:name="xdx_40E_eus-gaap--AssetsCurrentAbstract_"/>
            <w:bookmarkEnd w:id="41"/>
          </w:p>
        </w:tc>
      </w:tr>
      <w:tr>
        <w:trPr/>
        <w:tc>
          <w:tcPr>
            <w:tcW w:w="7010"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2" w:name="xdx_403_eus-gaap--CashCashEquivalentsRes"/>
            <w:bookmarkEnd w:id="42"/>
          </w:p>
        </w:tc>
      </w:tr>
      <w:tr>
        <w:trPr/>
        <w:tc>
          <w:tcPr>
            <w:tcW w:w="701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19,248,000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96,270,000</w:t>
            </w:r>
          </w:p>
        </w:tc>
        <w:tc>
          <w:tcPr>
            <w:tcW w:w="110" w:type="dxa"/>
            <w:tcBorders/>
            <w:shd w:fill="CCEEFF" w:val="clear"/>
            <w:vAlign w:val="center"/>
          </w:tcPr>
          <w:p>
            <w:pPr>
              <w:pStyle w:val="TableContents"/>
              <w:bidi w:val="0"/>
              <w:spacing w:before="0" w:after="283"/>
              <w:jc w:val="left"/>
              <w:rPr/>
            </w:pPr>
            <w:r>
              <w:rPr/>
              <w:t> </w:t>
            </w:r>
            <w:bookmarkStart w:id="43" w:name="xdx_407_eus-gaap--ShortTermInvestments_i"/>
            <w:bookmarkEnd w:id="43"/>
          </w:p>
        </w:tc>
      </w:tr>
      <w:tr>
        <w:trPr/>
        <w:tc>
          <w:tcPr>
            <w:tcW w:w="7010" w:type="dxa"/>
            <w:tcBorders/>
            <w:shd w:fill="FFFFFF" w:val="clear"/>
            <w:vAlign w:val="center"/>
          </w:tcPr>
          <w:p>
            <w:pPr>
              <w:pStyle w:val="TableContents"/>
              <w:bidi w:val="0"/>
              <w:spacing w:before="0" w:after="283"/>
              <w:jc w:val="left"/>
              <w:rPr/>
            </w:pPr>
            <w:r>
              <w:rPr/>
              <w:t>Investment in Eton Pharmaceuticals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7,631,000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5,589,000</w:t>
            </w:r>
          </w:p>
        </w:tc>
        <w:tc>
          <w:tcPr>
            <w:tcW w:w="110" w:type="dxa"/>
            <w:tcBorders/>
            <w:shd w:fill="FFFFFF" w:val="clear"/>
            <w:vAlign w:val="center"/>
          </w:tcPr>
          <w:p>
            <w:pPr>
              <w:pStyle w:val="TableContents"/>
              <w:bidi w:val="0"/>
              <w:spacing w:before="0" w:after="283"/>
              <w:jc w:val="left"/>
              <w:rPr/>
            </w:pPr>
            <w:r>
              <w:rPr/>
              <w:t> </w:t>
            </w:r>
            <w:bookmarkStart w:id="44" w:name="xdx_40E_eus-gaap--AccountsReceivableNetC"/>
            <w:bookmarkEnd w:id="44"/>
          </w:p>
        </w:tc>
      </w:tr>
      <w:tr>
        <w:trPr/>
        <w:tc>
          <w:tcPr>
            <w:tcW w:w="7010"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12,111,000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6,249,000</w:t>
            </w:r>
          </w:p>
        </w:tc>
        <w:tc>
          <w:tcPr>
            <w:tcW w:w="110" w:type="dxa"/>
            <w:tcBorders/>
            <w:shd w:fill="CCEEFF" w:val="clear"/>
            <w:vAlign w:val="center"/>
          </w:tcPr>
          <w:p>
            <w:pPr>
              <w:pStyle w:val="TableContents"/>
              <w:bidi w:val="0"/>
              <w:spacing w:before="0" w:after="283"/>
              <w:jc w:val="left"/>
              <w:rPr/>
            </w:pPr>
            <w:r>
              <w:rPr/>
              <w:t> </w:t>
            </w:r>
            <w:bookmarkStart w:id="45" w:name="xdx_404_eus-gaap--InventoryNet_i02I_pp0p"/>
            <w:bookmarkEnd w:id="45"/>
          </w:p>
        </w:tc>
      </w:tr>
      <w:tr>
        <w:trPr/>
        <w:tc>
          <w:tcPr>
            <w:tcW w:w="7010"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9,093,000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6,541,000</w:t>
            </w:r>
          </w:p>
        </w:tc>
        <w:tc>
          <w:tcPr>
            <w:tcW w:w="110" w:type="dxa"/>
            <w:tcBorders/>
            <w:shd w:fill="FFFFFF" w:val="clear"/>
            <w:vAlign w:val="center"/>
          </w:tcPr>
          <w:p>
            <w:pPr>
              <w:pStyle w:val="TableContents"/>
              <w:bidi w:val="0"/>
              <w:spacing w:before="0" w:after="283"/>
              <w:jc w:val="left"/>
              <w:rPr/>
            </w:pPr>
            <w:r>
              <w:rPr/>
              <w:t> </w:t>
            </w:r>
            <w:bookmarkStart w:id="46" w:name="xdx_407_eus-gaap--PrepaidExpenseAndOther"/>
            <w:bookmarkEnd w:id="46"/>
          </w:p>
        </w:tc>
      </w:tr>
      <w:tr>
        <w:trPr/>
        <w:tc>
          <w:tcPr>
            <w:tcW w:w="7010"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3,604,000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3,611,000</w:t>
            </w:r>
          </w:p>
        </w:tc>
        <w:tc>
          <w:tcPr>
            <w:tcW w:w="110" w:type="dxa"/>
            <w:tcBorders/>
            <w:shd w:fill="CCEEFF" w:val="clear"/>
            <w:vAlign w:val="center"/>
          </w:tcPr>
          <w:p>
            <w:pPr>
              <w:pStyle w:val="TableContents"/>
              <w:bidi w:val="0"/>
              <w:spacing w:before="0" w:after="283"/>
              <w:jc w:val="left"/>
              <w:rPr/>
            </w:pPr>
            <w:r>
              <w:rPr/>
              <w:t> </w:t>
            </w:r>
            <w:bookmarkStart w:id="47" w:name="xdx_409_eus-gaap--AssetsCurrent_i02TI_pp"/>
            <w:bookmarkEnd w:id="47"/>
          </w:p>
        </w:tc>
      </w:tr>
      <w:tr>
        <w:trPr/>
        <w:tc>
          <w:tcPr>
            <w:tcW w:w="7010"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51,687,000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118,260,000</w:t>
            </w:r>
          </w:p>
        </w:tc>
        <w:tc>
          <w:tcPr>
            <w:tcW w:w="110" w:type="dxa"/>
            <w:tcBorders/>
            <w:shd w:fill="FFFFFF" w:val="clear"/>
            <w:vAlign w:val="center"/>
          </w:tcPr>
          <w:p>
            <w:pPr>
              <w:pStyle w:val="TableContents"/>
              <w:bidi w:val="0"/>
              <w:spacing w:before="0" w:after="283"/>
              <w:jc w:val="left"/>
              <w:rPr/>
            </w:pPr>
            <w:r>
              <w:rPr/>
              <w:t> </w:t>
            </w:r>
            <w:bookmarkStart w:id="48" w:name="xdx_408_eus-gaap--PropertyPlantAndEquipm"/>
            <w:bookmarkEnd w:id="48"/>
          </w:p>
        </w:tc>
      </w:tr>
      <w:tr>
        <w:trPr/>
        <w:tc>
          <w:tcPr>
            <w:tcW w:w="7010" w:type="dxa"/>
            <w:tcBorders/>
            <w:shd w:fill="CCEEFF" w:val="clear"/>
            <w:vAlign w:val="center"/>
          </w:tcPr>
          <w:p>
            <w:pPr>
              <w:pStyle w:val="TableContents"/>
              <w:bidi w:val="0"/>
              <w:spacing w:before="0" w:after="283"/>
              <w:jc w:val="left"/>
              <w:rPr/>
            </w:pPr>
            <w:r>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3,586,000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3,486,000</w:t>
            </w:r>
          </w:p>
        </w:tc>
        <w:tc>
          <w:tcPr>
            <w:tcW w:w="110" w:type="dxa"/>
            <w:tcBorders/>
            <w:shd w:fill="CCEEFF" w:val="clear"/>
            <w:vAlign w:val="center"/>
          </w:tcPr>
          <w:p>
            <w:pPr>
              <w:pStyle w:val="TableContents"/>
              <w:bidi w:val="0"/>
              <w:spacing w:before="0" w:after="283"/>
              <w:jc w:val="left"/>
              <w:rPr/>
            </w:pPr>
            <w:r>
              <w:rPr/>
              <w:t> </w:t>
            </w:r>
            <w:bookmarkStart w:id="49" w:name="xdx_40B_eus-gaap--CapitalizedComputerSof"/>
            <w:bookmarkEnd w:id="49"/>
          </w:p>
        </w:tc>
      </w:tr>
      <w:tr>
        <w:trPr/>
        <w:tc>
          <w:tcPr>
            <w:tcW w:w="7010" w:type="dxa"/>
            <w:tcBorders/>
            <w:shd w:fill="FFFFFF" w:val="clear"/>
            <w:vAlign w:val="center"/>
          </w:tcPr>
          <w:p>
            <w:pPr>
              <w:pStyle w:val="TableContents"/>
              <w:bidi w:val="0"/>
              <w:spacing w:before="0" w:after="283"/>
              <w:jc w:val="left"/>
              <w:rPr/>
            </w:pPr>
            <w:r>
              <w:rPr/>
              <w:t>Capitalized software costs,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2,277,000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2,112,000</w:t>
            </w:r>
          </w:p>
        </w:tc>
        <w:tc>
          <w:tcPr>
            <w:tcW w:w="110" w:type="dxa"/>
            <w:tcBorders/>
            <w:shd w:fill="FFFFFF" w:val="clear"/>
            <w:vAlign w:val="center"/>
          </w:tcPr>
          <w:p>
            <w:pPr>
              <w:pStyle w:val="TableContents"/>
              <w:bidi w:val="0"/>
              <w:spacing w:before="0" w:after="283"/>
              <w:jc w:val="left"/>
              <w:rPr/>
            </w:pPr>
            <w:r>
              <w:rPr/>
              <w:t> </w:t>
            </w:r>
            <w:bookmarkStart w:id="50" w:name="xdx_40A_ecustom--DeferredFinancingCosts_"/>
            <w:bookmarkEnd w:id="50"/>
          </w:p>
        </w:tc>
      </w:tr>
      <w:tr>
        <w:trPr/>
        <w:tc>
          <w:tcPr>
            <w:tcW w:w="7010" w:type="dxa"/>
            <w:tcBorders/>
            <w:shd w:fill="CCEEFF" w:val="clear"/>
            <w:vAlign w:val="center"/>
          </w:tcPr>
          <w:p>
            <w:pPr>
              <w:pStyle w:val="TableContents"/>
              <w:bidi w:val="0"/>
              <w:spacing w:before="0" w:after="283"/>
              <w:jc w:val="left"/>
              <w:rPr/>
            </w:pPr>
            <w:r>
              <w:rPr/>
              <w:t>Deferred financing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1,950,000</w:t>
            </w:r>
          </w:p>
        </w:tc>
        <w:tc>
          <w:tcPr>
            <w:tcW w:w="110" w:type="dxa"/>
            <w:tcBorders/>
            <w:shd w:fill="CCEEFF" w:val="clear"/>
            <w:vAlign w:val="center"/>
          </w:tcPr>
          <w:p>
            <w:pPr>
              <w:pStyle w:val="TableContents"/>
              <w:bidi w:val="0"/>
              <w:spacing w:before="0" w:after="283"/>
              <w:jc w:val="left"/>
              <w:rPr/>
            </w:pPr>
            <w:r>
              <w:rPr/>
              <w:t> </w:t>
            </w:r>
            <w:bookmarkStart w:id="51" w:name="xdx_402_ecustom--DeferredTaxAsset_i01I_p"/>
            <w:bookmarkEnd w:id="51"/>
          </w:p>
        </w:tc>
      </w:tr>
      <w:tr>
        <w:trPr/>
        <w:tc>
          <w:tcPr>
            <w:tcW w:w="7010" w:type="dxa"/>
            <w:tcBorders/>
            <w:shd w:fill="FFFFFF" w:val="clear"/>
            <w:vAlign w:val="center"/>
          </w:tcPr>
          <w:p>
            <w:pPr>
              <w:pStyle w:val="TableContents"/>
              <w:bidi w:val="0"/>
              <w:spacing w:before="0" w:after="283"/>
              <w:jc w:val="left"/>
              <w:rPr/>
            </w:pPr>
            <w:r>
              <w:rPr/>
              <w:t>Deferred tax asset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288,000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52" w:name="xdx_401_eus-gaap--OperatingLeaseRightOfU"/>
            <w:bookmarkEnd w:id="52"/>
          </w:p>
        </w:tc>
      </w:tr>
      <w:tr>
        <w:trPr/>
        <w:tc>
          <w:tcPr>
            <w:tcW w:w="7010" w:type="dxa"/>
            <w:tcBorders/>
            <w:shd w:fill="CCEEFF" w:val="clear"/>
            <w:vAlign w:val="center"/>
          </w:tcPr>
          <w:p>
            <w:pPr>
              <w:pStyle w:val="TableContents"/>
              <w:bidi w:val="0"/>
              <w:spacing w:before="0" w:after="283"/>
              <w:jc w:val="left"/>
              <w:rPr/>
            </w:pPr>
            <w:r>
              <w:rPr/>
              <w:t>Operating lease right-of-use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7,336,000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7,513,000</w:t>
            </w:r>
          </w:p>
        </w:tc>
        <w:tc>
          <w:tcPr>
            <w:tcW w:w="110" w:type="dxa"/>
            <w:tcBorders/>
            <w:shd w:fill="CCEEFF" w:val="clear"/>
            <w:vAlign w:val="center"/>
          </w:tcPr>
          <w:p>
            <w:pPr>
              <w:pStyle w:val="TableContents"/>
              <w:bidi w:val="0"/>
              <w:spacing w:before="0" w:after="283"/>
              <w:jc w:val="left"/>
              <w:rPr/>
            </w:pPr>
            <w:r>
              <w:rPr/>
              <w:t> </w:t>
            </w:r>
            <w:bookmarkStart w:id="53" w:name="xdx_40E_eus-gaap--IntangibleAssetsNetExc"/>
            <w:bookmarkEnd w:id="53"/>
          </w:p>
        </w:tc>
      </w:tr>
      <w:tr>
        <w:trPr/>
        <w:tc>
          <w:tcPr>
            <w:tcW w:w="7010"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151,992,000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23,725,000</w:t>
            </w:r>
          </w:p>
        </w:tc>
        <w:tc>
          <w:tcPr>
            <w:tcW w:w="110" w:type="dxa"/>
            <w:tcBorders/>
            <w:shd w:fill="FFFFFF" w:val="clear"/>
            <w:vAlign w:val="center"/>
          </w:tcPr>
          <w:p>
            <w:pPr>
              <w:pStyle w:val="TableContents"/>
              <w:bidi w:val="0"/>
              <w:spacing w:before="0" w:after="283"/>
              <w:jc w:val="left"/>
              <w:rPr/>
            </w:pPr>
            <w:r>
              <w:rPr/>
              <w:t> </w:t>
            </w:r>
            <w:bookmarkStart w:id="54" w:name="xdx_40F_eus-gaap--Goodwill_i01I_maAz0Wg_"/>
            <w:bookmarkEnd w:id="54"/>
          </w:p>
        </w:tc>
      </w:tr>
      <w:tr>
        <w:trPr/>
        <w:tc>
          <w:tcPr>
            <w:tcW w:w="7010"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332,000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332,000</w:t>
            </w:r>
          </w:p>
        </w:tc>
        <w:tc>
          <w:tcPr>
            <w:tcW w:w="110" w:type="dxa"/>
            <w:tcBorders/>
            <w:shd w:fill="CCEEFF" w:val="clear"/>
            <w:vAlign w:val="center"/>
          </w:tcPr>
          <w:p>
            <w:pPr>
              <w:pStyle w:val="TableContents"/>
              <w:bidi w:val="0"/>
              <w:spacing w:before="0" w:after="283"/>
              <w:jc w:val="left"/>
              <w:rPr/>
            </w:pPr>
            <w:r>
              <w:rPr/>
              <w:t> </w:t>
            </w:r>
            <w:bookmarkStart w:id="55" w:name="xdx_409_eus-gaap--Assets_i01TI_mtAz0Wg_z"/>
            <w:bookmarkEnd w:id="55"/>
          </w:p>
        </w:tc>
      </w:tr>
      <w:tr>
        <w:trPr/>
        <w:tc>
          <w:tcPr>
            <w:tcW w:w="7010"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217,498,000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157,378,000</w:t>
            </w:r>
          </w:p>
        </w:tc>
        <w:tc>
          <w:tcPr>
            <w:tcW w:w="110" w:type="dxa"/>
            <w:tcBorders/>
            <w:shd w:fill="FFFFFF" w:val="clear"/>
            <w:vAlign w:val="center"/>
          </w:tcPr>
          <w:p>
            <w:pPr>
              <w:pStyle w:val="TableContents"/>
              <w:bidi w:val="0"/>
              <w:spacing w:before="0" w:after="283"/>
              <w:jc w:val="left"/>
              <w:rPr/>
            </w:pPr>
            <w:r>
              <w:rPr/>
              <w:t> </w:t>
            </w:r>
            <w:bookmarkStart w:id="56" w:name="xdx_404_eus-gaap--LiabilitiesAndStockhol"/>
            <w:bookmarkEnd w:id="56"/>
          </w:p>
        </w:tc>
      </w:tr>
      <w:tr>
        <w:trPr/>
        <w:tc>
          <w:tcPr>
            <w:tcW w:w="7010" w:type="dxa"/>
            <w:tcBorders/>
            <w:shd w:fill="CCEEFF" w:val="clear"/>
            <w:vAlign w:val="center"/>
          </w:tcPr>
          <w:p>
            <w:pPr>
              <w:pStyle w:val="TableContents"/>
              <w:bidi w:val="0"/>
              <w:spacing w:before="0" w:after="283"/>
              <w:jc w:val="center"/>
              <w:rPr/>
            </w:pPr>
            <w:r>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7" w:name="xdx_40D_eus-gaap--LiabilitiesCurrentAbst"/>
            <w:bookmarkEnd w:id="57"/>
          </w:p>
        </w:tc>
      </w:tr>
      <w:tr>
        <w:trPr/>
        <w:tc>
          <w:tcPr>
            <w:tcW w:w="7010"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8" w:name="xdx_406_eus-gaap--AccountsPayableAndAccr"/>
            <w:bookmarkEnd w:id="58"/>
          </w:p>
        </w:tc>
      </w:tr>
      <w:tr>
        <w:trPr/>
        <w:tc>
          <w:tcPr>
            <w:tcW w:w="7010" w:type="dxa"/>
            <w:tcBorders/>
            <w:shd w:fill="CCEEFF" w:val="clear"/>
            <w:vAlign w:val="center"/>
          </w:tcPr>
          <w:p>
            <w:pPr>
              <w:pStyle w:val="TableContents"/>
              <w:bidi w:val="0"/>
              <w:spacing w:before="0" w:after="283"/>
              <w:jc w:val="left"/>
              <w:rPr/>
            </w:pPr>
            <w:r>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13,794,000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13,771,000</w:t>
            </w:r>
          </w:p>
        </w:tc>
        <w:tc>
          <w:tcPr>
            <w:tcW w:w="110" w:type="dxa"/>
            <w:tcBorders/>
            <w:shd w:fill="CCEEFF" w:val="clear"/>
            <w:vAlign w:val="center"/>
          </w:tcPr>
          <w:p>
            <w:pPr>
              <w:pStyle w:val="TableContents"/>
              <w:bidi w:val="0"/>
              <w:spacing w:before="0" w:after="283"/>
              <w:jc w:val="left"/>
              <w:rPr/>
            </w:pPr>
            <w:r>
              <w:rPr/>
              <w:t> </w:t>
            </w:r>
            <w:bookmarkStart w:id="59" w:name="xdx_401_eus-gaap--EmployeeRelatedLiabili"/>
            <w:bookmarkEnd w:id="59"/>
          </w:p>
        </w:tc>
      </w:tr>
      <w:tr>
        <w:trPr/>
        <w:tc>
          <w:tcPr>
            <w:tcW w:w="7010" w:type="dxa"/>
            <w:tcBorders/>
            <w:shd w:fill="FFFFFF" w:val="clear"/>
            <w:vAlign w:val="center"/>
          </w:tcPr>
          <w:p>
            <w:pPr>
              <w:pStyle w:val="TableContents"/>
              <w:bidi w:val="0"/>
              <w:spacing w:before="0" w:after="283"/>
              <w:jc w:val="left"/>
              <w:rPr/>
            </w:pPr>
            <w:r>
              <w:rPr/>
              <w:t>Accrued payroll and related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3,103,000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4,025,000</w:t>
            </w:r>
          </w:p>
        </w:tc>
        <w:tc>
          <w:tcPr>
            <w:tcW w:w="110" w:type="dxa"/>
            <w:tcBorders/>
            <w:shd w:fill="FFFFFF" w:val="clear"/>
            <w:vAlign w:val="center"/>
          </w:tcPr>
          <w:p>
            <w:pPr>
              <w:pStyle w:val="TableContents"/>
              <w:bidi w:val="0"/>
              <w:spacing w:before="0" w:after="283"/>
              <w:jc w:val="left"/>
              <w:rPr/>
            </w:pPr>
            <w:r>
              <w:rPr/>
              <w:t> </w:t>
            </w:r>
            <w:bookmarkStart w:id="60" w:name="xdx_40C_eus-gaap--ContractWithCustomerLi"/>
            <w:bookmarkEnd w:id="60"/>
          </w:p>
        </w:tc>
      </w:tr>
      <w:tr>
        <w:trPr/>
        <w:tc>
          <w:tcPr>
            <w:tcW w:w="7010" w:type="dxa"/>
            <w:tcBorders/>
            <w:shd w:fill="CCEEFF" w:val="clear"/>
            <w:vAlign w:val="center"/>
          </w:tcPr>
          <w:p>
            <w:pPr>
              <w:pStyle w:val="TableContents"/>
              <w:bidi w:val="0"/>
              <w:spacing w:before="0" w:after="283"/>
              <w:jc w:val="left"/>
              <w:rPr/>
            </w:pPr>
            <w:r>
              <w:rPr/>
              <w:t>Deferred revenue and customer deposits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113,000</w:t>
            </w:r>
          </w:p>
        </w:tc>
        <w:tc>
          <w:tcPr>
            <w:tcW w:w="110" w:type="dxa"/>
            <w:tcBorders/>
            <w:shd w:fill="CCEEFF" w:val="clear"/>
            <w:vAlign w:val="center"/>
          </w:tcPr>
          <w:p>
            <w:pPr>
              <w:pStyle w:val="TableContents"/>
              <w:bidi w:val="0"/>
              <w:spacing w:before="0" w:after="283"/>
              <w:jc w:val="left"/>
              <w:rPr/>
            </w:pPr>
            <w:r>
              <w:rPr/>
              <w:t> </w:t>
            </w:r>
            <w:bookmarkStart w:id="61" w:name="xdx_409_eus-gaap--OperatingLeaseLiabilit"/>
            <w:bookmarkEnd w:id="61"/>
          </w:p>
        </w:tc>
      </w:tr>
      <w:tr>
        <w:trPr/>
        <w:tc>
          <w:tcPr>
            <w:tcW w:w="7010" w:type="dxa"/>
            <w:tcBorders/>
            <w:shd w:fill="FFFFFF" w:val="clear"/>
            <w:vAlign w:val="center"/>
          </w:tcPr>
          <w:p>
            <w:pPr>
              <w:pStyle w:val="TableContents"/>
              <w:bidi w:val="0"/>
              <w:spacing w:before="0" w:after="283"/>
              <w:jc w:val="left"/>
              <w:rPr/>
            </w:pPr>
            <w:r>
              <w:rPr/>
              <w:t>Current portion of operating lease obligations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744,000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723,000</w:t>
            </w:r>
          </w:p>
        </w:tc>
        <w:tc>
          <w:tcPr>
            <w:tcW w:w="110" w:type="dxa"/>
            <w:tcBorders/>
            <w:shd w:fill="FFFFFF" w:val="clear"/>
            <w:vAlign w:val="center"/>
          </w:tcPr>
          <w:p>
            <w:pPr>
              <w:pStyle w:val="TableContents"/>
              <w:bidi w:val="0"/>
              <w:spacing w:before="0" w:after="283"/>
              <w:jc w:val="left"/>
              <w:rPr/>
            </w:pPr>
            <w:r>
              <w:rPr/>
              <w:t> </w:t>
            </w:r>
            <w:bookmarkStart w:id="62" w:name="xdx_40A_eus-gaap--LiabilitiesCurrent_i02"/>
            <w:bookmarkEnd w:id="62"/>
          </w:p>
        </w:tc>
      </w:tr>
      <w:tr>
        <w:trPr/>
        <w:tc>
          <w:tcPr>
            <w:tcW w:w="7010"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17,708,000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18,632,000</w:t>
            </w:r>
          </w:p>
        </w:tc>
        <w:tc>
          <w:tcPr>
            <w:tcW w:w="110" w:type="dxa"/>
            <w:tcBorders/>
            <w:shd w:fill="CCEEFF" w:val="clear"/>
            <w:vAlign w:val="center"/>
          </w:tcPr>
          <w:p>
            <w:pPr>
              <w:pStyle w:val="TableContents"/>
              <w:bidi w:val="0"/>
              <w:spacing w:before="0" w:after="283"/>
              <w:jc w:val="left"/>
              <w:rPr/>
            </w:pPr>
            <w:r>
              <w:rPr/>
              <w:t> </w:t>
            </w:r>
            <w:bookmarkStart w:id="63" w:name="xdx_400_eus-gaap--OperatingLeaseLiabilit"/>
            <w:bookmarkEnd w:id="63"/>
          </w:p>
        </w:tc>
      </w:tr>
      <w:tr>
        <w:trPr/>
        <w:tc>
          <w:tcPr>
            <w:tcW w:w="7010" w:type="dxa"/>
            <w:tcBorders/>
            <w:shd w:fill="FFFFFF" w:val="clear"/>
            <w:vAlign w:val="center"/>
          </w:tcPr>
          <w:p>
            <w:pPr>
              <w:pStyle w:val="TableContents"/>
              <w:bidi w:val="0"/>
              <w:spacing w:before="0" w:after="283"/>
              <w:jc w:val="left"/>
              <w:rPr/>
            </w:pPr>
            <w:r>
              <w:rPr/>
              <w:t>Operating lease obligations, net of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7,137,000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7,332,000</w:t>
            </w:r>
          </w:p>
        </w:tc>
        <w:tc>
          <w:tcPr>
            <w:tcW w:w="110" w:type="dxa"/>
            <w:tcBorders/>
            <w:shd w:fill="FFFFFF" w:val="clear"/>
            <w:vAlign w:val="center"/>
          </w:tcPr>
          <w:p>
            <w:pPr>
              <w:pStyle w:val="TableContents"/>
              <w:bidi w:val="0"/>
              <w:spacing w:before="0" w:after="283"/>
              <w:jc w:val="left"/>
              <w:rPr/>
            </w:pPr>
            <w:r>
              <w:rPr/>
              <w:t> </w:t>
            </w:r>
            <w:bookmarkStart w:id="64" w:name="xdx_402_eus-gaap--AccountsPayableAndAccr"/>
            <w:bookmarkEnd w:id="64"/>
          </w:p>
        </w:tc>
      </w:tr>
      <w:tr>
        <w:trPr/>
        <w:tc>
          <w:tcPr>
            <w:tcW w:w="7010" w:type="dxa"/>
            <w:tcBorders/>
            <w:shd w:fill="CCEEFF" w:val="clear"/>
            <w:vAlign w:val="center"/>
          </w:tcPr>
          <w:p>
            <w:pPr>
              <w:pStyle w:val="TableContents"/>
              <w:bidi w:val="0"/>
              <w:spacing w:before="0" w:after="283"/>
              <w:jc w:val="left"/>
              <w:rPr/>
            </w:pPr>
            <w:r>
              <w:rPr/>
              <w:t>Accrued expenses, net of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2,275,000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65" w:name="xdx_40E_eus-gaap--LongTermNotesPayable_i"/>
            <w:bookmarkEnd w:id="65"/>
          </w:p>
        </w:tc>
      </w:tr>
      <w:tr>
        <w:trPr/>
        <w:tc>
          <w:tcPr>
            <w:tcW w:w="7010" w:type="dxa"/>
            <w:tcBorders/>
            <w:shd w:fill="FFFFFF" w:val="clear"/>
            <w:vAlign w:val="center"/>
          </w:tcPr>
          <w:p>
            <w:pPr>
              <w:pStyle w:val="TableContents"/>
              <w:bidi w:val="0"/>
              <w:spacing w:before="0" w:after="283"/>
              <w:jc w:val="left"/>
              <w:rPr/>
            </w:pPr>
            <w:r>
              <w:rPr/>
              <w:t>Notes payable, net of unamortized debt discount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168,850,000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104,174,000</w:t>
            </w:r>
          </w:p>
        </w:tc>
        <w:tc>
          <w:tcPr>
            <w:tcW w:w="110" w:type="dxa"/>
            <w:tcBorders/>
            <w:shd w:fill="FFFFFF" w:val="clear"/>
            <w:vAlign w:val="center"/>
          </w:tcPr>
          <w:p>
            <w:pPr>
              <w:pStyle w:val="TableContents"/>
              <w:bidi w:val="0"/>
              <w:spacing w:before="0" w:after="283"/>
              <w:jc w:val="left"/>
              <w:rPr/>
            </w:pPr>
            <w:r>
              <w:rPr/>
              <w:t> </w:t>
            </w:r>
            <w:bookmarkStart w:id="66" w:name="xdx_40E_eus-gaap--Liabilities_i01TI_pp0p"/>
            <w:bookmarkEnd w:id="66"/>
          </w:p>
        </w:tc>
      </w:tr>
      <w:tr>
        <w:trPr/>
        <w:tc>
          <w:tcPr>
            <w:tcW w:w="7010"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195,970,000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130,138,000</w:t>
            </w:r>
          </w:p>
        </w:tc>
        <w:tc>
          <w:tcPr>
            <w:tcW w:w="110" w:type="dxa"/>
            <w:tcBorders/>
            <w:shd w:fill="CCEEFF" w:val="clear"/>
            <w:vAlign w:val="center"/>
          </w:tcPr>
          <w:p>
            <w:pPr>
              <w:pStyle w:val="TableContents"/>
              <w:bidi w:val="0"/>
              <w:spacing w:before="0" w:after="283"/>
              <w:jc w:val="left"/>
              <w:rPr/>
            </w:pPr>
            <w:r>
              <w:rPr/>
              <w:t> </w:t>
            </w:r>
            <w:bookmarkStart w:id="67" w:name="xdx_402_eus-gaap--CommitmentsAndContinge"/>
            <w:bookmarkEnd w:id="67"/>
          </w:p>
        </w:tc>
      </w:tr>
      <w:tr>
        <w:trPr/>
        <w:tc>
          <w:tcPr>
            <w:tcW w:w="7010" w:type="dxa"/>
            <w:tcBorders/>
            <w:shd w:fill="FFFFFF" w:val="clear"/>
            <w:vAlign w:val="center"/>
          </w:tcPr>
          <w:p>
            <w:pPr>
              <w:pStyle w:val="TableContents"/>
              <w:bidi w:val="0"/>
              <w:spacing w:before="0" w:after="283"/>
              <w:jc w:val="left"/>
              <w:rPr/>
            </w:pPr>
            <w:r>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FFFFFF" w:val="clear"/>
            <w:vAlign w:val="center"/>
          </w:tcPr>
          <w:p>
            <w:pPr>
              <w:pStyle w:val="TableContents"/>
              <w:bidi w:val="0"/>
              <w:spacing w:before="0" w:after="283"/>
              <w:jc w:val="left"/>
              <w:rPr/>
            </w:pPr>
            <w:r>
              <w:rPr/>
              <w:t> </w:t>
            </w:r>
            <w:bookmarkStart w:id="68" w:name="xdx_402_eus-gaap--StockholdersEquityAbst"/>
            <w:bookmarkEnd w:id="68"/>
          </w:p>
        </w:tc>
      </w:tr>
      <w:tr>
        <w:trPr/>
        <w:tc>
          <w:tcPr>
            <w:tcW w:w="7010"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69" w:name="xdx_40D_eus-gaap--CommonStockValue_i02I_"/>
            <w:bookmarkEnd w:id="69"/>
          </w:p>
        </w:tc>
      </w:tr>
      <w:tr>
        <w:trPr/>
        <w:tc>
          <w:tcPr>
            <w:tcW w:w="7010" w:type="dxa"/>
            <w:tcBorders/>
            <w:shd w:fill="FFFFFF" w:val="clear"/>
            <w:vAlign w:val="center"/>
          </w:tcPr>
          <w:p>
            <w:pPr>
              <w:pStyle w:val="TableContents"/>
              <w:bidi w:val="0"/>
              <w:spacing w:before="0" w:after="283"/>
              <w:jc w:val="left"/>
              <w:rPr/>
            </w:pPr>
            <w:r>
              <w:rPr/>
              <w:t>Common stock, $</w:t>
            </w:r>
            <w:bookmarkStart w:id="70" w:name="xdx_90E_eus-gaap--CommonStockParOrStated"/>
            <w:bookmarkStart w:id="71" w:name="xdx_90E_eus-gaap--CommonStockParOrStated"/>
            <w:bookmarkEnd w:id="70"/>
            <w:bookmarkEnd w:id="71"/>
            <w:r>
              <w:rPr/>
              <w:t xml:space="preserve">0.001 par value, </w:t>
            </w:r>
            <w:bookmarkStart w:id="72" w:name="xdx_907_eus-gaap--CommonStockSharesAutho"/>
            <w:bookmarkStart w:id="73" w:name="xdx_90E_eus-gaap--CommonStockSharesAutho"/>
            <w:bookmarkEnd w:id="72"/>
            <w:bookmarkEnd w:id="73"/>
            <w:r>
              <w:rPr/>
              <w:t xml:space="preserve">50,000,000 shares authorized, </w:t>
            </w:r>
            <w:bookmarkStart w:id="74" w:name="xdx_902_eus-gaap--CommonStockSharesOutst"/>
            <w:bookmarkStart w:id="75" w:name="xdx_901_eus-gaap--CommonStockSharesIssue"/>
            <w:bookmarkEnd w:id="74"/>
            <w:bookmarkEnd w:id="75"/>
            <w:r>
              <w:rPr/>
              <w:t xml:space="preserve">30,056,370 and </w:t>
            </w:r>
            <w:bookmarkStart w:id="76" w:name="xdx_906_eus-gaap--CommonStockSharesOutst"/>
            <w:bookmarkStart w:id="77" w:name="xdx_908_eus-gaap--CommonStockSharesIssue"/>
            <w:bookmarkEnd w:id="76"/>
            <w:bookmarkEnd w:id="77"/>
            <w:r>
              <w:rPr/>
              <w:t>29,901,530 shares issued and outstanding at March 31, 2023 and December 31, 2022,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30,000</w:t>
            </w:r>
          </w:p>
        </w:tc>
        <w:tc>
          <w:tcPr>
            <w:tcW w:w="110" w:type="dxa"/>
            <w:tcBorders/>
            <w:shd w:fill="FFFFFF" w:val="clear"/>
            <w:vAlign w:val="center"/>
          </w:tcPr>
          <w:p>
            <w:pPr>
              <w:pStyle w:val="TableContents"/>
              <w:bidi w:val="0"/>
              <w:spacing w:before="0" w:after="283"/>
              <w:jc w:val="left"/>
              <w:rPr/>
            </w:pPr>
            <w:r>
              <w:rPr/>
              <w:t> </w:t>
            </w:r>
            <w:bookmarkStart w:id="78" w:name="xdx_405_eus-gaap--AdditionalPaidInCapita"/>
            <w:bookmarkEnd w:id="78"/>
          </w:p>
        </w:tc>
      </w:tr>
      <w:tr>
        <w:trPr/>
        <w:tc>
          <w:tcPr>
            <w:tcW w:w="7010"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137,989,000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137,058,000</w:t>
            </w:r>
          </w:p>
        </w:tc>
        <w:tc>
          <w:tcPr>
            <w:tcW w:w="110" w:type="dxa"/>
            <w:tcBorders/>
            <w:shd w:fill="CCEEFF" w:val="clear"/>
            <w:vAlign w:val="center"/>
          </w:tcPr>
          <w:p>
            <w:pPr>
              <w:pStyle w:val="TableContents"/>
              <w:bidi w:val="0"/>
              <w:spacing w:before="0" w:after="283"/>
              <w:jc w:val="left"/>
              <w:rPr/>
            </w:pPr>
            <w:r>
              <w:rPr/>
              <w:t> </w:t>
            </w:r>
            <w:bookmarkStart w:id="79" w:name="xdx_409_eus-gaap--RetainedEarningsAccumu"/>
            <w:bookmarkEnd w:id="79"/>
          </w:p>
        </w:tc>
      </w:tr>
      <w:tr>
        <w:trPr/>
        <w:tc>
          <w:tcPr>
            <w:tcW w:w="7010"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(116,136,000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(109,493,000</w:t>
            </w:r>
          </w:p>
        </w:tc>
        <w:tc>
          <w:tcPr>
            <w:tcW w:w="110" w:type="dxa"/>
            <w:tcBorders/>
            <w:shd w:fill="FFFFFF" w:val="clear"/>
            <w:vAlign w:val="center"/>
          </w:tcPr>
          <w:p>
            <w:pPr>
              <w:pStyle w:val="TableContents"/>
              <w:bidi w:val="0"/>
              <w:spacing w:before="0" w:after="283"/>
              <w:jc w:val="left"/>
              <w:rPr/>
            </w:pPr>
            <w:r>
              <w:rPr/>
              <w:t>)</w:t>
            </w:r>
            <w:bookmarkStart w:id="80" w:name="xdx_40E_eus-gaap--StockholdersEquity_i02"/>
            <w:bookmarkEnd w:id="80"/>
          </w:p>
        </w:tc>
      </w:tr>
      <w:tr>
        <w:trPr/>
        <w:tc>
          <w:tcPr>
            <w:tcW w:w="7010" w:type="dxa"/>
            <w:tcBorders/>
            <w:shd w:fill="CCEEFF" w:val="clear"/>
            <w:vAlign w:val="center"/>
          </w:tcPr>
          <w:p>
            <w:pPr>
              <w:pStyle w:val="TableContents"/>
              <w:bidi w:val="0"/>
              <w:spacing w:before="0" w:after="283"/>
              <w:jc w:val="left"/>
              <w:rPr/>
            </w:pPr>
            <w:r>
              <w:rPr/>
              <w:t>TOTAL HARROW HEALTH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21,883,000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27,595,000</w:t>
            </w:r>
          </w:p>
        </w:tc>
        <w:tc>
          <w:tcPr>
            <w:tcW w:w="110" w:type="dxa"/>
            <w:tcBorders/>
            <w:shd w:fill="CCEEFF" w:val="clear"/>
            <w:vAlign w:val="center"/>
          </w:tcPr>
          <w:p>
            <w:pPr>
              <w:pStyle w:val="TableContents"/>
              <w:bidi w:val="0"/>
              <w:spacing w:before="0" w:after="283"/>
              <w:jc w:val="left"/>
              <w:rPr/>
            </w:pPr>
            <w:r>
              <w:rPr/>
              <w:t> </w:t>
            </w:r>
            <w:bookmarkStart w:id="81" w:name="xdx_400_eus-gaap--MinorityInterest_i02I_"/>
            <w:bookmarkEnd w:id="81"/>
          </w:p>
        </w:tc>
      </w:tr>
      <w:tr>
        <w:trPr/>
        <w:tc>
          <w:tcPr>
            <w:tcW w:w="7010" w:type="dxa"/>
            <w:tcBorders/>
            <w:shd w:fill="FFFFFF" w:val="clear"/>
            <w:vAlign w:val="center"/>
          </w:tcPr>
          <w:p>
            <w:pPr>
              <w:pStyle w:val="TableContents"/>
              <w:bidi w:val="0"/>
              <w:spacing w:before="0" w:after="283"/>
              <w:jc w:val="left"/>
              <w:rPr/>
            </w:pPr>
            <w:r>
              <w:rPr/>
              <w:t>Noncontrolling interests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(355,000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(355,000</w:t>
            </w:r>
          </w:p>
        </w:tc>
        <w:tc>
          <w:tcPr>
            <w:tcW w:w="110" w:type="dxa"/>
            <w:tcBorders/>
            <w:shd w:fill="FFFFFF" w:val="clear"/>
            <w:vAlign w:val="center"/>
          </w:tcPr>
          <w:p>
            <w:pPr>
              <w:pStyle w:val="TableContents"/>
              <w:bidi w:val="0"/>
              <w:spacing w:before="0" w:after="283"/>
              <w:jc w:val="left"/>
              <w:rPr/>
            </w:pPr>
            <w:r>
              <w:rPr/>
              <w:t>)</w:t>
            </w:r>
            <w:bookmarkStart w:id="82" w:name="xdx_40A_eus-gaap--StockholdersEquityIncl"/>
            <w:bookmarkEnd w:id="82"/>
          </w:p>
        </w:tc>
      </w:tr>
      <w:tr>
        <w:trPr/>
        <w:tc>
          <w:tcPr>
            <w:tcW w:w="7010" w:type="dxa"/>
            <w:tcBorders/>
            <w:shd w:fill="CCEEFF" w:val="clear"/>
            <w:vAlign w:val="center"/>
          </w:tcPr>
          <w:p>
            <w:pPr>
              <w:pStyle w:val="TableContents"/>
              <w:bidi w:val="0"/>
              <w:spacing w:before="0" w:after="283"/>
              <w:jc w:val="left"/>
              <w:rPr/>
            </w:pPr>
            <w:r>
              <w:rPr/>
              <w:t>TOTAL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21,528,000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27,240,000</w:t>
            </w:r>
          </w:p>
        </w:tc>
        <w:tc>
          <w:tcPr>
            <w:tcW w:w="110" w:type="dxa"/>
            <w:tcBorders/>
            <w:shd w:fill="CCEEFF" w:val="clear"/>
            <w:vAlign w:val="center"/>
          </w:tcPr>
          <w:p>
            <w:pPr>
              <w:pStyle w:val="TableContents"/>
              <w:bidi w:val="0"/>
              <w:spacing w:before="0" w:after="283"/>
              <w:jc w:val="left"/>
              <w:rPr/>
            </w:pPr>
            <w:r>
              <w:rPr/>
              <w:t> </w:t>
            </w:r>
            <w:bookmarkStart w:id="83" w:name="xdx_40E_eus-gaap--LiabilitiesAndStockhol"/>
            <w:bookmarkEnd w:id="83"/>
          </w:p>
        </w:tc>
      </w:tr>
      <w:tr>
        <w:trPr/>
        <w:tc>
          <w:tcPr>
            <w:tcW w:w="7010" w:type="dxa"/>
            <w:tcBorders/>
            <w:shd w:fill="FFFFFF" w:val="clear"/>
            <w:vAlign w:val="center"/>
          </w:tcPr>
          <w:p>
            <w:pPr>
              <w:pStyle w:val="TableContents"/>
              <w:bidi w:val="0"/>
              <w:spacing w:before="0" w:after="283"/>
              <w:jc w:val="left"/>
              <w:rPr/>
            </w:pPr>
            <w:r>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217,498,000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157,378,000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HEALTH,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4" w:name="xdx_304_113_znjxyMzMy8Kl"/>
      <w:bookmarkStart w:id="85" w:name="xdx_304_113_znjxyMzMy8Kl"/>
      <w:bookmarkEnd w:id="85"/>
    </w:p>
    <w:tbl>
      <w:tblPr>
        <w:tblW w:w="10205" w:type="dxa"/>
        <w:jc w:val="left"/>
        <w:tblInd w:w="0" w:type="dxa"/>
        <w:tblLayout w:type="fixed"/>
        <w:tblCellMar>
          <w:top w:w="0" w:type="dxa"/>
          <w:left w:w="0" w:type="dxa"/>
          <w:bottom w:w="0" w:type="dxa"/>
          <w:right w:w="0" w:type="dxa"/>
        </w:tblCellMar>
      </w:tblPr>
      <w:tblGrid>
        <w:gridCol w:w="6248"/>
        <w:gridCol w:w="60"/>
        <w:gridCol w:w="204"/>
        <w:gridCol w:w="1610"/>
        <w:gridCol w:w="95"/>
        <w:gridCol w:w="60"/>
        <w:gridCol w:w="204"/>
        <w:gridCol w:w="1610"/>
        <w:gridCol w:w="114"/>
      </w:tblGrid>
      <w:tr>
        <w:trPr/>
        <w:tc>
          <w:tcPr>
            <w:tcW w:w="62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6" w:name="xdx_49F_20230101__20230331_z0ufvIWjxSDi"/>
            <w:bookmarkEnd w:id="86"/>
          </w:p>
        </w:tc>
        <w:tc>
          <w:tcPr>
            <w:tcW w:w="1814" w:type="dxa"/>
            <w:gridSpan w:val="2"/>
            <w:tcBorders/>
            <w:vAlign w:val="center"/>
          </w:tcPr>
          <w:p>
            <w:pPr>
              <w:pStyle w:val="TableContents"/>
              <w:bidi w:val="0"/>
              <w:spacing w:before="0" w:after="283"/>
              <w:jc w:val="center"/>
              <w:rPr/>
            </w:pPr>
            <w:r>
              <w:rPr/>
              <w:t>For the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7" w:name="xdx_49E_20220101__20220331_zVlCWnwId816"/>
            <w:bookmarkEnd w:id="87"/>
          </w:p>
        </w:tc>
        <w:tc>
          <w:tcPr>
            <w:tcW w:w="1814" w:type="dxa"/>
            <w:gridSpan w:val="2"/>
            <w:tcBorders/>
            <w:vAlign w:val="center"/>
          </w:tcPr>
          <w:p>
            <w:pPr>
              <w:pStyle w:val="TableContents"/>
              <w:bidi w:val="0"/>
              <w:spacing w:before="0" w:after="283"/>
              <w:jc w:val="center"/>
              <w:rPr/>
            </w:pPr>
            <w:r>
              <w:rPr/>
              <w:t>For the</w:t>
            </w:r>
          </w:p>
        </w:tc>
        <w:tc>
          <w:tcPr>
            <w:tcW w:w="114" w:type="dxa"/>
            <w:tcBorders/>
            <w:vAlign w:val="center"/>
          </w:tcPr>
          <w:p>
            <w:pPr>
              <w:pStyle w:val="TableContents"/>
              <w:bidi w:val="0"/>
              <w:spacing w:before="0" w:after="283"/>
              <w:jc w:val="left"/>
              <w:rPr/>
            </w:pPr>
            <w:r>
              <w:rPr/>
              <w:t> </w:t>
            </w:r>
          </w:p>
        </w:tc>
      </w:tr>
      <w:tr>
        <w:trPr/>
        <w:tc>
          <w:tcPr>
            <w:tcW w:w="62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4" w:type="dxa"/>
            <w:gridSpan w:val="2"/>
            <w:tcBorders/>
            <w:vAlign w:val="center"/>
          </w:tcPr>
          <w:p>
            <w:pPr>
              <w:pStyle w:val="TableContents"/>
              <w:bidi w:val="0"/>
              <w:spacing w:before="0" w:after="283"/>
              <w:jc w:val="center"/>
              <w:rPr/>
            </w:pPr>
            <w:r>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4" w:type="dxa"/>
            <w:gridSpan w:val="2"/>
            <w:tcBorders/>
            <w:vAlign w:val="center"/>
          </w:tcPr>
          <w:p>
            <w:pPr>
              <w:pStyle w:val="TableContents"/>
              <w:bidi w:val="0"/>
              <w:spacing w:before="0" w:after="283"/>
              <w:jc w:val="center"/>
              <w:rPr/>
            </w:pPr>
            <w:r>
              <w:rPr/>
              <w:t>Three Months Ended</w:t>
            </w:r>
          </w:p>
        </w:tc>
        <w:tc>
          <w:tcPr>
            <w:tcW w:w="114" w:type="dxa"/>
            <w:tcBorders/>
            <w:vAlign w:val="center"/>
          </w:tcPr>
          <w:p>
            <w:pPr>
              <w:pStyle w:val="TableContents"/>
              <w:bidi w:val="0"/>
              <w:spacing w:before="0" w:after="283"/>
              <w:jc w:val="left"/>
              <w:rPr/>
            </w:pPr>
            <w:r>
              <w:rPr/>
              <w:t> </w:t>
            </w:r>
          </w:p>
        </w:tc>
      </w:tr>
      <w:tr>
        <w:trPr/>
        <w:tc>
          <w:tcPr>
            <w:tcW w:w="62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4" w:type="dxa"/>
            <w:gridSpan w:val="2"/>
            <w:tcBorders/>
            <w:vAlign w:val="center"/>
          </w:tcPr>
          <w:p>
            <w:pPr>
              <w:pStyle w:val="TableContents"/>
              <w:bidi w:val="0"/>
              <w:spacing w:before="0" w:after="283"/>
              <w:jc w:val="center"/>
              <w:rPr/>
            </w:pPr>
            <w:r>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4" w:type="dxa"/>
            <w:gridSpan w:val="2"/>
            <w:tcBorders/>
            <w:vAlign w:val="center"/>
          </w:tcPr>
          <w:p>
            <w:pPr>
              <w:pStyle w:val="TableContents"/>
              <w:bidi w:val="0"/>
              <w:spacing w:before="0" w:after="283"/>
              <w:jc w:val="center"/>
              <w:rPr/>
            </w:pPr>
            <w:r>
              <w:rPr/>
              <w:t>March 31,</w:t>
            </w:r>
          </w:p>
        </w:tc>
        <w:tc>
          <w:tcPr>
            <w:tcW w:w="114" w:type="dxa"/>
            <w:tcBorders/>
            <w:vAlign w:val="center"/>
          </w:tcPr>
          <w:p>
            <w:pPr>
              <w:pStyle w:val="TableContents"/>
              <w:bidi w:val="0"/>
              <w:spacing w:before="0" w:after="283"/>
              <w:jc w:val="left"/>
              <w:rPr/>
            </w:pPr>
            <w:r>
              <w:rPr/>
              <w:t> </w:t>
            </w:r>
          </w:p>
        </w:tc>
      </w:tr>
      <w:tr>
        <w:trPr/>
        <w:tc>
          <w:tcPr>
            <w:tcW w:w="62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4"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4"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114" w:type="dxa"/>
            <w:tcBorders/>
            <w:vAlign w:val="center"/>
          </w:tcPr>
          <w:p>
            <w:pPr>
              <w:pStyle w:val="TableContents"/>
              <w:bidi w:val="0"/>
              <w:spacing w:before="0" w:after="283"/>
              <w:jc w:val="left"/>
              <w:rPr/>
            </w:pPr>
            <w:r>
              <w:rPr/>
              <w:t> </w:t>
            </w:r>
            <w:bookmarkStart w:id="88" w:name="xdx_40A_eus-gaap--RevenuesAbstract_iB_zL"/>
            <w:bookmarkEnd w:id="88"/>
          </w:p>
        </w:tc>
      </w:tr>
      <w:tr>
        <w:trPr/>
        <w:tc>
          <w:tcPr>
            <w:tcW w:w="6248"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89" w:name="xdx_405_eus-gaap--RevenueFromContractWit"/>
            <w:bookmarkEnd w:id="89"/>
          </w:p>
        </w:tc>
      </w:tr>
      <w:tr>
        <w:trPr/>
        <w:tc>
          <w:tcPr>
            <w:tcW w:w="6248" w:type="dxa"/>
            <w:tcBorders/>
            <w:shd w:fill="FFFFFF" w:val="clear"/>
            <w:vAlign w:val="center"/>
          </w:tcPr>
          <w:p>
            <w:pPr>
              <w:pStyle w:val="TableContents"/>
              <w:bidi w:val="0"/>
              <w:spacing w:before="0" w:after="283"/>
              <w:jc w:val="left"/>
              <w:rPr/>
            </w:pPr>
            <w:r>
              <w:rPr/>
              <w:t>Product sales, net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w:t>
            </w:r>
          </w:p>
        </w:tc>
        <w:tc>
          <w:tcPr>
            <w:tcW w:w="1610" w:type="dxa"/>
            <w:tcBorders/>
            <w:shd w:fill="FFFFFF" w:val="clear"/>
            <w:vAlign w:val="center"/>
          </w:tcPr>
          <w:p>
            <w:pPr>
              <w:pStyle w:val="TableContents"/>
              <w:bidi w:val="0"/>
              <w:spacing w:before="0" w:after="283"/>
              <w:jc w:val="right"/>
              <w:rPr/>
            </w:pPr>
            <w:r>
              <w:rPr/>
              <w:t>20,453,000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w:t>
            </w:r>
          </w:p>
        </w:tc>
        <w:tc>
          <w:tcPr>
            <w:tcW w:w="1610" w:type="dxa"/>
            <w:tcBorders/>
            <w:shd w:fill="FFFFFF" w:val="clear"/>
            <w:vAlign w:val="center"/>
          </w:tcPr>
          <w:p>
            <w:pPr>
              <w:pStyle w:val="TableContents"/>
              <w:bidi w:val="0"/>
              <w:spacing w:before="0" w:after="283"/>
              <w:jc w:val="right"/>
              <w:rPr/>
            </w:pPr>
            <w:r>
              <w:rPr/>
              <w:t>20,340,000</w:t>
            </w:r>
          </w:p>
        </w:tc>
        <w:tc>
          <w:tcPr>
            <w:tcW w:w="114" w:type="dxa"/>
            <w:tcBorders/>
            <w:shd w:fill="FFFFFF" w:val="clear"/>
            <w:vAlign w:val="center"/>
          </w:tcPr>
          <w:p>
            <w:pPr>
              <w:pStyle w:val="TableContents"/>
              <w:bidi w:val="0"/>
              <w:spacing w:before="0" w:after="283"/>
              <w:jc w:val="left"/>
              <w:rPr/>
            </w:pPr>
            <w:r>
              <w:rPr/>
              <w:t> </w:t>
            </w:r>
            <w:bookmarkStart w:id="90" w:name="xdx_408_eus-gaap--RevenueFromContractWit"/>
            <w:bookmarkEnd w:id="90"/>
          </w:p>
        </w:tc>
      </w:tr>
      <w:tr>
        <w:trPr/>
        <w:tc>
          <w:tcPr>
            <w:tcW w:w="6248" w:type="dxa"/>
            <w:tcBorders/>
            <w:shd w:fill="CCEEFF" w:val="clear"/>
            <w:vAlign w:val="center"/>
          </w:tcPr>
          <w:p>
            <w:pPr>
              <w:pStyle w:val="TableContents"/>
              <w:bidi w:val="0"/>
              <w:spacing w:before="0" w:after="283"/>
              <w:jc w:val="left"/>
              <w:rPr/>
            </w:pPr>
            <w:r>
              <w:rPr/>
              <w:t>Other revenues</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10" w:type="dxa"/>
            <w:tcBorders>
              <w:bottom w:val="single" w:sz="12" w:space="0" w:color="000000"/>
            </w:tcBorders>
            <w:shd w:fill="CCEEFF" w:val="clear"/>
            <w:tcMar>
              <w:bottom w:w="28" w:type="dxa"/>
            </w:tcMar>
            <w:vAlign w:val="center"/>
          </w:tcPr>
          <w:p>
            <w:pPr>
              <w:pStyle w:val="TableContents"/>
              <w:bidi w:val="0"/>
              <w:spacing w:before="0" w:after="283"/>
              <w:jc w:val="right"/>
              <w:rPr/>
            </w:pPr>
            <w:r>
              <w:rPr/>
              <w:t>5,650,000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10" w:type="dxa"/>
            <w:tcBorders>
              <w:bottom w:val="single" w:sz="12" w:space="0" w:color="000000"/>
            </w:tcBorders>
            <w:shd w:fill="CCEEFF" w:val="clear"/>
            <w:tcMar>
              <w:bottom w:w="28" w:type="dxa"/>
            </w:tcMar>
            <w:vAlign w:val="center"/>
          </w:tcPr>
          <w:p>
            <w:pPr>
              <w:pStyle w:val="TableContents"/>
              <w:bidi w:val="0"/>
              <w:spacing w:before="0" w:after="283"/>
              <w:jc w:val="right"/>
              <w:rPr/>
            </w:pPr>
            <w:r>
              <w:rPr/>
              <w:t>1,780,000</w:t>
            </w:r>
          </w:p>
        </w:tc>
        <w:tc>
          <w:tcPr>
            <w:tcW w:w="114" w:type="dxa"/>
            <w:tcBorders/>
            <w:shd w:fill="CCEEFF" w:val="clear"/>
            <w:vAlign w:val="center"/>
          </w:tcPr>
          <w:p>
            <w:pPr>
              <w:pStyle w:val="TableContents"/>
              <w:bidi w:val="0"/>
              <w:spacing w:before="0" w:after="283"/>
              <w:jc w:val="left"/>
              <w:rPr/>
            </w:pPr>
            <w:r>
              <w:rPr/>
              <w:t> </w:t>
            </w:r>
            <w:bookmarkStart w:id="91" w:name="xdx_407_eus-gaap--RevenueFromContractWit"/>
            <w:bookmarkEnd w:id="91"/>
          </w:p>
        </w:tc>
      </w:tr>
      <w:tr>
        <w:trPr/>
        <w:tc>
          <w:tcPr>
            <w:tcW w:w="6248" w:type="dxa"/>
            <w:tcBorders/>
            <w:shd w:fill="FFFFFF" w:val="clear"/>
            <w:vAlign w:val="center"/>
          </w:tcPr>
          <w:p>
            <w:pPr>
              <w:pStyle w:val="TableContents"/>
              <w:bidi w:val="0"/>
              <w:spacing w:before="0" w:after="283"/>
              <w:jc w:val="left"/>
              <w:rPr/>
            </w:pPr>
            <w:r>
              <w:rPr/>
              <w:t>Total revenues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610" w:type="dxa"/>
            <w:tcBorders/>
            <w:shd w:fill="FFFFFF" w:val="clear"/>
            <w:vAlign w:val="center"/>
          </w:tcPr>
          <w:p>
            <w:pPr>
              <w:pStyle w:val="TableContents"/>
              <w:bidi w:val="0"/>
              <w:spacing w:before="0" w:after="283"/>
              <w:jc w:val="right"/>
              <w:rPr/>
            </w:pPr>
            <w:r>
              <w:rPr/>
              <w:t>26,103,000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610" w:type="dxa"/>
            <w:tcBorders/>
            <w:shd w:fill="FFFFFF" w:val="clear"/>
            <w:vAlign w:val="center"/>
          </w:tcPr>
          <w:p>
            <w:pPr>
              <w:pStyle w:val="TableContents"/>
              <w:bidi w:val="0"/>
              <w:spacing w:before="0" w:after="283"/>
              <w:jc w:val="right"/>
              <w:rPr/>
            </w:pPr>
            <w:r>
              <w:rPr/>
              <w:t>22,120,000</w:t>
            </w:r>
          </w:p>
        </w:tc>
        <w:tc>
          <w:tcPr>
            <w:tcW w:w="114" w:type="dxa"/>
            <w:tcBorders/>
            <w:shd w:fill="FFFFFF" w:val="clear"/>
            <w:vAlign w:val="center"/>
          </w:tcPr>
          <w:p>
            <w:pPr>
              <w:pStyle w:val="TableContents"/>
              <w:bidi w:val="0"/>
              <w:spacing w:before="0" w:after="283"/>
              <w:jc w:val="left"/>
              <w:rPr/>
            </w:pPr>
            <w:r>
              <w:rPr/>
              <w:t> </w:t>
            </w:r>
            <w:bookmarkStart w:id="92" w:name="xdx_409_eus-gaap--CostOfGoodsAndServices"/>
            <w:bookmarkEnd w:id="92"/>
          </w:p>
        </w:tc>
      </w:tr>
      <w:tr>
        <w:trPr/>
        <w:tc>
          <w:tcPr>
            <w:tcW w:w="6248" w:type="dxa"/>
            <w:tcBorders/>
            <w:shd w:fill="CCEEFF" w:val="clear"/>
            <w:vAlign w:val="center"/>
          </w:tcPr>
          <w:p>
            <w:pPr>
              <w:pStyle w:val="TableContents"/>
              <w:bidi w:val="0"/>
              <w:spacing w:before="0" w:after="283"/>
              <w:jc w:val="left"/>
              <w:rPr/>
            </w:pPr>
            <w:r>
              <w:rPr/>
              <w:t>Cost of sales</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10" w:type="dxa"/>
            <w:tcBorders>
              <w:bottom w:val="single" w:sz="12" w:space="0" w:color="000000"/>
            </w:tcBorders>
            <w:shd w:fill="CCEEFF" w:val="clear"/>
            <w:tcMar>
              <w:bottom w:w="28" w:type="dxa"/>
            </w:tcMar>
            <w:vAlign w:val="center"/>
          </w:tcPr>
          <w:p>
            <w:pPr>
              <w:pStyle w:val="TableContents"/>
              <w:bidi w:val="0"/>
              <w:spacing w:before="0" w:after="283"/>
              <w:jc w:val="right"/>
              <w:rPr/>
            </w:pPr>
            <w:r>
              <w:rPr/>
              <w:t>(8,271,000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10" w:type="dxa"/>
            <w:tcBorders>
              <w:bottom w:val="single" w:sz="12" w:space="0" w:color="000000"/>
            </w:tcBorders>
            <w:shd w:fill="CCEEFF" w:val="clear"/>
            <w:tcMar>
              <w:bottom w:w="28" w:type="dxa"/>
            </w:tcMar>
            <w:vAlign w:val="center"/>
          </w:tcPr>
          <w:p>
            <w:pPr>
              <w:pStyle w:val="TableContents"/>
              <w:bidi w:val="0"/>
              <w:spacing w:before="0" w:after="283"/>
              <w:jc w:val="right"/>
              <w:rPr/>
            </w:pPr>
            <w:r>
              <w:rPr/>
              <w:t>(5,963,000</w:t>
            </w:r>
          </w:p>
        </w:tc>
        <w:tc>
          <w:tcPr>
            <w:tcW w:w="114" w:type="dxa"/>
            <w:tcBorders/>
            <w:shd w:fill="CCEEFF" w:val="clear"/>
            <w:vAlign w:val="center"/>
          </w:tcPr>
          <w:p>
            <w:pPr>
              <w:pStyle w:val="TableContents"/>
              <w:bidi w:val="0"/>
              <w:spacing w:before="0" w:after="283"/>
              <w:jc w:val="left"/>
              <w:rPr/>
            </w:pPr>
            <w:r>
              <w:rPr/>
              <w:t>)</w:t>
            </w:r>
            <w:bookmarkStart w:id="93" w:name="xdx_40D_eus-gaap--GrossProfit_iT_mtGPzad"/>
            <w:bookmarkEnd w:id="93"/>
          </w:p>
        </w:tc>
      </w:tr>
      <w:tr>
        <w:trPr/>
        <w:tc>
          <w:tcPr>
            <w:tcW w:w="6248"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10" w:type="dxa"/>
            <w:tcBorders>
              <w:bottom w:val="single" w:sz="12" w:space="0" w:color="000000"/>
            </w:tcBorders>
            <w:shd w:fill="FFFFFF" w:val="clear"/>
            <w:tcMar>
              <w:bottom w:w="28" w:type="dxa"/>
            </w:tcMar>
            <w:vAlign w:val="center"/>
          </w:tcPr>
          <w:p>
            <w:pPr>
              <w:pStyle w:val="TableContents"/>
              <w:bidi w:val="0"/>
              <w:spacing w:before="0" w:after="283"/>
              <w:jc w:val="right"/>
              <w:rPr/>
            </w:pPr>
            <w:r>
              <w:rPr/>
              <w:t>17,832,000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10" w:type="dxa"/>
            <w:tcBorders>
              <w:bottom w:val="single" w:sz="12" w:space="0" w:color="000000"/>
            </w:tcBorders>
            <w:shd w:fill="FFFFFF" w:val="clear"/>
            <w:tcMar>
              <w:bottom w:w="28" w:type="dxa"/>
            </w:tcMar>
            <w:vAlign w:val="center"/>
          </w:tcPr>
          <w:p>
            <w:pPr>
              <w:pStyle w:val="TableContents"/>
              <w:bidi w:val="0"/>
              <w:spacing w:before="0" w:after="283"/>
              <w:jc w:val="right"/>
              <w:rPr/>
            </w:pPr>
            <w:r>
              <w:rPr/>
              <w:t>16,157,000</w:t>
            </w:r>
          </w:p>
        </w:tc>
        <w:tc>
          <w:tcPr>
            <w:tcW w:w="114" w:type="dxa"/>
            <w:tcBorders/>
            <w:shd w:fill="FFFFFF" w:val="clear"/>
            <w:vAlign w:val="center"/>
          </w:tcPr>
          <w:p>
            <w:pPr>
              <w:pStyle w:val="TableContents"/>
              <w:bidi w:val="0"/>
              <w:spacing w:before="0" w:after="283"/>
              <w:jc w:val="left"/>
              <w:rPr/>
            </w:pPr>
            <w:r>
              <w:rPr/>
              <w:t> </w:t>
            </w:r>
            <w:bookmarkStart w:id="94" w:name="xdx_404_eus-gaap--OperatingExpensesAbstr"/>
            <w:bookmarkEnd w:id="94"/>
          </w:p>
        </w:tc>
      </w:tr>
      <w:tr>
        <w:trPr/>
        <w:tc>
          <w:tcPr>
            <w:tcW w:w="6248"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95" w:name="xdx_401_eus-gaap--SellingGeneralAndAdmin"/>
            <w:bookmarkEnd w:id="95"/>
          </w:p>
        </w:tc>
      </w:tr>
      <w:tr>
        <w:trPr/>
        <w:tc>
          <w:tcPr>
            <w:tcW w:w="6248"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610" w:type="dxa"/>
            <w:tcBorders/>
            <w:shd w:fill="FFFFFF" w:val="clear"/>
            <w:vAlign w:val="center"/>
          </w:tcPr>
          <w:p>
            <w:pPr>
              <w:pStyle w:val="TableContents"/>
              <w:bidi w:val="0"/>
              <w:spacing w:before="0" w:after="283"/>
              <w:jc w:val="right"/>
              <w:rPr/>
            </w:pPr>
            <w:r>
              <w:rPr/>
              <w:t>15,888,000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610" w:type="dxa"/>
            <w:tcBorders/>
            <w:shd w:fill="FFFFFF" w:val="clear"/>
            <w:vAlign w:val="center"/>
          </w:tcPr>
          <w:p>
            <w:pPr>
              <w:pStyle w:val="TableContents"/>
              <w:bidi w:val="0"/>
              <w:spacing w:before="0" w:after="283"/>
              <w:jc w:val="right"/>
              <w:rPr/>
            </w:pPr>
            <w:r>
              <w:rPr/>
              <w:t>13,398,000</w:t>
            </w:r>
          </w:p>
        </w:tc>
        <w:tc>
          <w:tcPr>
            <w:tcW w:w="114" w:type="dxa"/>
            <w:tcBorders/>
            <w:shd w:fill="FFFFFF" w:val="clear"/>
            <w:vAlign w:val="center"/>
          </w:tcPr>
          <w:p>
            <w:pPr>
              <w:pStyle w:val="TableContents"/>
              <w:bidi w:val="0"/>
              <w:spacing w:before="0" w:after="283"/>
              <w:jc w:val="left"/>
              <w:rPr/>
            </w:pPr>
            <w:r>
              <w:rPr/>
              <w:t> </w:t>
            </w:r>
            <w:bookmarkStart w:id="96" w:name="xdx_402_eus-gaap--ResearchAndDevelopment"/>
            <w:bookmarkEnd w:id="96"/>
          </w:p>
        </w:tc>
      </w:tr>
      <w:tr>
        <w:trPr/>
        <w:tc>
          <w:tcPr>
            <w:tcW w:w="6248"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10" w:type="dxa"/>
            <w:tcBorders>
              <w:bottom w:val="single" w:sz="12" w:space="0" w:color="000000"/>
            </w:tcBorders>
            <w:shd w:fill="CCEEFF" w:val="clear"/>
            <w:tcMar>
              <w:bottom w:w="28" w:type="dxa"/>
            </w:tcMar>
            <w:vAlign w:val="center"/>
          </w:tcPr>
          <w:p>
            <w:pPr>
              <w:pStyle w:val="TableContents"/>
              <w:bidi w:val="0"/>
              <w:spacing w:before="0" w:after="283"/>
              <w:jc w:val="right"/>
              <w:rPr/>
            </w:pPr>
            <w:r>
              <w:rPr/>
              <w:t>734,000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10" w:type="dxa"/>
            <w:tcBorders>
              <w:bottom w:val="single" w:sz="12" w:space="0" w:color="000000"/>
            </w:tcBorders>
            <w:shd w:fill="CCEEFF" w:val="clear"/>
            <w:tcMar>
              <w:bottom w:w="28" w:type="dxa"/>
            </w:tcMar>
            <w:vAlign w:val="center"/>
          </w:tcPr>
          <w:p>
            <w:pPr>
              <w:pStyle w:val="TableContents"/>
              <w:bidi w:val="0"/>
              <w:spacing w:before="0" w:after="283"/>
              <w:jc w:val="right"/>
              <w:rPr/>
            </w:pPr>
            <w:r>
              <w:rPr/>
              <w:t>658,000</w:t>
            </w:r>
          </w:p>
        </w:tc>
        <w:tc>
          <w:tcPr>
            <w:tcW w:w="114" w:type="dxa"/>
            <w:tcBorders/>
            <w:shd w:fill="CCEEFF" w:val="clear"/>
            <w:vAlign w:val="center"/>
          </w:tcPr>
          <w:p>
            <w:pPr>
              <w:pStyle w:val="TableContents"/>
              <w:bidi w:val="0"/>
              <w:spacing w:before="0" w:after="283"/>
              <w:jc w:val="left"/>
              <w:rPr/>
            </w:pPr>
            <w:r>
              <w:rPr/>
              <w:t> </w:t>
            </w:r>
            <w:bookmarkStart w:id="97" w:name="xdx_401_eus-gaap--OperatingExpenses_i01T"/>
            <w:bookmarkEnd w:id="97"/>
          </w:p>
        </w:tc>
      </w:tr>
      <w:tr>
        <w:trPr/>
        <w:tc>
          <w:tcPr>
            <w:tcW w:w="6248"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10" w:type="dxa"/>
            <w:tcBorders>
              <w:bottom w:val="single" w:sz="12" w:space="0" w:color="000000"/>
            </w:tcBorders>
            <w:shd w:fill="FFFFFF" w:val="clear"/>
            <w:tcMar>
              <w:bottom w:w="28" w:type="dxa"/>
            </w:tcMar>
            <w:vAlign w:val="center"/>
          </w:tcPr>
          <w:p>
            <w:pPr>
              <w:pStyle w:val="TableContents"/>
              <w:bidi w:val="0"/>
              <w:spacing w:before="0" w:after="283"/>
              <w:jc w:val="right"/>
              <w:rPr/>
            </w:pPr>
            <w:r>
              <w:rPr/>
              <w:t>16,622,000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10" w:type="dxa"/>
            <w:tcBorders>
              <w:bottom w:val="single" w:sz="12" w:space="0" w:color="000000"/>
            </w:tcBorders>
            <w:shd w:fill="FFFFFF" w:val="clear"/>
            <w:tcMar>
              <w:bottom w:w="28" w:type="dxa"/>
            </w:tcMar>
            <w:vAlign w:val="center"/>
          </w:tcPr>
          <w:p>
            <w:pPr>
              <w:pStyle w:val="TableContents"/>
              <w:bidi w:val="0"/>
              <w:spacing w:before="0" w:after="283"/>
              <w:jc w:val="right"/>
              <w:rPr/>
            </w:pPr>
            <w:r>
              <w:rPr/>
              <w:t>14,056,000</w:t>
            </w:r>
          </w:p>
        </w:tc>
        <w:tc>
          <w:tcPr>
            <w:tcW w:w="114" w:type="dxa"/>
            <w:tcBorders/>
            <w:shd w:fill="FFFFFF" w:val="clear"/>
            <w:vAlign w:val="center"/>
          </w:tcPr>
          <w:p>
            <w:pPr>
              <w:pStyle w:val="TableContents"/>
              <w:bidi w:val="0"/>
              <w:spacing w:before="0" w:after="283"/>
              <w:jc w:val="left"/>
              <w:rPr/>
            </w:pPr>
            <w:r>
              <w:rPr/>
              <w:t> </w:t>
            </w:r>
            <w:bookmarkStart w:id="98" w:name="xdx_404_eus-gaap--OperatingIncomeLoss_iT"/>
            <w:bookmarkEnd w:id="98"/>
          </w:p>
        </w:tc>
      </w:tr>
      <w:tr>
        <w:trPr/>
        <w:tc>
          <w:tcPr>
            <w:tcW w:w="6248" w:type="dxa"/>
            <w:tcBorders/>
            <w:shd w:fill="CCEEFF" w:val="clear"/>
            <w:vAlign w:val="center"/>
          </w:tcPr>
          <w:p>
            <w:pPr>
              <w:pStyle w:val="TableContents"/>
              <w:bidi w:val="0"/>
              <w:spacing w:before="0" w:after="283"/>
              <w:jc w:val="left"/>
              <w:rPr/>
            </w:pPr>
            <w:r>
              <w:rPr/>
              <w:t>Income from operations</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10" w:type="dxa"/>
            <w:tcBorders>
              <w:bottom w:val="single" w:sz="12" w:space="0" w:color="000000"/>
            </w:tcBorders>
            <w:shd w:fill="CCEEFF" w:val="clear"/>
            <w:tcMar>
              <w:bottom w:w="28" w:type="dxa"/>
            </w:tcMar>
            <w:vAlign w:val="center"/>
          </w:tcPr>
          <w:p>
            <w:pPr>
              <w:pStyle w:val="TableContents"/>
              <w:bidi w:val="0"/>
              <w:spacing w:before="0" w:after="283"/>
              <w:jc w:val="right"/>
              <w:rPr/>
            </w:pPr>
            <w:r>
              <w:rPr/>
              <w:t>1,210,000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10" w:type="dxa"/>
            <w:tcBorders>
              <w:bottom w:val="single" w:sz="12" w:space="0" w:color="000000"/>
            </w:tcBorders>
            <w:shd w:fill="CCEEFF" w:val="clear"/>
            <w:tcMar>
              <w:bottom w:w="28" w:type="dxa"/>
            </w:tcMar>
            <w:vAlign w:val="center"/>
          </w:tcPr>
          <w:p>
            <w:pPr>
              <w:pStyle w:val="TableContents"/>
              <w:bidi w:val="0"/>
              <w:spacing w:before="0" w:after="283"/>
              <w:jc w:val="right"/>
              <w:rPr/>
            </w:pPr>
            <w:r>
              <w:rPr/>
              <w:t>2,101,000</w:t>
            </w:r>
          </w:p>
        </w:tc>
        <w:tc>
          <w:tcPr>
            <w:tcW w:w="114" w:type="dxa"/>
            <w:tcBorders/>
            <w:shd w:fill="CCEEFF" w:val="clear"/>
            <w:vAlign w:val="center"/>
          </w:tcPr>
          <w:p>
            <w:pPr>
              <w:pStyle w:val="TableContents"/>
              <w:bidi w:val="0"/>
              <w:spacing w:before="0" w:after="283"/>
              <w:jc w:val="left"/>
              <w:rPr/>
            </w:pPr>
            <w:r>
              <w:rPr/>
              <w:t> </w:t>
            </w:r>
            <w:bookmarkStart w:id="99" w:name="xdx_404_eus-gaap--NonoperatingIncomeExpe"/>
            <w:bookmarkEnd w:id="99"/>
          </w:p>
        </w:tc>
      </w:tr>
      <w:tr>
        <w:trPr/>
        <w:tc>
          <w:tcPr>
            <w:tcW w:w="6248" w:type="dxa"/>
            <w:tcBorders/>
            <w:shd w:fill="FFFFFF" w:val="clear"/>
            <w:vAlign w:val="center"/>
          </w:tcPr>
          <w:p>
            <w:pPr>
              <w:pStyle w:val="TableContents"/>
              <w:bidi w:val="0"/>
              <w:spacing w:before="0" w:after="283"/>
              <w:jc w:val="left"/>
              <w:rPr/>
            </w:pPr>
            <w:r>
              <w:rPr/>
              <w:t>Other (expense) income:</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6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61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00" w:name="xdx_401_eus-gaap--InterestExpense_i01N_d"/>
            <w:bookmarkEnd w:id="100"/>
          </w:p>
        </w:tc>
      </w:tr>
      <w:tr>
        <w:trPr/>
        <w:tc>
          <w:tcPr>
            <w:tcW w:w="6248"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right"/>
              <w:rPr/>
            </w:pPr>
            <w:r>
              <w:rPr/>
              <w:t>(4,747,000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right"/>
              <w:rPr/>
            </w:pPr>
            <w:r>
              <w:rPr/>
              <w:t>(1,792,000</w:t>
            </w:r>
          </w:p>
        </w:tc>
        <w:tc>
          <w:tcPr>
            <w:tcW w:w="114" w:type="dxa"/>
            <w:tcBorders/>
            <w:shd w:fill="CCEEFF" w:val="clear"/>
            <w:vAlign w:val="center"/>
          </w:tcPr>
          <w:p>
            <w:pPr>
              <w:pStyle w:val="TableContents"/>
              <w:bidi w:val="0"/>
              <w:spacing w:before="0" w:after="283"/>
              <w:jc w:val="left"/>
              <w:rPr/>
            </w:pPr>
            <w:r>
              <w:rPr/>
              <w:t>)</w:t>
            </w:r>
            <w:bookmarkStart w:id="101" w:name="xdx_406_ecustom--EquityInLossesOfUnconso"/>
            <w:bookmarkEnd w:id="101"/>
          </w:p>
        </w:tc>
      </w:tr>
      <w:tr>
        <w:trPr/>
        <w:tc>
          <w:tcPr>
            <w:tcW w:w="6248" w:type="dxa"/>
            <w:tcBorders/>
            <w:shd w:fill="FFFFFF" w:val="clear"/>
            <w:vAlign w:val="center"/>
          </w:tcPr>
          <w:p>
            <w:pPr>
              <w:pStyle w:val="TableContents"/>
              <w:bidi w:val="0"/>
              <w:spacing w:before="0" w:after="283"/>
              <w:jc w:val="left"/>
              <w:rPr/>
            </w:pPr>
            <w:r>
              <w:rPr/>
              <w:t>Equity in losses of unconsolidated entities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61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610" w:type="dxa"/>
            <w:tcBorders/>
            <w:shd w:fill="FFFFFF" w:val="clear"/>
            <w:vAlign w:val="center"/>
          </w:tcPr>
          <w:p>
            <w:pPr>
              <w:pStyle w:val="TableContents"/>
              <w:bidi w:val="0"/>
              <w:spacing w:before="0" w:after="283"/>
              <w:jc w:val="right"/>
              <w:rPr/>
            </w:pPr>
            <w:r>
              <w:rPr/>
              <w:t>(2,886,000</w:t>
            </w:r>
          </w:p>
        </w:tc>
        <w:tc>
          <w:tcPr>
            <w:tcW w:w="114" w:type="dxa"/>
            <w:tcBorders/>
            <w:shd w:fill="FFFFFF" w:val="clear"/>
            <w:vAlign w:val="center"/>
          </w:tcPr>
          <w:p>
            <w:pPr>
              <w:pStyle w:val="TableContents"/>
              <w:bidi w:val="0"/>
              <w:spacing w:before="0" w:after="283"/>
              <w:jc w:val="left"/>
              <w:rPr/>
            </w:pPr>
            <w:r>
              <w:rPr/>
              <w:t>)</w:t>
            </w:r>
            <w:bookmarkStart w:id="102" w:name="xdx_40F_eus-gaap--GainLossOnInvestments_"/>
            <w:bookmarkEnd w:id="102"/>
          </w:p>
        </w:tc>
      </w:tr>
      <w:tr>
        <w:trPr/>
        <w:tc>
          <w:tcPr>
            <w:tcW w:w="6248" w:type="dxa"/>
            <w:tcBorders/>
            <w:shd w:fill="CCEEFF" w:val="clear"/>
            <w:vAlign w:val="center"/>
          </w:tcPr>
          <w:p>
            <w:pPr>
              <w:pStyle w:val="TableContents"/>
              <w:bidi w:val="0"/>
              <w:spacing w:before="0" w:after="283"/>
              <w:jc w:val="left"/>
              <w:rPr/>
            </w:pPr>
            <w:r>
              <w:rPr/>
              <w:t>Investment gain from Eton Pharmaceuticals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right"/>
              <w:rPr/>
            </w:pPr>
            <w:r>
              <w:rPr/>
              <w:t>2,042,000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right"/>
              <w:rPr/>
            </w:pPr>
            <w:r>
              <w:rPr/>
              <w:t>139,000</w:t>
            </w:r>
          </w:p>
        </w:tc>
        <w:tc>
          <w:tcPr>
            <w:tcW w:w="114" w:type="dxa"/>
            <w:tcBorders/>
            <w:shd w:fill="CCEEFF" w:val="clear"/>
            <w:vAlign w:val="center"/>
          </w:tcPr>
          <w:p>
            <w:pPr>
              <w:pStyle w:val="TableContents"/>
              <w:bidi w:val="0"/>
              <w:spacing w:before="0" w:after="283"/>
              <w:jc w:val="left"/>
              <w:rPr/>
            </w:pPr>
            <w:r>
              <w:rPr/>
              <w:t> </w:t>
            </w:r>
            <w:bookmarkStart w:id="103" w:name="xdx_40F_eus-gaap--ExtinguishmentOfDebtGa"/>
            <w:bookmarkEnd w:id="103"/>
          </w:p>
        </w:tc>
      </w:tr>
      <w:tr>
        <w:trPr/>
        <w:tc>
          <w:tcPr>
            <w:tcW w:w="6248" w:type="dxa"/>
            <w:tcBorders/>
            <w:shd w:fill="FFFFFF" w:val="clear"/>
            <w:vAlign w:val="center"/>
          </w:tcPr>
          <w:p>
            <w:pPr>
              <w:pStyle w:val="TableContents"/>
              <w:bidi w:val="0"/>
              <w:spacing w:before="0" w:after="283"/>
              <w:jc w:val="left"/>
              <w:rPr/>
            </w:pPr>
            <w:r>
              <w:rPr/>
              <w:t>Loss on extinguishment of debt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610" w:type="dxa"/>
            <w:tcBorders/>
            <w:shd w:fill="FFFFFF" w:val="clear"/>
            <w:vAlign w:val="center"/>
          </w:tcPr>
          <w:p>
            <w:pPr>
              <w:pStyle w:val="TableContents"/>
              <w:bidi w:val="0"/>
              <w:spacing w:before="0" w:after="283"/>
              <w:jc w:val="right"/>
              <w:rPr/>
            </w:pPr>
            <w:r>
              <w:rPr/>
              <w:t>(5,465,000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610"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104" w:name="xdx_405_eus-gaap--OtherNonoperatingIncom"/>
            <w:bookmarkEnd w:id="104"/>
          </w:p>
        </w:tc>
      </w:tr>
      <w:tr>
        <w:trPr/>
        <w:tc>
          <w:tcPr>
            <w:tcW w:w="6248"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10" w:type="dxa"/>
            <w:tcBorders>
              <w:bottom w:val="single" w:sz="12" w:space="0" w:color="000000"/>
            </w:tcBorders>
            <w:shd w:fill="CCEEFF" w:val="clear"/>
            <w:tcMar>
              <w:bottom w:w="28" w:type="dxa"/>
            </w:tcMar>
            <w:vAlign w:val="center"/>
          </w:tcPr>
          <w:p>
            <w:pPr>
              <w:pStyle w:val="TableContents"/>
              <w:bidi w:val="0"/>
              <w:spacing w:before="0" w:after="283"/>
              <w:jc w:val="right"/>
              <w:rPr/>
            </w:pPr>
            <w:r>
              <w:rPr/>
              <w:t>29,000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105" w:name="xdx_40C_eus-gaap--NonoperatingIncomeExpe"/>
            <w:bookmarkEnd w:id="105"/>
          </w:p>
        </w:tc>
      </w:tr>
      <w:tr>
        <w:trPr/>
        <w:tc>
          <w:tcPr>
            <w:tcW w:w="6248" w:type="dxa"/>
            <w:tcBorders/>
            <w:shd w:fill="FFFFFF" w:val="clear"/>
            <w:vAlign w:val="center"/>
          </w:tcPr>
          <w:p>
            <w:pPr>
              <w:pStyle w:val="TableContents"/>
              <w:bidi w:val="0"/>
              <w:spacing w:before="0" w:after="283"/>
              <w:jc w:val="left"/>
              <w:rPr/>
            </w:pPr>
            <w:r>
              <w:rPr/>
              <w:t>Total other expense, net</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10" w:type="dxa"/>
            <w:tcBorders>
              <w:bottom w:val="single" w:sz="12" w:space="0" w:color="000000"/>
            </w:tcBorders>
            <w:shd w:fill="FFFFFF" w:val="clear"/>
            <w:tcMar>
              <w:bottom w:w="28" w:type="dxa"/>
            </w:tcMar>
            <w:vAlign w:val="center"/>
          </w:tcPr>
          <w:p>
            <w:pPr>
              <w:pStyle w:val="TableContents"/>
              <w:bidi w:val="0"/>
              <w:spacing w:before="0" w:after="283"/>
              <w:jc w:val="right"/>
              <w:rPr/>
            </w:pPr>
            <w:r>
              <w:rPr/>
              <w:t>(8,141,000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10" w:type="dxa"/>
            <w:tcBorders>
              <w:bottom w:val="single" w:sz="12" w:space="0" w:color="000000"/>
            </w:tcBorders>
            <w:shd w:fill="FFFFFF" w:val="clear"/>
            <w:tcMar>
              <w:bottom w:w="28" w:type="dxa"/>
            </w:tcMar>
            <w:vAlign w:val="center"/>
          </w:tcPr>
          <w:p>
            <w:pPr>
              <w:pStyle w:val="TableContents"/>
              <w:bidi w:val="0"/>
              <w:spacing w:before="0" w:after="283"/>
              <w:jc w:val="right"/>
              <w:rPr/>
            </w:pPr>
            <w:r>
              <w:rPr/>
              <w:t>(4,539,000</w:t>
            </w:r>
          </w:p>
        </w:tc>
        <w:tc>
          <w:tcPr>
            <w:tcW w:w="114" w:type="dxa"/>
            <w:tcBorders/>
            <w:shd w:fill="FFFFFF" w:val="clear"/>
            <w:vAlign w:val="center"/>
          </w:tcPr>
          <w:p>
            <w:pPr>
              <w:pStyle w:val="TableContents"/>
              <w:bidi w:val="0"/>
              <w:spacing w:before="0" w:after="283"/>
              <w:jc w:val="left"/>
              <w:rPr/>
            </w:pPr>
            <w:r>
              <w:rPr/>
              <w:t>)</w:t>
            </w:r>
            <w:bookmarkStart w:id="106" w:name="xdx_40F_eus-gaap--IncomeLossFromContinui"/>
            <w:bookmarkEnd w:id="106"/>
          </w:p>
        </w:tc>
      </w:tr>
      <w:tr>
        <w:trPr/>
        <w:tc>
          <w:tcPr>
            <w:tcW w:w="6248"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right"/>
              <w:rPr/>
            </w:pPr>
            <w:r>
              <w:rPr/>
              <w:t>(6,931,000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right"/>
              <w:rPr/>
            </w:pPr>
            <w:r>
              <w:rPr/>
              <w:t>(2,438,000</w:t>
            </w:r>
          </w:p>
        </w:tc>
        <w:tc>
          <w:tcPr>
            <w:tcW w:w="114" w:type="dxa"/>
            <w:tcBorders/>
            <w:shd w:fill="CCEEFF" w:val="clear"/>
            <w:vAlign w:val="center"/>
          </w:tcPr>
          <w:p>
            <w:pPr>
              <w:pStyle w:val="TableContents"/>
              <w:bidi w:val="0"/>
              <w:spacing w:before="0" w:after="283"/>
              <w:jc w:val="left"/>
              <w:rPr/>
            </w:pPr>
            <w:r>
              <w:rPr/>
              <w:t>)</w:t>
            </w:r>
            <w:bookmarkStart w:id="107" w:name="xdx_406_eus-gaap--IncomeTaxExpenseBenefi"/>
            <w:bookmarkEnd w:id="107"/>
          </w:p>
        </w:tc>
      </w:tr>
      <w:tr>
        <w:trPr/>
        <w:tc>
          <w:tcPr>
            <w:tcW w:w="6248" w:type="dxa"/>
            <w:tcBorders/>
            <w:shd w:fill="FFFFFF" w:val="clear"/>
            <w:vAlign w:val="center"/>
          </w:tcPr>
          <w:p>
            <w:pPr>
              <w:pStyle w:val="TableContents"/>
              <w:bidi w:val="0"/>
              <w:spacing w:before="0" w:after="283"/>
              <w:jc w:val="left"/>
              <w:rPr/>
            </w:pPr>
            <w:r>
              <w:rPr/>
              <w:t>Income tax benefit</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10" w:type="dxa"/>
            <w:tcBorders>
              <w:bottom w:val="single" w:sz="12" w:space="0" w:color="000000"/>
            </w:tcBorders>
            <w:shd w:fill="FFFFFF" w:val="clear"/>
            <w:tcMar>
              <w:bottom w:w="28" w:type="dxa"/>
            </w:tcMar>
            <w:vAlign w:val="center"/>
          </w:tcPr>
          <w:p>
            <w:pPr>
              <w:pStyle w:val="TableContents"/>
              <w:bidi w:val="0"/>
              <w:spacing w:before="0" w:after="283"/>
              <w:jc w:val="right"/>
              <w:rPr/>
            </w:pPr>
            <w:r>
              <w:rPr/>
              <w:t>288,000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1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108" w:name="xdx_402_eus-gaap--NetIncomeLoss_iT_maCzp"/>
            <w:bookmarkEnd w:id="108"/>
          </w:p>
        </w:tc>
      </w:tr>
      <w:tr>
        <w:trPr/>
        <w:tc>
          <w:tcPr>
            <w:tcW w:w="6248"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10" w:type="dxa"/>
            <w:tcBorders>
              <w:bottom w:val="single" w:sz="12" w:space="0" w:color="000000"/>
            </w:tcBorders>
            <w:shd w:fill="CCEEFF" w:val="clear"/>
            <w:tcMar>
              <w:bottom w:w="28" w:type="dxa"/>
            </w:tcMar>
            <w:vAlign w:val="center"/>
          </w:tcPr>
          <w:p>
            <w:pPr>
              <w:pStyle w:val="TableContents"/>
              <w:bidi w:val="0"/>
              <w:spacing w:before="0" w:after="283"/>
              <w:jc w:val="right"/>
              <w:rPr/>
            </w:pPr>
            <w:r>
              <w:rPr/>
              <w:t>(6,643,000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10" w:type="dxa"/>
            <w:tcBorders>
              <w:bottom w:val="single" w:sz="12" w:space="0" w:color="000000"/>
            </w:tcBorders>
            <w:shd w:fill="CCEEFF" w:val="clear"/>
            <w:tcMar>
              <w:bottom w:w="28" w:type="dxa"/>
            </w:tcMar>
            <w:vAlign w:val="center"/>
          </w:tcPr>
          <w:p>
            <w:pPr>
              <w:pStyle w:val="TableContents"/>
              <w:bidi w:val="0"/>
              <w:spacing w:before="0" w:after="283"/>
              <w:jc w:val="right"/>
              <w:rPr/>
            </w:pPr>
            <w:r>
              <w:rPr/>
              <w:t>(2,438,000</w:t>
            </w:r>
          </w:p>
        </w:tc>
        <w:tc>
          <w:tcPr>
            <w:tcW w:w="114" w:type="dxa"/>
            <w:tcBorders/>
            <w:shd w:fill="CCEEFF" w:val="clear"/>
            <w:vAlign w:val="center"/>
          </w:tcPr>
          <w:p>
            <w:pPr>
              <w:pStyle w:val="TableContents"/>
              <w:bidi w:val="0"/>
              <w:spacing w:before="0" w:after="283"/>
              <w:jc w:val="left"/>
              <w:rPr/>
            </w:pPr>
            <w:r>
              <w:rPr/>
              <w:t>)</w:t>
            </w:r>
            <w:bookmarkStart w:id="109" w:name="xdx_403_eus-gaap--EarningsPerShareBasic_"/>
            <w:bookmarkEnd w:id="109"/>
          </w:p>
        </w:tc>
      </w:tr>
      <w:tr>
        <w:trPr/>
        <w:tc>
          <w:tcPr>
            <w:tcW w:w="6248" w:type="dxa"/>
            <w:tcBorders/>
            <w:shd w:fill="FFFFFF" w:val="clear"/>
            <w:vAlign w:val="center"/>
          </w:tcPr>
          <w:p>
            <w:pPr>
              <w:pStyle w:val="TableContents"/>
              <w:bidi w:val="0"/>
              <w:spacing w:before="0" w:after="283"/>
              <w:jc w:val="left"/>
              <w:rPr/>
            </w:pPr>
            <w:r>
              <w:rPr/>
              <w:t>Basic and diluted net loss per share of common stock</w:t>
            </w:r>
          </w:p>
        </w:tc>
        <w:tc>
          <w:tcPr>
            <w:tcW w:w="60" w:type="dxa"/>
            <w:tcBorders/>
            <w:shd w:fill="FFFFFF" w:val="cle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10" w:type="dxa"/>
            <w:tcBorders>
              <w:bottom w:val="double" w:sz="6" w:space="0" w:color="000000"/>
            </w:tcBorders>
            <w:shd w:fill="FFFFFF" w:val="clear"/>
            <w:tcMar>
              <w:bottom w:w="28" w:type="dxa"/>
            </w:tcMar>
            <w:vAlign w:val="center"/>
          </w:tcPr>
          <w:p>
            <w:pPr>
              <w:pStyle w:val="TableContents"/>
              <w:bidi w:val="0"/>
              <w:spacing w:before="0" w:after="283"/>
              <w:jc w:val="right"/>
              <w:rPr/>
            </w:pPr>
            <w:r>
              <w:rPr/>
              <w:t>(0.22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10" w:type="dxa"/>
            <w:tcBorders>
              <w:bottom w:val="double" w:sz="6" w:space="0" w:color="000000"/>
            </w:tcBorders>
            <w:shd w:fill="FFFFFF" w:val="clear"/>
            <w:tcMar>
              <w:bottom w:w="28" w:type="dxa"/>
            </w:tcMar>
            <w:vAlign w:val="center"/>
          </w:tcPr>
          <w:p>
            <w:pPr>
              <w:pStyle w:val="TableContents"/>
              <w:bidi w:val="0"/>
              <w:spacing w:before="0" w:after="283"/>
              <w:jc w:val="right"/>
              <w:rPr/>
            </w:pPr>
            <w:r>
              <w:rPr/>
              <w:t>(0.09</w:t>
            </w:r>
          </w:p>
        </w:tc>
        <w:tc>
          <w:tcPr>
            <w:tcW w:w="114" w:type="dxa"/>
            <w:tcBorders/>
            <w:shd w:fill="FFFFFF" w:val="clear"/>
            <w:vAlign w:val="center"/>
          </w:tcPr>
          <w:p>
            <w:pPr>
              <w:pStyle w:val="TableContents"/>
              <w:bidi w:val="0"/>
              <w:spacing w:before="0" w:after="283"/>
              <w:jc w:val="left"/>
              <w:rPr/>
            </w:pPr>
            <w:r>
              <w:rPr/>
              <w:t>)</w:t>
            </w:r>
            <w:bookmarkStart w:id="110" w:name="xdx_406_eus-gaap--WeightedAverageNumberO"/>
            <w:bookmarkEnd w:id="110"/>
          </w:p>
        </w:tc>
      </w:tr>
      <w:tr>
        <w:trPr/>
        <w:tc>
          <w:tcPr>
            <w:tcW w:w="6248" w:type="dxa"/>
            <w:tcBorders/>
            <w:shd w:fill="CCEEFF" w:val="clear"/>
            <w:vAlign w:val="center"/>
          </w:tcPr>
          <w:p>
            <w:pPr>
              <w:pStyle w:val="TableContents"/>
              <w:bidi w:val="0"/>
              <w:spacing w:before="0" w:after="283"/>
              <w:jc w:val="left"/>
              <w:rPr/>
            </w:pPr>
            <w:r>
              <w:rPr/>
              <w:t>Weighted average number of shares of common stock outstanding, basic and diluted</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10" w:type="dxa"/>
            <w:tcBorders>
              <w:bottom w:val="double" w:sz="6" w:space="0" w:color="000000"/>
            </w:tcBorders>
            <w:shd w:fill="CCEEFF" w:val="clear"/>
            <w:tcMar>
              <w:bottom w:w="28" w:type="dxa"/>
            </w:tcMar>
            <w:vAlign w:val="center"/>
          </w:tcPr>
          <w:p>
            <w:pPr>
              <w:pStyle w:val="TableContents"/>
              <w:bidi w:val="0"/>
              <w:spacing w:before="0" w:after="283"/>
              <w:jc w:val="right"/>
              <w:rPr/>
            </w:pPr>
            <w:r>
              <w:rPr/>
              <w:t>30,289,730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10" w:type="dxa"/>
            <w:tcBorders>
              <w:bottom w:val="double" w:sz="6" w:space="0" w:color="000000"/>
            </w:tcBorders>
            <w:shd w:fill="CCEEFF" w:val="clear"/>
            <w:tcMar>
              <w:bottom w:w="28" w:type="dxa"/>
            </w:tcMar>
            <w:vAlign w:val="center"/>
          </w:tcPr>
          <w:p>
            <w:pPr>
              <w:pStyle w:val="TableContents"/>
              <w:bidi w:val="0"/>
              <w:spacing w:before="0" w:after="283"/>
              <w:jc w:val="right"/>
              <w:rPr/>
            </w:pPr>
            <w:r>
              <w:rPr/>
              <w:t>27,226,819</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HARROW HEALTH, INC.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STOCKHOLDERS’ EQUITY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2023 and 2022</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1" w:name="xdx_30F_114_zrFXr4bpNGV2"/>
      <w:bookmarkStart w:id="112" w:name="xdx_30F_114_zrFXr4bpNGV2"/>
      <w:bookmarkEnd w:id="112"/>
    </w:p>
    <w:tbl>
      <w:tblPr>
        <w:tblW w:w="11175" w:type="dxa"/>
        <w:jc w:val="left"/>
        <w:tblInd w:w="0" w:type="dxa"/>
        <w:tblLayout w:type="fixed"/>
        <w:tblCellMar>
          <w:top w:w="0" w:type="dxa"/>
          <w:left w:w="0" w:type="dxa"/>
          <w:bottom w:w="0" w:type="dxa"/>
          <w:right w:w="0" w:type="dxa"/>
        </w:tblCellMar>
      </w:tblPr>
      <w:tblGrid>
        <w:gridCol w:w="1340"/>
        <w:gridCol w:w="60"/>
        <w:gridCol w:w="60"/>
        <w:gridCol w:w="1100"/>
        <w:gridCol w:w="95"/>
        <w:gridCol w:w="60"/>
        <w:gridCol w:w="140"/>
        <w:gridCol w:w="680"/>
        <w:gridCol w:w="95"/>
        <w:gridCol w:w="60"/>
        <w:gridCol w:w="140"/>
        <w:gridCol w:w="1220"/>
        <w:gridCol w:w="95"/>
        <w:gridCol w:w="60"/>
        <w:gridCol w:w="140"/>
        <w:gridCol w:w="1295"/>
        <w:gridCol w:w="95"/>
        <w:gridCol w:w="60"/>
        <w:gridCol w:w="150"/>
        <w:gridCol w:w="1100"/>
        <w:gridCol w:w="95"/>
        <w:gridCol w:w="60"/>
        <w:gridCol w:w="201"/>
        <w:gridCol w:w="1259"/>
        <w:gridCol w:w="95"/>
        <w:gridCol w:w="60"/>
        <w:gridCol w:w="141"/>
        <w:gridCol w:w="1109"/>
        <w:gridCol w:w="110"/>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3" w:name="xdx_4B7_us-gaap--StatementEquityComponen"/>
            <w:bookmarkEnd w:id="113"/>
          </w:p>
        </w:tc>
        <w:tc>
          <w:tcPr>
            <w:tcW w:w="8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4" w:name="xdx_4B5_us-gaap--StatementEquityComponen"/>
            <w:bookmarkEnd w:id="114"/>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5" w:name="xdx_4BE_us-gaap--StatementEquityComponen"/>
            <w:bookmarkEnd w:id="115"/>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6" w:name="xdx_4BC_us-gaap--StatementEquityComponen"/>
            <w:bookmarkEnd w:id="116"/>
          </w:p>
        </w:tc>
        <w:tc>
          <w:tcPr>
            <w:tcW w:w="1250" w:type="dxa"/>
            <w:gridSpan w:val="2"/>
            <w:tcBorders/>
            <w:vAlign w:val="center"/>
          </w:tcPr>
          <w:p>
            <w:pPr>
              <w:pStyle w:val="TableContents"/>
              <w:bidi w:val="0"/>
              <w:spacing w:before="0" w:after="283"/>
              <w:jc w:val="center"/>
              <w:rPr/>
            </w:pPr>
            <w:r>
              <w:rPr/>
              <w:t>Total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7" w:name="xdx_4B2_us-gaap--StatementEquityComponen"/>
            <w:bookmarkEnd w:id="117"/>
          </w:p>
        </w:tc>
        <w:tc>
          <w:tcPr>
            <w:tcW w:w="1460" w:type="dxa"/>
            <w:gridSpan w:val="2"/>
            <w:tcBorders/>
            <w:vAlign w:val="center"/>
          </w:tcPr>
          <w:p>
            <w:pPr>
              <w:pStyle w:val="TableContents"/>
              <w:bidi w:val="0"/>
              <w:spacing w:before="0" w:after="283"/>
              <w:jc w:val="center"/>
              <w:rPr/>
            </w:pPr>
            <w:r>
              <w:rPr/>
              <w:t>Total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8" w:name="xdx_4B9_zLoEi6F5B85k"/>
            <w:bookmarkEnd w:id="118"/>
          </w:p>
        </w:tc>
        <w:tc>
          <w:tcPr>
            <w:tcW w:w="125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5" w:type="dxa"/>
            <w:gridSpan w:val="6"/>
            <w:tcBorders>
              <w:bottom w:val="single" w:sz="12" w:space="0" w:color="000000"/>
            </w:tcBorders>
            <w:tcMar>
              <w:bottom w:w="28" w:type="dxa"/>
            </w:tcMar>
            <w:vAlign w:val="center"/>
          </w:tcPr>
          <w:p>
            <w:pPr>
              <w:pStyle w:val="TableContents"/>
              <w:bidi w:val="0"/>
              <w:spacing w:before="0" w:after="283"/>
              <w:jc w:val="center"/>
              <w:rPr/>
            </w:pPr>
            <w:r>
              <w:rPr/>
              <w:t>Common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pPr>
            <w:r>
              <w:rPr/>
              <w:t>Additional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pPr>
            <w:r>
              <w:rPr/>
              <w:t>Harrow Health, Inc.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pPr>
            <w:r>
              <w:rPr/>
              <w:t>Noncontrolling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pPr>
            <w:r>
              <w:rPr/>
              <w:t>Total</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Par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pPr>
            <w:r>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pPr>
            <w:r>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pPr>
            <w:r>
              <w:rPr/>
              <w:t>Stockholders’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pPr>
            <w:r>
              <w:rPr/>
              <w:t>Interest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pPr>
            <w:r>
              <w:rPr/>
              <w:t>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pPr>
            <w:r>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pPr>
            <w:r>
              <w:rPr/>
              <w:t>Value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pPr>
            <w:r>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pPr>
            <w:r>
              <w:rPr/>
              <w:t>Equity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12" w:space="0" w:color="000000"/>
            </w:tcBorders>
            <w:tcMar>
              <w:bottom w:w="28" w:type="dxa"/>
            </w:tcMar>
            <w:vAlign w:val="center"/>
          </w:tcPr>
          <w:p>
            <w:pPr>
              <w:pStyle w:val="TableContents"/>
              <w:bidi w:val="0"/>
              <w:spacing w:before="0" w:after="283"/>
              <w:jc w:val="center"/>
              <w:rPr/>
            </w:pPr>
            <w:r>
              <w:rPr/>
              <w:t>Equity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pPr>
            <w:r>
              <w:rPr/>
              <w:t>Equity</w:t>
            </w:r>
          </w:p>
        </w:tc>
        <w:tc>
          <w:tcPr>
            <w:tcW w:w="110" w:type="dxa"/>
            <w:tcBorders/>
            <w:vAlign w:val="center"/>
          </w:tcPr>
          <w:p>
            <w:pPr>
              <w:pStyle w:val="TableContents"/>
              <w:bidi w:val="0"/>
              <w:spacing w:before="0" w:after="283"/>
              <w:jc w:val="left"/>
              <w:rPr/>
            </w:pPr>
            <w:r>
              <w:rPr/>
              <w:t> </w:t>
            </w:r>
            <w:bookmarkStart w:id="119" w:name="xdx_43B_c20220101__20220331_eus-gaap--St"/>
            <w:bookmarkEnd w:id="119"/>
          </w:p>
        </w:tc>
      </w:tr>
      <w:tr>
        <w:trPr/>
        <w:tc>
          <w:tcPr>
            <w:tcW w:w="1340" w:type="dxa"/>
            <w:tcBorders/>
            <w:shd w:fill="CCEEFF" w:val="clear"/>
            <w:vAlign w:val="center"/>
          </w:tcPr>
          <w:p>
            <w:pPr>
              <w:pStyle w:val="TableContents"/>
              <w:bidi w:val="0"/>
              <w:spacing w:before="0" w:after="283"/>
              <w:jc w:val="left"/>
              <w:rPr/>
            </w:pPr>
            <w:r>
              <w:rPr/>
              <w:t>Balance at December 31, 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0" w:name="xdx_987_eus-gaap--SharesOutstanding_iS_p"/>
            <w:bookmarkEnd w:id="120"/>
          </w:p>
        </w:tc>
        <w:tc>
          <w:tcPr>
            <w:tcW w:w="1100" w:type="dxa"/>
            <w:tcBorders/>
            <w:shd w:fill="CCEEFF" w:val="clear"/>
            <w:vAlign w:val="center"/>
          </w:tcPr>
          <w:p>
            <w:pPr>
              <w:pStyle w:val="TableContents"/>
              <w:bidi w:val="0"/>
              <w:spacing w:before="0" w:after="283"/>
              <w:jc w:val="right"/>
              <w:rPr/>
            </w:pPr>
            <w:r>
              <w:rPr/>
              <w:t>26,902,763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106,666,000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(95,407,000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11,286,000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259" w:type="dxa"/>
            <w:tcBorders/>
            <w:shd w:fill="CCEEFF" w:val="clear"/>
            <w:vAlign w:val="center"/>
          </w:tcPr>
          <w:p>
            <w:pPr>
              <w:pStyle w:val="TableContents"/>
              <w:bidi w:val="0"/>
              <w:spacing w:before="0" w:after="283"/>
              <w:jc w:val="right"/>
              <w:rPr/>
            </w:pPr>
            <w:r>
              <w:rPr/>
              <w:t>(355,000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09" w:type="dxa"/>
            <w:tcBorders/>
            <w:shd w:fill="CCEEFF" w:val="clear"/>
            <w:vAlign w:val="center"/>
          </w:tcPr>
          <w:p>
            <w:pPr>
              <w:pStyle w:val="TableContents"/>
              <w:bidi w:val="0"/>
              <w:spacing w:before="0" w:after="283"/>
              <w:jc w:val="right"/>
              <w:rPr/>
            </w:pPr>
            <w:r>
              <w:rPr/>
              <w:t>10,931,000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Issuance of common stock in connection with: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1" w:name="xdx_40C_eus-gaap--StockIssuedDuringPerio"/>
            <w:bookmarkEnd w:id="121"/>
          </w:p>
        </w:tc>
      </w:tr>
      <w:tr>
        <w:trPr/>
        <w:tc>
          <w:tcPr>
            <w:tcW w:w="1340" w:type="dxa"/>
            <w:tcBorders/>
            <w:shd w:fill="FFFFFF" w:val="clear"/>
            <w:vAlign w:val="center"/>
          </w:tcPr>
          <w:p>
            <w:pPr>
              <w:pStyle w:val="TableContents"/>
              <w:bidi w:val="0"/>
              <w:spacing w:before="0" w:after="283"/>
              <w:jc w:val="left"/>
              <w:rPr/>
            </w:pPr>
            <w:r>
              <w:rPr/>
              <w:t>Exercise of employee stock-based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2" w:name="xdx_98E_eus-gaap--StockIssuedDuringPerio"/>
            <w:bookmarkEnd w:id="122"/>
          </w:p>
        </w:tc>
        <w:tc>
          <w:tcPr>
            <w:tcW w:w="1100" w:type="dxa"/>
            <w:tcBorders/>
            <w:shd w:fill="FFFFFF" w:val="clear"/>
            <w:vAlign w:val="center"/>
          </w:tcPr>
          <w:p>
            <w:pPr>
              <w:pStyle w:val="TableContents"/>
              <w:bidi w:val="0"/>
              <w:spacing w:before="0" w:after="283"/>
              <w:jc w:val="right"/>
              <w:rPr/>
            </w:pPr>
            <w:r>
              <w:rPr/>
              <w:t>89,986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4,000</w:t>
            </w:r>
          </w:p>
        </w:tc>
        <w:tc>
          <w:tcPr>
            <w:tcW w:w="110" w:type="dxa"/>
            <w:tcBorders/>
            <w:shd w:fill="FFFFFF" w:val="clear"/>
            <w:vAlign w:val="center"/>
          </w:tcPr>
          <w:p>
            <w:pPr>
              <w:pStyle w:val="TableContents"/>
              <w:bidi w:val="0"/>
              <w:spacing w:before="0" w:after="283"/>
              <w:jc w:val="left"/>
              <w:rPr/>
            </w:pPr>
            <w:r>
              <w:rPr/>
              <w:t> </w:t>
            </w:r>
            <w:bookmarkStart w:id="123" w:name="xdx_40E_eus-gaap--StockIssuedDuringPerio"/>
            <w:bookmarkEnd w:id="123"/>
          </w:p>
        </w:tc>
      </w:tr>
      <w:tr>
        <w:trPr/>
        <w:tc>
          <w:tcPr>
            <w:tcW w:w="1340" w:type="dxa"/>
            <w:tcBorders/>
            <w:shd w:fill="CCEEFF" w:val="clear"/>
            <w:vAlign w:val="center"/>
          </w:tcPr>
          <w:p>
            <w:pPr>
              <w:pStyle w:val="TableContents"/>
              <w:bidi w:val="0"/>
              <w:spacing w:before="0" w:after="283"/>
              <w:jc w:val="left"/>
              <w:rPr/>
            </w:pPr>
            <w:r>
              <w:rPr/>
              <w:t>Vesting of RSUs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4" w:name="xdx_984_eus-gaap--StockIssuedDuringPerio"/>
            <w:bookmarkEnd w:id="124"/>
          </w:p>
        </w:tc>
        <w:tc>
          <w:tcPr>
            <w:tcW w:w="1100" w:type="dxa"/>
            <w:tcBorders/>
            <w:shd w:fill="CCEEFF" w:val="clear"/>
            <w:vAlign w:val="center"/>
          </w:tcPr>
          <w:p>
            <w:pPr>
              <w:pStyle w:val="TableContents"/>
              <w:bidi w:val="0"/>
              <w:spacing w:before="0" w:after="283"/>
              <w:jc w:val="right"/>
              <w:rPr/>
            </w:pPr>
            <w:r>
              <w:rPr/>
              <w:t>135,000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25" w:name="xdx_402_eus-gaap--StockIssuedDuringPerio"/>
            <w:bookmarkEnd w:id="125"/>
          </w:p>
        </w:tc>
      </w:tr>
      <w:tr>
        <w:trPr/>
        <w:tc>
          <w:tcPr>
            <w:tcW w:w="1340" w:type="dxa"/>
            <w:tcBorders/>
            <w:shd w:fill="FFFFFF" w:val="clear"/>
            <w:vAlign w:val="center"/>
          </w:tcPr>
          <w:p>
            <w:pPr>
              <w:pStyle w:val="TableContents"/>
              <w:bidi w:val="0"/>
              <w:spacing w:before="0" w:after="283"/>
              <w:jc w:val="left"/>
              <w:rPr/>
            </w:pPr>
            <w:r>
              <w:rPr/>
              <w:t>Shares withheld related to net share settlement of equity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6" w:name="xdx_98F_eus-gaap--StockIssuedDuringPerio"/>
            <w:bookmarkEnd w:id="126"/>
          </w:p>
        </w:tc>
        <w:tc>
          <w:tcPr>
            <w:tcW w:w="1100" w:type="dxa"/>
            <w:tcBorders/>
            <w:shd w:fill="FFFFFF" w:val="clear"/>
            <w:vAlign w:val="center"/>
          </w:tcPr>
          <w:p>
            <w:pPr>
              <w:pStyle w:val="TableContents"/>
              <w:bidi w:val="0"/>
              <w:spacing w:before="0" w:after="283"/>
              <w:jc w:val="right"/>
              <w:rPr/>
            </w:pPr>
            <w:r>
              <w:rPr/>
              <w:t>(96,622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(776,000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(777,000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(777,000</w:t>
            </w:r>
          </w:p>
        </w:tc>
        <w:tc>
          <w:tcPr>
            <w:tcW w:w="110" w:type="dxa"/>
            <w:tcBorders/>
            <w:shd w:fill="FFFFFF" w:val="clear"/>
            <w:vAlign w:val="center"/>
          </w:tcPr>
          <w:p>
            <w:pPr>
              <w:pStyle w:val="TableContents"/>
              <w:bidi w:val="0"/>
              <w:spacing w:before="0" w:after="283"/>
              <w:jc w:val="left"/>
              <w:rPr/>
            </w:pPr>
            <w:r>
              <w:rPr/>
              <w:t>)</w:t>
            </w:r>
            <w:bookmarkStart w:id="127" w:name="xdx_40E_eus-gaap--AdjustmentsToAdditiona"/>
            <w:bookmarkEnd w:id="127"/>
          </w:p>
        </w:tc>
      </w:tr>
      <w:tr>
        <w:trPr/>
        <w:tc>
          <w:tcPr>
            <w:tcW w:w="1340" w:type="dxa"/>
            <w:tcBorders/>
            <w:shd w:fill="CCEEFF" w:val="clear"/>
            <w:vAlign w:val="center"/>
          </w:tcPr>
          <w:p>
            <w:pPr>
              <w:pStyle w:val="TableContents"/>
              <w:bidi w:val="0"/>
              <w:spacing w:before="0" w:after="283"/>
              <w:jc w:val="left"/>
              <w:rPr/>
            </w:pPr>
            <w:r>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2,016,000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2,016,000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2,016,000</w:t>
            </w:r>
          </w:p>
        </w:tc>
        <w:tc>
          <w:tcPr>
            <w:tcW w:w="110" w:type="dxa"/>
            <w:tcBorders/>
            <w:shd w:fill="CCEEFF" w:val="clear"/>
            <w:vAlign w:val="center"/>
          </w:tcPr>
          <w:p>
            <w:pPr>
              <w:pStyle w:val="TableContents"/>
              <w:bidi w:val="0"/>
              <w:spacing w:before="0" w:after="283"/>
              <w:jc w:val="left"/>
              <w:rPr/>
            </w:pPr>
            <w:r>
              <w:rPr/>
              <w:t> </w:t>
            </w:r>
            <w:bookmarkStart w:id="128" w:name="xdx_407_eus-gaap--NetIncomeLoss_zunImI2W"/>
            <w:bookmarkEnd w:id="128"/>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(2,438,000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(2,438,000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9" w:type="dxa"/>
            <w:tcBorders>
              <w:bottom w:val="single" w:sz="12" w:space="0" w:color="000000"/>
            </w:tcBorders>
            <w:shd w:fill="FFFFFF" w:val="clear"/>
            <w:tcMar>
              <w:bottom w:w="28" w:type="dxa"/>
            </w:tcMar>
            <w:vAlign w:val="center"/>
          </w:tcPr>
          <w:p>
            <w:pPr>
              <w:pStyle w:val="TableContents"/>
              <w:bidi w:val="0"/>
              <w:spacing w:before="0" w:after="283"/>
              <w:jc w:val="right"/>
              <w:rPr/>
            </w:pPr>
            <w:r>
              <w:rPr/>
              <w:t>(2,438,000</w:t>
            </w:r>
          </w:p>
        </w:tc>
        <w:tc>
          <w:tcPr>
            <w:tcW w:w="110" w:type="dxa"/>
            <w:tcBorders/>
            <w:shd w:fill="FFFFFF" w:val="clear"/>
            <w:vAlign w:val="center"/>
          </w:tcPr>
          <w:p>
            <w:pPr>
              <w:pStyle w:val="TableContents"/>
              <w:bidi w:val="0"/>
              <w:spacing w:before="0" w:after="283"/>
              <w:jc w:val="left"/>
              <w:rPr/>
            </w:pPr>
            <w:r>
              <w:rPr/>
              <w:t>)</w:t>
            </w:r>
            <w:bookmarkStart w:id="129" w:name="xdx_437_c20220101__20220331_eus-gaap--St"/>
            <w:bookmarkEnd w:id="129"/>
          </w:p>
        </w:tc>
      </w:tr>
      <w:tr>
        <w:trPr/>
        <w:tc>
          <w:tcPr>
            <w:tcW w:w="1340" w:type="dxa"/>
            <w:tcBorders/>
            <w:shd w:fill="CCEEFF" w:val="clear"/>
            <w:vAlign w:val="center"/>
          </w:tcPr>
          <w:p>
            <w:pPr>
              <w:pStyle w:val="TableContents"/>
              <w:bidi w:val="0"/>
              <w:spacing w:before="0" w:after="283"/>
              <w:jc w:val="left"/>
              <w:rPr/>
            </w:pPr>
            <w:r>
              <w:rPr/>
              <w:t>Balance at March 31, 2022</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30" w:name="xdx_98D_eus-gaap--SharesOutstanding_iE_p"/>
            <w:bookmarkEnd w:id="130"/>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27,031,127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27,000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107,909,000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(97,845,000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10,091,000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9" w:type="dxa"/>
            <w:tcBorders>
              <w:bottom w:val="double" w:sz="6" w:space="0" w:color="000000"/>
            </w:tcBorders>
            <w:shd w:fill="CCEEFF" w:val="clear"/>
            <w:tcMar>
              <w:bottom w:w="28" w:type="dxa"/>
            </w:tcMar>
            <w:vAlign w:val="center"/>
          </w:tcPr>
          <w:p>
            <w:pPr>
              <w:pStyle w:val="TableContents"/>
              <w:bidi w:val="0"/>
              <w:spacing w:before="0" w:after="283"/>
              <w:jc w:val="right"/>
              <w:rPr/>
            </w:pPr>
            <w:r>
              <w:rPr/>
              <w:t>(355,000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9" w:type="dxa"/>
            <w:tcBorders>
              <w:bottom w:val="double" w:sz="6" w:space="0" w:color="000000"/>
            </w:tcBorders>
            <w:shd w:fill="CCEEFF" w:val="clear"/>
            <w:tcMar>
              <w:bottom w:w="28" w:type="dxa"/>
            </w:tcMar>
            <w:vAlign w:val="center"/>
          </w:tcPr>
          <w:p>
            <w:pPr>
              <w:pStyle w:val="TableContents"/>
              <w:bidi w:val="0"/>
              <w:spacing w:before="0" w:after="283"/>
              <w:jc w:val="right"/>
              <w:rPr/>
            </w:pPr>
            <w:r>
              <w:rPr/>
              <w:t>9,736,000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1" w:name="xdx_431_c20230101__20230331_eus-gaap--St"/>
            <w:bookmarkEnd w:id="131"/>
          </w:p>
        </w:tc>
      </w:tr>
      <w:tr>
        <w:trPr/>
        <w:tc>
          <w:tcPr>
            <w:tcW w:w="1340" w:type="dxa"/>
            <w:tcBorders/>
            <w:shd w:fill="CCEEFF" w:val="clear"/>
            <w:vAlign w:val="center"/>
          </w:tcPr>
          <w:p>
            <w:pPr>
              <w:pStyle w:val="TableContents"/>
              <w:bidi w:val="0"/>
              <w:spacing w:before="0" w:after="283"/>
              <w:jc w:val="left"/>
              <w:rPr/>
            </w:pPr>
            <w:r>
              <w:rPr/>
              <w:t>Balance at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2" w:name="xdx_980_eus-gaap--SharesOutstanding_iS_p"/>
            <w:bookmarkEnd w:id="132"/>
          </w:p>
        </w:tc>
        <w:tc>
          <w:tcPr>
            <w:tcW w:w="1100" w:type="dxa"/>
            <w:tcBorders/>
            <w:shd w:fill="CCEEFF" w:val="clear"/>
            <w:vAlign w:val="center"/>
          </w:tcPr>
          <w:p>
            <w:pPr>
              <w:pStyle w:val="TableContents"/>
              <w:bidi w:val="0"/>
              <w:spacing w:before="0" w:after="283"/>
              <w:jc w:val="right"/>
              <w:rPr/>
            </w:pPr>
            <w:r>
              <w:rPr/>
              <w:t>29,901,530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137,058,000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(109,493,000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27,595,000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259" w:type="dxa"/>
            <w:tcBorders/>
            <w:shd w:fill="CCEEFF" w:val="clear"/>
            <w:vAlign w:val="center"/>
          </w:tcPr>
          <w:p>
            <w:pPr>
              <w:pStyle w:val="TableContents"/>
              <w:bidi w:val="0"/>
              <w:spacing w:before="0" w:after="283"/>
              <w:jc w:val="right"/>
              <w:rPr/>
            </w:pPr>
            <w:r>
              <w:rPr/>
              <w:t>(355,000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09" w:type="dxa"/>
            <w:tcBorders/>
            <w:shd w:fill="CCEEFF" w:val="clear"/>
            <w:vAlign w:val="center"/>
          </w:tcPr>
          <w:p>
            <w:pPr>
              <w:pStyle w:val="TableContents"/>
              <w:bidi w:val="0"/>
              <w:spacing w:before="0" w:after="283"/>
              <w:jc w:val="right"/>
              <w:rPr/>
            </w:pPr>
            <w:r>
              <w:rPr/>
              <w:t>27,240,000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Issuance of common stock in connection with: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3" w:name="xdx_40B_eus-gaap--StockIssuedDuringPerio"/>
            <w:bookmarkEnd w:id="133"/>
          </w:p>
        </w:tc>
      </w:tr>
      <w:tr>
        <w:trPr/>
        <w:tc>
          <w:tcPr>
            <w:tcW w:w="1340" w:type="dxa"/>
            <w:tcBorders/>
            <w:shd w:fill="FFFFFF" w:val="clear"/>
            <w:vAlign w:val="center"/>
          </w:tcPr>
          <w:p>
            <w:pPr>
              <w:pStyle w:val="TableContents"/>
              <w:bidi w:val="0"/>
              <w:spacing w:before="0" w:after="283"/>
              <w:jc w:val="left"/>
              <w:rPr/>
            </w:pPr>
            <w:r>
              <w:rPr/>
              <w:t>Exercise of employee stock-based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34" w:name="xdx_988_eus-gaap--StockIssuedDuringPerio"/>
            <w:bookmarkEnd w:id="134"/>
          </w:p>
        </w:tc>
        <w:tc>
          <w:tcPr>
            <w:tcW w:w="1100" w:type="dxa"/>
            <w:tcBorders/>
            <w:shd w:fill="FFFFFF" w:val="clear"/>
            <w:vAlign w:val="center"/>
          </w:tcPr>
          <w:p>
            <w:pPr>
              <w:pStyle w:val="TableContents"/>
              <w:bidi w:val="0"/>
              <w:spacing w:before="0" w:after="283"/>
              <w:jc w:val="right"/>
              <w:rPr/>
            </w:pPr>
            <w:r>
              <w:rPr/>
              <w:t>97,542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148,000</w:t>
            </w:r>
          </w:p>
        </w:tc>
        <w:tc>
          <w:tcPr>
            <w:tcW w:w="110" w:type="dxa"/>
            <w:tcBorders/>
            <w:shd w:fill="FFFFFF" w:val="clear"/>
            <w:vAlign w:val="center"/>
          </w:tcPr>
          <w:p>
            <w:pPr>
              <w:pStyle w:val="TableContents"/>
              <w:bidi w:val="0"/>
              <w:spacing w:before="0" w:after="283"/>
              <w:jc w:val="left"/>
              <w:rPr/>
            </w:pPr>
            <w:r>
              <w:rPr/>
              <w:t> </w:t>
            </w:r>
            <w:bookmarkStart w:id="135" w:name="xdx_407_eus-gaap--StockIssuedDuringPerio"/>
            <w:bookmarkEnd w:id="135"/>
          </w:p>
        </w:tc>
      </w:tr>
      <w:tr>
        <w:trPr/>
        <w:tc>
          <w:tcPr>
            <w:tcW w:w="1340" w:type="dxa"/>
            <w:tcBorders/>
            <w:shd w:fill="CCEEFF" w:val="clear"/>
            <w:vAlign w:val="center"/>
          </w:tcPr>
          <w:p>
            <w:pPr>
              <w:pStyle w:val="TableContents"/>
              <w:bidi w:val="0"/>
              <w:spacing w:before="0" w:after="283"/>
              <w:jc w:val="left"/>
              <w:rPr/>
            </w:pPr>
            <w:r>
              <w:rPr/>
              <w:t>Vesting of RSUs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6" w:name="xdx_98D_eus-gaap--StockIssuedDuringPerio"/>
            <w:bookmarkEnd w:id="136"/>
          </w:p>
        </w:tc>
        <w:tc>
          <w:tcPr>
            <w:tcW w:w="1100" w:type="dxa"/>
            <w:tcBorders/>
            <w:shd w:fill="CCEEFF" w:val="clear"/>
            <w:vAlign w:val="center"/>
          </w:tcPr>
          <w:p>
            <w:pPr>
              <w:pStyle w:val="TableContents"/>
              <w:bidi w:val="0"/>
              <w:spacing w:before="0" w:after="283"/>
              <w:jc w:val="right"/>
              <w:rPr/>
            </w:pPr>
            <w:r>
              <w:rPr/>
              <w:t>111,000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37" w:name="xdx_409_eus-gaap--StockIssuedDuringPerio"/>
            <w:bookmarkEnd w:id="137"/>
          </w:p>
        </w:tc>
      </w:tr>
      <w:tr>
        <w:trPr/>
        <w:tc>
          <w:tcPr>
            <w:tcW w:w="1340" w:type="dxa"/>
            <w:tcBorders/>
            <w:shd w:fill="FFFFFF" w:val="clear"/>
            <w:vAlign w:val="center"/>
          </w:tcPr>
          <w:p>
            <w:pPr>
              <w:pStyle w:val="TableContents"/>
              <w:bidi w:val="0"/>
              <w:spacing w:before="0" w:after="283"/>
              <w:jc w:val="left"/>
              <w:rPr/>
            </w:pPr>
            <w:r>
              <w:rPr/>
              <w:t>Shares withheld related to net share settlement of equity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38" w:name="xdx_989_eus-gaap--StockIssuedDuringPerio"/>
            <w:bookmarkEnd w:id="138"/>
          </w:p>
        </w:tc>
        <w:tc>
          <w:tcPr>
            <w:tcW w:w="1100" w:type="dxa"/>
            <w:tcBorders/>
            <w:shd w:fill="FFFFFF" w:val="clear"/>
            <w:vAlign w:val="center"/>
          </w:tcPr>
          <w:p>
            <w:pPr>
              <w:pStyle w:val="TableContents"/>
              <w:bidi w:val="0"/>
              <w:spacing w:before="0" w:after="283"/>
              <w:jc w:val="right"/>
              <w:rPr/>
            </w:pPr>
            <w:r>
              <w:rPr/>
              <w:t>(53,702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(850,000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(850,000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(850,000</w:t>
            </w:r>
          </w:p>
        </w:tc>
        <w:tc>
          <w:tcPr>
            <w:tcW w:w="110" w:type="dxa"/>
            <w:tcBorders/>
            <w:shd w:fill="FFFFFF" w:val="clear"/>
            <w:vAlign w:val="center"/>
          </w:tcPr>
          <w:p>
            <w:pPr>
              <w:pStyle w:val="TableContents"/>
              <w:bidi w:val="0"/>
              <w:spacing w:before="0" w:after="283"/>
              <w:jc w:val="left"/>
              <w:rPr/>
            </w:pPr>
            <w:r>
              <w:rPr/>
              <w:t>)</w:t>
            </w:r>
            <w:bookmarkStart w:id="139" w:name="xdx_40D_eus-gaap--AdjustmentsToAdditiona"/>
            <w:bookmarkEnd w:id="139"/>
          </w:p>
        </w:tc>
      </w:tr>
      <w:tr>
        <w:trPr/>
        <w:tc>
          <w:tcPr>
            <w:tcW w:w="1340" w:type="dxa"/>
            <w:tcBorders/>
            <w:shd w:fill="CCEEFF" w:val="clear"/>
            <w:vAlign w:val="center"/>
          </w:tcPr>
          <w:p>
            <w:pPr>
              <w:pStyle w:val="TableContents"/>
              <w:bidi w:val="0"/>
              <w:spacing w:before="0" w:after="283"/>
              <w:jc w:val="left"/>
              <w:rPr/>
            </w:pPr>
            <w:r>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1,633,000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1,633,000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1,633,000</w:t>
            </w:r>
          </w:p>
        </w:tc>
        <w:tc>
          <w:tcPr>
            <w:tcW w:w="110" w:type="dxa"/>
            <w:tcBorders/>
            <w:shd w:fill="CCEEFF" w:val="clear"/>
            <w:vAlign w:val="center"/>
          </w:tcPr>
          <w:p>
            <w:pPr>
              <w:pStyle w:val="TableContents"/>
              <w:bidi w:val="0"/>
              <w:spacing w:before="0" w:after="283"/>
              <w:jc w:val="left"/>
              <w:rPr/>
            </w:pPr>
            <w:r>
              <w:rPr/>
              <w:t> </w:t>
            </w:r>
            <w:bookmarkStart w:id="140" w:name="xdx_408_eus-gaap--NetIncomeLoss_z8ExF5dz"/>
            <w:bookmarkEnd w:id="140"/>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(6,643,000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(6,643,000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9" w:type="dxa"/>
            <w:tcBorders>
              <w:bottom w:val="single" w:sz="12" w:space="0" w:color="000000"/>
            </w:tcBorders>
            <w:shd w:fill="FFFFFF" w:val="clear"/>
            <w:tcMar>
              <w:bottom w:w="28" w:type="dxa"/>
            </w:tcMar>
            <w:vAlign w:val="center"/>
          </w:tcPr>
          <w:p>
            <w:pPr>
              <w:pStyle w:val="TableContents"/>
              <w:bidi w:val="0"/>
              <w:spacing w:before="0" w:after="283"/>
              <w:jc w:val="right"/>
              <w:rPr/>
            </w:pPr>
            <w:r>
              <w:rPr/>
              <w:t>(6,643,000</w:t>
            </w:r>
          </w:p>
        </w:tc>
        <w:tc>
          <w:tcPr>
            <w:tcW w:w="110" w:type="dxa"/>
            <w:tcBorders/>
            <w:shd w:fill="FFFFFF" w:val="clear"/>
            <w:vAlign w:val="center"/>
          </w:tcPr>
          <w:p>
            <w:pPr>
              <w:pStyle w:val="TableContents"/>
              <w:bidi w:val="0"/>
              <w:spacing w:before="0" w:after="283"/>
              <w:jc w:val="left"/>
              <w:rPr/>
            </w:pPr>
            <w:r>
              <w:rPr/>
              <w:t>)</w:t>
            </w:r>
            <w:bookmarkStart w:id="141" w:name="xdx_43E_c20230101__20230331_eus-gaap--St"/>
            <w:bookmarkEnd w:id="141"/>
          </w:p>
        </w:tc>
      </w:tr>
      <w:tr>
        <w:trPr/>
        <w:tc>
          <w:tcPr>
            <w:tcW w:w="1340" w:type="dxa"/>
            <w:tcBorders/>
            <w:shd w:fill="CCEEFF" w:val="clear"/>
            <w:vAlign w:val="center"/>
          </w:tcPr>
          <w:p>
            <w:pPr>
              <w:pStyle w:val="TableContents"/>
              <w:bidi w:val="0"/>
              <w:spacing w:before="0" w:after="283"/>
              <w:jc w:val="left"/>
              <w:rPr/>
            </w:pPr>
            <w:r>
              <w:rPr/>
              <w:t>Balance at March 31,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42" w:name="xdx_985_eus-gaap--SharesOutstanding_iE_p"/>
            <w:bookmarkEnd w:id="142"/>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30,056,370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30,000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137,989,000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(116,136,000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21,883,000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9" w:type="dxa"/>
            <w:tcBorders>
              <w:bottom w:val="double" w:sz="6" w:space="0" w:color="000000"/>
            </w:tcBorders>
            <w:shd w:fill="CCEEFF" w:val="clear"/>
            <w:tcMar>
              <w:bottom w:w="28" w:type="dxa"/>
            </w:tcMar>
            <w:vAlign w:val="center"/>
          </w:tcPr>
          <w:p>
            <w:pPr>
              <w:pStyle w:val="TableContents"/>
              <w:bidi w:val="0"/>
              <w:spacing w:before="0" w:after="283"/>
              <w:jc w:val="right"/>
              <w:rPr/>
            </w:pPr>
            <w:r>
              <w:rPr/>
              <w:t>(355,000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9" w:type="dxa"/>
            <w:tcBorders>
              <w:bottom w:val="double" w:sz="6" w:space="0" w:color="000000"/>
            </w:tcBorders>
            <w:shd w:fill="CCEEFF" w:val="clear"/>
            <w:tcMar>
              <w:bottom w:w="28" w:type="dxa"/>
            </w:tcMar>
            <w:vAlign w:val="center"/>
          </w:tcPr>
          <w:p>
            <w:pPr>
              <w:pStyle w:val="TableContents"/>
              <w:bidi w:val="0"/>
              <w:spacing w:before="0" w:after="283"/>
              <w:jc w:val="right"/>
              <w:rPr/>
            </w:pPr>
            <w:r>
              <w:rPr/>
              <w:t>21,528,000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accompanying notes are an integral part of these unaudited condensed consolidated financial statements </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HEALTH,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CONDENSED CONSOLIDATED STATEMENTS OF CASH FLOWS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43" w:name="xdx_300_112_z5iq4T6Zs6s7"/>
      <w:bookmarkStart w:id="144" w:name="xdx_300_112_z5iq4T6Zs6s7"/>
      <w:bookmarkEnd w:id="144"/>
    </w:p>
    <w:tbl>
      <w:tblPr>
        <w:tblW w:w="10205" w:type="dxa"/>
        <w:jc w:val="left"/>
        <w:tblInd w:w="0" w:type="dxa"/>
        <w:tblLayout w:type="fixed"/>
        <w:tblCellMar>
          <w:top w:w="0" w:type="dxa"/>
          <w:left w:w="0" w:type="dxa"/>
          <w:bottom w:w="0" w:type="dxa"/>
          <w:right w:w="0" w:type="dxa"/>
        </w:tblCellMar>
      </w:tblPr>
      <w:tblGrid>
        <w:gridCol w:w="7205"/>
        <w:gridCol w:w="60"/>
        <w:gridCol w:w="140"/>
        <w:gridCol w:w="1295"/>
        <w:gridCol w:w="95"/>
        <w:gridCol w:w="60"/>
        <w:gridCol w:w="140"/>
        <w:gridCol w:w="1100"/>
        <w:gridCol w:w="110"/>
      </w:tblGrid>
      <w:tr>
        <w:trPr/>
        <w:tc>
          <w:tcPr>
            <w:tcW w:w="7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5" w:name="xdx_49D_20230101__20230331_zWHONe0UcIDc"/>
            <w:bookmarkEnd w:id="145"/>
          </w:p>
        </w:tc>
        <w:tc>
          <w:tcPr>
            <w:tcW w:w="1435"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6" w:name="xdx_490_20220101__20220331_zmcijzmXg9zg"/>
            <w:bookmarkEnd w:id="146"/>
          </w:p>
        </w:tc>
        <w:tc>
          <w:tcPr>
            <w:tcW w:w="1240"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110" w:type="dxa"/>
            <w:tcBorders/>
            <w:vAlign w:val="center"/>
          </w:tcPr>
          <w:p>
            <w:pPr>
              <w:pStyle w:val="TableContents"/>
              <w:bidi w:val="0"/>
              <w:spacing w:before="0" w:after="283"/>
              <w:jc w:val="left"/>
              <w:rPr/>
            </w:pPr>
            <w:r>
              <w:rPr/>
              <w:t> </w:t>
            </w:r>
          </w:p>
        </w:tc>
      </w:tr>
      <w:tr>
        <w:trPr/>
        <w:tc>
          <w:tcPr>
            <w:tcW w:w="7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0" w:type="dxa"/>
            <w:gridSpan w:val="6"/>
            <w:tcBorders/>
            <w:vAlign w:val="center"/>
          </w:tcPr>
          <w:p>
            <w:pPr>
              <w:pStyle w:val="TableContents"/>
              <w:bidi w:val="0"/>
              <w:spacing w:before="0" w:after="283"/>
              <w:jc w:val="center"/>
              <w:rPr/>
            </w:pPr>
            <w:r>
              <w:rPr/>
              <w:t>For the Three Months Ended</w:t>
            </w:r>
          </w:p>
        </w:tc>
        <w:tc>
          <w:tcPr>
            <w:tcW w:w="110" w:type="dxa"/>
            <w:tcBorders/>
            <w:vAlign w:val="center"/>
          </w:tcPr>
          <w:p>
            <w:pPr>
              <w:pStyle w:val="TableContents"/>
              <w:bidi w:val="0"/>
              <w:spacing w:before="0" w:after="283"/>
              <w:jc w:val="left"/>
              <w:rPr/>
            </w:pPr>
            <w:r>
              <w:rPr/>
              <w:t> </w:t>
            </w:r>
          </w:p>
        </w:tc>
      </w:tr>
      <w:tr>
        <w:trPr/>
        <w:tc>
          <w:tcPr>
            <w:tcW w:w="7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0" w:type="dxa"/>
            <w:gridSpan w:val="6"/>
            <w:tcBorders/>
            <w:vAlign w:val="center"/>
          </w:tcPr>
          <w:p>
            <w:pPr>
              <w:pStyle w:val="TableContents"/>
              <w:bidi w:val="0"/>
              <w:spacing w:before="0" w:after="283"/>
              <w:jc w:val="center"/>
              <w:rPr/>
            </w:pPr>
            <w:r>
              <w:rPr/>
              <w:t>March 31,</w:t>
            </w:r>
          </w:p>
        </w:tc>
        <w:tc>
          <w:tcPr>
            <w:tcW w:w="110" w:type="dxa"/>
            <w:tcBorders/>
            <w:vAlign w:val="center"/>
          </w:tcPr>
          <w:p>
            <w:pPr>
              <w:pStyle w:val="TableContents"/>
              <w:bidi w:val="0"/>
              <w:spacing w:before="0" w:after="283"/>
              <w:jc w:val="left"/>
              <w:rPr/>
            </w:pPr>
            <w:r>
              <w:rPr/>
              <w:t> </w:t>
            </w:r>
          </w:p>
        </w:tc>
      </w:tr>
      <w:tr>
        <w:trPr/>
        <w:tc>
          <w:tcPr>
            <w:tcW w:w="7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110" w:type="dxa"/>
            <w:tcBorders/>
            <w:vAlign w:val="center"/>
          </w:tcPr>
          <w:p>
            <w:pPr>
              <w:pStyle w:val="TableContents"/>
              <w:bidi w:val="0"/>
              <w:spacing w:before="0" w:after="283"/>
              <w:jc w:val="left"/>
              <w:rPr/>
            </w:pPr>
            <w:r>
              <w:rPr/>
              <w:t> </w:t>
            </w:r>
          </w:p>
        </w:tc>
      </w:tr>
      <w:tr>
        <w:trPr/>
        <w:tc>
          <w:tcPr>
            <w:tcW w:w="7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47" w:name="xdx_40C_eus-gaap--NetCashProvidedByUsedI"/>
            <w:bookmarkEnd w:id="147"/>
          </w:p>
        </w:tc>
      </w:tr>
      <w:tr>
        <w:trPr/>
        <w:tc>
          <w:tcPr>
            <w:tcW w:w="7205" w:type="dxa"/>
            <w:tcBorders/>
            <w:shd w:fill="CCEEFF" w:val="clear"/>
            <w:vAlign w:val="center"/>
          </w:tcPr>
          <w:p>
            <w:pPr>
              <w:pStyle w:val="TableContents"/>
              <w:bidi w:val="0"/>
              <w:spacing w:before="0" w:after="283"/>
              <w:jc w:val="left"/>
              <w:rPr/>
            </w:pPr>
            <w:r>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8" w:name="xdx_40B_eus-gaap--NetIncomeLoss_i01_pp0p"/>
            <w:bookmarkEnd w:id="148"/>
          </w:p>
        </w:tc>
      </w:tr>
      <w:tr>
        <w:trPr/>
        <w:tc>
          <w:tcPr>
            <w:tcW w:w="720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(6,643,000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(2,438,000</w:t>
            </w:r>
          </w:p>
        </w:tc>
        <w:tc>
          <w:tcPr>
            <w:tcW w:w="110" w:type="dxa"/>
            <w:tcBorders/>
            <w:shd w:fill="FFFFFF" w:val="clear"/>
            <w:vAlign w:val="center"/>
          </w:tcPr>
          <w:p>
            <w:pPr>
              <w:pStyle w:val="TableContents"/>
              <w:bidi w:val="0"/>
              <w:spacing w:before="0" w:after="283"/>
              <w:jc w:val="left"/>
              <w:rPr/>
            </w:pPr>
            <w:r>
              <w:rPr/>
              <w:t>)</w:t>
            </w:r>
            <w:bookmarkStart w:id="149" w:name="xdx_409_eus-gaap--AdjustmentsToReconcile"/>
            <w:bookmarkEnd w:id="149"/>
          </w:p>
        </w:tc>
      </w:tr>
      <w:tr>
        <w:trPr/>
        <w:tc>
          <w:tcPr>
            <w:tcW w:w="7205" w:type="dxa"/>
            <w:tcBorders/>
            <w:shd w:fill="CCEEFF" w:val="clear"/>
            <w:vAlign w:val="center"/>
          </w:tcPr>
          <w:p>
            <w:pPr>
              <w:pStyle w:val="TableContents"/>
              <w:bidi w:val="0"/>
              <w:spacing w:before="0" w:after="283"/>
              <w:jc w:val="left"/>
              <w:rPr/>
            </w:pPr>
            <w:r>
              <w:rPr/>
              <w:t>Adjustments to reconcile net loss to net cash (used in) provided by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0" w:name="xdx_407_eus-gaap--DepreciationAndAmortiz"/>
            <w:bookmarkEnd w:id="150"/>
          </w:p>
        </w:tc>
      </w:tr>
      <w:tr>
        <w:trPr/>
        <w:tc>
          <w:tcPr>
            <w:tcW w:w="7205" w:type="dxa"/>
            <w:tcBorders/>
            <w:shd w:fill="FFFFFF" w:val="clear"/>
            <w:vAlign w:val="center"/>
          </w:tcPr>
          <w:p>
            <w:pPr>
              <w:pStyle w:val="TableContents"/>
              <w:bidi w:val="0"/>
              <w:spacing w:before="0" w:after="283"/>
              <w:jc w:val="left"/>
              <w:rPr/>
            </w:pPr>
            <w:r>
              <w:rPr/>
              <w:t>Depreciation and amortization of property, plant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292,000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419,000</w:t>
            </w:r>
          </w:p>
        </w:tc>
        <w:tc>
          <w:tcPr>
            <w:tcW w:w="110" w:type="dxa"/>
            <w:tcBorders/>
            <w:shd w:fill="FFFFFF" w:val="clear"/>
            <w:vAlign w:val="center"/>
          </w:tcPr>
          <w:p>
            <w:pPr>
              <w:pStyle w:val="TableContents"/>
              <w:bidi w:val="0"/>
              <w:spacing w:before="0" w:after="283"/>
              <w:jc w:val="left"/>
              <w:rPr/>
            </w:pPr>
            <w:r>
              <w:rPr/>
              <w:t> </w:t>
            </w:r>
            <w:bookmarkStart w:id="151" w:name="xdx_40F_eus-gaap--AmortizationOfIntangib"/>
            <w:bookmarkEnd w:id="151"/>
          </w:p>
        </w:tc>
      </w:tr>
      <w:tr>
        <w:trPr/>
        <w:tc>
          <w:tcPr>
            <w:tcW w:w="7205"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2,207,000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404,000</w:t>
            </w:r>
          </w:p>
        </w:tc>
        <w:tc>
          <w:tcPr>
            <w:tcW w:w="110" w:type="dxa"/>
            <w:tcBorders/>
            <w:shd w:fill="CCEEFF" w:val="clear"/>
            <w:vAlign w:val="center"/>
          </w:tcPr>
          <w:p>
            <w:pPr>
              <w:pStyle w:val="TableContents"/>
              <w:bidi w:val="0"/>
              <w:spacing w:before="0" w:after="283"/>
              <w:jc w:val="left"/>
              <w:rPr/>
            </w:pPr>
            <w:r>
              <w:rPr/>
              <w:t> </w:t>
            </w:r>
            <w:bookmarkStart w:id="152" w:name="xdx_40C_eus-gaap--OperatingLeaseRightOfU"/>
            <w:bookmarkEnd w:id="152"/>
          </w:p>
        </w:tc>
      </w:tr>
      <w:tr>
        <w:trPr/>
        <w:tc>
          <w:tcPr>
            <w:tcW w:w="7205" w:type="dxa"/>
            <w:tcBorders/>
            <w:shd w:fill="FFFFFF" w:val="clear"/>
            <w:vAlign w:val="center"/>
          </w:tcPr>
          <w:p>
            <w:pPr>
              <w:pStyle w:val="TableContents"/>
              <w:bidi w:val="0"/>
              <w:spacing w:before="0" w:after="283"/>
              <w:jc w:val="left"/>
              <w:rPr/>
            </w:pPr>
            <w:r>
              <w:rPr/>
              <w:t>Amortization of operating lease 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177,000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124,000</w:t>
            </w:r>
          </w:p>
        </w:tc>
        <w:tc>
          <w:tcPr>
            <w:tcW w:w="110" w:type="dxa"/>
            <w:tcBorders/>
            <w:shd w:fill="FFFFFF" w:val="clear"/>
            <w:vAlign w:val="center"/>
          </w:tcPr>
          <w:p>
            <w:pPr>
              <w:pStyle w:val="TableContents"/>
              <w:bidi w:val="0"/>
              <w:spacing w:before="0" w:after="283"/>
              <w:jc w:val="left"/>
              <w:rPr/>
            </w:pPr>
            <w:r>
              <w:rPr/>
              <w:t> </w:t>
            </w:r>
            <w:bookmarkStart w:id="153" w:name="xdx_400_eus-gaap--ProvisionForDoubtfulAc"/>
            <w:bookmarkEnd w:id="153"/>
          </w:p>
        </w:tc>
      </w:tr>
      <w:tr>
        <w:trPr/>
        <w:tc>
          <w:tcPr>
            <w:tcW w:w="7205" w:type="dxa"/>
            <w:tcBorders/>
            <w:shd w:fill="CCEEFF" w:val="clear"/>
            <w:vAlign w:val="center"/>
          </w:tcPr>
          <w:p>
            <w:pPr>
              <w:pStyle w:val="TableContents"/>
              <w:bidi w:val="0"/>
              <w:spacing w:before="0" w:after="283"/>
              <w:jc w:val="left"/>
              <w:rPr/>
            </w:pPr>
            <w:r>
              <w:rPr/>
              <w:t>Provision for bad debt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10,000</w:t>
            </w:r>
          </w:p>
        </w:tc>
        <w:tc>
          <w:tcPr>
            <w:tcW w:w="110" w:type="dxa"/>
            <w:tcBorders/>
            <w:shd w:fill="CCEEFF" w:val="clear"/>
            <w:vAlign w:val="center"/>
          </w:tcPr>
          <w:p>
            <w:pPr>
              <w:pStyle w:val="TableContents"/>
              <w:bidi w:val="0"/>
              <w:spacing w:before="0" w:after="283"/>
              <w:jc w:val="left"/>
              <w:rPr/>
            </w:pPr>
            <w:r>
              <w:rPr/>
              <w:t> </w:t>
            </w:r>
            <w:bookmarkStart w:id="154" w:name="xdx_40D_eus-gaap--AmortizationOfFinancin"/>
            <w:bookmarkEnd w:id="154"/>
          </w:p>
        </w:tc>
      </w:tr>
      <w:tr>
        <w:trPr/>
        <w:tc>
          <w:tcPr>
            <w:tcW w:w="7205" w:type="dxa"/>
            <w:tcBorders/>
            <w:shd w:fill="FFFFFF" w:val="clear"/>
            <w:vAlign w:val="center"/>
          </w:tcPr>
          <w:p>
            <w:pPr>
              <w:pStyle w:val="TableContents"/>
              <w:bidi w:val="0"/>
              <w:spacing w:before="0" w:after="283"/>
              <w:jc w:val="left"/>
              <w:rPr/>
            </w:pPr>
            <w:r>
              <w:rPr/>
              <w:t>Amortization of debt issuance costs and debt discount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761,000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193,000</w:t>
            </w:r>
          </w:p>
        </w:tc>
        <w:tc>
          <w:tcPr>
            <w:tcW w:w="110" w:type="dxa"/>
            <w:tcBorders/>
            <w:shd w:fill="FFFFFF" w:val="clear"/>
            <w:vAlign w:val="center"/>
          </w:tcPr>
          <w:p>
            <w:pPr>
              <w:pStyle w:val="TableContents"/>
              <w:bidi w:val="0"/>
              <w:spacing w:before="0" w:after="283"/>
              <w:jc w:val="left"/>
              <w:rPr/>
            </w:pPr>
            <w:r>
              <w:rPr/>
              <w:t> </w:t>
            </w:r>
            <w:bookmarkStart w:id="155" w:name="xdx_40C_eus-gaap--GainLossOnInvestments_"/>
            <w:bookmarkEnd w:id="155"/>
          </w:p>
        </w:tc>
      </w:tr>
      <w:tr>
        <w:trPr/>
        <w:tc>
          <w:tcPr>
            <w:tcW w:w="7205" w:type="dxa"/>
            <w:tcBorders/>
            <w:shd w:fill="CCEEFF" w:val="clear"/>
            <w:vAlign w:val="center"/>
          </w:tcPr>
          <w:p>
            <w:pPr>
              <w:pStyle w:val="TableContents"/>
              <w:bidi w:val="0"/>
              <w:spacing w:before="0" w:after="283"/>
              <w:jc w:val="left"/>
              <w:rPr/>
            </w:pPr>
            <w:r>
              <w:rPr/>
              <w:t>Investment gain from investment in Eton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(2,042,000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(139,000</w:t>
            </w:r>
          </w:p>
        </w:tc>
        <w:tc>
          <w:tcPr>
            <w:tcW w:w="110" w:type="dxa"/>
            <w:tcBorders/>
            <w:shd w:fill="CCEEFF" w:val="clear"/>
            <w:vAlign w:val="center"/>
          </w:tcPr>
          <w:p>
            <w:pPr>
              <w:pStyle w:val="TableContents"/>
              <w:bidi w:val="0"/>
              <w:spacing w:before="0" w:after="283"/>
              <w:jc w:val="left"/>
              <w:rPr/>
            </w:pPr>
            <w:r>
              <w:rPr/>
              <w:t>)</w:t>
            </w:r>
            <w:bookmarkStart w:id="156" w:name="xdx_408_ecustom--EquityInLossesOfUnconso"/>
            <w:bookmarkEnd w:id="156"/>
          </w:p>
        </w:tc>
      </w:tr>
      <w:tr>
        <w:trPr/>
        <w:tc>
          <w:tcPr>
            <w:tcW w:w="7205" w:type="dxa"/>
            <w:tcBorders/>
            <w:shd w:fill="FFFFFF" w:val="clear"/>
            <w:vAlign w:val="center"/>
          </w:tcPr>
          <w:p>
            <w:pPr>
              <w:pStyle w:val="TableContents"/>
              <w:bidi w:val="0"/>
              <w:spacing w:before="0" w:after="283"/>
              <w:jc w:val="left"/>
              <w:rPr/>
            </w:pPr>
            <w:r>
              <w:rPr/>
              <w:t>Equity in losses of unconsolidated entities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2,886,000</w:t>
            </w:r>
          </w:p>
        </w:tc>
        <w:tc>
          <w:tcPr>
            <w:tcW w:w="110" w:type="dxa"/>
            <w:tcBorders/>
            <w:shd w:fill="FFFFFF" w:val="clear"/>
            <w:vAlign w:val="center"/>
          </w:tcPr>
          <w:p>
            <w:pPr>
              <w:pStyle w:val="TableContents"/>
              <w:bidi w:val="0"/>
              <w:spacing w:before="0" w:after="283"/>
              <w:jc w:val="left"/>
              <w:rPr/>
            </w:pPr>
            <w:r>
              <w:rPr/>
              <w:t> </w:t>
            </w:r>
            <w:bookmarkStart w:id="157" w:name="xdx_408_ecustom--LossesOnExtinguishmentO"/>
            <w:bookmarkEnd w:id="157"/>
          </w:p>
        </w:tc>
      </w:tr>
      <w:tr>
        <w:trPr/>
        <w:tc>
          <w:tcPr>
            <w:tcW w:w="7205" w:type="dxa"/>
            <w:tcBorders/>
            <w:shd w:fill="CCEEFF" w:val="clear"/>
            <w:vAlign w:val="center"/>
          </w:tcPr>
          <w:p>
            <w:pPr>
              <w:pStyle w:val="TableContents"/>
              <w:bidi w:val="0"/>
              <w:spacing w:before="0" w:after="283"/>
              <w:jc w:val="left"/>
              <w:rPr/>
            </w:pPr>
            <w:r>
              <w:rPr/>
              <w:t>Loss on extinguishment of debt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5,465,000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58" w:name="xdx_40B_eus-gaap--ShareBasedCompensation"/>
            <w:bookmarkEnd w:id="158"/>
          </w:p>
        </w:tc>
      </w:tr>
      <w:tr>
        <w:trPr/>
        <w:tc>
          <w:tcPr>
            <w:tcW w:w="7205"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1,633,000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2,016,000</w:t>
            </w:r>
          </w:p>
        </w:tc>
        <w:tc>
          <w:tcPr>
            <w:tcW w:w="110" w:type="dxa"/>
            <w:tcBorders/>
            <w:shd w:fill="FFFFFF" w:val="clear"/>
            <w:vAlign w:val="center"/>
          </w:tcPr>
          <w:p>
            <w:pPr>
              <w:pStyle w:val="TableContents"/>
              <w:bidi w:val="0"/>
              <w:spacing w:before="0" w:after="283"/>
              <w:jc w:val="left"/>
              <w:rPr/>
            </w:pPr>
            <w:r>
              <w:rPr/>
              <w:t> </w:t>
            </w:r>
            <w:bookmarkStart w:id="159" w:name="xdx_40E_eus-gaap--DeferredIncomeTaxExpen"/>
            <w:bookmarkEnd w:id="159"/>
          </w:p>
        </w:tc>
      </w:tr>
      <w:tr>
        <w:trPr/>
        <w:tc>
          <w:tcPr>
            <w:tcW w:w="7205" w:type="dxa"/>
            <w:tcBorders/>
            <w:shd w:fill="CCEEFF" w:val="clear"/>
            <w:vAlign w:val="center"/>
          </w:tcPr>
          <w:p>
            <w:pPr>
              <w:pStyle w:val="TableContents"/>
              <w:bidi w:val="0"/>
              <w:spacing w:before="0" w:after="283"/>
              <w:jc w:val="left"/>
              <w:rPr/>
            </w:pPr>
            <w:r>
              <w:rPr/>
              <w:t>Deferred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(288,000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60" w:name="xdx_401_eus-gaap--IncreaseDecreaseInOper"/>
            <w:bookmarkEnd w:id="160"/>
          </w:p>
        </w:tc>
      </w:tr>
      <w:tr>
        <w:trPr/>
        <w:tc>
          <w:tcPr>
            <w:tcW w:w="7205" w:type="dxa"/>
            <w:tcBorders/>
            <w:shd w:fill="FFFFFF" w:val="clear"/>
            <w:vAlign w:val="center"/>
          </w:tcPr>
          <w:p>
            <w:pPr>
              <w:pStyle w:val="TableContents"/>
              <w:bidi w:val="0"/>
              <w:spacing w:before="0" w:after="283"/>
              <w:jc w:val="left"/>
              <w:rPr/>
            </w:pPr>
            <w:r>
              <w:rPr/>
              <w:t>Changes in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1" w:name="xdx_40D_eus-gaap--IncreaseDecreaseInAcco"/>
            <w:bookmarkEnd w:id="161"/>
          </w:p>
        </w:tc>
      </w:tr>
      <w:tr>
        <w:trPr/>
        <w:tc>
          <w:tcPr>
            <w:tcW w:w="7205"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(5,882,000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(1,535,000</w:t>
            </w:r>
          </w:p>
        </w:tc>
        <w:tc>
          <w:tcPr>
            <w:tcW w:w="110" w:type="dxa"/>
            <w:tcBorders/>
            <w:shd w:fill="CCEEFF" w:val="clear"/>
            <w:vAlign w:val="center"/>
          </w:tcPr>
          <w:p>
            <w:pPr>
              <w:pStyle w:val="TableContents"/>
              <w:bidi w:val="0"/>
              <w:spacing w:before="0" w:after="283"/>
              <w:jc w:val="left"/>
              <w:rPr/>
            </w:pPr>
            <w:r>
              <w:rPr/>
              <w:t>)</w:t>
            </w:r>
            <w:bookmarkStart w:id="162" w:name="xdx_407_eus-gaap--IncreaseDecreaseInInve"/>
            <w:bookmarkEnd w:id="162"/>
          </w:p>
        </w:tc>
      </w:tr>
      <w:tr>
        <w:trPr/>
        <w:tc>
          <w:tcPr>
            <w:tcW w:w="7205"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(2,552,000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(179,000</w:t>
            </w:r>
          </w:p>
        </w:tc>
        <w:tc>
          <w:tcPr>
            <w:tcW w:w="110" w:type="dxa"/>
            <w:tcBorders/>
            <w:shd w:fill="FFFFFF" w:val="clear"/>
            <w:vAlign w:val="center"/>
          </w:tcPr>
          <w:p>
            <w:pPr>
              <w:pStyle w:val="TableContents"/>
              <w:bidi w:val="0"/>
              <w:spacing w:before="0" w:after="283"/>
              <w:jc w:val="left"/>
              <w:rPr/>
            </w:pPr>
            <w:r>
              <w:rPr/>
              <w:t>)</w:t>
            </w:r>
            <w:bookmarkStart w:id="163" w:name="xdx_405_eus-gaap--IncreaseDecreaseInPrep"/>
            <w:bookmarkEnd w:id="163"/>
          </w:p>
        </w:tc>
      </w:tr>
      <w:tr>
        <w:trPr/>
        <w:tc>
          <w:tcPr>
            <w:tcW w:w="7205"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(29,000</w:t>
            </w:r>
          </w:p>
        </w:tc>
        <w:tc>
          <w:tcPr>
            <w:tcW w:w="110" w:type="dxa"/>
            <w:tcBorders/>
            <w:shd w:fill="CCEEFF" w:val="clear"/>
            <w:vAlign w:val="center"/>
          </w:tcPr>
          <w:p>
            <w:pPr>
              <w:pStyle w:val="TableContents"/>
              <w:bidi w:val="0"/>
              <w:spacing w:before="0" w:after="283"/>
              <w:jc w:val="left"/>
              <w:rPr/>
            </w:pPr>
            <w:r>
              <w:rPr/>
              <w:t>)</w:t>
            </w:r>
            <w:bookmarkStart w:id="164" w:name="xdx_40C_eus-gaap--IncreaseDecreaseInAcco"/>
            <w:bookmarkEnd w:id="164"/>
          </w:p>
        </w:tc>
      </w:tr>
      <w:tr>
        <w:trPr/>
        <w:tc>
          <w:tcPr>
            <w:tcW w:w="7205" w:type="dxa"/>
            <w:tcBorders/>
            <w:shd w:fill="FFFFFF" w:val="clear"/>
            <w:vAlign w:val="center"/>
          </w:tcPr>
          <w:p>
            <w:pPr>
              <w:pStyle w:val="TableContents"/>
              <w:bidi w:val="0"/>
              <w:spacing w:before="0" w:after="283"/>
              <w:jc w:val="left"/>
              <w:rPr/>
            </w:pPr>
            <w:r>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(212,000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369,000</w:t>
            </w:r>
          </w:p>
        </w:tc>
        <w:tc>
          <w:tcPr>
            <w:tcW w:w="110" w:type="dxa"/>
            <w:tcBorders/>
            <w:shd w:fill="FFFFFF" w:val="clear"/>
            <w:vAlign w:val="center"/>
          </w:tcPr>
          <w:p>
            <w:pPr>
              <w:pStyle w:val="TableContents"/>
              <w:bidi w:val="0"/>
              <w:spacing w:before="0" w:after="283"/>
              <w:jc w:val="left"/>
              <w:rPr/>
            </w:pPr>
            <w:r>
              <w:rPr/>
              <w:t> </w:t>
            </w:r>
            <w:bookmarkStart w:id="165" w:name="xdx_407_eus-gaap--IncreaseDecreaseInEmpl"/>
            <w:bookmarkEnd w:id="165"/>
          </w:p>
        </w:tc>
      </w:tr>
      <w:tr>
        <w:trPr/>
        <w:tc>
          <w:tcPr>
            <w:tcW w:w="7205" w:type="dxa"/>
            <w:tcBorders/>
            <w:shd w:fill="CCEEFF" w:val="clear"/>
            <w:vAlign w:val="center"/>
          </w:tcPr>
          <w:p>
            <w:pPr>
              <w:pStyle w:val="TableContents"/>
              <w:bidi w:val="0"/>
              <w:spacing w:before="0" w:after="283"/>
              <w:jc w:val="left"/>
              <w:rPr/>
            </w:pPr>
            <w:r>
              <w:rPr/>
              <w:t>Accrued payroll and related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(1,111,000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(1,141,000</w:t>
            </w:r>
          </w:p>
        </w:tc>
        <w:tc>
          <w:tcPr>
            <w:tcW w:w="110" w:type="dxa"/>
            <w:tcBorders/>
            <w:shd w:fill="CCEEFF" w:val="clear"/>
            <w:vAlign w:val="center"/>
          </w:tcPr>
          <w:p>
            <w:pPr>
              <w:pStyle w:val="TableContents"/>
              <w:bidi w:val="0"/>
              <w:spacing w:before="0" w:after="283"/>
              <w:jc w:val="left"/>
              <w:rPr/>
            </w:pPr>
            <w:r>
              <w:rPr/>
              <w:t>)</w:t>
            </w:r>
            <w:bookmarkStart w:id="166" w:name="xdx_40B_eus-gaap--IncreaseDecreaseInCont"/>
            <w:bookmarkEnd w:id="166"/>
          </w:p>
        </w:tc>
      </w:tr>
      <w:tr>
        <w:trPr/>
        <w:tc>
          <w:tcPr>
            <w:tcW w:w="7205" w:type="dxa"/>
            <w:tcBorders/>
            <w:shd w:fill="FFFFFF" w:val="clear"/>
            <w:vAlign w:val="center"/>
          </w:tcPr>
          <w:p>
            <w:pPr>
              <w:pStyle w:val="TableContents"/>
              <w:bidi w:val="0"/>
              <w:spacing w:before="0" w:after="283"/>
              <w:jc w:val="left"/>
              <w:rPr/>
            </w:pPr>
            <w:r>
              <w:rPr/>
              <w:t>Deferred revenue and customer deposits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(46,000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7,000</w:t>
            </w:r>
          </w:p>
        </w:tc>
        <w:tc>
          <w:tcPr>
            <w:tcW w:w="110" w:type="dxa"/>
            <w:tcBorders/>
            <w:shd w:fill="FFFFFF" w:val="clear"/>
            <w:vAlign w:val="center"/>
          </w:tcPr>
          <w:p>
            <w:pPr>
              <w:pStyle w:val="TableContents"/>
              <w:bidi w:val="0"/>
              <w:spacing w:before="0" w:after="283"/>
              <w:jc w:val="left"/>
              <w:rPr/>
            </w:pPr>
            <w:r>
              <w:rPr/>
              <w:t> </w:t>
            </w:r>
            <w:bookmarkStart w:id="167" w:name="xdx_401_eus-gaap--NetCashProvidedByUsedI"/>
            <w:bookmarkEnd w:id="167"/>
          </w:p>
        </w:tc>
      </w:tr>
      <w:tr>
        <w:trPr/>
        <w:tc>
          <w:tcPr>
            <w:tcW w:w="7205" w:type="dxa"/>
            <w:tcBorders/>
            <w:shd w:fill="CCEEFF" w:val="clear"/>
            <w:vAlign w:val="center"/>
          </w:tcPr>
          <w:p>
            <w:pPr>
              <w:pStyle w:val="TableContents"/>
              <w:bidi w:val="0"/>
              <w:spacing w:before="0" w:after="283"/>
              <w:jc w:val="left"/>
              <w:rPr/>
            </w:pPr>
            <w:r>
              <w:rPr/>
              <w:t>NET CASH (USED IN) PROVIDED BY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(8,214,000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967,000</w:t>
            </w:r>
          </w:p>
        </w:tc>
        <w:tc>
          <w:tcPr>
            <w:tcW w:w="110" w:type="dxa"/>
            <w:tcBorders/>
            <w:shd w:fill="CCEEFF" w:val="clear"/>
            <w:vAlign w:val="center"/>
          </w:tcPr>
          <w:p>
            <w:pPr>
              <w:pStyle w:val="TableContents"/>
              <w:bidi w:val="0"/>
              <w:spacing w:before="0" w:after="283"/>
              <w:jc w:val="left"/>
              <w:rPr/>
            </w:pPr>
            <w:r>
              <w:rPr/>
              <w:t> </w:t>
            </w:r>
            <w:bookmarkStart w:id="168" w:name="xdx_40F_eus-gaap--NetCashProvidedByUsedI"/>
            <w:bookmarkEnd w:id="168"/>
          </w:p>
        </w:tc>
      </w:tr>
      <w:tr>
        <w:trPr/>
        <w:tc>
          <w:tcPr>
            <w:tcW w:w="7205" w:type="dxa"/>
            <w:tcBorders/>
            <w:shd w:fill="FFFFFF" w:val="clear"/>
            <w:vAlign w:val="center"/>
          </w:tcPr>
          <w:p>
            <w:pPr>
              <w:pStyle w:val="TableContents"/>
              <w:bidi w:val="0"/>
              <w:spacing w:before="0" w:after="283"/>
              <w:jc w:val="left"/>
              <w:rPr/>
            </w:pPr>
            <w:r>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9" w:name="xdx_407_eus-gaap--PaymentsToAcquireIntan"/>
            <w:bookmarkEnd w:id="169"/>
          </w:p>
        </w:tc>
      </w:tr>
      <w:tr>
        <w:trPr/>
        <w:tc>
          <w:tcPr>
            <w:tcW w:w="7205" w:type="dxa"/>
            <w:tcBorders/>
            <w:shd w:fill="CCEEFF" w:val="clear"/>
            <w:vAlign w:val="center"/>
          </w:tcPr>
          <w:p>
            <w:pPr>
              <w:pStyle w:val="TableContents"/>
              <w:bidi w:val="0"/>
              <w:spacing w:before="0" w:after="283"/>
              <w:jc w:val="left"/>
              <w:rPr/>
            </w:pPr>
            <w:r>
              <w:rPr/>
              <w:t>Investment in patent and trademark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(6,000</w:t>
            </w:r>
          </w:p>
        </w:tc>
        <w:tc>
          <w:tcPr>
            <w:tcW w:w="110" w:type="dxa"/>
            <w:tcBorders/>
            <w:shd w:fill="CCEEFF" w:val="clear"/>
            <w:vAlign w:val="center"/>
          </w:tcPr>
          <w:p>
            <w:pPr>
              <w:pStyle w:val="TableContents"/>
              <w:bidi w:val="0"/>
              <w:spacing w:before="0" w:after="283"/>
              <w:jc w:val="left"/>
              <w:rPr/>
            </w:pPr>
            <w:r>
              <w:rPr/>
              <w:t>)</w:t>
            </w:r>
            <w:bookmarkStart w:id="170" w:name="xdx_40D_ecustom--PurchaseOfProductNdasAn"/>
            <w:bookmarkEnd w:id="170"/>
          </w:p>
        </w:tc>
      </w:tr>
      <w:tr>
        <w:trPr/>
        <w:tc>
          <w:tcPr>
            <w:tcW w:w="7205" w:type="dxa"/>
            <w:tcBorders/>
            <w:shd w:fill="FFFFFF" w:val="clear"/>
            <w:vAlign w:val="center"/>
          </w:tcPr>
          <w:p>
            <w:pPr>
              <w:pStyle w:val="TableContents"/>
              <w:bidi w:val="0"/>
              <w:spacing w:before="0" w:after="283"/>
              <w:jc w:val="left"/>
              <w:rPr/>
            </w:pPr>
            <w:r>
              <w:rPr/>
              <w:t>Purchase of product NDAs and patents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(130,474,000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71" w:name="xdx_40F_eus-gaap--PaymentsToAcquirePrope"/>
            <w:bookmarkEnd w:id="171"/>
          </w:p>
        </w:tc>
      </w:tr>
      <w:tr>
        <w:trPr/>
        <w:tc>
          <w:tcPr>
            <w:tcW w:w="7205" w:type="dxa"/>
            <w:tcBorders/>
            <w:shd w:fill="CCEEFF" w:val="clear"/>
            <w:vAlign w:val="center"/>
          </w:tcPr>
          <w:p>
            <w:pPr>
              <w:pStyle w:val="TableContents"/>
              <w:bidi w:val="0"/>
              <w:spacing w:before="0" w:after="283"/>
              <w:jc w:val="left"/>
              <w:rPr/>
            </w:pPr>
            <w:r>
              <w:rPr/>
              <w:t>Purchases of property, plant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(496,000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(404,000</w:t>
            </w:r>
          </w:p>
        </w:tc>
        <w:tc>
          <w:tcPr>
            <w:tcW w:w="110" w:type="dxa"/>
            <w:tcBorders/>
            <w:shd w:fill="CCEEFF" w:val="clear"/>
            <w:vAlign w:val="center"/>
          </w:tcPr>
          <w:p>
            <w:pPr>
              <w:pStyle w:val="TableContents"/>
              <w:bidi w:val="0"/>
              <w:spacing w:before="0" w:after="283"/>
              <w:jc w:val="left"/>
              <w:rPr/>
            </w:pPr>
            <w:r>
              <w:rPr/>
              <w:t>)</w:t>
            </w:r>
            <w:bookmarkStart w:id="172" w:name="xdx_40D_eus-gaap--NetCashProvidedByUsedI"/>
            <w:bookmarkEnd w:id="172"/>
          </w:p>
        </w:tc>
      </w:tr>
      <w:tr>
        <w:trPr/>
        <w:tc>
          <w:tcPr>
            <w:tcW w:w="7205"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(130,970,000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(410,000</w:t>
            </w:r>
          </w:p>
        </w:tc>
        <w:tc>
          <w:tcPr>
            <w:tcW w:w="110" w:type="dxa"/>
            <w:tcBorders/>
            <w:shd w:fill="FFFFFF" w:val="clear"/>
            <w:vAlign w:val="center"/>
          </w:tcPr>
          <w:p>
            <w:pPr>
              <w:pStyle w:val="TableContents"/>
              <w:bidi w:val="0"/>
              <w:spacing w:before="0" w:after="283"/>
              <w:jc w:val="left"/>
              <w:rPr/>
            </w:pPr>
            <w:r>
              <w:rPr/>
              <w:t>)</w:t>
            </w:r>
            <w:bookmarkStart w:id="173" w:name="xdx_406_eus-gaap--NetCashProvidedByUsedI"/>
            <w:bookmarkEnd w:id="173"/>
          </w:p>
        </w:tc>
      </w:tr>
      <w:tr>
        <w:trPr/>
        <w:tc>
          <w:tcPr>
            <w:tcW w:w="7205" w:type="dxa"/>
            <w:tcBorders/>
            <w:shd w:fill="CCEEFF" w:val="clear"/>
            <w:vAlign w:val="center"/>
          </w:tcPr>
          <w:p>
            <w:pPr>
              <w:pStyle w:val="TableContents"/>
              <w:bidi w:val="0"/>
              <w:spacing w:before="0" w:after="283"/>
              <w:jc w:val="left"/>
              <w:rPr/>
            </w:pPr>
            <w:r>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74" w:name="xdx_40C_eus-gaap--FinanceLeasePrincipalP"/>
            <w:bookmarkEnd w:id="174"/>
          </w:p>
        </w:tc>
      </w:tr>
      <w:tr>
        <w:trPr/>
        <w:tc>
          <w:tcPr>
            <w:tcW w:w="7205" w:type="dxa"/>
            <w:tcBorders/>
            <w:shd w:fill="FFFFFF" w:val="clear"/>
            <w:vAlign w:val="center"/>
          </w:tcPr>
          <w:p>
            <w:pPr>
              <w:pStyle w:val="TableContents"/>
              <w:bidi w:val="0"/>
              <w:spacing w:before="0" w:after="283"/>
              <w:jc w:val="left"/>
              <w:rPr/>
            </w:pPr>
            <w:r>
              <w:rPr/>
              <w:t>Payments on finance lease obligations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(3,000</w:t>
            </w:r>
          </w:p>
        </w:tc>
        <w:tc>
          <w:tcPr>
            <w:tcW w:w="110" w:type="dxa"/>
            <w:tcBorders/>
            <w:shd w:fill="FFFFFF" w:val="clear"/>
            <w:vAlign w:val="center"/>
          </w:tcPr>
          <w:p>
            <w:pPr>
              <w:pStyle w:val="TableContents"/>
              <w:bidi w:val="0"/>
              <w:spacing w:before="0" w:after="283"/>
              <w:jc w:val="left"/>
              <w:rPr/>
            </w:pPr>
            <w:r>
              <w:rPr/>
              <w:t>)</w:t>
            </w:r>
            <w:bookmarkStart w:id="175" w:name="xdx_406_ecustom--ProceedsFromNotesPayabl"/>
            <w:bookmarkEnd w:id="175"/>
          </w:p>
        </w:tc>
      </w:tr>
      <w:tr>
        <w:trPr/>
        <w:tc>
          <w:tcPr>
            <w:tcW w:w="7205" w:type="dxa"/>
            <w:tcBorders/>
            <w:shd w:fill="CCEEFF" w:val="clear"/>
            <w:vAlign w:val="center"/>
          </w:tcPr>
          <w:p>
            <w:pPr>
              <w:pStyle w:val="TableContents"/>
              <w:bidi w:val="0"/>
              <w:spacing w:before="0" w:after="283"/>
              <w:jc w:val="left"/>
              <w:rPr/>
            </w:pPr>
            <w:r>
              <w:rPr/>
              <w:t>Net proceeds from 11.875% notes payable, net of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4,961,000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76" w:name="xdx_404_eus-gaap--ProceedsFromNotesPayab"/>
            <w:bookmarkEnd w:id="176"/>
          </w:p>
        </w:tc>
      </w:tr>
      <w:tr>
        <w:trPr/>
        <w:tc>
          <w:tcPr>
            <w:tcW w:w="7205" w:type="dxa"/>
            <w:tcBorders/>
            <w:shd w:fill="FFFFFF" w:val="clear"/>
            <w:vAlign w:val="center"/>
          </w:tcPr>
          <w:p>
            <w:pPr>
              <w:pStyle w:val="TableContents"/>
              <w:bidi w:val="0"/>
              <w:spacing w:before="0" w:after="283"/>
              <w:jc w:val="left"/>
              <w:rPr/>
            </w:pPr>
            <w:r>
              <w:rPr/>
              <w:t>Net proceeds from Oaktree loan, net of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61,585,000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77" w:name="xdx_40F_ecustom--PaymentOfTaxesForVestin"/>
            <w:bookmarkEnd w:id="177"/>
          </w:p>
        </w:tc>
      </w:tr>
      <w:tr>
        <w:trPr/>
        <w:tc>
          <w:tcPr>
            <w:tcW w:w="7205" w:type="dxa"/>
            <w:tcBorders/>
            <w:shd w:fill="CCEEFF" w:val="clear"/>
            <w:vAlign w:val="center"/>
          </w:tcPr>
          <w:p>
            <w:pPr>
              <w:pStyle w:val="TableContents"/>
              <w:bidi w:val="0"/>
              <w:spacing w:before="0" w:after="283"/>
              <w:jc w:val="left"/>
              <w:rPr/>
            </w:pPr>
            <w:r>
              <w:rPr/>
              <w:t>Payment of taxes upon vesting of RSUs and exercise of stock options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(661,000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(777,000</w:t>
            </w:r>
          </w:p>
        </w:tc>
        <w:tc>
          <w:tcPr>
            <w:tcW w:w="110" w:type="dxa"/>
            <w:tcBorders/>
            <w:shd w:fill="CCEEFF" w:val="clear"/>
            <w:vAlign w:val="center"/>
          </w:tcPr>
          <w:p>
            <w:pPr>
              <w:pStyle w:val="TableContents"/>
              <w:bidi w:val="0"/>
              <w:spacing w:before="0" w:after="283"/>
              <w:jc w:val="left"/>
              <w:rPr/>
            </w:pPr>
            <w:r>
              <w:rPr/>
              <w:t>)</w:t>
            </w:r>
            <w:bookmarkStart w:id="178" w:name="xdx_408_eus-gaap--ProceedsFromStockOptio"/>
            <w:bookmarkEnd w:id="178"/>
          </w:p>
        </w:tc>
      </w:tr>
      <w:tr>
        <w:trPr/>
        <w:tc>
          <w:tcPr>
            <w:tcW w:w="7205" w:type="dxa"/>
            <w:tcBorders/>
            <w:shd w:fill="FFFFFF" w:val="clear"/>
            <w:vAlign w:val="center"/>
          </w:tcPr>
          <w:p>
            <w:pPr>
              <w:pStyle w:val="TableContents"/>
              <w:bidi w:val="0"/>
              <w:spacing w:before="0" w:after="283"/>
              <w:jc w:val="left"/>
              <w:rPr/>
            </w:pPr>
            <w:r>
              <w:rPr/>
              <w:t>Proceeds from exercise of stock options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148,000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4,000</w:t>
            </w:r>
          </w:p>
        </w:tc>
        <w:tc>
          <w:tcPr>
            <w:tcW w:w="110" w:type="dxa"/>
            <w:tcBorders/>
            <w:shd w:fill="FFFFFF" w:val="clear"/>
            <w:vAlign w:val="center"/>
          </w:tcPr>
          <w:p>
            <w:pPr>
              <w:pStyle w:val="TableContents"/>
              <w:bidi w:val="0"/>
              <w:spacing w:before="0" w:after="283"/>
              <w:jc w:val="left"/>
              <w:rPr/>
            </w:pPr>
            <w:r>
              <w:rPr/>
              <w:t> </w:t>
            </w:r>
            <w:bookmarkStart w:id="179" w:name="xdx_400_eus-gaap--ProceedsFromIssuanceOf"/>
            <w:bookmarkEnd w:id="179"/>
          </w:p>
        </w:tc>
      </w:tr>
      <w:tr>
        <w:trPr/>
        <w:tc>
          <w:tcPr>
            <w:tcW w:w="7205" w:type="dxa"/>
            <w:tcBorders/>
            <w:shd w:fill="CCEEFF" w:val="clear"/>
            <w:vAlign w:val="center"/>
          </w:tcPr>
          <w:p>
            <w:pPr>
              <w:pStyle w:val="TableContents"/>
              <w:bidi w:val="0"/>
              <w:spacing w:before="0" w:after="283"/>
              <w:jc w:val="left"/>
              <w:rPr/>
            </w:pPr>
            <w:r>
              <w:rPr/>
              <w:t>Net proceeds from B Riley senior secured note, net of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55,879,000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80" w:name="xdx_40D_eus-gaap--RepaymentsOfSeniorDebt"/>
            <w:bookmarkEnd w:id="180"/>
          </w:p>
        </w:tc>
      </w:tr>
      <w:tr>
        <w:trPr/>
        <w:tc>
          <w:tcPr>
            <w:tcW w:w="7205" w:type="dxa"/>
            <w:tcBorders/>
            <w:shd w:fill="FFFFFF" w:val="clear"/>
            <w:vAlign w:val="center"/>
          </w:tcPr>
          <w:p>
            <w:pPr>
              <w:pStyle w:val="TableContents"/>
              <w:bidi w:val="0"/>
              <w:spacing w:before="0" w:after="283"/>
              <w:jc w:val="left"/>
              <w:rPr/>
            </w:pPr>
            <w:r>
              <w:rPr/>
              <w:t>Repayment of B. Riley senior secured note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(59,750,000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81" w:name="xdx_405_eus-gaap--NetCashProvidedByUsedI"/>
            <w:bookmarkEnd w:id="181"/>
          </w:p>
        </w:tc>
      </w:tr>
      <w:tr>
        <w:trPr/>
        <w:tc>
          <w:tcPr>
            <w:tcW w:w="7205" w:type="dxa"/>
            <w:tcBorders/>
            <w:shd w:fill="CCEEFF" w:val="clear"/>
            <w:vAlign w:val="center"/>
          </w:tcPr>
          <w:p>
            <w:pPr>
              <w:pStyle w:val="TableContents"/>
              <w:bidi w:val="0"/>
              <w:spacing w:before="0" w:after="283"/>
              <w:jc w:val="left"/>
              <w:rPr/>
            </w:pPr>
            <w:r>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62,162,000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(776,000</w:t>
            </w:r>
          </w:p>
        </w:tc>
        <w:tc>
          <w:tcPr>
            <w:tcW w:w="110" w:type="dxa"/>
            <w:tcBorders/>
            <w:shd w:fill="CCEEFF" w:val="clear"/>
            <w:vAlign w:val="center"/>
          </w:tcPr>
          <w:p>
            <w:pPr>
              <w:pStyle w:val="TableContents"/>
              <w:bidi w:val="0"/>
              <w:spacing w:before="0" w:after="283"/>
              <w:jc w:val="left"/>
              <w:rPr/>
            </w:pPr>
            <w:r>
              <w:rPr/>
              <w:t>)</w:t>
            </w:r>
            <w:bookmarkStart w:id="182" w:name="xdx_403_eus-gaap--CashCashEquivalentsRes"/>
            <w:bookmarkEnd w:id="182"/>
          </w:p>
        </w:tc>
      </w:tr>
      <w:tr>
        <w:trPr/>
        <w:tc>
          <w:tcPr>
            <w:tcW w:w="7205" w:type="dxa"/>
            <w:tcBorders/>
            <w:shd w:fill="FFFFFF" w:val="clear"/>
            <w:vAlign w:val="center"/>
          </w:tcPr>
          <w:p>
            <w:pPr>
              <w:pStyle w:val="TableContents"/>
              <w:bidi w:val="0"/>
              <w:spacing w:before="0" w:after="283"/>
              <w:jc w:val="left"/>
              <w:rPr/>
            </w:pPr>
            <w:r>
              <w:rPr/>
              <w:t xml:space="preserve">NET CHANGE IN CASH AND CASH EQUIVALENTS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(77,022,000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(219,000</w:t>
            </w:r>
          </w:p>
        </w:tc>
        <w:tc>
          <w:tcPr>
            <w:tcW w:w="110" w:type="dxa"/>
            <w:tcBorders/>
            <w:shd w:fill="FFFFFF" w:val="clear"/>
            <w:vAlign w:val="center"/>
          </w:tcPr>
          <w:p>
            <w:pPr>
              <w:pStyle w:val="TableContents"/>
              <w:bidi w:val="0"/>
              <w:spacing w:before="0" w:after="283"/>
              <w:jc w:val="left"/>
              <w:rPr/>
            </w:pPr>
            <w:r>
              <w:rPr/>
              <w:t>)</w:t>
            </w:r>
            <w:bookmarkStart w:id="183" w:name="xdx_40D_eus-gaap--CashCashEquivalentsRes"/>
            <w:bookmarkEnd w:id="183"/>
          </w:p>
        </w:tc>
      </w:tr>
      <w:tr>
        <w:trPr/>
        <w:tc>
          <w:tcPr>
            <w:tcW w:w="7205" w:type="dxa"/>
            <w:tcBorders/>
            <w:shd w:fill="CCEEFF" w:val="clear"/>
            <w:vAlign w:val="center"/>
          </w:tcPr>
          <w:p>
            <w:pPr>
              <w:pStyle w:val="TableContents"/>
              <w:bidi w:val="0"/>
              <w:spacing w:before="0" w:after="283"/>
              <w:jc w:val="left"/>
              <w:rPr/>
            </w:pPr>
            <w:r>
              <w:rPr/>
              <w:t>CASH AND CASH EQUIVALENTS,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96,270,000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42,167,000</w:t>
            </w:r>
          </w:p>
        </w:tc>
        <w:tc>
          <w:tcPr>
            <w:tcW w:w="110" w:type="dxa"/>
            <w:tcBorders/>
            <w:shd w:fill="CCEEFF" w:val="clear"/>
            <w:vAlign w:val="center"/>
          </w:tcPr>
          <w:p>
            <w:pPr>
              <w:pStyle w:val="TableContents"/>
              <w:bidi w:val="0"/>
              <w:spacing w:before="0" w:after="283"/>
              <w:jc w:val="left"/>
              <w:rPr/>
            </w:pPr>
            <w:r>
              <w:rPr/>
              <w:t> </w:t>
            </w:r>
            <w:bookmarkStart w:id="184" w:name="xdx_40A_eus-gaap--CashCashEquivalentsRes"/>
            <w:bookmarkEnd w:id="184"/>
          </w:p>
        </w:tc>
      </w:tr>
      <w:tr>
        <w:trPr/>
        <w:tc>
          <w:tcPr>
            <w:tcW w:w="7205" w:type="dxa"/>
            <w:tcBorders/>
            <w:shd w:fill="FFFFFF" w:val="clear"/>
            <w:vAlign w:val="center"/>
          </w:tcPr>
          <w:p>
            <w:pPr>
              <w:pStyle w:val="TableContents"/>
              <w:bidi w:val="0"/>
              <w:spacing w:before="0" w:after="283"/>
              <w:jc w:val="left"/>
              <w:rPr/>
            </w:pPr>
            <w:r>
              <w:rPr/>
              <w:t>CASH AND CASH EQUIVALENTS,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19,248,000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41,948,000</w:t>
            </w:r>
          </w:p>
        </w:tc>
        <w:tc>
          <w:tcPr>
            <w:tcW w:w="110" w:type="dxa"/>
            <w:tcBorders/>
            <w:shd w:fill="FFFFFF" w:val="clear"/>
            <w:vAlign w:val="center"/>
          </w:tcPr>
          <w:p>
            <w:pPr>
              <w:pStyle w:val="TableContents"/>
              <w:bidi w:val="0"/>
              <w:spacing w:before="0" w:after="283"/>
              <w:jc w:val="left"/>
              <w:rPr/>
            </w:pPr>
            <w:r>
              <w:rPr/>
              <w:t> </w:t>
            </w:r>
            <w:bookmarkStart w:id="185" w:name="xdx_400_eus-gaap--SupplementalCashFlowIn"/>
            <w:bookmarkEnd w:id="185"/>
          </w:p>
        </w:tc>
      </w:tr>
      <w:tr>
        <w:trPr/>
        <w:tc>
          <w:tcPr>
            <w:tcW w:w="7205" w:type="dxa"/>
            <w:tcBorders/>
            <w:shd w:fill="CCEEFF" w:val="clear"/>
            <w:vAlign w:val="center"/>
          </w:tcPr>
          <w:p>
            <w:pPr>
              <w:pStyle w:val="TableContents"/>
              <w:bidi w:val="0"/>
              <w:spacing w:before="0" w:after="283"/>
              <w:jc w:val="left"/>
              <w:rPr/>
            </w:pPr>
            <w:r>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86" w:name="xdx_409_eus-gaap--InterestPaidNet_i01_pp"/>
            <w:bookmarkEnd w:id="186"/>
          </w:p>
        </w:tc>
      </w:tr>
      <w:tr>
        <w:trPr/>
        <w:tc>
          <w:tcPr>
            <w:tcW w:w="7205" w:type="dxa"/>
            <w:tcBorders/>
            <w:shd w:fill="FFFFFF" w:val="clear"/>
            <w:vAlign w:val="center"/>
          </w:tcPr>
          <w:p>
            <w:pPr>
              <w:pStyle w:val="TableContents"/>
              <w:bidi w:val="0"/>
              <w:spacing w:before="0" w:after="283"/>
              <w:jc w:val="left"/>
              <w:rPr/>
            </w:pPr>
            <w:r>
              <w:rPr/>
              <w:t>Cash paid for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3,371,000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1,617,000</w:t>
            </w:r>
          </w:p>
        </w:tc>
        <w:tc>
          <w:tcPr>
            <w:tcW w:w="110" w:type="dxa"/>
            <w:tcBorders/>
            <w:shd w:fill="FFFFFF" w:val="clear"/>
            <w:vAlign w:val="center"/>
          </w:tcPr>
          <w:p>
            <w:pPr>
              <w:pStyle w:val="TableContents"/>
              <w:bidi w:val="0"/>
              <w:spacing w:before="0" w:after="283"/>
              <w:jc w:val="left"/>
              <w:rPr/>
            </w:pPr>
            <w:r>
              <w:rPr/>
              <w:t> </w:t>
            </w:r>
            <w:bookmarkStart w:id="187" w:name="xdx_402_eus-gaap--CashFlowNoncashInvesti"/>
            <w:bookmarkEnd w:id="187"/>
          </w:p>
        </w:tc>
      </w:tr>
      <w:tr>
        <w:trPr/>
        <w:tc>
          <w:tcPr>
            <w:tcW w:w="7205" w:type="dxa"/>
            <w:tcBorders/>
            <w:shd w:fill="CCEEFF" w:val="clear"/>
            <w:vAlign w:val="center"/>
          </w:tcPr>
          <w:p>
            <w:pPr>
              <w:pStyle w:val="TableContents"/>
              <w:bidi w:val="0"/>
              <w:spacing w:before="0" w:after="283"/>
              <w:jc w:val="left"/>
              <w:rPr/>
            </w:pPr>
            <w:r>
              <w:rPr/>
              <w:t>SUPPLEMENTAL DISCLOSURES OF 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88" w:name="xdx_40A_ecustom--PurchaseOfPropertyPlant"/>
            <w:bookmarkEnd w:id="188"/>
          </w:p>
        </w:tc>
      </w:tr>
      <w:tr>
        <w:trPr/>
        <w:tc>
          <w:tcPr>
            <w:tcW w:w="7205" w:type="dxa"/>
            <w:tcBorders/>
            <w:shd w:fill="FFFFFF" w:val="clear"/>
            <w:vAlign w:val="center"/>
          </w:tcPr>
          <w:p>
            <w:pPr>
              <w:pStyle w:val="TableContents"/>
              <w:bidi w:val="0"/>
              <w:spacing w:before="0" w:after="283"/>
              <w:jc w:val="left"/>
              <w:rPr/>
            </w:pPr>
            <w:r>
              <w:rPr/>
              <w:t>Purchase of property, plant and equipment included in 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61,000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89" w:name="xdx_404_eus-gaap--RightOfUseAssetObtaine"/>
            <w:bookmarkEnd w:id="189"/>
          </w:p>
        </w:tc>
      </w:tr>
      <w:tr>
        <w:trPr/>
        <w:tc>
          <w:tcPr>
            <w:tcW w:w="7205" w:type="dxa"/>
            <w:tcBorders/>
            <w:shd w:fill="CCEEFF" w:val="clear"/>
            <w:vAlign w:val="center"/>
          </w:tcPr>
          <w:p>
            <w:pPr>
              <w:pStyle w:val="TableContents"/>
              <w:bidi w:val="0"/>
              <w:spacing w:before="0" w:after="283"/>
              <w:jc w:val="left"/>
              <w:rPr/>
            </w:pPr>
            <w:r>
              <w:rPr/>
              <w:t>Right-of-use assets obtained in exchange for new operating lease obligations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1,036,000</w:t>
            </w:r>
          </w:p>
        </w:tc>
        <w:tc>
          <w:tcPr>
            <w:tcW w:w="110" w:type="dxa"/>
            <w:tcBorders/>
            <w:shd w:fill="CCEEFF" w:val="clear"/>
            <w:vAlign w:val="center"/>
          </w:tcPr>
          <w:p>
            <w:pPr>
              <w:pStyle w:val="TableContents"/>
              <w:bidi w:val="0"/>
              <w:spacing w:before="0" w:after="283"/>
              <w:jc w:val="left"/>
              <w:rPr/>
            </w:pPr>
            <w:r>
              <w:rPr/>
              <w:t> </w:t>
            </w:r>
            <w:bookmarkStart w:id="190" w:name="xdx_402_ecustom--AccrualOfExitFeeRelated"/>
            <w:bookmarkEnd w:id="190"/>
          </w:p>
        </w:tc>
      </w:tr>
      <w:tr>
        <w:trPr/>
        <w:tc>
          <w:tcPr>
            <w:tcW w:w="7205" w:type="dxa"/>
            <w:tcBorders/>
            <w:shd w:fill="FFFFFF" w:val="clear"/>
            <w:vAlign w:val="center"/>
          </w:tcPr>
          <w:p>
            <w:pPr>
              <w:pStyle w:val="TableContents"/>
              <w:bidi w:val="0"/>
              <w:spacing w:before="0" w:after="283"/>
              <w:jc w:val="left"/>
              <w:rPr/>
            </w:pPr>
            <w:r>
              <w:rPr/>
              <w:t>Accrual of exit fee related to Oaktree Loan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2,275,000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91" w:name="xdx_40D_ecustom--SeniorSecuredNoteFinanc"/>
            <w:bookmarkEnd w:id="191"/>
          </w:p>
        </w:tc>
      </w:tr>
      <w:tr>
        <w:trPr/>
        <w:tc>
          <w:tcPr>
            <w:tcW w:w="7205" w:type="dxa"/>
            <w:tcBorders/>
            <w:shd w:fill="CCEEFF" w:val="clear"/>
            <w:vAlign w:val="center"/>
          </w:tcPr>
          <w:p>
            <w:pPr>
              <w:pStyle w:val="TableContents"/>
              <w:bidi w:val="0"/>
              <w:spacing w:before="0" w:after="283"/>
              <w:jc w:val="left"/>
              <w:rPr/>
            </w:pPr>
            <w:r>
              <w:rPr/>
              <w:t>Reclassification of derferred financing costs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1,950,000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92" w:name="xdx_407_ecustom--IncomeTaxesOwedForExerc"/>
            <w:bookmarkEnd w:id="192"/>
          </w:p>
        </w:tc>
      </w:tr>
      <w:tr>
        <w:trPr/>
        <w:tc>
          <w:tcPr>
            <w:tcW w:w="7205" w:type="dxa"/>
            <w:tcBorders/>
            <w:shd w:fill="FFFFFF" w:val="clear"/>
            <w:vAlign w:val="center"/>
          </w:tcPr>
          <w:p>
            <w:pPr>
              <w:pStyle w:val="TableContents"/>
              <w:bidi w:val="0"/>
              <w:spacing w:before="0" w:after="283"/>
              <w:jc w:val="left"/>
              <w:rPr/>
            </w:pPr>
            <w:r>
              <w:rPr/>
              <w:t>Income taxes owed for exercise of stock options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189,000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HEALTH,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THE UNAUDITED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2023 and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3" w:name="xdx_807_eus-gaap--BusinessDescriptionAnd"/>
      <w:bookmarkEnd w:id="193"/>
      <w:r>
        <w:rPr>
          <w:rFonts w:ascii="Times New Roman;Times;Serif" w:hAnsi="Times New Roman;Times;Serif"/>
          <w:b/>
          <w:i w:val="false"/>
          <w:caps w:val="false"/>
          <w:smallCaps w:val="false"/>
          <w:sz w:val="20"/>
        </w:rPr>
        <w:t xml:space="preserve">NOTE 1. </w:t>
      </w:r>
      <w:bookmarkStart w:id="194" w:name="xdx_82E_zNCwZd1rHWEj"/>
      <w:bookmarkEnd w:id="194"/>
      <w:r>
        <w:rPr>
          <w:rFonts w:ascii="Times New Roman;Times;Serif" w:hAnsi="Times New Roman;Times;Serif"/>
          <w:b/>
          <w:i w:val="false"/>
          <w:caps w:val="false"/>
          <w:smallCaps w:val="false"/>
          <w:sz w:val="20"/>
        </w:rPr>
        <w:t>DESCRIPTION OF BUSINESS AND 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and 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Harrow Health, Inc. (together with its subsidiaries, partially owned companies and royalty arrangements unless the context indicates or otherwise requires, the “Company” or “Harrow”) is an eyecare pharmaceutical company exclusively focused on the discovery, development, and commercialization of innovative ophthalmic therapies that are accessible and affordable.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owns non-controlling equity positions in Surface Ophthalmics, Inc. (“Surface”) and Melt Pharmaceuticals, Inc. (“Melt”), both companies that began as subsidiaries of Harrow. Harrow also owns royalty rights in various drug candidates being developed by Surface and Melt.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prepared the accompanying unaudited condensed consolidated financial statements in accordance with accounting principles generally accepted in the United States of America (“GAAP”) for interim financial information and in accordance with the rules and regulations of the U.S. Securities and Exchange Commission. Accordingly, they do not include all of the information and footnotes required by GAAP for audited financial statements. In the opinion of management, all adjustments (consisting of only normal recurring adjustments) considered necessary for a fair presentation have been included. Operating results for the three months ended March 31, 2023 are not necessarily indicative of the results that may be expected for the year ending December 31, 2023 or for any other period. For further information, refer to the Company’s audited consolidated financial statements and footnotes thereto included in the Company’s Annual Report on Form 10-K for the year ended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include the accounts of the Company and its wholly owned and majority-owned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Harrow consolidates entities in which it has a controlling financial interest. The Company assesses control under the variable interest entity (“VIE”) model to determine whether the Company is the primary beneficiary of that entity’s operations. The Company consolidates (i) </w:t>
      </w:r>
      <w:bookmarkStart w:id="195" w:name="xdx_90F_ecustom--ConsolidationBasisDescr"/>
      <w:bookmarkEnd w:id="195"/>
      <w:r>
        <w:rPr>
          <w:rFonts w:ascii="Times New Roman;Times;Serif" w:hAnsi="Times New Roman;Times;Serif"/>
          <w:b w:val="false"/>
          <w:i w:val="false"/>
          <w:caps w:val="false"/>
          <w:smallCaps w:val="false"/>
          <w:sz w:val="20"/>
        </w:rPr>
        <w:t>entities in which it holds and/or controls, directly or indirectly, more than 50% of the voting rights, and (ii) entities that the Company deems to be a VIE. All intercompany accounts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6" w:name="xdx_800_eus-gaap--SignificantAccountingP"/>
      <w:bookmarkEnd w:id="196"/>
      <w:r>
        <w:rPr>
          <w:rFonts w:ascii="Times New Roman;Times;Serif" w:hAnsi="Times New Roman;Times;Serif"/>
          <w:b/>
          <w:i w:val="false"/>
          <w:caps w:val="false"/>
          <w:smallCaps w:val="false"/>
          <w:sz w:val="20"/>
        </w:rPr>
        <w:t xml:space="preserve">NOTE 2. </w:t>
      </w:r>
      <w:bookmarkStart w:id="197" w:name="xdx_82B_ztMft2lGh0Zb"/>
      <w:bookmarkEnd w:id="197"/>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represents an update for the three months ended March 31, 2023 to the significant accounting policies described in the Company’s Annual Report on Form 10-K for the year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shd w:fill="FFFFFF" w:val="clear"/>
        </w:rPr>
      </w:pPr>
      <w:bookmarkStart w:id="198" w:name="xdx_86F_zfVj0X4bw4Hj"/>
      <w:bookmarkStart w:id="199" w:name="xdx_84E_ecustom--RisksUncertaintiesAndLi"/>
      <w:bookmarkEnd w:id="198"/>
      <w:bookmarkEnd w:id="199"/>
      <w:r>
        <w:rPr>
          <w:rFonts w:ascii="Times New Roman;Times;Serif" w:hAnsi="Times New Roman;Times;Serif"/>
          <w:b/>
          <w:i w:val="false"/>
          <w:caps w:val="false"/>
          <w:smallCaps w:val="false"/>
          <w:sz w:val="20"/>
          <w:shd w:fill="FFFFFF" w:val="clear"/>
        </w:rPr>
        <w:t>Risks, Uncertainties and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certain regulatory standards, approvals, guidelines and inspections which could impact the Company’s ability to make, dispense, and sell certain products. If the Company was required to cease compounding and selling certain products as a result of regulatory guidelines or inspections, this may have a material impact on the Company’s financial condition, liquidity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0" w:name="xdx_861_zIABOn5ltUFf"/>
      <w:bookmarkStart w:id="201" w:name="xdx_841_eus-gaap--CreditLossFinancialIns"/>
      <w:bookmarkEnd w:id="200"/>
      <w:bookmarkEnd w:id="201"/>
      <w:r>
        <w:rPr>
          <w:rFonts w:ascii="Times New Roman;Times;Serif" w:hAnsi="Times New Roman;Times;Serif"/>
          <w:b/>
          <w:i w:val="false"/>
          <w:caps w:val="false"/>
          <w:smallCaps w:val="false"/>
          <w:sz w:val="20"/>
        </w:rPr>
        <w:t>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and records a provision for its expected credit losses related to its financial instruments, including its trade receivables. The Company considers historical collection rates, the current financial status of its customers, macroeconomic factors, and other industry-specific factors when evaluating for current expected credit losses. Forward-looking information is also considered in the evaluation of current expected credit losses. However, because of the short time to the expected receipt of accounts receivable, the Company believes that the carrying value, net of expected losses, approximates fair value and therefore, relies more on historical and current analysis of such financial instruments, including its trade receivables.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determine the provision for credit losses for accounts receivable, the Company has disaggregated its accounts receivable by class of customer at the business component level, as the Company determined that the risk profile of its customers is consistent based on the type and industry in which they operate, mainly in the life sciences industry. Each business component is analyzed for estimated credit losses individually. In doing so, the Company establishes a historical loss matrix, based on the previous collections of accounts receivable by the age of such receivables, and evaluates the current and forecasted financial position of its customers, as available. Further, the Company considers macroeconomic factors and the status of the life sciences industry to estimate if there are current expected credit losses within its trade receivables based on the trends of the Company’s expectation of the future status of such economic and industry-specific factors. Also, specific allowance amounts are established based on review of outstanding invoices to record the appropriate provision for customers that have a higher probability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accounts receivable balance on the Company’s condensed consolidated balance sheet as of March 31, 2023 was $</w:t>
      </w:r>
      <w:bookmarkStart w:id="202" w:name="xdx_908_eus-gaap--AccountsReceivableNet_"/>
      <w:bookmarkEnd w:id="202"/>
      <w:r>
        <w:rPr>
          <w:rFonts w:ascii="Times New Roman;Times;Serif" w:hAnsi="Times New Roman;Times;Serif"/>
          <w:b w:val="false"/>
          <w:i w:val="false"/>
          <w:caps w:val="false"/>
          <w:smallCaps w:val="false"/>
          <w:sz w:val="20"/>
        </w:rPr>
        <w:t>12,111,000, net of $</w:t>
      </w:r>
      <w:bookmarkStart w:id="203" w:name="xdx_90F_eus-gaap--AccountsReceivableNet_"/>
      <w:bookmarkEnd w:id="203"/>
      <w:r>
        <w:rPr>
          <w:rFonts w:ascii="Times New Roman;Times;Serif" w:hAnsi="Times New Roman;Times;Serif"/>
          <w:b w:val="false"/>
          <w:i w:val="false"/>
          <w:caps w:val="false"/>
          <w:smallCaps w:val="false"/>
          <w:sz w:val="20"/>
        </w:rPr>
        <w:t>82,000 of allowances. The following table provides a roll-forward of the allowance for credit losses that is deducted from the amortized cost basis of accounts receivable to present the net amount expected to be collected at March 31, 2023:</w:t>
      </w:r>
    </w:p>
    <w:p>
      <w:pPr>
        <w:pStyle w:val="TextBody"/>
        <w:bidi w:val="0"/>
        <w:spacing w:before="0" w:after="0"/>
        <w:ind w:left="0" w:right="0" w:hanging="0"/>
        <w:jc w:val="both"/>
        <w:rPr>
          <w:caps w:val="false"/>
          <w:smallCaps w:val="false"/>
        </w:rPr>
      </w:pPr>
      <w:bookmarkStart w:id="204" w:name="xdx_896_eus-gaap--AccountsReceivableAllo"/>
      <w:bookmarkEnd w:id="204"/>
      <w:r>
        <w:rPr>
          <w:caps w:val="false"/>
          <w:smallCaps w:val="false"/>
        </w:rPr>
        <w:t> </w:t>
      </w:r>
      <w:bookmarkStart w:id="205" w:name="xdx_8B8_zAnLrRBdICEd"/>
      <w:bookmarkEnd w:id="205"/>
      <w:r>
        <w:rPr>
          <w:rFonts w:ascii="Times New Roman;Times;Serif" w:hAnsi="Times New Roman;Times;Serif"/>
          <w:b w:val="false"/>
          <w:i w:val="false"/>
          <w:caps w:val="false"/>
          <w:smallCaps w:val="false"/>
          <w:sz w:val="20"/>
        </w:rPr>
        <w:t>SCHEDULE OF ACCOUNTS RECEIVABLE ALLOWANCE OF CREDIT LOSS</w:t>
      </w:r>
    </w:p>
    <w:tbl>
      <w:tblPr>
        <w:tblW w:w="4175" w:type="dxa"/>
        <w:jc w:val="left"/>
        <w:tblInd w:w="0" w:type="dxa"/>
        <w:tblLayout w:type="fixed"/>
        <w:tblCellMar>
          <w:top w:w="0" w:type="dxa"/>
          <w:left w:w="0" w:type="dxa"/>
          <w:bottom w:w="0" w:type="dxa"/>
          <w:right w:w="0" w:type="dxa"/>
        </w:tblCellMar>
      </w:tblPr>
      <w:tblGrid>
        <w:gridCol w:w="3110"/>
        <w:gridCol w:w="60"/>
        <w:gridCol w:w="140"/>
        <w:gridCol w:w="755"/>
        <w:gridCol w:w="110"/>
      </w:tblGrid>
      <w:tr>
        <w:trPr/>
        <w:tc>
          <w:tcPr>
            <w:tcW w:w="3110" w:type="dxa"/>
            <w:tcBorders/>
            <w:shd w:fill="CCEEFF" w:val="clear"/>
            <w:vAlign w:val="center"/>
          </w:tcPr>
          <w:p>
            <w:pPr>
              <w:pStyle w:val="TableContents"/>
              <w:bidi w:val="0"/>
              <w:spacing w:before="0" w:after="283"/>
              <w:jc w:val="left"/>
              <w:rPr/>
            </w:pPr>
            <w:r>
              <w:rPr/>
              <w:t>Balance at January 1,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06" w:name="xdx_989_eus-gaap--AllowanceForDoubtfulAc"/>
            <w:bookmarkEnd w:id="206"/>
          </w:p>
        </w:tc>
        <w:tc>
          <w:tcPr>
            <w:tcW w:w="755" w:type="dxa"/>
            <w:tcBorders/>
            <w:shd w:fill="CCEEFF" w:val="clear"/>
            <w:vAlign w:val="center"/>
          </w:tcPr>
          <w:p>
            <w:pPr>
              <w:pStyle w:val="TableContents"/>
              <w:bidi w:val="0"/>
              <w:spacing w:before="0" w:after="283"/>
              <w:jc w:val="right"/>
              <w:rPr/>
            </w:pPr>
            <w:r>
              <w:rPr/>
              <w:t>73,000</w:t>
            </w:r>
          </w:p>
        </w:tc>
        <w:tc>
          <w:tcPr>
            <w:tcW w:w="11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pPr>
            <w:r>
              <w:rPr/>
              <w:t>Change in expected credit 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07" w:name="xdx_986_eus-gaap--AllowanceForDoubtfulAc"/>
            <w:bookmarkEnd w:id="207"/>
          </w:p>
        </w:tc>
        <w:tc>
          <w:tcPr>
            <w:tcW w:w="755" w:type="dxa"/>
            <w:tcBorders/>
            <w:shd w:fill="FFFFFF" w:val="clear"/>
            <w:vAlign w:val="center"/>
          </w:tcPr>
          <w:p>
            <w:pPr>
              <w:pStyle w:val="TableContents"/>
              <w:bidi w:val="0"/>
              <w:spacing w:before="0" w:after="283"/>
              <w:jc w:val="right"/>
              <w:rPr/>
            </w:pPr>
            <w:r>
              <w:rPr/>
              <w:t>20,000</w:t>
            </w:r>
          </w:p>
        </w:tc>
        <w:tc>
          <w:tcPr>
            <w:tcW w:w="11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Write-offs, net of recoveries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208" w:name="xdx_98B_eus-gaap--AllowanceForDoubtfulAc"/>
            <w:bookmarkEnd w:id="208"/>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(11,000</w:t>
            </w:r>
          </w:p>
        </w:tc>
        <w:tc>
          <w:tcPr>
            <w:tcW w:w="110" w:type="dxa"/>
            <w:tcBorders/>
            <w:shd w:fill="CCEEFF" w:val="clear"/>
            <w:vAlign w:val="center"/>
          </w:tcPr>
          <w:p>
            <w:pPr>
              <w:pStyle w:val="TableContents"/>
              <w:bidi w:val="0"/>
              <w:spacing w:before="0" w:after="283"/>
              <w:jc w:val="left"/>
              <w:rPr/>
            </w:pPr>
            <w:r>
              <w:rPr/>
              <w:t>)</w:t>
            </w:r>
          </w:p>
        </w:tc>
      </w:tr>
      <w:tr>
        <w:trPr/>
        <w:tc>
          <w:tcPr>
            <w:tcW w:w="3110" w:type="dxa"/>
            <w:tcBorders/>
            <w:shd w:fill="FFFFFF" w:val="clear"/>
            <w:vAlign w:val="center"/>
          </w:tcPr>
          <w:p>
            <w:pPr>
              <w:pStyle w:val="TableContents"/>
              <w:bidi w:val="0"/>
              <w:spacing w:before="0" w:after="283"/>
              <w:jc w:val="left"/>
              <w:rPr/>
            </w:pPr>
            <w:r>
              <w:rPr/>
              <w:t>Balance at March 31, 2023</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209" w:name="xdx_987_eus-gaap--AllowanceForDoubtfulAc"/>
            <w:bookmarkEnd w:id="209"/>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82,000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10" w:name="xdx_8A9_zyfWM75RjSgb"/>
      <w:bookmarkEnd w:id="210"/>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1" w:name="xdx_86D_znzxKGFQMrAk"/>
      <w:bookmarkStart w:id="212" w:name="xdx_84D_eus-gaap--BusinessCombinationsPo"/>
      <w:bookmarkEnd w:id="211"/>
      <w:bookmarkEnd w:id="212"/>
      <w:r>
        <w:rPr>
          <w:rFonts w:ascii="Times New Roman;Times;Serif" w:hAnsi="Times New Roman;Times;Serif"/>
          <w:b/>
          <w:i w:val="false"/>
          <w:caps w:val="false"/>
          <w:smallCaps w:val="false"/>
          <w:sz w:val="20"/>
        </w:rPr>
        <w:t>Business Combinations and Asset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evaluates acquisitions of assets and other similar transactions to assess whether the transaction should be accounted for as a business combination or asset acquisition by first applying a screen to determine if substantially all of the fair value of the gross assets acquired is concentrated in a single identifiable asset or group of similar identifiable assets. If the screen is met, the transaction is accounted for as an asset acquisition. If the screen is not met, further determination is required as to whether the Company has acquired inputs, process, and output, which would meet the requirements of a business. If determined to be a business combination, the Company accounts for the transaction under the acquisition method of accounting as indicated in Financial Account Standards Board (“FASB”). Accounting Standards Codification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xml:space="preserve">, requires the acquiring entity in a business combination to recognize the fair value of all assets acquired, liabilities assumed, and any non-controlling interest in the acquiree and establishes the acquisition date as the fair value measurement point. Accordingly, the Company recognizes assets acquired and liabilities assumed in business combinations, including any contingent assets and liabilities, and any non-controlling interest in the acquiree based on the fair value estimates as of the date of acquisition. In accordance with ASC 805 –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the Company recognizes and measures goodwill as of the acquisition date, as the excess of the fair value of the consideration paid over the fair value of the identified net assets acquired.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consideration for the Company’s business acquisitions may include future payments that are contingent upon the occurrence of a particular event or events. The obligation for such contingent consideration payments are recorded at fair value on the acquisition date. The contingent consideration obligations are then evaluated each reporting period. Changes in the fair value of contingent consideration, other than changes due to payments, would be recognized as a gain or loss and recorded in the condensed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determined to be an asset acquisition, the Company accounts for the transaction under ASC 805-50 </w:t>
      </w:r>
      <w:r>
        <w:rPr>
          <w:rFonts w:ascii="Times New Roman;Times;Serif" w:hAnsi="Times New Roman;Times;Serif"/>
          <w:b w:val="false"/>
          <w:i/>
          <w:caps w:val="false"/>
          <w:smallCaps w:val="false"/>
          <w:sz w:val="20"/>
        </w:rPr>
        <w:t>Business Combinations – Related Issues</w:t>
      </w:r>
      <w:r>
        <w:rPr>
          <w:rFonts w:ascii="Times New Roman;Times;Serif" w:hAnsi="Times New Roman;Times;Serif"/>
          <w:b w:val="false"/>
          <w:i w:val="false"/>
          <w:caps w:val="false"/>
          <w:smallCaps w:val="false"/>
          <w:sz w:val="20"/>
        </w:rPr>
        <w:t>, which requires the acquiring entity in an asset acquisition to recognize assets acquired and liabilities assumed based on the cost of the acquired assets on a relative fair value basis, which includes transaction costs in addition to consideration given. No gain or loss is recognized as of the date of acquisition unless the fair value of non-cash assets given as consideration differs from the assets’ carrying amounts on the acquiring entity’s financial statements. Consideration transferred that is non-cash will be measured based on either the cost (which shall be measured based on the fair value of the consideration given) or the fair value of the assets acquired, and liabilities assumed, whichever is more reliably measurable. Goodwill is not recognized in an asset acquisition and any excess consideration transferred over the fair value of the net assets acquired is allocated to the identifiable assets based on relative fair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bookmarkStart w:id="213" w:name="xdx_86C_zKLlfwNl7slj"/>
      <w:bookmarkStart w:id="214" w:name="xdx_84A_eus-gaap--FairValueMeasurementPo"/>
      <w:bookmarkEnd w:id="213"/>
      <w:bookmarkEnd w:id="214"/>
      <w:r>
        <w:rPr>
          <w:rFonts w:ascii="Times New Roman;Times;Serif" w:hAnsi="Times New Roman;Times;Serif"/>
          <w:b/>
          <w:i w:val="false"/>
          <w:caps w:val="false"/>
          <w:smallCaps w:val="false"/>
          <w:sz w:val="20"/>
        </w:rPr>
        <w:t>Fair Value Measurements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1: Applies to assets or liabilities for which there are quoted prices (unadjusted) for identical assets or liabilities in active markets. A quoted price in an active market provides the most reliable evidence of fair value and must be used to measure fair value whenever available.</w:t>
            </w:r>
          </w:p>
        </w:tc>
      </w:tr>
      <w:tr>
        <w:trPr/>
        <w:tc>
          <w:tcPr>
            <w:tcW w:w="185"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2: Applies to assets or liabilities for which there are significant other observable inputs other than Level 1 prices, such as quoted prices for similar assets or liabilities; quoted prices in markets that are not active; or other inputs that are observable or can be corroborated by observable market data.</w:t>
            </w:r>
          </w:p>
        </w:tc>
      </w:tr>
      <w:tr>
        <w:trPr/>
        <w:tc>
          <w:tcPr>
            <w:tcW w:w="185"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3: Applies to assets or liabilities for which there are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March 31, 2023 and December 31, 2022, the Company measured its investment in Eton on a recurring basis. The Company’s investment in Eton is classified as Level 1 as the fair value is determined using quoted market prices in active markets for the same securities. As of March 31, 2023 and December 31, 2022, the fair market value of the Company’s investment in Eton was $</w:t>
      </w:r>
      <w:bookmarkStart w:id="215" w:name="xdx_908_eus-gaap--InvestmentOwnedAtFairV"/>
      <w:bookmarkEnd w:id="215"/>
      <w:r>
        <w:rPr>
          <w:rFonts w:ascii="Times New Roman;Times;Serif" w:hAnsi="Times New Roman;Times;Serif"/>
          <w:b w:val="false"/>
          <w:i w:val="false"/>
          <w:caps w:val="false"/>
          <w:smallCaps w:val="false"/>
          <w:sz w:val="20"/>
        </w:rPr>
        <w:t>7,631,000 and $</w:t>
      </w:r>
      <w:bookmarkStart w:id="216" w:name="xdx_901_eus-gaap--InvestmentOwnedAtFairV"/>
      <w:bookmarkEnd w:id="216"/>
      <w:r>
        <w:rPr>
          <w:rFonts w:ascii="Times New Roman;Times;Serif" w:hAnsi="Times New Roman;Times;Serif"/>
          <w:b w:val="false"/>
          <w:i w:val="false"/>
          <w:caps w:val="false"/>
          <w:smallCaps w:val="false"/>
          <w:sz w:val="20"/>
        </w:rPr>
        <w:t>5,589,000,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carries the 2026 Notes at face value, including the unamortized premium, less unamortized debt issuance costs, the 2027 Notes are carried at face value less unamortized debt issuance costs, and the Oaktree Loan is carried at face value less the original issue discount and unamortized debt issuance costs on the condensed consolidated balance sheets and presents fair value for disclosure purposes only. The 2026 Notes and 2027 Notes are classified as Level 1 instruments as the fair value is determined using quoted market prices in active markets for the same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217" w:name="xdx_891_eus-gaap--ScheduleOfCarryingValu"/>
      <w:bookmarkEnd w:id="217"/>
      <w:r>
        <w:rPr>
          <w:rFonts w:ascii="Times New Roman;Times;Serif" w:hAnsi="Times New Roman;Times;Serif"/>
          <w:b w:val="false"/>
          <w:i w:val="false"/>
          <w:caps w:val="false"/>
          <w:smallCaps w:val="false"/>
          <w:sz w:val="20"/>
        </w:rPr>
        <w:t>The following table presents the estimated fair values and the carrying values: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218" w:name="xdx_8BA_zkghLseEAh86"/>
      <w:bookmarkEnd w:id="218"/>
      <w:r>
        <w:rPr>
          <w:rFonts w:ascii="Times New Roman;Times;Serif" w:hAnsi="Times New Roman;Times;Serif"/>
          <w:b w:val="false"/>
          <w:i w:val="false"/>
          <w:caps w:val="false"/>
          <w:smallCaps w:val="false"/>
          <w:sz w:val="20"/>
        </w:rPr>
        <w:t>SCHEDULE OF ESTIMATED FAIR VALUE</w:t>
      </w:r>
    </w:p>
    <w:tbl>
      <w:tblPr>
        <w:tblW w:w="7353" w:type="dxa"/>
        <w:jc w:val="left"/>
        <w:tblInd w:w="0" w:type="dxa"/>
        <w:tblLayout w:type="fixed"/>
        <w:tblCellMar>
          <w:top w:w="0" w:type="dxa"/>
          <w:left w:w="0" w:type="dxa"/>
          <w:bottom w:w="0" w:type="dxa"/>
          <w:right w:w="0" w:type="dxa"/>
        </w:tblCellMar>
      </w:tblPr>
      <w:tblGrid>
        <w:gridCol w:w="1340"/>
        <w:gridCol w:w="60"/>
        <w:gridCol w:w="60"/>
        <w:gridCol w:w="168"/>
        <w:gridCol w:w="1321"/>
        <w:gridCol w:w="60"/>
        <w:gridCol w:w="60"/>
        <w:gridCol w:w="140"/>
        <w:gridCol w:w="1100"/>
        <w:gridCol w:w="60"/>
        <w:gridCol w:w="60"/>
        <w:gridCol w:w="168"/>
        <w:gridCol w:w="1321"/>
        <w:gridCol w:w="60"/>
        <w:gridCol w:w="60"/>
        <w:gridCol w:w="140"/>
        <w:gridCol w:w="1100"/>
        <w:gridCol w:w="75"/>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49"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March 31,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49"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 2022</w:t>
            </w:r>
          </w:p>
        </w:tc>
        <w:tc>
          <w:tcPr>
            <w:tcW w:w="7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Carrying Value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Fair Value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Carrying Value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Fair Value</w:t>
            </w:r>
          </w:p>
        </w:tc>
        <w:tc>
          <w:tcPr>
            <w:tcW w:w="75" w:type="dxa"/>
            <w:tcBorders/>
            <w:vAlign w:val="center"/>
          </w:tcPr>
          <w:p>
            <w:pPr>
              <w:pStyle w:val="TableContents"/>
              <w:bidi w:val="0"/>
              <w:spacing w:before="0" w:after="283"/>
              <w:jc w:val="center"/>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2026 Notes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21" w:type="dxa"/>
            <w:tcBorders/>
            <w:shd w:fill="CCEEFF" w:val="clear"/>
            <w:vAlign w:val="center"/>
          </w:tcPr>
          <w:p>
            <w:pPr>
              <w:pStyle w:val="TableContents"/>
              <w:bidi w:val="0"/>
              <w:spacing w:before="0" w:after="283"/>
              <w:jc w:val="right"/>
              <w:rPr>
                <w:rFonts w:ascii="Times New Roman;Times;Serif" w:hAnsi="Times New Roman;Times;Serif"/>
              </w:rPr>
            </w:pPr>
            <w:bookmarkStart w:id="219" w:name="xdx_90E_eus-gaap--DebtInstrumentCarrying"/>
            <w:bookmarkEnd w:id="219"/>
            <w:r>
              <w:rPr>
                <w:rFonts w:ascii="Times New Roman;Times;Serif" w:hAnsi="Times New Roman;Times;Serif"/>
              </w:rPr>
              <w:t>72,628,000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bookmarkStart w:id="220" w:name="xdx_90D_eus-gaap--AssetsFairValueDisclos"/>
            <w:bookmarkEnd w:id="220"/>
            <w:r>
              <w:rPr>
                <w:rFonts w:ascii="Times New Roman;Times;Serif" w:hAnsi="Times New Roman;Times;Serif"/>
              </w:rPr>
              <w:t>73,590,000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21" w:type="dxa"/>
            <w:tcBorders/>
            <w:shd w:fill="CCEEFF" w:val="clear"/>
            <w:vAlign w:val="center"/>
          </w:tcPr>
          <w:p>
            <w:pPr>
              <w:pStyle w:val="TableContents"/>
              <w:bidi w:val="0"/>
              <w:spacing w:before="0" w:after="283"/>
              <w:jc w:val="right"/>
              <w:rPr>
                <w:rFonts w:ascii="Times New Roman;Times;Serif" w:hAnsi="Times New Roman;Times;Serif"/>
              </w:rPr>
            </w:pPr>
            <w:bookmarkStart w:id="221" w:name="xdx_909_eus-gaap--DebtInstrumentCarrying"/>
            <w:bookmarkEnd w:id="221"/>
            <w:r>
              <w:rPr>
                <w:rFonts w:ascii="Times New Roman;Times;Serif" w:hAnsi="Times New Roman;Times;Serif"/>
              </w:rPr>
              <w:t>72,436,000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bookmarkStart w:id="222" w:name="xdx_90D_eus-gaap--AssetsFairValueDisclos"/>
            <w:bookmarkEnd w:id="222"/>
            <w:r>
              <w:rPr>
                <w:rFonts w:ascii="Times New Roman;Times;Serif" w:hAnsi="Times New Roman;Times;Serif"/>
              </w:rPr>
              <w:t>71,550,000</w:t>
            </w:r>
          </w:p>
        </w:tc>
        <w:tc>
          <w:tcPr>
            <w:tcW w:w="75"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2027 Notes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21" w:type="dxa"/>
            <w:tcBorders/>
            <w:shd w:fill="FFFFFF" w:val="clear"/>
            <w:vAlign w:val="center"/>
          </w:tcPr>
          <w:p>
            <w:pPr>
              <w:pStyle w:val="TableContents"/>
              <w:bidi w:val="0"/>
              <w:spacing w:before="0" w:after="283"/>
              <w:jc w:val="right"/>
              <w:rPr>
                <w:rFonts w:ascii="Times New Roman;Times;Serif" w:hAnsi="Times New Roman;Times;Serif"/>
              </w:rPr>
            </w:pPr>
            <w:bookmarkStart w:id="223" w:name="xdx_90E_eus-gaap--DebtInstrumentCarrying"/>
            <w:bookmarkEnd w:id="223"/>
            <w:r>
              <w:rPr>
                <w:rFonts w:ascii="Times New Roman;Times;Serif" w:hAnsi="Times New Roman;Times;Serif"/>
              </w:rPr>
              <w:t>36,900,000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bookmarkStart w:id="224" w:name="xdx_909_eus-gaap--AssetsFairValueDisclos"/>
            <w:bookmarkEnd w:id="224"/>
            <w:r>
              <w:rPr>
                <w:rFonts w:ascii="Times New Roman;Times;Serif" w:hAnsi="Times New Roman;Times;Serif"/>
              </w:rPr>
              <w:t>40,250,000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21" w:type="dxa"/>
            <w:tcBorders/>
            <w:shd w:fill="FFFFFF" w:val="clear"/>
            <w:vAlign w:val="center"/>
          </w:tcPr>
          <w:p>
            <w:pPr>
              <w:pStyle w:val="TableContents"/>
              <w:bidi w:val="0"/>
              <w:spacing w:before="0" w:after="283"/>
              <w:jc w:val="right"/>
              <w:rPr>
                <w:rFonts w:ascii="Times New Roman;Times;Serif" w:hAnsi="Times New Roman;Times;Serif"/>
              </w:rPr>
            </w:pPr>
            <w:bookmarkStart w:id="225" w:name="xdx_902_eus-gaap--DebtInstrumentCarrying"/>
            <w:bookmarkEnd w:id="225"/>
            <w:r>
              <w:rPr>
                <w:rFonts w:ascii="Times New Roman;Times;Serif" w:hAnsi="Times New Roman;Times;Serif"/>
              </w:rPr>
              <w:t>31,738,000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bookmarkStart w:id="226" w:name="xdx_908_eus-gaap--AssetsFairValueDisclos"/>
            <w:bookmarkEnd w:id="226"/>
            <w:r>
              <w:rPr>
                <w:rFonts w:ascii="Times New Roman;Times;Serif" w:hAnsi="Times New Roman;Times;Serif"/>
              </w:rPr>
              <w:t>35,112,000</w:t>
            </w:r>
          </w:p>
        </w:tc>
        <w:tc>
          <w:tcPr>
            <w:tcW w:w="75"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Oaktree Loan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3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27" w:name="xdx_907_eus-gaap--DebtInstrumentCarrying"/>
            <w:bookmarkEnd w:id="227"/>
            <w:r>
              <w:rPr>
                <w:rFonts w:ascii="Times New Roman;Times;Serif" w:hAnsi="Times New Roman;Times;Serif"/>
                <w:b w:val="false"/>
                <w:i w:val="false"/>
                <w:caps w:val="false"/>
                <w:smallCaps w:val="false"/>
                <w:sz w:val="20"/>
              </w:rPr>
              <w:t>59,322,000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bookmarkStart w:id="228" w:name="xdx_90D_eus-gaap--AssetsFairValueDisclos"/>
            <w:bookmarkEnd w:id="228"/>
            <w:r>
              <w:rPr/>
              <w:t>65,000,000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321" w:type="dxa"/>
            <w:tcBorders/>
            <w:shd w:fill="CCEEFF" w:val="clear"/>
            <w:vAlign w:val="center"/>
          </w:tcPr>
          <w:p>
            <w:pPr>
              <w:pStyle w:val="TableContents"/>
              <w:bidi w:val="0"/>
              <w:spacing w:before="0" w:after="283"/>
              <w:jc w:val="right"/>
              <w:rPr/>
            </w:pPr>
            <w:bookmarkStart w:id="229" w:name="xdx_90D_eus-gaap--DebtInstrumentCarrying"/>
            <w:bookmarkEnd w:id="229"/>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bookmarkStart w:id="230" w:name="xdx_90D_eus-gaap--AssetsFairValueDisclos"/>
            <w:bookmarkEnd w:id="230"/>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231" w:name="xdx_8AD_zvaPTPi4Vbqi"/>
      <w:bookmarkEnd w:id="231"/>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financial instruments include cash and cash equivalents, accounts receivable, accounts payable and accrued expenses, accrued payroll and related liabilities, deferred revenue and customer deposits and operating and finance lease liabilities. The carrying amount of these financial instruments, except for operating and finance lease liabilities, approximates fair value due to the short-term maturities of these instruments. Based on borrowing rates currently available to the Company, the carrying values of the operating and finance lease liabilities approximate their respective fair values.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32" w:name="xdx_867_z92sq02qsFhg"/>
      <w:bookmarkStart w:id="233" w:name="xdx_849_eus-gaap--EarningsPerSharePolicy"/>
      <w:bookmarkEnd w:id="232"/>
      <w:bookmarkEnd w:id="233"/>
      <w:r>
        <w:rPr>
          <w:rFonts w:ascii="Times New Roman;Times;Serif" w:hAnsi="Times New Roman;Times;Serif"/>
          <w:b/>
          <w:i w:val="false"/>
          <w:caps w:val="false"/>
          <w:smallCaps w:val="false"/>
          <w:sz w:val="20"/>
        </w:rPr>
        <w:t>Basic and Diluted Net Loss per Common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Basic net loss per common share is computed by dividing net loss attributable to common stockholders for the period by the weighted average number of common shares outstanding during the period. Diluted net loss per common share is computed by dividing the net loss attributable to common stockholders for the period by the weighted average number of common and common equivalent shares, such as stock options, restricted stock units (“RSUs”) and warrants, outstanding during the period. Common equivalent shares (using the treasury stock method) from stock options, unvested RSUs and warrants was </w:t>
      </w:r>
      <w:bookmarkStart w:id="234" w:name="xdx_904_eus-gaap--AntidilutiveSecurities"/>
      <w:bookmarkEnd w:id="234"/>
      <w:r>
        <w:rPr>
          <w:rFonts w:ascii="Times New Roman;Times;Serif" w:hAnsi="Times New Roman;Times;Serif"/>
          <w:b w:val="false"/>
          <w:i w:val="false"/>
          <w:caps w:val="false"/>
          <w:smallCaps w:val="false"/>
          <w:sz w:val="20"/>
        </w:rPr>
        <w:t xml:space="preserve">4,750,340 and </w:t>
      </w:r>
      <w:bookmarkStart w:id="235" w:name="xdx_905_eus-gaap--AntidilutiveSecurities"/>
      <w:bookmarkEnd w:id="235"/>
      <w:r>
        <w:rPr>
          <w:rFonts w:ascii="Times New Roman;Times;Serif" w:hAnsi="Times New Roman;Times;Serif"/>
          <w:b w:val="false"/>
          <w:i w:val="false"/>
          <w:caps w:val="false"/>
          <w:smallCaps w:val="false"/>
          <w:sz w:val="20"/>
        </w:rPr>
        <w:t xml:space="preserve">5,546,200 at March 31, 2023 and 2022, respectively, and are excluded in the calculation of diluted net loss per common share for the periods presented, because the effect is anti-dilutive. Included in the basic and diluted net loss per share calculation were RSUs awarded to directors that had vested, but the issuance and delivery of the shares are deferred until the director resigns. The number of unissued shares underlying vested RSUs at March 31, 2023 and 2022 was </w:t>
      </w:r>
      <w:bookmarkStart w:id="236" w:name="xdx_900_eus-gaap--SharebasedCompensation"/>
      <w:bookmarkEnd w:id="236"/>
      <w:r>
        <w:rPr>
          <w:rFonts w:ascii="Times New Roman;Times;Serif" w:hAnsi="Times New Roman;Times;Serif"/>
          <w:b w:val="false"/>
          <w:i w:val="false"/>
          <w:caps w:val="false"/>
          <w:smallCaps w:val="false"/>
          <w:sz w:val="20"/>
        </w:rPr>
        <w:t xml:space="preserve">336,264 and </w:t>
      </w:r>
      <w:bookmarkStart w:id="237" w:name="xdx_90C_eus-gaap--SharebasedCompensation"/>
      <w:bookmarkEnd w:id="237"/>
      <w:r>
        <w:rPr>
          <w:rFonts w:ascii="Times New Roman;Times;Serif" w:hAnsi="Times New Roman;Times;Serif"/>
          <w:b w:val="false"/>
          <w:i w:val="false"/>
          <w:caps w:val="false"/>
          <w:smallCaps w:val="false"/>
          <w:sz w:val="20"/>
        </w:rPr>
        <w:t>277,405,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38" w:name="xdx_89A_eus-gaap--ScheduleOfEarningsPerS"/>
      <w:bookmarkEnd w:id="238"/>
      <w:r>
        <w:rPr>
          <w:rFonts w:ascii="Times New Roman;Times;Serif" w:hAnsi="Times New Roman;Times;Serif"/>
          <w:b w:val="false"/>
          <w:i w:val="false"/>
          <w:caps w:val="false"/>
          <w:smallCaps w:val="false"/>
          <w:sz w:val="20"/>
        </w:rPr>
        <w:t>The following table shows the computation of basic and diluted net loss per share of common stock for the three months ended March 31, 2023 and 2022:</w:t>
      </w:r>
    </w:p>
    <w:p>
      <w:pPr>
        <w:pStyle w:val="TextBody"/>
        <w:bidi w:val="0"/>
        <w:spacing w:before="0" w:after="0"/>
        <w:ind w:left="0" w:right="0" w:hanging="0"/>
        <w:jc w:val="both"/>
        <w:rPr>
          <w:caps w:val="false"/>
          <w:smallCaps w:val="false"/>
        </w:rPr>
      </w:pPr>
      <w:r>
        <w:rPr>
          <w:caps w:val="false"/>
          <w:smallCaps w:val="false"/>
        </w:rPr>
        <w:t> </w:t>
      </w:r>
      <w:bookmarkStart w:id="239" w:name="xdx_8B6_zY9wiCGtqxuh"/>
      <w:bookmarkEnd w:id="239"/>
      <w:r>
        <w:rPr>
          <w:rFonts w:ascii="Times New Roman;Times;Serif" w:hAnsi="Times New Roman;Times;Serif"/>
          <w:b w:val="false"/>
          <w:i w:val="false"/>
          <w:caps w:val="false"/>
          <w:smallCaps w:val="false"/>
          <w:sz w:val="20"/>
        </w:rPr>
        <w:t>SCHEDULE OF BASIC AND DILUTED EARNINGS PER COMMON SHARE</w:t>
      </w:r>
    </w:p>
    <w:tbl>
      <w:tblPr>
        <w:tblW w:w="7451" w:type="dxa"/>
        <w:jc w:val="left"/>
        <w:tblInd w:w="0" w:type="dxa"/>
        <w:tblLayout w:type="fixed"/>
        <w:tblCellMar>
          <w:top w:w="0" w:type="dxa"/>
          <w:left w:w="0" w:type="dxa"/>
          <w:bottom w:w="0" w:type="dxa"/>
          <w:right w:w="0" w:type="dxa"/>
        </w:tblCellMar>
      </w:tblPr>
      <w:tblGrid>
        <w:gridCol w:w="4520"/>
        <w:gridCol w:w="60"/>
        <w:gridCol w:w="146"/>
        <w:gridCol w:w="1154"/>
        <w:gridCol w:w="99"/>
        <w:gridCol w:w="62"/>
        <w:gridCol w:w="146"/>
        <w:gridCol w:w="1154"/>
        <w:gridCol w:w="110"/>
      </w:tblGrid>
      <w:tr>
        <w:trPr/>
        <w:tc>
          <w:tcPr>
            <w:tcW w:w="4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40" w:name="xdx_496_20230101__20230331_zAc9EuqpHDfe"/>
            <w:bookmarkEnd w:id="240"/>
          </w:p>
        </w:tc>
        <w:tc>
          <w:tcPr>
            <w:tcW w:w="1300"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bookmarkStart w:id="241" w:name="xdx_49E_20220101__20220331_zV1yHwuSLxG7"/>
            <w:bookmarkEnd w:id="241"/>
          </w:p>
        </w:tc>
        <w:tc>
          <w:tcPr>
            <w:tcW w:w="1300"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110" w:type="dxa"/>
            <w:tcBorders/>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1" w:type="dxa"/>
            <w:gridSpan w:val="6"/>
            <w:tcBorders/>
            <w:vAlign w:val="center"/>
          </w:tcPr>
          <w:p>
            <w:pPr>
              <w:pStyle w:val="TableContents"/>
              <w:bidi w:val="0"/>
              <w:spacing w:before="0" w:after="283"/>
              <w:jc w:val="center"/>
              <w:rPr/>
            </w:pPr>
            <w:r>
              <w:rPr/>
              <w:t>For the Three Months Ended</w:t>
            </w:r>
          </w:p>
        </w:tc>
        <w:tc>
          <w:tcPr>
            <w:tcW w:w="110" w:type="dxa"/>
            <w:tcBorders/>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1" w:type="dxa"/>
            <w:gridSpan w:val="6"/>
            <w:tcBorders/>
            <w:vAlign w:val="center"/>
          </w:tcPr>
          <w:p>
            <w:pPr>
              <w:pStyle w:val="TableContents"/>
              <w:bidi w:val="0"/>
              <w:spacing w:before="0" w:after="283"/>
              <w:jc w:val="center"/>
              <w:rPr/>
            </w:pPr>
            <w:r>
              <w:rPr/>
              <w:t>March 31,</w:t>
            </w:r>
          </w:p>
        </w:tc>
        <w:tc>
          <w:tcPr>
            <w:tcW w:w="110" w:type="dxa"/>
            <w:tcBorders/>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110" w:type="dxa"/>
            <w:tcBorders/>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242" w:name="xdx_40B_eus-gaap--NetIncomeLoss_zSuoyNem"/>
            <w:bookmarkEnd w:id="242"/>
          </w:p>
        </w:tc>
      </w:tr>
      <w:tr>
        <w:trPr/>
        <w:tc>
          <w:tcPr>
            <w:tcW w:w="4520" w:type="dxa"/>
            <w:tcBorders/>
            <w:shd w:fill="CCEEFF" w:val="clear"/>
            <w:vAlign w:val="center"/>
          </w:tcPr>
          <w:p>
            <w:pPr>
              <w:pStyle w:val="TableContents"/>
              <w:bidi w:val="0"/>
              <w:spacing w:before="0" w:after="283"/>
              <w:jc w:val="left"/>
              <w:rPr/>
            </w:pPr>
            <w:r>
              <w:rPr/>
              <w:t>Numerator – net loss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4" w:type="dxa"/>
            <w:tcBorders>
              <w:bottom w:val="double" w:sz="6" w:space="0" w:color="000000"/>
            </w:tcBorders>
            <w:shd w:fill="CCEEFF" w:val="clear"/>
            <w:tcMar>
              <w:bottom w:w="28" w:type="dxa"/>
            </w:tcMar>
            <w:vAlign w:val="center"/>
          </w:tcPr>
          <w:p>
            <w:pPr>
              <w:pStyle w:val="TableContents"/>
              <w:bidi w:val="0"/>
              <w:spacing w:before="0" w:after="283"/>
              <w:jc w:val="right"/>
              <w:rPr/>
            </w:pPr>
            <w:r>
              <w:rPr/>
              <w:t>(6,643,000</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4" w:type="dxa"/>
            <w:tcBorders>
              <w:bottom w:val="double" w:sz="6" w:space="0" w:color="000000"/>
            </w:tcBorders>
            <w:shd w:fill="CCEEFF" w:val="clear"/>
            <w:tcMar>
              <w:bottom w:w="28" w:type="dxa"/>
            </w:tcMar>
            <w:vAlign w:val="center"/>
          </w:tcPr>
          <w:p>
            <w:pPr>
              <w:pStyle w:val="TableContents"/>
              <w:bidi w:val="0"/>
              <w:spacing w:before="0" w:after="283"/>
              <w:jc w:val="right"/>
              <w:rPr/>
            </w:pPr>
            <w:r>
              <w:rPr/>
              <w:t>(2,438,000</w:t>
            </w:r>
          </w:p>
        </w:tc>
        <w:tc>
          <w:tcPr>
            <w:tcW w:w="110" w:type="dxa"/>
            <w:tcBorders/>
            <w:shd w:fill="CCEEFF" w:val="clear"/>
            <w:vAlign w:val="center"/>
          </w:tcPr>
          <w:p>
            <w:pPr>
              <w:pStyle w:val="TableContents"/>
              <w:bidi w:val="0"/>
              <w:spacing w:before="0" w:after="283"/>
              <w:jc w:val="left"/>
              <w:rPr/>
            </w:pPr>
            <w:r>
              <w:rPr/>
              <w:t>)</w:t>
            </w:r>
          </w:p>
        </w:tc>
      </w:tr>
      <w:tr>
        <w:trPr/>
        <w:tc>
          <w:tcPr>
            <w:tcW w:w="4520" w:type="dxa"/>
            <w:tcBorders/>
            <w:shd w:fill="FFFFFF" w:val="clear"/>
            <w:vAlign w:val="center"/>
          </w:tcPr>
          <w:p>
            <w:pPr>
              <w:pStyle w:val="TableContents"/>
              <w:bidi w:val="0"/>
              <w:spacing w:before="0" w:after="283"/>
              <w:jc w:val="left"/>
              <w:rPr/>
            </w:pPr>
            <w:r>
              <w:rPr/>
              <w:t>Denominator – weighted average</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4"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3" w:name="xdx_40E_eus-gaap--WeightedAverageNumberO"/>
            <w:bookmarkEnd w:id="243"/>
          </w:p>
        </w:tc>
      </w:tr>
      <w:tr>
        <w:trPr/>
        <w:tc>
          <w:tcPr>
            <w:tcW w:w="4520" w:type="dxa"/>
            <w:tcBorders/>
            <w:shd w:fill="CCEEFF" w:val="clear"/>
            <w:vAlign w:val="center"/>
          </w:tcPr>
          <w:p>
            <w:pPr>
              <w:pStyle w:val="TableContents"/>
              <w:bidi w:val="0"/>
              <w:spacing w:before="0" w:after="283"/>
              <w:jc w:val="left"/>
              <w:rPr/>
            </w:pPr>
            <w:r>
              <w:rPr/>
              <w:t>number of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4" w:type="dxa"/>
            <w:tcBorders>
              <w:bottom w:val="single" w:sz="12" w:space="0" w:color="000000"/>
            </w:tcBorders>
            <w:shd w:fill="CCEEFF" w:val="clear"/>
            <w:tcMar>
              <w:bottom w:w="28" w:type="dxa"/>
            </w:tcMar>
            <w:vAlign w:val="center"/>
          </w:tcPr>
          <w:p>
            <w:pPr>
              <w:pStyle w:val="TableContents"/>
              <w:bidi w:val="0"/>
              <w:spacing w:before="0" w:after="283"/>
              <w:jc w:val="right"/>
              <w:rPr/>
            </w:pPr>
            <w:r>
              <w:rPr/>
              <w:t>30,289,730</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4" w:type="dxa"/>
            <w:tcBorders>
              <w:bottom w:val="single" w:sz="12" w:space="0" w:color="000000"/>
            </w:tcBorders>
            <w:shd w:fill="CCEEFF" w:val="clear"/>
            <w:tcMar>
              <w:bottom w:w="28" w:type="dxa"/>
            </w:tcMar>
            <w:vAlign w:val="center"/>
          </w:tcPr>
          <w:p>
            <w:pPr>
              <w:pStyle w:val="TableContents"/>
              <w:bidi w:val="0"/>
              <w:spacing w:before="0" w:after="283"/>
              <w:jc w:val="right"/>
              <w:rPr/>
            </w:pPr>
            <w:r>
              <w:rPr/>
              <w:t>27,226,819</w:t>
            </w:r>
          </w:p>
        </w:tc>
        <w:tc>
          <w:tcPr>
            <w:tcW w:w="110" w:type="dxa"/>
            <w:tcBorders/>
            <w:shd w:fill="CCEEFF" w:val="clear"/>
            <w:vAlign w:val="center"/>
          </w:tcPr>
          <w:p>
            <w:pPr>
              <w:pStyle w:val="TableContents"/>
              <w:bidi w:val="0"/>
              <w:spacing w:before="0" w:after="283"/>
              <w:jc w:val="left"/>
              <w:rPr/>
            </w:pPr>
            <w:r>
              <w:rPr/>
              <w:t> </w:t>
            </w:r>
            <w:bookmarkStart w:id="244" w:name="xdx_409_eus-gaap--EarningsPerShareBasic_"/>
            <w:bookmarkEnd w:id="244"/>
          </w:p>
        </w:tc>
      </w:tr>
      <w:tr>
        <w:trPr/>
        <w:tc>
          <w:tcPr>
            <w:tcW w:w="4520" w:type="dxa"/>
            <w:tcBorders/>
            <w:shd w:fill="FFFFFF" w:val="clear"/>
            <w:vAlign w:val="center"/>
          </w:tcPr>
          <w:p>
            <w:pPr>
              <w:pStyle w:val="TableContents"/>
              <w:bidi w:val="0"/>
              <w:spacing w:before="0" w:after="283"/>
              <w:jc w:val="left"/>
              <w:rPr>
                <w:b/>
              </w:rPr>
            </w:pPr>
            <w:r>
              <w:rPr>
                <w:b/>
              </w:rPr>
              <w:t>Net loss per share, basic and diluted</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4" w:type="dxa"/>
            <w:tcBorders>
              <w:bottom w:val="double" w:sz="6" w:space="0" w:color="000000"/>
            </w:tcBorders>
            <w:shd w:fill="FFFFFF" w:val="clear"/>
            <w:tcMar>
              <w:bottom w:w="28" w:type="dxa"/>
            </w:tcMar>
            <w:vAlign w:val="center"/>
          </w:tcPr>
          <w:p>
            <w:pPr>
              <w:pStyle w:val="TableContents"/>
              <w:bidi w:val="0"/>
              <w:spacing w:before="0" w:after="283"/>
              <w:jc w:val="right"/>
              <w:rPr/>
            </w:pPr>
            <w:r>
              <w:rPr/>
              <w:t>(0.22</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4" w:type="dxa"/>
            <w:tcBorders>
              <w:bottom w:val="double" w:sz="6" w:space="0" w:color="000000"/>
            </w:tcBorders>
            <w:shd w:fill="FFFFFF" w:val="clear"/>
            <w:tcMar>
              <w:bottom w:w="28" w:type="dxa"/>
            </w:tcMar>
            <w:vAlign w:val="center"/>
          </w:tcPr>
          <w:p>
            <w:pPr>
              <w:pStyle w:val="TableContents"/>
              <w:bidi w:val="0"/>
              <w:spacing w:before="0" w:after="283"/>
              <w:jc w:val="right"/>
              <w:rPr/>
            </w:pPr>
            <w:r>
              <w:rPr/>
              <w:t>(0.09</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245" w:name="xdx_8A0_zfbKzM2PtF77"/>
      <w:bookmarkEnd w:id="245"/>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6" w:name="xdx_863_zONFp9DuaAul"/>
      <w:bookmarkStart w:id="247" w:name="xdx_843_eus-gaap--IncomeTaxPolicyTextBlo"/>
      <w:bookmarkEnd w:id="246"/>
      <w:bookmarkEnd w:id="247"/>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calculates its quarterly tax provision pursuant to the guidelines in ASC 740-270,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Generally, ASC 740-270 requires companies to estimate the annual effective tax rate for current year ordinary income. The estimated annual effective tax rate represents the best estimate of the tax provision in relation to the best estimate of pre-tax ordinary income or loss. The estimated annual effective tax rate is then applied to year-to-date ordinary income or loss to calculate the year-to-date interim tax provision and is adjusted for discrete items that occur within the period.</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effective tax rate was </w:t>
      </w:r>
      <w:bookmarkStart w:id="248" w:name="xdx_90B_eus-gaap--EffectiveIncomeTaxRate"/>
      <w:bookmarkEnd w:id="248"/>
      <w:r>
        <w:rPr>
          <w:rFonts w:ascii="Times New Roman;Times;Serif" w:hAnsi="Times New Roman;Times;Serif"/>
          <w:b w:val="false"/>
          <w:i w:val="false"/>
          <w:caps w:val="false"/>
          <w:smallCaps w:val="false"/>
          <w:sz w:val="20"/>
        </w:rPr>
        <w:t xml:space="preserve">4.16% and </w:t>
      </w:r>
      <w:bookmarkStart w:id="249" w:name="xdx_90D_eus-gaap--EffectiveIncomeTaxRate"/>
      <w:bookmarkEnd w:id="249"/>
      <w:r>
        <w:rPr>
          <w:rFonts w:ascii="Times New Roman;Times;Serif" w:hAnsi="Times New Roman;Times;Serif"/>
          <w:b w:val="false"/>
          <w:i w:val="false"/>
          <w:caps w:val="false"/>
          <w:smallCaps w:val="false"/>
          <w:sz w:val="20"/>
        </w:rPr>
        <w:t xml:space="preserve">0% for the three months ended March 31, 2023 and 2022, respectively. The Company’s effective tax rate for the three months ended March 31, 2023 and 2022 differed from the U.S. federal statutory tax rate of </w:t>
      </w:r>
      <w:bookmarkStart w:id="250" w:name="xdx_903_eus-gaap--EffectiveIncomeTaxRate"/>
      <w:bookmarkStart w:id="251" w:name="xdx_90F_eus-gaap--EffectiveIncomeTaxRate"/>
      <w:bookmarkEnd w:id="250"/>
      <w:bookmarkEnd w:id="251"/>
      <w:r>
        <w:rPr>
          <w:rFonts w:ascii="Times New Roman;Times;Serif" w:hAnsi="Times New Roman;Times;Serif"/>
          <w:b w:val="false"/>
          <w:i w:val="false"/>
          <w:caps w:val="false"/>
          <w:smallCaps w:val="false"/>
          <w:sz w:val="20"/>
        </w:rPr>
        <w:t>21% due to state taxes, permanent book-tax differences related to Internal Revenue Code Section 162(m) excess officer compensation limitation and share-based compensation and the change in valuation allowance.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2023 and December 31, 2022, there were </w:t>
      </w:r>
      <w:bookmarkStart w:id="252" w:name="xdx_90B_eus-gaap--UnrecognizedTaxBenefit"/>
      <w:bookmarkStart w:id="253" w:name="xdx_90A_eus-gaap--UnrecognizedTaxBenefit"/>
      <w:bookmarkEnd w:id="252"/>
      <w:bookmarkEnd w:id="253"/>
      <w:r>
        <w:rPr>
          <w:rFonts w:ascii="Times New Roman;Times;Serif" w:hAnsi="Times New Roman;Times;Serif"/>
          <w:b w:val="false"/>
          <w:i w:val="false"/>
          <w:caps w:val="false"/>
          <w:smallCaps w:val="false"/>
          <w:sz w:val="20"/>
        </w:rPr>
        <w:t>no unrecognized tax benefits included in the condensed consolidated balance sheets that would, if recognized, affect the effective tax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4" w:name="xdx_864_zbQIsRgDuIZ4"/>
      <w:bookmarkStart w:id="255" w:name="xdx_84A_eus-gaap--InvestmentPolicyTextBl"/>
      <w:bookmarkEnd w:id="254"/>
      <w:bookmarkEnd w:id="255"/>
      <w:r>
        <w:rPr>
          <w:rFonts w:ascii="Times New Roman;Times;Serif" w:hAnsi="Times New Roman;Times;Serif"/>
          <w:b/>
          <w:i w:val="false"/>
          <w:caps w:val="false"/>
          <w:smallCaps w:val="false"/>
          <w:sz w:val="20"/>
        </w:rPr>
        <w:t xml:space="preserve">Investment in Eton Pharmaceuticals, Inc.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2023, the Company owned </w:t>
      </w:r>
      <w:bookmarkStart w:id="256" w:name="xdx_90B_eus-gaap--InvestmentOwnedBalance"/>
      <w:bookmarkEnd w:id="256"/>
      <w:r>
        <w:rPr>
          <w:rFonts w:ascii="Times New Roman;Times;Serif" w:hAnsi="Times New Roman;Times;Serif"/>
          <w:b w:val="false"/>
          <w:i w:val="false"/>
          <w:caps w:val="false"/>
          <w:smallCaps w:val="false"/>
          <w:sz w:val="20"/>
        </w:rPr>
        <w:t xml:space="preserve">1,982,000 shares of Eton common stock, which represented less than </w:t>
      </w:r>
      <w:bookmarkStart w:id="257" w:name="xdx_90F_eus-gaap--EquityMethodInvestment"/>
      <w:bookmarkEnd w:id="257"/>
      <w:r>
        <w:rPr>
          <w:rFonts w:ascii="Times New Roman;Times;Serif" w:hAnsi="Times New Roman;Times;Serif"/>
          <w:b w:val="false"/>
          <w:i w:val="false"/>
          <w:caps w:val="false"/>
          <w:smallCaps w:val="false"/>
          <w:sz w:val="20"/>
        </w:rPr>
        <w:t>10% of the equity and voting interests of Eton. At March 31, 2023, the fair market value of Eton’s common stock was $</w:t>
      </w:r>
      <w:bookmarkStart w:id="258" w:name="xdx_908_eus-gaap--SharePrice_iI_pid_c202"/>
      <w:bookmarkEnd w:id="258"/>
      <w:r>
        <w:rPr>
          <w:rFonts w:ascii="Times New Roman;Times;Serif" w:hAnsi="Times New Roman;Times;Serif"/>
          <w:b w:val="false"/>
          <w:i w:val="false"/>
          <w:caps w:val="false"/>
          <w:smallCaps w:val="false"/>
          <w:sz w:val="20"/>
        </w:rPr>
        <w:t xml:space="preserve">3.85 per share. In accordance with the ASU 2016-01, </w:t>
      </w:r>
      <w:r>
        <w:rPr>
          <w:rFonts w:ascii="Times New Roman;Times;Serif" w:hAnsi="Times New Roman;Times;Serif"/>
          <w:b w:val="false"/>
          <w:i/>
          <w:caps w:val="false"/>
          <w:smallCaps w:val="false"/>
          <w:sz w:val="20"/>
        </w:rPr>
        <w:t>Financial Instruments-Overall (Subtopic 825-10): Recognition and Measurement of Financial Assets and Financial Liabilities</w:t>
      </w:r>
      <w:r>
        <w:rPr>
          <w:rFonts w:ascii="Times New Roman;Times;Serif" w:hAnsi="Times New Roman;Times;Serif"/>
          <w:b w:val="false"/>
          <w:i w:val="false"/>
          <w:caps w:val="false"/>
          <w:smallCaps w:val="false"/>
          <w:sz w:val="20"/>
        </w:rPr>
        <w:t>, the Company recorded an unrealized investment gain from its Eton common stock position of $</w:t>
      </w:r>
      <w:bookmarkStart w:id="259" w:name="xdx_905_eus-gaap--UnrealizedGainLossOnIn"/>
      <w:bookmarkEnd w:id="259"/>
      <w:r>
        <w:rPr>
          <w:rFonts w:ascii="Times New Roman;Times;Serif" w:hAnsi="Times New Roman;Times;Serif"/>
          <w:b w:val="false"/>
          <w:i w:val="false"/>
          <w:caps w:val="false"/>
          <w:smallCaps w:val="false"/>
          <w:sz w:val="20"/>
        </w:rPr>
        <w:t>2,042,000 and $</w:t>
      </w:r>
      <w:bookmarkStart w:id="260" w:name="xdx_908_eus-gaap--UnrealizedGainLossOnIn"/>
      <w:bookmarkEnd w:id="260"/>
      <w:r>
        <w:rPr>
          <w:rFonts w:ascii="Times New Roman;Times;Serif" w:hAnsi="Times New Roman;Times;Serif"/>
          <w:b w:val="false"/>
          <w:i w:val="false"/>
          <w:caps w:val="false"/>
          <w:smallCaps w:val="false"/>
          <w:sz w:val="20"/>
        </w:rPr>
        <w:t>139,000 during the three months ended March 31, 2023 and 2022, respectively, related to the change in fair market value of its investment in Eton during the measurement period. As of March 31, 2023 and December 31, 2022, the fair market value of the Company’s investment in Eton was $</w:t>
      </w:r>
      <w:bookmarkStart w:id="261" w:name="xdx_909_eus-gaap--InvestmentOwnedAtFairV"/>
      <w:bookmarkEnd w:id="261"/>
      <w:r>
        <w:rPr>
          <w:rFonts w:ascii="Times New Roman;Times;Serif" w:hAnsi="Times New Roman;Times;Serif"/>
          <w:b w:val="false"/>
          <w:i w:val="false"/>
          <w:caps w:val="false"/>
          <w:smallCaps w:val="false"/>
          <w:sz w:val="20"/>
        </w:rPr>
        <w:t>7,631,000 and $</w:t>
      </w:r>
      <w:bookmarkStart w:id="262" w:name="xdx_904_eus-gaap--InvestmentOwnedAtFairV"/>
      <w:bookmarkEnd w:id="262"/>
      <w:r>
        <w:rPr>
          <w:rFonts w:ascii="Times New Roman;Times;Serif" w:hAnsi="Times New Roman;Times;Serif"/>
          <w:b w:val="false"/>
          <w:i w:val="false"/>
          <w:caps w:val="false"/>
          <w:smallCaps w:val="false"/>
          <w:sz w:val="20"/>
        </w:rPr>
        <w:t>5,589,000,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3" w:name="xdx_861_zRXtMqx5Util"/>
      <w:bookmarkStart w:id="264" w:name="xdx_846_ecustom--InvestmentOnePolicyText"/>
      <w:bookmarkEnd w:id="263"/>
      <w:bookmarkEnd w:id="264"/>
      <w:r>
        <w:rPr>
          <w:rFonts w:ascii="Times New Roman;Times;Serif" w:hAnsi="Times New Roman;Times;Serif"/>
          <w:b/>
          <w:i w:val="false"/>
          <w:caps w:val="false"/>
          <w:smallCaps w:val="false"/>
          <w:sz w:val="20"/>
        </w:rPr>
        <w:t>Investment in Melt Pharmaceuticals, Inc.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owns </w:t>
      </w:r>
      <w:bookmarkStart w:id="265" w:name="xdx_902_eus-gaap--InvestmentOwnedBalance"/>
      <w:bookmarkEnd w:id="265"/>
      <w:r>
        <w:rPr>
          <w:rFonts w:ascii="Times New Roman;Times;Serif" w:hAnsi="Times New Roman;Times;Serif"/>
          <w:b w:val="false"/>
          <w:i w:val="false"/>
          <w:caps w:val="false"/>
          <w:smallCaps w:val="false"/>
          <w:sz w:val="20"/>
        </w:rPr>
        <w:t xml:space="preserve">3,500,000 shares of common stock of Melt which represented approximately </w:t>
      </w:r>
      <w:bookmarkStart w:id="266" w:name="xdx_90C_eus-gaap--EquityMethodInvestment"/>
      <w:bookmarkEnd w:id="266"/>
      <w:r>
        <w:rPr>
          <w:rFonts w:ascii="Times New Roman;Times;Serif" w:hAnsi="Times New Roman;Times;Serif"/>
          <w:b w:val="false"/>
          <w:i w:val="false"/>
          <w:caps w:val="false"/>
          <w:smallCaps w:val="false"/>
          <w:sz w:val="20"/>
        </w:rPr>
        <w:t>46% of the equity and voting interests of Melt as of March 31, 2023. The Company analyzes its investment in Melt and related agreements on a regular basis to evaluate its position of variable interests in Melt. The Company has determined that it does not have the ability to control Melt, however it has the ability to exercise significant influence over the operating and financial decisions of Melt and uses the equity method of accounting for this investment. Under this method, the Company recognizes earnings and losses in Melt in its condensed consolidated financial statements and adjusts the carrying amount of its investment in Melt accordingly. Any intra-entity profits and losses are eliminated. During the year ended December 31, 2021, the Company reduced the carrying value of its common stock investment in Melt to $</w:t>
      </w:r>
      <w:bookmarkStart w:id="267" w:name="xdx_901_ecustom--ReductionInCommonStockI"/>
      <w:bookmarkEnd w:id="267"/>
      <w:r>
        <w:rPr>
          <w:rFonts w:ascii="Times New Roman;Times;Serif" w:hAnsi="Times New Roman;Times;Serif"/>
          <w:b w:val="false"/>
          <w:i w:val="false"/>
          <w:caps w:val="false"/>
          <w:smallCaps w:val="false"/>
          <w:sz w:val="20"/>
        </w:rPr>
        <w:t xml:space="preserve">0 as a result of the Company recording its share of equity losses in Melt since its deconsolidation in 2019. As of March 31, 2023, and at the time of entering into the Melt Loan Agreement (see Note 5), the Company owned </w:t>
      </w:r>
      <w:bookmarkStart w:id="268" w:name="xdx_903_eus-gaap--InvestmentInterestRate"/>
      <w:bookmarkEnd w:id="268"/>
      <w:r>
        <w:rPr>
          <w:rFonts w:ascii="Times New Roman;Times;Serif" w:hAnsi="Times New Roman;Times;Serif"/>
          <w:b w:val="false"/>
          <w:i w:val="false"/>
          <w:caps w:val="false"/>
          <w:smallCaps w:val="false"/>
          <w:sz w:val="20"/>
        </w:rPr>
        <w:t>100% of Melt’s indebtedness. Following the reduction of the carrying value of the Company’s common stock investment in Melt to $</w:t>
      </w:r>
      <w:bookmarkStart w:id="269" w:name="xdx_90E_ecustom--ReductionInCommonStockI"/>
      <w:bookmarkEnd w:id="269"/>
      <w:r>
        <w:rPr>
          <w:rFonts w:ascii="Times New Roman;Times;Serif" w:hAnsi="Times New Roman;Times;Serif"/>
          <w:b w:val="false"/>
          <w:i w:val="false"/>
          <w:caps w:val="false"/>
          <w:smallCaps w:val="false"/>
          <w:sz w:val="20"/>
        </w:rPr>
        <w:t xml:space="preserve">0, the Company began recording </w:t>
      </w:r>
      <w:bookmarkStart w:id="270" w:name="xdx_900_eus-gaap--InvestmentInterestRate"/>
      <w:bookmarkEnd w:id="270"/>
      <w:r>
        <w:rPr>
          <w:rFonts w:ascii="Times New Roman;Times;Serif" w:hAnsi="Times New Roman;Times;Serif"/>
          <w:b w:val="false"/>
          <w:i w:val="false"/>
          <w:caps w:val="false"/>
          <w:smallCaps w:val="false"/>
          <w:sz w:val="20"/>
        </w:rPr>
        <w:t>100% of the equity method losses of Melt, based on its ownership of Melt’s total indebtedness. In addition, the Company treats interest paid in kind on the Melt Loan Agreement as an in-substance capital contribution and reduces its investment in Melt accordingly, rather than recording interest income. The Company has no other requirements to advance funds to Melt.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71" w:name="xdx_894_eus-gaap--InvestmentTableTextBlo"/>
      <w:bookmarkEnd w:id="271"/>
      <w:r>
        <w:rPr>
          <w:rFonts w:ascii="Times New Roman;Times;Serif" w:hAnsi="Times New Roman;Times;Serif"/>
          <w:b w:val="false"/>
          <w:i w:val="false"/>
          <w:caps w:val="false"/>
          <w:smallCaps w:val="false"/>
          <w:sz w:val="20"/>
        </w:rPr>
        <w:t>The following table summarizes the Company’s investments in Melt as of March 31, 2023:</w:t>
      </w:r>
    </w:p>
    <w:p>
      <w:pPr>
        <w:pStyle w:val="TextBody"/>
        <w:bidi w:val="0"/>
        <w:spacing w:before="0" w:after="0"/>
        <w:ind w:left="0" w:right="0" w:hanging="0"/>
        <w:jc w:val="left"/>
        <w:rPr>
          <w:caps w:val="false"/>
          <w:smallCaps w:val="false"/>
        </w:rPr>
      </w:pPr>
      <w:r>
        <w:rPr>
          <w:caps w:val="false"/>
          <w:smallCaps w:val="false"/>
        </w:rPr>
        <w:t> </w:t>
      </w:r>
      <w:bookmarkStart w:id="272" w:name="xdx_8B3_z8YvlpWVMRP4"/>
      <w:bookmarkEnd w:id="272"/>
      <w:r>
        <w:rPr>
          <w:rFonts w:ascii="Times New Roman;Times;Serif" w:hAnsi="Times New Roman;Times;Serif"/>
          <w:b w:val="false"/>
          <w:i w:val="false"/>
          <w:caps w:val="false"/>
          <w:smallCaps w:val="false"/>
          <w:sz w:val="20"/>
        </w:rPr>
        <w:t>SCHEDULE OF INVESTMENT</w:t>
      </w:r>
    </w:p>
    <w:tbl>
      <w:tblPr>
        <w:tblW w:w="9627" w:type="dxa"/>
        <w:jc w:val="left"/>
        <w:tblInd w:w="0" w:type="dxa"/>
        <w:tblLayout w:type="fixed"/>
        <w:tblCellMar>
          <w:top w:w="0" w:type="dxa"/>
          <w:left w:w="0" w:type="dxa"/>
          <w:bottom w:w="0" w:type="dxa"/>
          <w:right w:w="0" w:type="dxa"/>
        </w:tblCellMar>
      </w:tblPr>
      <w:tblGrid>
        <w:gridCol w:w="1475"/>
        <w:gridCol w:w="60"/>
        <w:gridCol w:w="140"/>
        <w:gridCol w:w="1100"/>
        <w:gridCol w:w="60"/>
        <w:gridCol w:w="60"/>
        <w:gridCol w:w="160"/>
        <w:gridCol w:w="1344"/>
        <w:gridCol w:w="95"/>
        <w:gridCol w:w="60"/>
        <w:gridCol w:w="156"/>
        <w:gridCol w:w="1094"/>
        <w:gridCol w:w="60"/>
        <w:gridCol w:w="60"/>
        <w:gridCol w:w="238"/>
        <w:gridCol w:w="1806"/>
        <w:gridCol w:w="95"/>
        <w:gridCol w:w="60"/>
        <w:gridCol w:w="849"/>
        <w:gridCol w:w="580"/>
        <w:gridCol w:w="75"/>
      </w:tblGrid>
      <w:tr>
        <w:trPr/>
        <w:tc>
          <w:tcPr>
            <w:tcW w:w="1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pPr>
            <w:r>
              <w:rPr/>
              <w:t>Share of Equity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pPr>
            <w:r>
              <w:rPr/>
              <w:t>Paid-in-Kind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4" w:type="dxa"/>
            <w:gridSpan w:val="2"/>
            <w:tcBorders/>
            <w:vAlign w:val="center"/>
          </w:tcPr>
          <w:p>
            <w:pPr>
              <w:pStyle w:val="TableContents"/>
              <w:bidi w:val="0"/>
              <w:spacing w:before="0" w:after="283"/>
              <w:jc w:val="center"/>
              <w:rPr/>
            </w:pPr>
            <w:r>
              <w:rPr/>
              <w:t>In-substance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center"/>
              <w:rPr/>
            </w:pPr>
            <w:r>
              <w:rPr/>
              <w:t>Net</w:t>
            </w:r>
          </w:p>
        </w:tc>
        <w:tc>
          <w:tcPr>
            <w:tcW w:w="75"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pPr>
            <w:r>
              <w:rPr/>
              <w:t>Basis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left"/>
              <w:rPr/>
            </w:pPr>
            <w:r>
              <w:rPr/>
              <w:t>Method 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pPr>
            <w:r>
              <w:rPr/>
              <w:t>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4" w:type="dxa"/>
            <w:gridSpan w:val="2"/>
            <w:tcBorders>
              <w:bottom w:val="single" w:sz="12" w:space="0" w:color="000000"/>
            </w:tcBorders>
            <w:tcMar>
              <w:bottom w:w="28" w:type="dxa"/>
            </w:tcMar>
            <w:vAlign w:val="center"/>
          </w:tcPr>
          <w:p>
            <w:pPr>
              <w:pStyle w:val="TableContents"/>
              <w:bidi w:val="0"/>
              <w:spacing w:before="0" w:after="283"/>
              <w:jc w:val="center"/>
              <w:rPr/>
            </w:pPr>
            <w:r>
              <w:rPr/>
              <w:t>Capital Contributions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bottom w:val="single" w:sz="12" w:space="0" w:color="000000"/>
            </w:tcBorders>
            <w:tcMar>
              <w:bottom w:w="28" w:type="dxa"/>
            </w:tcMar>
            <w:vAlign w:val="center"/>
          </w:tcPr>
          <w:p>
            <w:pPr>
              <w:pStyle w:val="TableContents"/>
              <w:bidi w:val="0"/>
              <w:spacing w:before="0" w:after="283"/>
              <w:jc w:val="center"/>
              <w:rPr/>
            </w:pPr>
            <w:r>
              <w:rPr/>
              <w:t>Carrying value</w:t>
            </w:r>
          </w:p>
        </w:tc>
        <w:tc>
          <w:tcPr>
            <w:tcW w:w="7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both"/>
              <w:rPr/>
            </w:pPr>
            <w:r>
              <w:rPr/>
              <w:t>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73" w:name="xdx_981_eus-gaap--InvestmentOwnedAtCost_"/>
            <w:bookmarkEnd w:id="273"/>
          </w:p>
        </w:tc>
        <w:tc>
          <w:tcPr>
            <w:tcW w:w="1100" w:type="dxa"/>
            <w:tcBorders/>
            <w:shd w:fill="CCEEFF" w:val="clear"/>
            <w:vAlign w:val="center"/>
          </w:tcPr>
          <w:p>
            <w:pPr>
              <w:pStyle w:val="TableContents"/>
              <w:bidi w:val="0"/>
              <w:spacing w:before="0" w:after="283"/>
              <w:jc w:val="right"/>
              <w:rPr/>
            </w:pPr>
            <w:r>
              <w:rPr/>
              <w:t>5,810,000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bookmarkStart w:id="274" w:name="xdx_981_eus-gaap--EquityMethodInvestment"/>
            <w:bookmarkEnd w:id="274"/>
          </w:p>
        </w:tc>
        <w:tc>
          <w:tcPr>
            <w:tcW w:w="1344" w:type="dxa"/>
            <w:tcBorders/>
            <w:shd w:fill="CCEEFF" w:val="clear"/>
            <w:vAlign w:val="center"/>
          </w:tcPr>
          <w:p>
            <w:pPr>
              <w:pStyle w:val="TableContents"/>
              <w:bidi w:val="0"/>
              <w:spacing w:before="0" w:after="283"/>
              <w:jc w:val="right"/>
              <w:rPr/>
            </w:pPr>
            <w:r>
              <w:rPr/>
              <w:t>(5,810,000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bookmarkStart w:id="275" w:name="xdx_981_ecustom--InvestmentPaidInKindInt"/>
            <w:bookmarkEnd w:id="275"/>
          </w:p>
        </w:tc>
        <w:tc>
          <w:tcPr>
            <w:tcW w:w="10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18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both"/>
              <w:rPr/>
            </w:pPr>
            <w:r>
              <w:rPr/>
              <w:t>Loan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76" w:name="xdx_986_eus-gaap--InvestmentOwnedAtCost_"/>
            <w:bookmarkEnd w:id="276"/>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13,500,000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77" w:name="xdx_983_eus-gaap--EquityMethodInvestment"/>
            <w:bookmarkEnd w:id="277"/>
          </w:p>
        </w:tc>
        <w:tc>
          <w:tcPr>
            <w:tcW w:w="1344" w:type="dxa"/>
            <w:tcBorders>
              <w:bottom w:val="single" w:sz="12" w:space="0" w:color="000000"/>
            </w:tcBorders>
            <w:shd w:fill="FFFFFF" w:val="clear"/>
            <w:tcMar>
              <w:bottom w:w="28" w:type="dxa"/>
            </w:tcMar>
            <w:vAlign w:val="center"/>
          </w:tcPr>
          <w:p>
            <w:pPr>
              <w:pStyle w:val="TableContents"/>
              <w:bidi w:val="0"/>
              <w:spacing w:before="0" w:after="283"/>
              <w:jc w:val="right"/>
              <w:rPr/>
            </w:pPr>
            <w:r>
              <w:rPr/>
              <w:t>(13,500,000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78" w:name="xdx_98A_ecustom--InvestmentPaidInKindInt"/>
            <w:bookmarkEnd w:id="278"/>
          </w:p>
        </w:tc>
        <w:tc>
          <w:tcPr>
            <w:tcW w:w="1094" w:type="dxa"/>
            <w:tcBorders>
              <w:bottom w:val="single" w:sz="12" w:space="0" w:color="000000"/>
            </w:tcBorders>
            <w:shd w:fill="FFFFFF" w:val="clear"/>
            <w:tcMar>
              <w:bottom w:w="28" w:type="dxa"/>
            </w:tcMar>
            <w:vAlign w:val="center"/>
          </w:tcPr>
          <w:p>
            <w:pPr>
              <w:pStyle w:val="TableContents"/>
              <w:bidi w:val="0"/>
              <w:spacing w:before="0" w:after="283"/>
              <w:jc w:val="right"/>
              <w:rPr/>
            </w:pPr>
            <w:r>
              <w:rPr/>
              <w:t>3,001,000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79" w:name="xdx_98A_eus-gaap--InvestmentCompanyCommi"/>
            <w:bookmarkEnd w:id="279"/>
          </w:p>
        </w:tc>
        <w:tc>
          <w:tcPr>
            <w:tcW w:w="1806" w:type="dxa"/>
            <w:tcBorders>
              <w:bottom w:val="single" w:sz="12" w:space="0" w:color="000000"/>
            </w:tcBorders>
            <w:shd w:fill="FFFFFF" w:val="clear"/>
            <w:tcMar>
              <w:bottom w:w="28" w:type="dxa"/>
            </w:tcMar>
            <w:vAlign w:val="center"/>
          </w:tcPr>
          <w:p>
            <w:pPr>
              <w:pStyle w:val="TableContents"/>
              <w:bidi w:val="0"/>
              <w:spacing w:before="0" w:after="283"/>
              <w:jc w:val="right"/>
              <w:rPr/>
            </w:pPr>
            <w:r>
              <w:rPr/>
              <w:t>(3,001,000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80" w:name="xdx_98A_eus-gaap--Investments_iI_c202303"/>
            <w:bookmarkEnd w:id="280"/>
          </w:p>
        </w:tc>
        <w:tc>
          <w:tcPr>
            <w:tcW w:w="5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81" w:name="xdx_989_eus-gaap--InvestmentOwnedAtCost_"/>
            <w:bookmarkEnd w:id="281"/>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19,310,000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82" w:name="xdx_981_eus-gaap--EquityMethodInvestment"/>
            <w:bookmarkEnd w:id="282"/>
          </w:p>
        </w:tc>
        <w:tc>
          <w:tcPr>
            <w:tcW w:w="1344" w:type="dxa"/>
            <w:tcBorders>
              <w:bottom w:val="double" w:sz="6" w:space="0" w:color="000000"/>
            </w:tcBorders>
            <w:shd w:fill="CCEEFF" w:val="clear"/>
            <w:tcMar>
              <w:bottom w:w="28" w:type="dxa"/>
            </w:tcMar>
            <w:vAlign w:val="center"/>
          </w:tcPr>
          <w:p>
            <w:pPr>
              <w:pStyle w:val="TableContents"/>
              <w:bidi w:val="0"/>
              <w:spacing w:before="0" w:after="283"/>
              <w:jc w:val="right"/>
              <w:rPr/>
            </w:pPr>
            <w:r>
              <w:rPr/>
              <w:t>(19,310,000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83" w:name="xdx_98B_ecustom--InvestmentPaidInKindInt"/>
            <w:bookmarkEnd w:id="283"/>
          </w:p>
        </w:tc>
        <w:tc>
          <w:tcPr>
            <w:tcW w:w="1094" w:type="dxa"/>
            <w:tcBorders>
              <w:bottom w:val="double" w:sz="6" w:space="0" w:color="000000"/>
            </w:tcBorders>
            <w:shd w:fill="CCEEFF" w:val="clear"/>
            <w:tcMar>
              <w:bottom w:w="28" w:type="dxa"/>
            </w:tcMar>
            <w:vAlign w:val="center"/>
          </w:tcPr>
          <w:p>
            <w:pPr>
              <w:pStyle w:val="TableContents"/>
              <w:bidi w:val="0"/>
              <w:spacing w:before="0" w:after="283"/>
              <w:jc w:val="right"/>
              <w:rPr/>
            </w:pPr>
            <w:r>
              <w:rPr/>
              <w:t>3,001,000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84" w:name="xdx_985_eus-gaap--InvestmentCompanyCommi"/>
            <w:bookmarkEnd w:id="284"/>
          </w:p>
        </w:tc>
        <w:tc>
          <w:tcPr>
            <w:tcW w:w="1806" w:type="dxa"/>
            <w:tcBorders>
              <w:bottom w:val="double" w:sz="6" w:space="0" w:color="000000"/>
            </w:tcBorders>
            <w:shd w:fill="CCEEFF" w:val="clear"/>
            <w:tcMar>
              <w:bottom w:w="28" w:type="dxa"/>
            </w:tcMar>
            <w:vAlign w:val="center"/>
          </w:tcPr>
          <w:p>
            <w:pPr>
              <w:pStyle w:val="TableContents"/>
              <w:bidi w:val="0"/>
              <w:spacing w:before="0" w:after="283"/>
              <w:jc w:val="right"/>
              <w:rPr/>
            </w:pPr>
            <w:r>
              <w:rPr/>
              <w:t>(3,001,000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85" w:name="xdx_980_eus-gaap--Investments_iI_c202303"/>
            <w:bookmarkEnd w:id="285"/>
          </w:p>
        </w:tc>
        <w:tc>
          <w:tcPr>
            <w:tcW w:w="5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bookmarkStart w:id="286" w:name="xdx_8A0_z6DSvu0g4Gd7"/>
      <w:bookmarkEnd w:id="286"/>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5 for more information and related party disclosure regarding Melt.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7" w:name="xdx_86E_zPbzI3Mgjmm5"/>
      <w:bookmarkStart w:id="288" w:name="xdx_846_ecustom--InvestmentTwoPolicyText"/>
      <w:bookmarkEnd w:id="287"/>
      <w:bookmarkEnd w:id="288"/>
      <w:r>
        <w:rPr>
          <w:rFonts w:ascii="Times New Roman;Times;Serif" w:hAnsi="Times New Roman;Times;Serif"/>
          <w:b/>
          <w:i w:val="false"/>
          <w:caps w:val="false"/>
          <w:smallCaps w:val="false"/>
          <w:sz w:val="20"/>
        </w:rPr>
        <w:t xml:space="preserve">Investment in Surface Ophthalmics, Inc. – Related Party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owns </w:t>
      </w:r>
      <w:bookmarkStart w:id="289" w:name="xdx_90E_eus-gaap--InvestmentOwnedBalance"/>
      <w:bookmarkEnd w:id="289"/>
      <w:r>
        <w:rPr>
          <w:rFonts w:ascii="Times New Roman;Times;Serif" w:hAnsi="Times New Roman;Times;Serif"/>
          <w:b w:val="false"/>
          <w:i w:val="false"/>
          <w:caps w:val="false"/>
          <w:smallCaps w:val="false"/>
          <w:sz w:val="20"/>
        </w:rPr>
        <w:t xml:space="preserve">3,500,000 common shares of Surface, which represented approximately </w:t>
      </w:r>
      <w:bookmarkStart w:id="290" w:name="xdx_90E_eus-gaap--EquityMethodInvestment"/>
      <w:bookmarkEnd w:id="290"/>
      <w:r>
        <w:rPr>
          <w:rFonts w:ascii="Times New Roman;Times;Serif" w:hAnsi="Times New Roman;Times;Serif"/>
          <w:b w:val="false"/>
          <w:i w:val="false"/>
          <w:caps w:val="false"/>
          <w:smallCaps w:val="false"/>
          <w:sz w:val="20"/>
        </w:rPr>
        <w:t>20% of Surface’s equity and voting interests as of March 31, 2023, and uses the equity method of accounting for this investment, as management has determined that the Company has the ability to exercise significant influence over the operating and financial decisions of Surface. Under this method, the Company recognizes earnings and losses in Surface in its consolidated financial statements and adjusts the carrying amount of its investment in Surface accordingly. The Company’s share of earnings and losses are based on the Company’s ownership interest of Surface. Any intra-entity profits and losses are eliminated. During the year ended December 31, 2021, the Company reduced its common stock investment in Surface to $</w:t>
      </w:r>
      <w:bookmarkStart w:id="291" w:name="xdx_906_ecustom--ReductionInCommonStockI"/>
      <w:bookmarkEnd w:id="291"/>
      <w:r>
        <w:rPr>
          <w:rFonts w:ascii="Times New Roman;Times;Serif" w:hAnsi="Times New Roman;Times;Serif"/>
          <w:b w:val="false"/>
          <w:i w:val="false"/>
          <w:caps w:val="false"/>
          <w:smallCaps w:val="false"/>
          <w:sz w:val="20"/>
        </w:rPr>
        <w:t>0 as a result of the Company recording its share of equity losses of Surface. The Company has no other investments in Surface.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92" w:name="xdx_895_eus-gaap--InvestmentTableTextBlo"/>
      <w:bookmarkEnd w:id="292"/>
      <w:r>
        <w:rPr>
          <w:rFonts w:ascii="Times New Roman;Times;Serif" w:hAnsi="Times New Roman;Times;Serif"/>
          <w:b w:val="false"/>
          <w:i w:val="false"/>
          <w:caps w:val="false"/>
          <w:smallCaps w:val="false"/>
          <w:sz w:val="20"/>
        </w:rPr>
        <w:t>The following table summarizes the Company’s investment in Surface as of March 31, 2023:</w:t>
      </w:r>
    </w:p>
    <w:p>
      <w:pPr>
        <w:pStyle w:val="TextBody"/>
        <w:bidi w:val="0"/>
        <w:spacing w:before="0" w:after="0"/>
        <w:ind w:left="0" w:right="0" w:hanging="0"/>
        <w:jc w:val="left"/>
        <w:rPr>
          <w:caps w:val="false"/>
          <w:smallCaps w:val="false"/>
        </w:rPr>
      </w:pPr>
      <w:r>
        <w:rPr>
          <w:caps w:val="false"/>
          <w:smallCaps w:val="false"/>
        </w:rPr>
        <w:t> </w:t>
      </w:r>
      <w:bookmarkStart w:id="293" w:name="xdx_8B9_zdxL0dF2ARt1"/>
      <w:bookmarkEnd w:id="293"/>
      <w:r>
        <w:rPr>
          <w:rFonts w:ascii="Times New Roman;Times;Serif" w:hAnsi="Times New Roman;Times;Serif"/>
          <w:b w:val="false"/>
          <w:i w:val="false"/>
          <w:caps w:val="false"/>
          <w:smallCaps w:val="false"/>
          <w:sz w:val="20"/>
        </w:rPr>
        <w:t>SCHEDULE OF INVESTMENT</w:t>
      </w:r>
    </w:p>
    <w:tbl>
      <w:tblPr>
        <w:tblW w:w="5938" w:type="dxa"/>
        <w:jc w:val="left"/>
        <w:tblInd w:w="0" w:type="dxa"/>
        <w:tblLayout w:type="fixed"/>
        <w:tblCellMar>
          <w:top w:w="0" w:type="dxa"/>
          <w:left w:w="0" w:type="dxa"/>
          <w:bottom w:w="0" w:type="dxa"/>
          <w:right w:w="0" w:type="dxa"/>
        </w:tblCellMar>
      </w:tblPr>
      <w:tblGrid>
        <w:gridCol w:w="1475"/>
        <w:gridCol w:w="60"/>
        <w:gridCol w:w="140"/>
        <w:gridCol w:w="980"/>
        <w:gridCol w:w="60"/>
        <w:gridCol w:w="60"/>
        <w:gridCol w:w="176"/>
        <w:gridCol w:w="1328"/>
        <w:gridCol w:w="95"/>
        <w:gridCol w:w="60"/>
        <w:gridCol w:w="849"/>
        <w:gridCol w:w="580"/>
        <w:gridCol w:w="75"/>
      </w:tblGrid>
      <w:tr>
        <w:trPr/>
        <w:tc>
          <w:tcPr>
            <w:tcW w:w="1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pPr>
            <w:r>
              <w:rPr/>
              <w:t>Share of Equity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center"/>
              <w:rPr/>
            </w:pPr>
            <w:r>
              <w:rPr/>
              <w:t>Net</w:t>
            </w:r>
          </w:p>
        </w:tc>
        <w:tc>
          <w:tcPr>
            <w:tcW w:w="75"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pPr>
            <w:r>
              <w:rPr/>
              <w:t>Basis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pPr>
            <w:r>
              <w:rPr/>
              <w:t>Method 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bottom w:val="single" w:sz="12" w:space="0" w:color="000000"/>
            </w:tcBorders>
            <w:tcMar>
              <w:bottom w:w="28" w:type="dxa"/>
            </w:tcMar>
            <w:vAlign w:val="center"/>
          </w:tcPr>
          <w:p>
            <w:pPr>
              <w:pStyle w:val="TableContents"/>
              <w:bidi w:val="0"/>
              <w:spacing w:before="0" w:after="283"/>
              <w:jc w:val="center"/>
              <w:rPr/>
            </w:pPr>
            <w:r>
              <w:rPr/>
              <w:t>Carrying value</w:t>
            </w:r>
          </w:p>
        </w:tc>
        <w:tc>
          <w:tcPr>
            <w:tcW w:w="7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both"/>
              <w:rPr/>
            </w:pPr>
            <w:r>
              <w:rPr/>
              <w:t>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94" w:name="xdx_98F_eus-gaap--InvestmentOwnedAtCost_"/>
            <w:bookmarkEnd w:id="294"/>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5,320,000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95" w:name="xdx_98D_eus-gaap--EquityMethodInvestment"/>
            <w:bookmarkEnd w:id="295"/>
          </w:p>
        </w:tc>
        <w:tc>
          <w:tcPr>
            <w:tcW w:w="1328" w:type="dxa"/>
            <w:tcBorders>
              <w:bottom w:val="double" w:sz="6" w:space="0" w:color="000000"/>
            </w:tcBorders>
            <w:shd w:fill="CCEEFF" w:val="clear"/>
            <w:tcMar>
              <w:bottom w:w="28" w:type="dxa"/>
            </w:tcMar>
            <w:vAlign w:val="center"/>
          </w:tcPr>
          <w:p>
            <w:pPr>
              <w:pStyle w:val="TableContents"/>
              <w:bidi w:val="0"/>
              <w:spacing w:before="0" w:after="283"/>
              <w:jc w:val="right"/>
              <w:rPr/>
            </w:pPr>
            <w:r>
              <w:rPr/>
              <w:t>(5,320,000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96" w:name="xdx_98B_eus-gaap--Investments_iI_c202303"/>
            <w:bookmarkEnd w:id="296"/>
          </w:p>
        </w:tc>
        <w:tc>
          <w:tcPr>
            <w:tcW w:w="5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97" w:name="xdx_8AB_zMfGJML4NVK3"/>
      <w:bookmarkEnd w:id="297"/>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6 for more information and related party disclosure regarding Surface.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8" w:name="xdx_865_z3OQiyiG7ske"/>
      <w:bookmarkStart w:id="299" w:name="xdx_849_eus-gaap--NewAccountingPronounce"/>
      <w:bookmarkEnd w:id="298"/>
      <w:bookmarkEnd w:id="299"/>
      <w:r>
        <w:rPr>
          <w:rFonts w:ascii="Times New Roman;Times;Serif" w:hAnsi="Times New Roman;Times;Serif"/>
          <w:b/>
          <w:i w:val="false"/>
          <w:caps w:val="false"/>
          <w:smallCaps w:val="false"/>
          <w:sz w:val="20"/>
        </w:rPr>
        <w:t>Recently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2016, FASB issued Accounting Standards Update (“ASU”) 2016-13, </w:t>
      </w:r>
      <w:r>
        <w:rPr>
          <w:rFonts w:ascii="Times New Roman;Times;Serif" w:hAnsi="Times New Roman;Times;Serif"/>
          <w:b w:val="false"/>
          <w:i/>
          <w:caps w:val="false"/>
          <w:smallCaps w:val="false"/>
          <w:sz w:val="20"/>
        </w:rPr>
        <w:t>Measurement of Credit Losses on Financial Instruments</w:t>
      </w:r>
      <w:r>
        <w:rPr>
          <w:rFonts w:ascii="Times New Roman;Times;Serif" w:hAnsi="Times New Roman;Times;Serif"/>
          <w:b w:val="false"/>
          <w:i w:val="false"/>
          <w:caps w:val="false"/>
          <w:smallCaps w:val="false"/>
          <w:sz w:val="20"/>
        </w:rPr>
        <w:t>. This ASU replaces the incurred loss impairment methodology in current GAAP with a methodology that reflects expected credit losses and requires consideration of a broader range of reasonable and supportable information for credit loss estimates on certain types of financial instruments, including trade receivables. In addition, new disclosures are required. The ASU, as subsequently amended, is effective for the Company for the fiscal years beginning after December 15, 2022. The Company adopted ASU 2016-13 on January 1, 2023. Based on the composition of the Company’s accounts receivable, and other financial assets, including current market conditions and historical credit loss activity, the adoption of this standard did not have a material impact on the Company’s condensed consolidated financial statements or disclosures. Specifically, the Company’s estimate of expected credit losses as of March 31, 2023, using its expected credit loss evaluation process described above, resulted in no adjustments to the provision for credit losses and no cumulative-effect adjustment to accumulated deficit on the adoption date of the standard.</w:t>
      </w:r>
    </w:p>
    <w:p>
      <w:pPr>
        <w:pStyle w:val="TextBody"/>
        <w:bidi w:val="0"/>
        <w:spacing w:before="0" w:after="0"/>
        <w:ind w:left="0" w:right="0" w:hanging="0"/>
        <w:jc w:val="both"/>
        <w:rPr>
          <w:caps w:val="false"/>
          <w:smallCaps w:val="false"/>
        </w:rPr>
      </w:pPr>
      <w:bookmarkStart w:id="300" w:name="xdx_85B_znKBmKPtUzph"/>
      <w:bookmarkEnd w:id="300"/>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1" w:name="xdx_80E_eus-gaap--RevenueFromContractWit"/>
      <w:bookmarkEnd w:id="301"/>
      <w:r>
        <w:rPr>
          <w:rFonts w:ascii="Times New Roman;Times;Serif" w:hAnsi="Times New Roman;Times;Serif"/>
          <w:b/>
          <w:i w:val="false"/>
          <w:caps w:val="false"/>
          <w:smallCaps w:val="false"/>
          <w:sz w:val="20"/>
        </w:rPr>
        <w:t xml:space="preserve">NOTE 3. </w:t>
      </w:r>
      <w:bookmarkStart w:id="302" w:name="xdx_820_zeRhosVgZBn4"/>
      <w:bookmarkEnd w:id="302"/>
      <w:r>
        <w:rPr>
          <w:rFonts w:ascii="Times New Roman;Times;Serif" w:hAnsi="Times New Roman;Times;Serif"/>
          <w:b/>
          <w:i w:val="false"/>
          <w:caps w:val="false"/>
          <w:smallCaps w:val="false"/>
          <w:sz w:val="20"/>
        </w:rPr>
        <w:t xml:space="preserve">REVENUES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contracts with customers in accordance with ASC 606, </w:t>
      </w:r>
      <w:r>
        <w:rPr>
          <w:rFonts w:ascii="Times New Roman;Times;Serif" w:hAnsi="Times New Roman;Times;Serif"/>
          <w:b w:val="false"/>
          <w:i/>
          <w:caps w:val="false"/>
          <w:smallCaps w:val="false"/>
          <w:sz w:val="20"/>
        </w:rPr>
        <w:t>Revenues from Contracts with Customers</w:t>
      </w:r>
      <w:r>
        <w:rPr>
          <w:rFonts w:ascii="Times New Roman;Times;Serif" w:hAnsi="Times New Roman;Times;Serif"/>
          <w:b w:val="false"/>
          <w:i w:val="false"/>
          <w:caps w:val="false"/>
          <w:smallCaps w:val="false"/>
          <w:sz w:val="20"/>
        </w:rPr>
        <w:t>. The Company has three primary streams of revenue: (1) revenue recognized from sales of products through its pharmacy and outsourcing facility and sales of branded products to wholesalers through a third-party logistics (“3PL”) partner, (2) revenue recognized from a commission agreement with a third party, and (3) revenue recognized from intellectual property licenses and asset purchase agreements.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Product Revenues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sells prescription medications directly through its pharmacy, outsourcing facility and 3PL partner. Revenue from the Company’s pharmacy services includes: (i) the portion of the price the client pays directly to the Company, net of any volume-related or other discounts paid back to the client, (ii) the price paid to the Company by individuals, and (iii) customer copayments made directly to the pharmacy network. Sales taxes are not included in revenue. Following the core principles of ASC 606, the Company has identified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Identify the contract(s) with a customer:</w:t>
            </w:r>
            <w:r>
              <w:rPr>
                <w:rFonts w:ascii="Times New Roman;Times;Serif" w:hAnsi="Times New Roman;Times;Serif"/>
                <w:b w:val="false"/>
                <w:i w:val="false"/>
                <w:caps w:val="false"/>
                <w:smallCaps w:val="false"/>
                <w:sz w:val="20"/>
              </w:rPr>
              <w:t xml:space="preserve"> A contract is deemed to exist when the customer places an order through receipt of a prescription, via an online order or via receipt of a purchase order from a customer. For branded products, orders are received through the Company’s 3PL partner, and the customer takes title of the products via formal purchase orders placed and fulfilled.</w:t>
            </w:r>
          </w:p>
        </w:tc>
      </w:tr>
      <w:tr>
        <w:trPr/>
        <w:tc>
          <w:tcPr>
            <w:tcW w:w="146" w:type="dxa"/>
            <w:tcBorders/>
            <w:vAlign w:val="center"/>
          </w:tcPr>
          <w:p>
            <w:pPr>
              <w:pStyle w:val="TableContents"/>
              <w:bidi w:val="0"/>
              <w:spacing w:before="0" w:after="283"/>
              <w:jc w:val="both"/>
              <w:rPr>
                <w:caps w:val="false"/>
                <w:smallCaps w:val="false"/>
              </w:rPr>
            </w:pPr>
            <w:r>
              <w:rPr>
                <w:caps w:val="false"/>
                <w:smallCaps w:val="false"/>
              </w:rPr>
              <w:t> </w:t>
            </w:r>
          </w:p>
        </w:tc>
        <w:tc>
          <w:tcPr>
            <w:tcW w:w="100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Identify the performance obligations in the contract:</w:t>
            </w:r>
            <w:r>
              <w:rPr>
                <w:rFonts w:ascii="Times New Roman;Times;Serif" w:hAnsi="Times New Roman;Times;Serif"/>
                <w:b w:val="false"/>
                <w:i w:val="false"/>
                <w:caps w:val="false"/>
                <w:smallCaps w:val="false"/>
                <w:sz w:val="20"/>
              </w:rPr>
              <w:t xml:space="preserve"> Obligations for fulfillment of the Company’s contracts consist of delivering the product to customers at their specified destination. ASU 2016-10 was issued in April 2016 and amended ASC 606 for shipping and handling activities as follows: If the customer takes control of the goods after shipment, shipping and handling activities would always be considered a fulfillment activity and not treated as a separate performance obligation. If the customer takes control of the goods before shipment, entities must make an accounting policy election to treat shipping and handling activities as either a fulfillment cost or as a separate performance obligation. The Company has elected to treat its shipping and handling activities as a fulfillment cost..</w:t>
            </w:r>
          </w:p>
        </w:tc>
      </w:tr>
      <w:tr>
        <w:trPr/>
        <w:tc>
          <w:tcPr>
            <w:tcW w:w="146" w:type="dxa"/>
            <w:tcBorders/>
            <w:vAlign w:val="center"/>
          </w:tcPr>
          <w:p>
            <w:pPr>
              <w:pStyle w:val="TableContents"/>
              <w:bidi w:val="0"/>
              <w:spacing w:before="0" w:after="283"/>
              <w:jc w:val="both"/>
              <w:rPr>
                <w:caps w:val="false"/>
                <w:smallCaps w:val="false"/>
              </w:rPr>
            </w:pPr>
            <w:r>
              <w:rPr>
                <w:caps w:val="false"/>
                <w:smallCaps w:val="false"/>
              </w:rPr>
              <w:t> </w:t>
            </w:r>
          </w:p>
        </w:tc>
        <w:tc>
          <w:tcPr>
            <w:tcW w:w="1005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Determine the transaction price:</w:t>
            </w:r>
            <w:r>
              <w:rPr>
                <w:rFonts w:ascii="Times New Roman;Times;Serif" w:hAnsi="Times New Roman;Times;Serif"/>
                <w:b w:val="false"/>
                <w:i w:val="false"/>
                <w:caps w:val="false"/>
                <w:smallCaps w:val="false"/>
                <w:sz w:val="20"/>
              </w:rPr>
              <w:t xml:space="preserve"> The transaction price is based on an amount that reflects the consideration to which the Company expects to be entitled, net of accruals for estimated rebates, wholesaler chargebacks, discounts and other deductions (collectively, sales deductions) and an estimate for returns and replacements established at the time of sale. The Company utilizes the services of a third-party professional services firm to estimate rebates and chargebacks associated with sales of its branded products. The transfer of promised goods is satisfied within a year, and therefore there are no significant financing components. There is no non-cash consideration related to product sales.</w:t>
            </w:r>
          </w:p>
        </w:tc>
      </w:tr>
      <w:tr>
        <w:trPr/>
        <w:tc>
          <w:tcPr>
            <w:tcW w:w="146" w:type="dxa"/>
            <w:tcBorders/>
            <w:vAlign w:val="center"/>
          </w:tcPr>
          <w:p>
            <w:pPr>
              <w:pStyle w:val="TableContents"/>
              <w:bidi w:val="0"/>
              <w:spacing w:before="0" w:after="283"/>
              <w:jc w:val="both"/>
              <w:rPr>
                <w:caps w:val="false"/>
                <w:smallCaps w:val="false"/>
              </w:rPr>
            </w:pPr>
            <w:r>
              <w:rPr>
                <w:caps w:val="false"/>
                <w:smallCaps w:val="false"/>
              </w:rPr>
              <w:t> </w:t>
            </w:r>
          </w:p>
        </w:tc>
        <w:tc>
          <w:tcPr>
            <w:tcW w:w="100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Allocate the transaction price to the performance obligations in the contract:</w:t>
            </w:r>
            <w:r>
              <w:rPr>
                <w:rFonts w:ascii="Times New Roman;Times;Serif" w:hAnsi="Times New Roman;Times;Serif"/>
                <w:b w:val="false"/>
                <w:i w:val="false"/>
                <w:caps w:val="false"/>
                <w:smallCaps w:val="false"/>
                <w:sz w:val="20"/>
              </w:rPr>
              <w:t xml:space="preserve"> Because there is only one performance obligation for product sales, no allocation is necessary.</w:t>
            </w:r>
          </w:p>
        </w:tc>
      </w:tr>
      <w:tr>
        <w:trPr/>
        <w:tc>
          <w:tcPr>
            <w:tcW w:w="146" w:type="dxa"/>
            <w:tcBorders/>
            <w:vAlign w:val="center"/>
          </w:tcPr>
          <w:p>
            <w:pPr>
              <w:pStyle w:val="TableContents"/>
              <w:bidi w:val="0"/>
              <w:spacing w:before="0" w:after="283"/>
              <w:jc w:val="both"/>
              <w:rPr>
                <w:caps w:val="false"/>
                <w:smallCaps w:val="false"/>
              </w:rPr>
            </w:pPr>
            <w:r>
              <w:rPr>
                <w:caps w:val="false"/>
                <w:smallCaps w:val="false"/>
              </w:rPr>
              <w:t> </w:t>
            </w:r>
          </w:p>
        </w:tc>
        <w:tc>
          <w:tcPr>
            <w:tcW w:w="100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Recognize revenue when (or as) the entity satisfies a performance obligation:</w:t>
            </w:r>
            <w:r>
              <w:rPr>
                <w:rFonts w:ascii="Times New Roman;Times;Serif" w:hAnsi="Times New Roman;Times;Serif"/>
                <w:b w:val="false"/>
                <w:i w:val="false"/>
                <w:caps w:val="false"/>
                <w:smallCaps w:val="false"/>
                <w:sz w:val="20"/>
              </w:rPr>
              <w:t xml:space="preserve"> Revenue from products is recognized upon transfer of control of a product to a customer. This generally occurs upon shipment unless contractual terms with a customer state that transfer of control occurs at delivery.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Commission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entered into an agreement whereby it was paid a fee calculated based on sales the Company generates from a pharmaceutical product that is owned by a third party. The revenue earned from this arrangement was recognized, at which point there was no future performance obligation required by the Company and no consequential continuing involvement on the Company’s part to recognize the associated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Revenues From Transfer of Acquired Product Profit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t>
      </w:r>
      <w:r>
        <w:rPr>
          <w:rFonts w:ascii="Times New Roman;Times;Serif" w:hAnsi="Times New Roman;Times;Serif"/>
          <w:b w:val="false"/>
          <w:i w:val="false"/>
          <w:caps w:val="false"/>
          <w:smallCaps w:val="false"/>
          <w:sz w:val="20"/>
          <w:shd w:fill="FFFFFF" w:val="clear"/>
        </w:rPr>
        <w:t xml:space="preserve">entered into agreements whereby it purchased the exclusive commercial rights to assets associated with certain ophthalmic products from another pharmaceutical company (the “Seller”). During a temporary, transition period, the Seller continues </w:t>
      </w:r>
      <w:r>
        <w:rPr>
          <w:rFonts w:ascii="Times New Roman;Times;Serif" w:hAnsi="Times New Roman;Times;Serif"/>
          <w:b w:val="false"/>
          <w:i w:val="false"/>
          <w:caps w:val="false"/>
          <w:smallCaps w:val="false"/>
          <w:sz w:val="20"/>
        </w:rPr>
        <w:t>to manufacture and market these products and transfer the net profit from the sale of the products to the Company. The revenue recognized by the Company from the transfer of net profit was recognized at the time profit from the product sales were calculated by the Seller and confirmed by the Company, typically on a monthly basis, at which point there is no future performance obligation required by the Company and no consequential continuing involvement on the Company’s part to recognize the associated revenue. On a quarterly basis, the Seller invoices the Company for all credits and reimbursements (“Chargebacks”) made to customers related to the products. The Company uses historical actual experience to estimate Chargebacks associated with the net profit transferred. The estimate is recorded as a reduction in revenues in the Company’s condensed consolidated statements of operations and accounts receivable in the condensed consolidated balance sheets, at the time the revenue is recognized.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Intellectual Property License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holds five intellectual property licenses and related agreements pursuant to which the Company has agreed to license or sell to a customer with the right to access the Company’s intellectual property. 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multiple-element arrangements, the revenue of which is recognized at the point in time that the performance obligation is met.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Non-refundable fees that are not contingent on any future performance by the Company and require no consequential continuing involvement on the part of the Company are recognized as revenue when the license term commences and the licensed data, technology, compounded drug preparation and/or other deliverable is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The Company defers recognition of non-refundable fees if it has continuing performance obligations without which the technology, right, product or service conveyed in conjunction with the non-refundable fee has no utility to the licensee and that are separate and independent of the Company’s performance under the other elements of the arrangement. In addition, if the Company’s continued involvement is required, through research and development services that are related to its proprietary know-how and expertise of the delivered technology or can only be performed by the Company, then such non-refundable fees are deferred and recognized over the period of continuing involvement. Guaranteed minimum annual royalties are recognized on a straight-line basis over the applicable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03" w:name="xdx_892_eus-gaap--DisaggregationOfRevenu"/>
      <w:bookmarkEnd w:id="303"/>
      <w:r>
        <w:rPr>
          <w:rFonts w:ascii="Times New Roman;Times;Serif" w:hAnsi="Times New Roman;Times;Serif"/>
          <w:b w:val="false"/>
          <w:i w:val="false"/>
          <w:caps w:val="false"/>
          <w:smallCaps w:val="false"/>
          <w:sz w:val="20"/>
        </w:rPr>
        <w:t>Revenue disaggregated by revenue source for the three months ended March 31, 2023 and 2022 consists of the following:</w:t>
      </w:r>
    </w:p>
    <w:p>
      <w:pPr>
        <w:pStyle w:val="TextBody"/>
        <w:bidi w:val="0"/>
        <w:spacing w:before="0" w:after="0"/>
        <w:ind w:left="0" w:right="0" w:hanging="0"/>
        <w:jc w:val="both"/>
        <w:rPr>
          <w:caps w:val="false"/>
          <w:smallCaps w:val="false"/>
        </w:rPr>
      </w:pPr>
      <w:r>
        <w:rPr>
          <w:caps w:val="false"/>
          <w:smallCaps w:val="false"/>
        </w:rPr>
        <w:t> </w:t>
      </w:r>
      <w:bookmarkStart w:id="304" w:name="xdx_8B8_zEvw69CGtg61"/>
      <w:bookmarkEnd w:id="304"/>
      <w:r>
        <w:rPr>
          <w:rFonts w:ascii="Times New Roman;Times;Serif" w:hAnsi="Times New Roman;Times;Serif"/>
          <w:b w:val="false"/>
          <w:i w:val="false"/>
          <w:caps w:val="false"/>
          <w:smallCaps w:val="false"/>
          <w:sz w:val="20"/>
        </w:rPr>
        <w:t>SCHEDULE OF DISAGGREGATED REVENUE</w:t>
      </w:r>
    </w:p>
    <w:tbl>
      <w:tblPr>
        <w:tblW w:w="5391" w:type="dxa"/>
        <w:jc w:val="left"/>
        <w:tblInd w:w="0" w:type="dxa"/>
        <w:tblLayout w:type="fixed"/>
        <w:tblCellMar>
          <w:top w:w="0" w:type="dxa"/>
          <w:left w:w="0" w:type="dxa"/>
          <w:bottom w:w="0" w:type="dxa"/>
          <w:right w:w="0" w:type="dxa"/>
        </w:tblCellMar>
      </w:tblPr>
      <w:tblGrid>
        <w:gridCol w:w="2240"/>
        <w:gridCol w:w="60"/>
        <w:gridCol w:w="162"/>
        <w:gridCol w:w="1277"/>
        <w:gridCol w:w="69"/>
        <w:gridCol w:w="69"/>
        <w:gridCol w:w="162"/>
        <w:gridCol w:w="1277"/>
        <w:gridCol w:w="75"/>
      </w:tblGrid>
      <w:tr>
        <w:trPr/>
        <w:tc>
          <w:tcPr>
            <w:tcW w:w="2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5" w:name="xdx_499_20230101__20230331_zjkdW0iQGuD2"/>
            <w:bookmarkEnd w:id="305"/>
          </w:p>
        </w:tc>
        <w:tc>
          <w:tcPr>
            <w:tcW w:w="14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bookmarkStart w:id="306" w:name="xdx_493_20220101__20220331_zgcJnSNtQAR9"/>
            <w:bookmarkEnd w:id="306"/>
          </w:p>
        </w:tc>
        <w:tc>
          <w:tcPr>
            <w:tcW w:w="14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6" w:type="dxa"/>
            <w:gridSpan w:val="6"/>
            <w:tcBorders/>
            <w:vAlign w:val="center"/>
          </w:tcPr>
          <w:p>
            <w:pPr>
              <w:pStyle w:val="TableContents"/>
              <w:bidi w:val="0"/>
              <w:spacing w:before="0" w:after="283"/>
              <w:jc w:val="center"/>
              <w:rPr>
                <w:b/>
              </w:rPr>
            </w:pPr>
            <w:r>
              <w:rPr>
                <w:b/>
              </w:rPr>
              <w:t>For the Three Months Ended</w:t>
            </w:r>
          </w:p>
        </w:tc>
        <w:tc>
          <w:tcPr>
            <w:tcW w:w="75"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March 31,</w:t>
            </w:r>
          </w:p>
        </w:tc>
        <w:tc>
          <w:tcPr>
            <w:tcW w:w="75"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bookmarkStart w:id="307" w:name="xdx_405_eus-gaap--RevenueFromContractWit"/>
            <w:bookmarkEnd w:id="307"/>
          </w:p>
        </w:tc>
      </w:tr>
      <w:tr>
        <w:trPr/>
        <w:tc>
          <w:tcPr>
            <w:tcW w:w="2240" w:type="dxa"/>
            <w:tcBorders/>
            <w:shd w:fill="CCEEFF" w:val="clear"/>
            <w:vAlign w:val="center"/>
          </w:tcPr>
          <w:p>
            <w:pPr>
              <w:pStyle w:val="TableContents"/>
              <w:bidi w:val="0"/>
              <w:spacing w:before="0" w:after="283"/>
              <w:jc w:val="left"/>
              <w:rPr>
                <w:b/>
              </w:rPr>
            </w:pPr>
            <w:r>
              <w:rPr>
                <w:b/>
              </w:rPr>
              <w:t>Product sales, net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1277" w:type="dxa"/>
            <w:tcBorders/>
            <w:shd w:fill="CCEEFF" w:val="clear"/>
            <w:vAlign w:val="center"/>
          </w:tcPr>
          <w:p>
            <w:pPr>
              <w:pStyle w:val="TableContents"/>
              <w:bidi w:val="0"/>
              <w:spacing w:before="0" w:after="283"/>
              <w:jc w:val="right"/>
              <w:rPr/>
            </w:pPr>
            <w:r>
              <w:rPr/>
              <w:t>20,453,000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1277" w:type="dxa"/>
            <w:tcBorders/>
            <w:shd w:fill="CCEEFF" w:val="clear"/>
            <w:vAlign w:val="center"/>
          </w:tcPr>
          <w:p>
            <w:pPr>
              <w:pStyle w:val="TableContents"/>
              <w:bidi w:val="0"/>
              <w:spacing w:before="0" w:after="283"/>
              <w:jc w:val="right"/>
              <w:rPr/>
            </w:pPr>
            <w:r>
              <w:rPr/>
              <w:t>20,340,000</w:t>
            </w:r>
          </w:p>
        </w:tc>
        <w:tc>
          <w:tcPr>
            <w:tcW w:w="75" w:type="dxa"/>
            <w:tcBorders/>
            <w:shd w:fill="CCEEFF" w:val="clear"/>
            <w:vAlign w:val="center"/>
          </w:tcPr>
          <w:p>
            <w:pPr>
              <w:pStyle w:val="TableContents"/>
              <w:bidi w:val="0"/>
              <w:spacing w:before="0" w:after="283"/>
              <w:jc w:val="left"/>
              <w:rPr/>
            </w:pPr>
            <w:r>
              <w:rPr/>
              <w:t> </w:t>
            </w:r>
            <w:bookmarkStart w:id="308" w:name="xdx_405_eus-gaap--RevenueFromContractWit"/>
            <w:bookmarkEnd w:id="308"/>
          </w:p>
        </w:tc>
      </w:tr>
      <w:tr>
        <w:trPr/>
        <w:tc>
          <w:tcPr>
            <w:tcW w:w="2240" w:type="dxa"/>
            <w:tcBorders/>
            <w:shd w:fill="FFFFFF" w:val="clear"/>
            <w:vAlign w:val="center"/>
          </w:tcPr>
          <w:p>
            <w:pPr>
              <w:pStyle w:val="TableContents"/>
              <w:bidi w:val="0"/>
              <w:spacing w:before="0" w:after="283"/>
              <w:jc w:val="left"/>
              <w:rPr>
                <w:b/>
              </w:rPr>
            </w:pPr>
            <w:r>
              <w:rPr>
                <w:b/>
              </w:rPr>
              <w:t>Commission revenues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1,320,000</w:t>
            </w:r>
          </w:p>
        </w:tc>
        <w:tc>
          <w:tcPr>
            <w:tcW w:w="75" w:type="dxa"/>
            <w:tcBorders/>
            <w:shd w:fill="FFFFFF" w:val="clear"/>
            <w:vAlign w:val="center"/>
          </w:tcPr>
          <w:p>
            <w:pPr>
              <w:pStyle w:val="TableContents"/>
              <w:bidi w:val="0"/>
              <w:spacing w:before="0" w:after="283"/>
              <w:jc w:val="left"/>
              <w:rPr/>
            </w:pPr>
            <w:r>
              <w:rPr/>
              <w:t> </w:t>
            </w:r>
            <w:bookmarkStart w:id="309" w:name="xdx_408_eus-gaap--RevenueFromContractWit"/>
            <w:bookmarkEnd w:id="309"/>
          </w:p>
        </w:tc>
      </w:tr>
      <w:tr>
        <w:trPr/>
        <w:tc>
          <w:tcPr>
            <w:tcW w:w="2240" w:type="dxa"/>
            <w:tcBorders/>
            <w:shd w:fill="CCEEFF" w:val="clear"/>
            <w:vAlign w:val="center"/>
          </w:tcPr>
          <w:p>
            <w:pPr>
              <w:pStyle w:val="TableContents"/>
              <w:bidi w:val="0"/>
              <w:spacing w:before="0" w:after="283"/>
              <w:jc w:val="left"/>
              <w:rPr>
                <w:b/>
              </w:rPr>
            </w:pPr>
            <w:r>
              <w:rPr>
                <w:b/>
              </w:rPr>
              <w:t>Transfer of profits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12" w:space="0" w:color="000000"/>
            </w:tcBorders>
            <w:shd w:fill="CCEEFF" w:val="clear"/>
            <w:tcMar>
              <w:bottom w:w="28" w:type="dxa"/>
            </w:tcMar>
            <w:vAlign w:val="center"/>
          </w:tcPr>
          <w:p>
            <w:pPr>
              <w:pStyle w:val="TableContents"/>
              <w:bidi w:val="0"/>
              <w:spacing w:before="0" w:after="283"/>
              <w:jc w:val="right"/>
              <w:rPr/>
            </w:pPr>
            <w:r>
              <w:rPr/>
              <w:t>5,650,000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12" w:space="0" w:color="000000"/>
            </w:tcBorders>
            <w:shd w:fill="CCEEFF" w:val="clear"/>
            <w:tcMar>
              <w:bottom w:w="28" w:type="dxa"/>
            </w:tcMar>
            <w:vAlign w:val="center"/>
          </w:tcPr>
          <w:p>
            <w:pPr>
              <w:pStyle w:val="TableContents"/>
              <w:bidi w:val="0"/>
              <w:spacing w:before="0" w:after="283"/>
              <w:jc w:val="right"/>
              <w:rPr/>
            </w:pPr>
            <w:r>
              <w:rPr/>
              <w:t>460,000</w:t>
            </w:r>
          </w:p>
        </w:tc>
        <w:tc>
          <w:tcPr>
            <w:tcW w:w="75" w:type="dxa"/>
            <w:tcBorders/>
            <w:shd w:fill="CCEEFF" w:val="clear"/>
            <w:vAlign w:val="center"/>
          </w:tcPr>
          <w:p>
            <w:pPr>
              <w:pStyle w:val="TableContents"/>
              <w:bidi w:val="0"/>
              <w:spacing w:before="0" w:after="283"/>
              <w:jc w:val="left"/>
              <w:rPr/>
            </w:pPr>
            <w:r>
              <w:rPr/>
              <w:t> </w:t>
            </w:r>
            <w:bookmarkStart w:id="310" w:name="xdx_405_eus-gaap--RevenueFromContractWit"/>
            <w:bookmarkEnd w:id="310"/>
          </w:p>
        </w:tc>
      </w:tr>
      <w:tr>
        <w:trPr/>
        <w:tc>
          <w:tcPr>
            <w:tcW w:w="2240" w:type="dxa"/>
            <w:tcBorders/>
            <w:shd w:fill="FFFFFF" w:val="clear"/>
            <w:vAlign w:val="center"/>
          </w:tcPr>
          <w:p>
            <w:pPr>
              <w:pStyle w:val="TableContents"/>
              <w:bidi w:val="0"/>
              <w:spacing w:before="0" w:after="283"/>
              <w:jc w:val="left"/>
              <w:rPr>
                <w:b/>
              </w:rPr>
            </w:pPr>
            <w:r>
              <w:rPr>
                <w:b/>
              </w:rPr>
              <w:t>Total revenues</w:t>
            </w:r>
          </w:p>
        </w:tc>
        <w:tc>
          <w:tcPr>
            <w:tcW w:w="60" w:type="dxa"/>
            <w:tcBorders/>
            <w:shd w:fill="FFFFFF" w:val="cle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77" w:type="dxa"/>
            <w:tcBorders>
              <w:bottom w:val="double" w:sz="6" w:space="0" w:color="000000"/>
            </w:tcBorders>
            <w:shd w:fill="FFFFFF" w:val="clear"/>
            <w:tcMar>
              <w:bottom w:w="28" w:type="dxa"/>
            </w:tcMar>
            <w:vAlign w:val="center"/>
          </w:tcPr>
          <w:p>
            <w:pPr>
              <w:pStyle w:val="TableContents"/>
              <w:bidi w:val="0"/>
              <w:spacing w:before="0" w:after="283"/>
              <w:jc w:val="right"/>
              <w:rPr/>
            </w:pPr>
            <w:r>
              <w:rPr/>
              <w:t>26,103,000</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77" w:type="dxa"/>
            <w:tcBorders>
              <w:bottom w:val="double" w:sz="6" w:space="0" w:color="000000"/>
            </w:tcBorders>
            <w:shd w:fill="FFFFFF" w:val="clear"/>
            <w:tcMar>
              <w:bottom w:w="28" w:type="dxa"/>
            </w:tcMar>
            <w:vAlign w:val="center"/>
          </w:tcPr>
          <w:p>
            <w:pPr>
              <w:pStyle w:val="TableContents"/>
              <w:bidi w:val="0"/>
              <w:spacing w:before="0" w:after="283"/>
              <w:jc w:val="right"/>
              <w:rPr/>
            </w:pPr>
            <w:r>
              <w:rPr/>
              <w:t>22,120,000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11" w:name="xdx_8AD_zgJJY9fm8uB8"/>
      <w:bookmarkEnd w:id="31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and customer deposits at March 31, 2023 and December 31, 2022 were $</w:t>
      </w:r>
      <w:bookmarkStart w:id="312" w:name="xdx_90D_eus-gaap--ContractWithCustomerLi"/>
      <w:bookmarkEnd w:id="312"/>
      <w:r>
        <w:rPr>
          <w:rFonts w:ascii="Times New Roman;Times;Serif" w:hAnsi="Times New Roman;Times;Serif"/>
          <w:b w:val="false"/>
          <w:i w:val="false"/>
          <w:caps w:val="false"/>
          <w:smallCaps w:val="false"/>
          <w:sz w:val="20"/>
        </w:rPr>
        <w:t>67,000 and $</w:t>
      </w:r>
      <w:bookmarkStart w:id="313" w:name="xdx_904_eus-gaap--ContractWithCustomerLi"/>
      <w:bookmarkEnd w:id="313"/>
      <w:r>
        <w:rPr>
          <w:rFonts w:ascii="Times New Roman;Times;Serif" w:hAnsi="Times New Roman;Times;Serif"/>
          <w:b w:val="false"/>
          <w:i w:val="false"/>
          <w:caps w:val="false"/>
          <w:smallCaps w:val="false"/>
          <w:sz w:val="20"/>
        </w:rPr>
        <w:t>113,000, respectively. All deferred revenue and customer deposit amounts at December 31, 2022 were recognized as revenue during the three months ended March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4" w:name="xdx_803_ecustom--RecentProductAcquisitio"/>
      <w:bookmarkEnd w:id="314"/>
      <w:r>
        <w:rPr>
          <w:rFonts w:ascii="Times New Roman;Times;Serif" w:hAnsi="Times New Roman;Times;Serif"/>
          <w:b/>
          <w:i w:val="false"/>
          <w:caps w:val="false"/>
          <w:smallCaps w:val="false"/>
          <w:sz w:val="20"/>
        </w:rPr>
        <w:t xml:space="preserve">NOTE 4. </w:t>
      </w:r>
      <w:bookmarkStart w:id="315" w:name="xdx_826_z6ZolexczhW1"/>
      <w:bookmarkEnd w:id="315"/>
      <w:r>
        <w:rPr>
          <w:rFonts w:ascii="Times New Roman;Times;Serif" w:hAnsi="Times New Roman;Times;Serif"/>
          <w:b/>
          <w:i w:val="false"/>
          <w:caps w:val="false"/>
          <w:smallCaps w:val="false"/>
          <w:sz w:val="20"/>
        </w:rPr>
        <w:t>RECENT PRODUCT ACQUISITIONS, LICENSES AND DIVESTITURES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Acquisition of ILEVRO, NEVANAC, VIGAMOX, MAXIDEX, and TRIESENCE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2022, the Company entered into an Asset Purchase Agreement (the “Fab 5 APA”) with Novartis Technology, LLC and Novartis Innovative Therapies AG (together, “Novartis”), pursuant to which the Company agreed to purchase from Novartis the exclusive commercial rights to assets associated with the following ophthalmic products (collectively the “Fab 5 Products”) in the U.S. (the “Fab 5 Acquisition”): ILEVRO, NEVANAC, VIGAMOX, MAXIDEX, and TRIESENCE.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Fab 5 APA, the Company made a one-time payment of $</w:t>
      </w:r>
      <w:bookmarkStart w:id="316" w:name="xdx_90D_ecustom--MilestonePayment_c20230"/>
      <w:bookmarkEnd w:id="316"/>
      <w:r>
        <w:rPr>
          <w:rFonts w:ascii="Times New Roman;Times;Serif" w:hAnsi="Times New Roman;Times;Serif"/>
          <w:b w:val="false"/>
          <w:i w:val="false"/>
          <w:caps w:val="false"/>
          <w:smallCaps w:val="false"/>
          <w:sz w:val="20"/>
        </w:rPr>
        <w:t>130,000,000 at closing in January 2023, with up to another $</w:t>
      </w:r>
      <w:bookmarkStart w:id="317" w:name="xdx_902_ecustom--MilestonePayment_c20230"/>
      <w:bookmarkEnd w:id="317"/>
      <w:r>
        <w:rPr>
          <w:rFonts w:ascii="Times New Roman;Times;Serif" w:hAnsi="Times New Roman;Times;Serif"/>
          <w:b w:val="false"/>
          <w:i w:val="false"/>
          <w:caps w:val="false"/>
          <w:smallCaps w:val="false"/>
          <w:sz w:val="20"/>
        </w:rPr>
        <w:t>45,000,000 due in a milestone payment related to the timing of the commercial availability of TRIESENCE. Pursuant to the Fab 5 APA and various ancillary agreements, immediately following the closing and subject to certain conditions and prior to the transfer of the Fab 5 Products new drug applications (the “NDAs”) to the Company, Novartis will continue to sell the Fab 5 Products on the Company’s behalf and transfer the net profit from the sale of the Fab 5 Products to the Company. Novartis has agreed to supply certain Fab 5 Products to the Company for a period of time after the NDAs are transferred and to assist with technology transfer of the Fab 5 Products manufacturing to other third-party manufacturers, if needed.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assets acquired in the Fab 5 Acquisition are identifiable intangible asset groups in similar asset classes and all directly related to the five product NDAs acquired. The developed technology is within one major intangible asset class. No workforce/employees were included in the Fab 5 Acquisition and the Company is required to utilize its own business inputs/processes to transfer and commercialize the Fab 5 Products and NDAs. As a result, the Company recognized this transaction as an asset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w:t>
      </w:r>
      <w:bookmarkStart w:id="318" w:name="xdx_905_eus-gaap--BusinessAcquisitionCos"/>
      <w:bookmarkEnd w:id="318"/>
      <w:r>
        <w:rPr>
          <w:rFonts w:ascii="Times New Roman;Times;Serif" w:hAnsi="Times New Roman;Times;Serif"/>
          <w:b w:val="false"/>
          <w:i w:val="false"/>
          <w:caps w:val="false"/>
          <w:smallCaps w:val="false"/>
          <w:sz w:val="20"/>
        </w:rPr>
        <w:t>558,000 in costs associated with the Fab 5 Acquisition, including the acquisition costs and the payment of $</w:t>
      </w:r>
      <w:bookmarkStart w:id="319" w:name="xdx_906_ecustom--MilestonePayment_c20230"/>
      <w:bookmarkEnd w:id="319"/>
      <w:r>
        <w:rPr>
          <w:rFonts w:ascii="Times New Roman;Times;Serif" w:hAnsi="Times New Roman;Times;Serif"/>
          <w:b w:val="false"/>
          <w:i w:val="false"/>
          <w:caps w:val="false"/>
          <w:smallCaps w:val="false"/>
          <w:sz w:val="20"/>
        </w:rPr>
        <w:t>130,000,000 at closing, the total purchase price of the Fab 5 Acquisition was $</w:t>
      </w:r>
      <w:bookmarkStart w:id="320" w:name="xdx_909_eus-gaap--BusinessCombinationPri"/>
      <w:bookmarkEnd w:id="320"/>
      <w:r>
        <w:rPr>
          <w:rFonts w:ascii="Times New Roman;Times;Serif" w:hAnsi="Times New Roman;Times;Serif"/>
          <w:b w:val="false"/>
          <w:i w:val="false"/>
          <w:caps w:val="false"/>
          <w:smallCaps w:val="false"/>
          <w:sz w:val="20"/>
        </w:rPr>
        <w:t xml:space="preserve">130,558,000. At the time of the Fab 5 Acquisition and as of March 31, 2023, the contingent consideration due related to the commercial availability of TRIESENCE was not considered probable and reasonably estimable, therefore no amount was included in the purchase price of the Fab 5 Acquisition. At the time the contingent consideration due related to the commercial availability of TRIESENCE becomes probable and reasonably estimable, the additional consideration, if any, paid will be allocated to all of the assets on a pro rata basis based on their initial estimated fair values as a percent of the total purchase price. The Company does not consider any amounts related to TRIESENCE to be in-process research and development (IPR&amp;D) as considered within the scope of ASC 730, </w:t>
      </w:r>
      <w:r>
        <w:rPr>
          <w:rFonts w:ascii="Times New Roman;Times;Serif" w:hAnsi="Times New Roman;Times;Serif"/>
          <w:b w:val="false"/>
          <w:i/>
          <w:caps w:val="false"/>
          <w:smallCaps w:val="false"/>
          <w:sz w:val="20"/>
        </w:rPr>
        <w:t>Research and Development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Divestiture of Non-Ophthalmic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2022, wholly owned subsidiaries of the Company (“Imprimis”) entered into an Asset Purchase Agreement (the “RPC Agreement”) with Innovation Compounding Pharmacy, LLC (the “Buyer”). Under the terms of the RPC Agreement, Imprimis agreed to sell substantially all of its assets associated with its non-ophthalmology related compounding product line, including but not limited to, certain intellectual property rights, customer lists, databases, and formulations (the “RPC Assets”). The Buyer agreed to make offers of employment to six of the Company’s employees that were responsible for the sales activities associated with the RPC Assets. Under the terms of the RPC Agreement, the Buyer paid Imprimis an aggregate cash amount of $</w:t>
      </w:r>
      <w:bookmarkStart w:id="321" w:name="xdx_90D_eus-gaap--ProceedsFromCollaborat"/>
      <w:bookmarkEnd w:id="321"/>
      <w:r>
        <w:rPr>
          <w:rFonts w:ascii="Times New Roman;Times;Serif" w:hAnsi="Times New Roman;Times;Serif"/>
          <w:b w:val="false"/>
          <w:i w:val="false"/>
          <w:caps w:val="false"/>
          <w:smallCaps w:val="false"/>
          <w:sz w:val="20"/>
        </w:rPr>
        <w:t>6,000,000 in October 2022. In addition, the Buyer is obligated to pay up to $</w:t>
      </w:r>
      <w:bookmarkStart w:id="322" w:name="xdx_90A_ecustom--MilestonesReceivableBas"/>
      <w:bookmarkEnd w:id="322"/>
      <w:r>
        <w:rPr>
          <w:rFonts w:ascii="Times New Roman;Times;Serif" w:hAnsi="Times New Roman;Times;Serif"/>
          <w:b w:val="false"/>
          <w:i w:val="false"/>
          <w:caps w:val="false"/>
          <w:smallCaps w:val="false"/>
          <w:sz w:val="20"/>
        </w:rPr>
        <w:t>4,500,000 to Imprimis based on mutually agreed upon revenue milestones during the calendar year 2023 (the “Contingent Amount”). During the year ended December 31, 2022, no amount related to the Contingent Amount was recognized by the Company. The Company will recognize a gain related to the Contingent Amount if/when the contingency (in this case, revenue thresholds for 2023) become likely and reasonably estimated.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RPC Agreement, Imprimis entered into a separate transition services agreement with the Buyer related to providing on going services associated with the RPC Assets, such as procuring and dispensing prescription orders, providing accounting and billing services and collecting accounts receivable. The Company expects Imprimis to provide transition services to the Buyer for up to six to nine months following the effective date of the RPC Agreement. The Company collected and will continue to collect cash on behalf of the Buyer for revenue generated by sales of RPC Assets from October 2022 through the transition period and the Company is obligated to transfer cash generated by such sales to the Buyer. The Company’s condensed consolidated balance sheets as of March 31, 2023 and December 31, 2022 reflected $</w:t>
      </w:r>
      <w:bookmarkStart w:id="323" w:name="xdx_903_eus-gaap--Cash_iI_c20230331__us-"/>
      <w:bookmarkEnd w:id="323"/>
      <w:r>
        <w:rPr>
          <w:rFonts w:ascii="Times New Roman;Times;Serif" w:hAnsi="Times New Roman;Times;Serif"/>
          <w:b w:val="false"/>
          <w:i w:val="false"/>
          <w:caps w:val="false"/>
          <w:smallCaps w:val="false"/>
          <w:sz w:val="20"/>
        </w:rPr>
        <w:t>226,000 and $</w:t>
      </w:r>
      <w:bookmarkStart w:id="324" w:name="xdx_90E_eus-gaap--Cash_iI_c20221231__us-"/>
      <w:bookmarkEnd w:id="324"/>
      <w:r>
        <w:rPr>
          <w:rFonts w:ascii="Times New Roman;Times;Serif" w:hAnsi="Times New Roman;Times;Serif"/>
          <w:b w:val="false"/>
          <w:i w:val="false"/>
          <w:caps w:val="false"/>
          <w:smallCaps w:val="false"/>
          <w:sz w:val="20"/>
        </w:rPr>
        <w:t>579,000, respectively, of cash collected on behalf of the Buyer and a receivable within accounts receivable of $</w:t>
      </w:r>
      <w:bookmarkStart w:id="325" w:name="xdx_90C_eus-gaap--AccountsReceivableNetC"/>
      <w:bookmarkEnd w:id="325"/>
      <w:r>
        <w:rPr>
          <w:rFonts w:ascii="Times New Roman;Times;Serif" w:hAnsi="Times New Roman;Times;Serif"/>
          <w:b w:val="false"/>
          <w:i w:val="false"/>
          <w:caps w:val="false"/>
          <w:smallCaps w:val="false"/>
          <w:sz w:val="20"/>
        </w:rPr>
        <w:t>116,000 and $</w:t>
      </w:r>
      <w:bookmarkStart w:id="326" w:name="xdx_905_eus-gaap--AccountsReceivableNetC"/>
      <w:bookmarkEnd w:id="326"/>
      <w:r>
        <w:rPr>
          <w:rFonts w:ascii="Times New Roman;Times;Serif" w:hAnsi="Times New Roman;Times;Serif"/>
          <w:b w:val="false"/>
          <w:i w:val="false"/>
          <w:caps w:val="false"/>
          <w:smallCaps w:val="false"/>
          <w:sz w:val="20"/>
        </w:rPr>
        <w:t>128,000, respectively, for cash to be collected on behalf of the Buyer for sales of RPC Assets sold through March 31, 2023 and December 31, 2022,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due from the Buyer for reimbursement of services performed under the transition services agreement was $</w:t>
      </w:r>
      <w:bookmarkStart w:id="327" w:name="xdx_90C_ecustom--DueFromReimbursementOfS"/>
      <w:bookmarkEnd w:id="327"/>
      <w:r>
        <w:rPr>
          <w:rFonts w:ascii="Times New Roman;Times;Serif" w:hAnsi="Times New Roman;Times;Serif"/>
          <w:b w:val="false"/>
          <w:i w:val="false"/>
          <w:caps w:val="false"/>
          <w:smallCaps w:val="false"/>
          <w:sz w:val="20"/>
        </w:rPr>
        <w:t>162,000 and $</w:t>
      </w:r>
      <w:bookmarkStart w:id="328" w:name="xdx_90C_ecustom--DueFromReimbursementOfS"/>
      <w:bookmarkEnd w:id="328"/>
      <w:r>
        <w:rPr>
          <w:rFonts w:ascii="Times New Roman;Times;Serif" w:hAnsi="Times New Roman;Times;Serif"/>
          <w:b w:val="false"/>
          <w:i w:val="false"/>
          <w:caps w:val="false"/>
          <w:smallCaps w:val="false"/>
          <w:sz w:val="20"/>
        </w:rPr>
        <w:t>254,000 as of March 31, 2023 and December 31, 2022, respectively. Such amounts were netted against the amounts collected on behalf of the Buyer and was unpaid within accrued expenses on the condensed consolidated balance sheets as of March 31, 2023 and December 31, 2022. The combined total of $</w:t>
      </w:r>
      <w:bookmarkStart w:id="329" w:name="xdx_903_eus-gaap--AccruedLiabilitiesCurr"/>
      <w:bookmarkEnd w:id="329"/>
      <w:r>
        <w:rPr>
          <w:rFonts w:ascii="Times New Roman;Times;Serif" w:hAnsi="Times New Roman;Times;Serif"/>
          <w:b w:val="false"/>
          <w:i w:val="false"/>
          <w:caps w:val="false"/>
          <w:smallCaps w:val="false"/>
          <w:sz w:val="20"/>
        </w:rPr>
        <w:t>307,000 and $</w:t>
      </w:r>
      <w:bookmarkStart w:id="330" w:name="xdx_90E_eus-gaap--AccruedLiabilitiesCurr"/>
      <w:bookmarkEnd w:id="330"/>
      <w:r>
        <w:rPr>
          <w:rFonts w:ascii="Times New Roman;Times;Serif" w:hAnsi="Times New Roman;Times;Serif"/>
          <w:b w:val="false"/>
          <w:i w:val="false"/>
          <w:caps w:val="false"/>
          <w:smallCaps w:val="false"/>
          <w:sz w:val="20"/>
        </w:rPr>
        <w:t>453,000 was recorded within accrued expenses on the condensed consolidated balances sheets as of March 31, 2023 and December 31, 2022, respectively, and represents a payable to the Buyer. The Company recorded income from the transition services agreement of $</w:t>
      </w:r>
      <w:bookmarkStart w:id="331" w:name="xdx_904_eus-gaap--OtherIncome_c20230101_"/>
      <w:bookmarkEnd w:id="331"/>
      <w:r>
        <w:rPr>
          <w:rFonts w:ascii="Times New Roman;Times;Serif" w:hAnsi="Times New Roman;Times;Serif"/>
          <w:b w:val="false"/>
          <w:i w:val="false"/>
          <w:caps w:val="false"/>
          <w:smallCaps w:val="false"/>
          <w:sz w:val="20"/>
        </w:rPr>
        <w:t>124,000 which is presented in other income on the consolidated statement of operations for the three months ended March 31, 2023. During the three months ended March 31, 2023, the Company recorded a loss on the sale of assets of $</w:t>
      </w:r>
      <w:bookmarkStart w:id="332" w:name="xdx_90F_eus-gaap--GainLossOnSaleOfOtherA"/>
      <w:bookmarkEnd w:id="332"/>
      <w:r>
        <w:rPr>
          <w:rFonts w:ascii="Times New Roman;Times;Serif" w:hAnsi="Times New Roman;Times;Serif"/>
          <w:b w:val="false"/>
          <w:i w:val="false"/>
          <w:caps w:val="false"/>
          <w:smallCaps w:val="false"/>
          <w:sz w:val="20"/>
        </w:rPr>
        <w:t>94,800 related to remaining unusable 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33" w:name="xdx_802_eus-gaap--InvestmentsInDebtAndMa"/>
      <w:bookmarkEnd w:id="333"/>
      <w:r>
        <w:rPr>
          <w:rFonts w:ascii="Times New Roman;Times;Serif" w:hAnsi="Times New Roman;Times;Serif"/>
          <w:b/>
          <w:i w:val="false"/>
          <w:caps w:val="false"/>
          <w:smallCaps w:val="false"/>
          <w:sz w:val="20"/>
        </w:rPr>
        <w:t xml:space="preserve">NOTE 5. </w:t>
      </w:r>
      <w:bookmarkStart w:id="334" w:name="xdx_825_zfIZ6ifAcMT5"/>
      <w:bookmarkEnd w:id="334"/>
      <w:r>
        <w:rPr>
          <w:rFonts w:ascii="Times New Roman;Times;Serif" w:hAnsi="Times New Roman;Times;Serif"/>
          <w:b/>
          <w:i w:val="false"/>
          <w:caps w:val="false"/>
          <w:smallCaps w:val="false"/>
          <w:sz w:val="20"/>
        </w:rPr>
        <w:t>INVESTMENT IN, AND NOTE RECEIVABLE FROM MELT PHARMACEUTICALS, INC. - RELATED PARTY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2018, the Company entered into an asset purchase agreement with Melt (the “Melt Asset Purchase Agreement”). Pursuant to the terms of the Melt Asset Purchase Agreement, Melt was assigned certain intellectual property and related rights from the Company to develop, formulate, make, sell, and sub-license certain Company conscious sedation and analgesia related formulations (collectively, the “Melt Products”). Under the terms of the Melt Asset Purchase Agreement, Melt is required to make mid-single digit royalty payments to the Company on net sales of the Melt Products while any patent rights remain outstanding, as well as other conditions.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In February 2019, the Company and Melt entered into a Management Service Agreement between the Company and Melt (the “Melt MSA”), whereby the Company provides to Melt certain administrative services and support, including bookkeeping, web services and human resources related activities, and Melt is required to pay the Company a monthly amount of $</w:t>
      </w:r>
      <w:bookmarkStart w:id="335" w:name="xdx_90B_eus-gaap--AdministrativeFeesExpe"/>
      <w:bookmarkEnd w:id="335"/>
      <w:r>
        <w:rPr>
          <w:rFonts w:ascii="Times New Roman;Times;Serif" w:hAnsi="Times New Roman;Times;Serif"/>
          <w:b w:val="false"/>
          <w:i w:val="false"/>
          <w:caps w:val="false"/>
          <w:smallCaps w:val="false"/>
          <w:sz w:val="20"/>
          <w:shd w:fill="FFFFFF" w:val="clear"/>
        </w:rPr>
        <w:t xml:space="preserve">10,000. </w:t>
      </w:r>
      <w:r>
        <w:rPr>
          <w:rFonts w:ascii="Times New Roman;Times;Serif" w:hAnsi="Times New Roman;Times;Serif"/>
          <w:b w:val="false"/>
          <w:i w:val="false"/>
          <w:caps w:val="false"/>
          <w:smallCaps w:val="false"/>
          <w:sz w:val="20"/>
        </w:rPr>
        <w:t>During the three months ended March 31, 2023, the Company recorded $</w:t>
      </w:r>
      <w:bookmarkStart w:id="336" w:name="xdx_900_eus-gaap--OtherExpenses_c2023010"/>
      <w:bookmarkEnd w:id="336"/>
      <w:r>
        <w:rPr>
          <w:rFonts w:ascii="Times New Roman;Times;Serif" w:hAnsi="Times New Roman;Times;Serif"/>
          <w:b w:val="false"/>
          <w:i w:val="false"/>
          <w:caps w:val="false"/>
          <w:smallCaps w:val="false"/>
          <w:sz w:val="20"/>
        </w:rPr>
        <w:t xml:space="preserve">59,000 due from Melt for reimbursable expenses and amounts payable pursuant to the Melt MSA, which are included in prepaid expenses and other current assets in the accompanying condensed consolidated balance sheets. </w:t>
      </w:r>
      <w:r>
        <w:rPr>
          <w:rFonts w:ascii="Times New Roman;Times;Serif" w:hAnsi="Times New Roman;Times;Serif"/>
          <w:b w:val="false"/>
          <w:i w:val="false"/>
          <w:caps w:val="false"/>
          <w:smallCaps w:val="false"/>
          <w:sz w:val="20"/>
          <w:shd w:fill="FFFFFF" w:val="clear"/>
        </w:rPr>
        <w:t>As of March 31, 2023, and December 31, 2022, the Company was due $</w:t>
      </w:r>
      <w:bookmarkStart w:id="337" w:name="xdx_908_eus-gaap--OtherReceivables_iI_c2"/>
      <w:bookmarkEnd w:id="337"/>
      <w:r>
        <w:rPr>
          <w:rFonts w:ascii="Times New Roman;Times;Serif" w:hAnsi="Times New Roman;Times;Serif"/>
          <w:b w:val="false"/>
          <w:i w:val="false"/>
          <w:caps w:val="false"/>
          <w:smallCaps w:val="false"/>
          <w:sz w:val="20"/>
          <w:shd w:fill="FFFFFF" w:val="clear"/>
        </w:rPr>
        <w:t>198,000 and $</w:t>
      </w:r>
      <w:bookmarkStart w:id="338" w:name="xdx_904_eus-gaap--OtherReceivables_iI_c2"/>
      <w:bookmarkEnd w:id="338"/>
      <w:r>
        <w:rPr>
          <w:rFonts w:ascii="Times New Roman;Times;Serif" w:hAnsi="Times New Roman;Times;Serif"/>
          <w:b w:val="false"/>
          <w:i w:val="false"/>
          <w:caps w:val="false"/>
          <w:smallCaps w:val="false"/>
          <w:sz w:val="20"/>
          <w:shd w:fill="FFFFFF" w:val="clear"/>
        </w:rPr>
        <w:t>139,000, respectively, from Melt for reimbursable expenses and amounts due under the Melt MSA. Melt did not make any payments to the Company during the three months ended March 31, 2023.</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Company’s Chief Executive Officer, Mark L. Baum, was previously a member of the Melt board of directors until his resignation during the year ended December 31, 2021. Mr. Baum re-joined the Melt board of directors in January 2023. At the time Mr. Baum re-joined, the Melt board of directors consists of five total board members, including Mr. Baum, who is the only representative of the Company on Melt’s board of directors.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39" w:name="xdx_891_ecustom--ScheduleOfCondensedInco"/>
      <w:bookmarkEnd w:id="339"/>
      <w:r>
        <w:rPr>
          <w:rFonts w:ascii="Times New Roman;Times;Serif" w:hAnsi="Times New Roman;Times;Serif"/>
          <w:b w:val="false"/>
          <w:i w:val="false"/>
          <w:caps w:val="false"/>
          <w:smallCaps w:val="false"/>
          <w:sz w:val="20"/>
        </w:rPr>
        <w:t>The unaudited condensed results of operations information of Melt is summarized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40" w:name="xdx_8B9_zNHfndY0qoAl"/>
      <w:bookmarkEnd w:id="340"/>
      <w:r>
        <w:rPr>
          <w:rFonts w:ascii="Times New Roman;Times;Serif" w:hAnsi="Times New Roman;Times;Serif"/>
          <w:b w:val="false"/>
          <w:i w:val="false"/>
          <w:caps w:val="false"/>
          <w:smallCaps w:val="false"/>
          <w:sz w:val="20"/>
        </w:rPr>
        <w:t>SCHEDULE OF CONDENSED INCOME STATEMENT</w:t>
      </w:r>
    </w:p>
    <w:tbl>
      <w:tblPr>
        <w:tblW w:w="6329" w:type="dxa"/>
        <w:jc w:val="left"/>
        <w:tblInd w:w="0" w:type="dxa"/>
        <w:tblLayout w:type="fixed"/>
        <w:tblCellMar>
          <w:top w:w="0" w:type="dxa"/>
          <w:left w:w="0" w:type="dxa"/>
          <w:bottom w:w="0" w:type="dxa"/>
          <w:right w:w="0" w:type="dxa"/>
        </w:tblCellMar>
      </w:tblPr>
      <w:tblGrid>
        <w:gridCol w:w="2030"/>
        <w:gridCol w:w="60"/>
        <w:gridCol w:w="227"/>
        <w:gridCol w:w="1712"/>
        <w:gridCol w:w="154"/>
        <w:gridCol w:w="97"/>
        <w:gridCol w:w="227"/>
        <w:gridCol w:w="1712"/>
        <w:gridCol w:w="110"/>
      </w:tblGrid>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1" w:name="xdx_49F_20230101__20230331__dei--LegalEn"/>
            <w:bookmarkEnd w:id="341"/>
          </w:p>
        </w:tc>
        <w:tc>
          <w:tcPr>
            <w:tcW w:w="19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bookmarkStart w:id="342" w:name="xdx_49D_20220101__20220331__dei--LegalEn"/>
            <w:bookmarkEnd w:id="342"/>
          </w:p>
        </w:tc>
        <w:tc>
          <w:tcPr>
            <w:tcW w:w="19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2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11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9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bookmarkStart w:id="343" w:name="xdx_402_eus-gaap--RevenueFromContractWit"/>
            <w:bookmarkEnd w:id="343"/>
          </w:p>
        </w:tc>
      </w:tr>
      <w:tr>
        <w:trPr/>
        <w:tc>
          <w:tcPr>
            <w:tcW w:w="2030" w:type="dxa"/>
            <w:tcBorders/>
            <w:shd w:fill="CCEEFF" w:val="clear"/>
            <w:vAlign w:val="center"/>
          </w:tcPr>
          <w:p>
            <w:pPr>
              <w:pStyle w:val="TableContents"/>
              <w:bidi w:val="0"/>
              <w:spacing w:before="0" w:after="283"/>
              <w:jc w:val="both"/>
              <w:rPr/>
            </w:pPr>
            <w:r>
              <w:rPr/>
              <w:t>Revenues, net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1712" w:type="dxa"/>
            <w:tcBorders/>
            <w:shd w:fill="CCEEFF" w:val="clear"/>
            <w:vAlign w:val="center"/>
          </w:tcPr>
          <w:p>
            <w:pPr>
              <w:pStyle w:val="TableContents"/>
              <w:bidi w:val="0"/>
              <w:spacing w:before="0" w:after="283"/>
              <w:jc w:val="right"/>
              <w:rPr/>
            </w:pPr>
            <w:r>
              <w:rPr/>
              <w:t>-</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1712"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44" w:name="xdx_40B_eus-gaap--OperatingIncomeLoss_zi"/>
            <w:bookmarkEnd w:id="344"/>
          </w:p>
        </w:tc>
      </w:tr>
      <w:tr>
        <w:trPr/>
        <w:tc>
          <w:tcPr>
            <w:tcW w:w="2030" w:type="dxa"/>
            <w:tcBorders/>
            <w:shd w:fill="FFFFFF" w:val="clear"/>
            <w:vAlign w:val="center"/>
          </w:tcPr>
          <w:p>
            <w:pPr>
              <w:pStyle w:val="TableContents"/>
              <w:bidi w:val="0"/>
              <w:spacing w:before="0" w:after="283"/>
              <w:jc w:val="both"/>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w:t>
            </w:r>
          </w:p>
        </w:tc>
        <w:tc>
          <w:tcPr>
            <w:tcW w:w="1712" w:type="dxa"/>
            <w:tcBorders/>
            <w:shd w:fill="FFFFFF" w:val="clear"/>
            <w:vAlign w:val="center"/>
          </w:tcPr>
          <w:p>
            <w:pPr>
              <w:pStyle w:val="TableContents"/>
              <w:bidi w:val="0"/>
              <w:spacing w:before="0" w:after="283"/>
              <w:jc w:val="right"/>
              <w:rPr/>
            </w:pPr>
            <w:r>
              <w:rPr/>
              <w:t>(1,858,000</w:t>
            </w:r>
          </w:p>
        </w:tc>
        <w:tc>
          <w:tcPr>
            <w:tcW w:w="154" w:type="dxa"/>
            <w:tcBorders/>
            <w:shd w:fill="FFFFFF" w:val="clear"/>
            <w:vAlign w:val="center"/>
          </w:tcPr>
          <w:p>
            <w:pPr>
              <w:pStyle w:val="TableContents"/>
              <w:bidi w:val="0"/>
              <w:spacing w:before="0" w:after="283"/>
              <w:jc w:val="left"/>
              <w:rPr/>
            </w:pPr>
            <w:r>
              <w:rPr/>
              <w:t>)</w:t>
            </w:r>
          </w:p>
        </w:tc>
        <w:tc>
          <w:tcPr>
            <w:tcW w:w="97"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w:t>
            </w:r>
          </w:p>
        </w:tc>
        <w:tc>
          <w:tcPr>
            <w:tcW w:w="1712" w:type="dxa"/>
            <w:tcBorders/>
            <w:shd w:fill="FFFFFF" w:val="clear"/>
            <w:vAlign w:val="center"/>
          </w:tcPr>
          <w:p>
            <w:pPr>
              <w:pStyle w:val="TableContents"/>
              <w:bidi w:val="0"/>
              <w:spacing w:before="0" w:after="283"/>
              <w:jc w:val="right"/>
              <w:rPr/>
            </w:pPr>
            <w:r>
              <w:rPr/>
              <w:t>(3,337,000</w:t>
            </w:r>
          </w:p>
        </w:tc>
        <w:tc>
          <w:tcPr>
            <w:tcW w:w="110" w:type="dxa"/>
            <w:tcBorders/>
            <w:shd w:fill="FFFFFF" w:val="clear"/>
            <w:vAlign w:val="center"/>
          </w:tcPr>
          <w:p>
            <w:pPr>
              <w:pStyle w:val="TableContents"/>
              <w:bidi w:val="0"/>
              <w:spacing w:before="0" w:after="283"/>
              <w:jc w:val="left"/>
              <w:rPr/>
            </w:pPr>
            <w:r>
              <w:rPr/>
              <w:t>)</w:t>
            </w:r>
            <w:bookmarkStart w:id="345" w:name="xdx_409_eus-gaap--NetIncomeLoss_zelFnf7M"/>
            <w:bookmarkEnd w:id="345"/>
          </w:p>
        </w:tc>
      </w:tr>
      <w:tr>
        <w:trPr/>
        <w:tc>
          <w:tcPr>
            <w:tcW w:w="2030" w:type="dxa"/>
            <w:tcBorders/>
            <w:shd w:fill="CCEEFF" w:val="clear"/>
            <w:vAlign w:val="center"/>
          </w:tcPr>
          <w:p>
            <w:pPr>
              <w:pStyle w:val="TableContents"/>
              <w:bidi w:val="0"/>
              <w:spacing w:before="0" w:after="283"/>
              <w:jc w:val="both"/>
              <w:rPr/>
            </w:pPr>
            <w:r>
              <w:rPr/>
              <w:t>Net loss</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1712" w:type="dxa"/>
            <w:tcBorders/>
            <w:shd w:fill="CCEEFF" w:val="clear"/>
            <w:vAlign w:val="center"/>
          </w:tcPr>
          <w:p>
            <w:pPr>
              <w:pStyle w:val="TableContents"/>
              <w:bidi w:val="0"/>
              <w:spacing w:before="0" w:after="283"/>
              <w:jc w:val="right"/>
              <w:rPr/>
            </w:pPr>
            <w:r>
              <w:rPr/>
              <w:t>(1,858,000</w:t>
            </w:r>
          </w:p>
        </w:tc>
        <w:tc>
          <w:tcPr>
            <w:tcW w:w="154" w:type="dxa"/>
            <w:tcBorders/>
            <w:shd w:fill="CCEEFF" w:val="clear"/>
            <w:vAlign w:val="center"/>
          </w:tcPr>
          <w:p>
            <w:pPr>
              <w:pStyle w:val="TableContents"/>
              <w:bidi w:val="0"/>
              <w:spacing w:before="0" w:after="283"/>
              <w:jc w:val="left"/>
              <w:rPr/>
            </w:pPr>
            <w:r>
              <w:rPr/>
              <w:t>)</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1712" w:type="dxa"/>
            <w:tcBorders/>
            <w:shd w:fill="CCEEFF" w:val="clear"/>
            <w:vAlign w:val="center"/>
          </w:tcPr>
          <w:p>
            <w:pPr>
              <w:pStyle w:val="TableContents"/>
              <w:bidi w:val="0"/>
              <w:spacing w:before="0" w:after="283"/>
              <w:jc w:val="right"/>
              <w:rPr/>
            </w:pPr>
            <w:r>
              <w:rPr/>
              <w:t>(3,337,000</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346" w:name="xdx_8AC_zOaKEn6qUkdb"/>
      <w:bookmarkEnd w:id="34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47" w:name="xdx_893_ecustom--ScheduleOfCondensedBala"/>
      <w:bookmarkEnd w:id="347"/>
      <w:r>
        <w:rPr>
          <w:rFonts w:ascii="Times New Roman;Times;Serif" w:hAnsi="Times New Roman;Times;Serif"/>
          <w:b w:val="false"/>
          <w:i w:val="false"/>
          <w:caps w:val="false"/>
          <w:smallCaps w:val="false"/>
          <w:sz w:val="20"/>
        </w:rPr>
        <w:t>The unaudited condensed balance sheet information of Melt is summarized below:</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48" w:name="xdx_8B8_zcwMAIPPWvI3"/>
      <w:bookmarkEnd w:id="348"/>
      <w:r>
        <w:rPr>
          <w:rFonts w:ascii="Times New Roman;Times;Serif" w:hAnsi="Times New Roman;Times;Serif"/>
          <w:b w:val="false"/>
          <w:i w:val="false"/>
          <w:caps w:val="false"/>
          <w:smallCaps w:val="false"/>
          <w:sz w:val="20"/>
        </w:rPr>
        <w:t>SCHEDULE OF CONDENSED BALANCE SHEET </w:t>
      </w:r>
    </w:p>
    <w:tbl>
      <w:tblPr>
        <w:tblW w:w="7808" w:type="dxa"/>
        <w:jc w:val="left"/>
        <w:tblInd w:w="0" w:type="dxa"/>
        <w:tblLayout w:type="fixed"/>
        <w:tblCellMar>
          <w:top w:w="0" w:type="dxa"/>
          <w:left w:w="0" w:type="dxa"/>
          <w:bottom w:w="0" w:type="dxa"/>
          <w:right w:w="0" w:type="dxa"/>
        </w:tblCellMar>
      </w:tblPr>
      <w:tblGrid>
        <w:gridCol w:w="4370"/>
        <w:gridCol w:w="60"/>
        <w:gridCol w:w="147"/>
        <w:gridCol w:w="1237"/>
        <w:gridCol w:w="95"/>
        <w:gridCol w:w="60"/>
        <w:gridCol w:w="184"/>
        <w:gridCol w:w="1545"/>
        <w:gridCol w:w="110"/>
      </w:tblGrid>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9" w:name="xdx_49A_20230331__dei--LegalEntityAxis__"/>
            <w:bookmarkEnd w:id="349"/>
          </w:p>
        </w:tc>
        <w:tc>
          <w:tcPr>
            <w:tcW w:w="1384" w:type="dxa"/>
            <w:gridSpan w:val="2"/>
            <w:tcBorders/>
            <w:vAlign w:val="center"/>
          </w:tcPr>
          <w:p>
            <w:pPr>
              <w:pStyle w:val="TableContents"/>
              <w:bidi w:val="0"/>
              <w:spacing w:before="0" w:after="283"/>
              <w:jc w:val="center"/>
              <w:rPr>
                <w:b/>
              </w:rPr>
            </w:pPr>
            <w:r>
              <w:rPr>
                <w:b/>
              </w:rPr>
              <w:t>At 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0" w:name="xdx_490_20221231__dei--LegalEntityAxis__"/>
            <w:bookmarkEnd w:id="350"/>
          </w:p>
        </w:tc>
        <w:tc>
          <w:tcPr>
            <w:tcW w:w="1729" w:type="dxa"/>
            <w:gridSpan w:val="2"/>
            <w:tcBorders/>
            <w:vAlign w:val="center"/>
          </w:tcPr>
          <w:p>
            <w:pPr>
              <w:pStyle w:val="TableContents"/>
              <w:bidi w:val="0"/>
              <w:spacing w:before="0" w:after="283"/>
              <w:jc w:val="center"/>
              <w:rPr>
                <w:b/>
              </w:rPr>
            </w:pPr>
            <w:r>
              <w:rPr>
                <w:b/>
              </w:rPr>
              <w:t>At December 31,</w:t>
            </w:r>
          </w:p>
        </w:tc>
        <w:tc>
          <w:tcPr>
            <w:tcW w:w="110"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bookmarkStart w:id="351" w:name="xdx_402_eus-gaap--AssetsCurrent_iI_zU7fT"/>
            <w:bookmarkEnd w:id="351"/>
          </w:p>
        </w:tc>
      </w:tr>
      <w:tr>
        <w:trPr/>
        <w:tc>
          <w:tcPr>
            <w:tcW w:w="4370" w:type="dxa"/>
            <w:tcBorders/>
            <w:shd w:fill="CCEEFF" w:val="clear"/>
            <w:vAlign w:val="center"/>
          </w:tcPr>
          <w:p>
            <w:pPr>
              <w:pStyle w:val="TableContents"/>
              <w:bidi w:val="0"/>
              <w:spacing w:before="0" w:after="283"/>
              <w:jc w:val="both"/>
              <w:rPr/>
            </w:pPr>
            <w:r>
              <w:rPr/>
              <w:t>Current assets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133,000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545" w:type="dxa"/>
            <w:tcBorders/>
            <w:shd w:fill="CCEEFF" w:val="clear"/>
            <w:vAlign w:val="center"/>
          </w:tcPr>
          <w:p>
            <w:pPr>
              <w:pStyle w:val="TableContents"/>
              <w:bidi w:val="0"/>
              <w:spacing w:before="0" w:after="283"/>
              <w:jc w:val="right"/>
              <w:rPr/>
            </w:pPr>
            <w:r>
              <w:rPr/>
              <w:t>655,000</w:t>
            </w:r>
          </w:p>
        </w:tc>
        <w:tc>
          <w:tcPr>
            <w:tcW w:w="110" w:type="dxa"/>
            <w:tcBorders/>
            <w:shd w:fill="CCEEFF" w:val="clear"/>
            <w:vAlign w:val="center"/>
          </w:tcPr>
          <w:p>
            <w:pPr>
              <w:pStyle w:val="TableContents"/>
              <w:bidi w:val="0"/>
              <w:spacing w:before="0" w:after="283"/>
              <w:jc w:val="left"/>
              <w:rPr/>
            </w:pPr>
            <w:r>
              <w:rPr/>
              <w:t> </w:t>
            </w:r>
            <w:bookmarkStart w:id="352" w:name="xdx_400_eus-gaap--AssetsNoncurrent_iI_zo"/>
            <w:bookmarkEnd w:id="352"/>
          </w:p>
        </w:tc>
      </w:tr>
      <w:tr>
        <w:trPr/>
        <w:tc>
          <w:tcPr>
            <w:tcW w:w="4370" w:type="dxa"/>
            <w:tcBorders/>
            <w:shd w:fill="FFFFFF" w:val="clear"/>
            <w:vAlign w:val="center"/>
          </w:tcPr>
          <w:p>
            <w:pPr>
              <w:pStyle w:val="TableContents"/>
              <w:bidi w:val="0"/>
              <w:spacing w:before="0" w:after="283"/>
              <w:jc w:val="both"/>
              <w:rPr/>
            </w:pPr>
            <w:r>
              <w:rPr/>
              <w:t>Non-current assets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7" w:type="dxa"/>
            <w:tcBorders>
              <w:bottom w:val="single" w:sz="12" w:space="0" w:color="000000"/>
            </w:tcBorders>
            <w:shd w:fill="FFFFFF" w:val="clear"/>
            <w:tcMar>
              <w:bottom w:w="28" w:type="dxa"/>
            </w:tcMar>
            <w:vAlign w:val="center"/>
          </w:tcPr>
          <w:p>
            <w:pPr>
              <w:pStyle w:val="TableContents"/>
              <w:bidi w:val="0"/>
              <w:spacing w:before="0" w:after="283"/>
              <w:jc w:val="right"/>
              <w:rPr/>
            </w:pPr>
            <w:r>
              <w:rPr/>
              <w:t>133,000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45" w:type="dxa"/>
            <w:tcBorders>
              <w:bottom w:val="single" w:sz="12" w:space="0" w:color="000000"/>
            </w:tcBorders>
            <w:shd w:fill="FFFFFF" w:val="clear"/>
            <w:tcMar>
              <w:bottom w:w="28" w:type="dxa"/>
            </w:tcMar>
            <w:vAlign w:val="center"/>
          </w:tcPr>
          <w:p>
            <w:pPr>
              <w:pStyle w:val="TableContents"/>
              <w:bidi w:val="0"/>
              <w:spacing w:before="0" w:after="283"/>
              <w:jc w:val="right"/>
              <w:rPr/>
            </w:pPr>
            <w:r>
              <w:rPr/>
              <w:t>107,000</w:t>
            </w:r>
          </w:p>
        </w:tc>
        <w:tc>
          <w:tcPr>
            <w:tcW w:w="110" w:type="dxa"/>
            <w:tcBorders/>
            <w:shd w:fill="FFFFFF" w:val="clear"/>
            <w:vAlign w:val="center"/>
          </w:tcPr>
          <w:p>
            <w:pPr>
              <w:pStyle w:val="TableContents"/>
              <w:bidi w:val="0"/>
              <w:spacing w:before="0" w:after="283"/>
              <w:jc w:val="left"/>
              <w:rPr/>
            </w:pPr>
            <w:r>
              <w:rPr/>
              <w:t> </w:t>
            </w:r>
            <w:bookmarkStart w:id="353" w:name="xdx_402_eus-gaap--Assets_iI_zZ4D0VDAGGm"/>
            <w:bookmarkEnd w:id="353"/>
          </w:p>
        </w:tc>
      </w:tr>
      <w:tr>
        <w:trPr/>
        <w:tc>
          <w:tcPr>
            <w:tcW w:w="4370" w:type="dxa"/>
            <w:tcBorders/>
            <w:shd w:fill="CCEEFF" w:val="clear"/>
            <w:vAlign w:val="center"/>
          </w:tcPr>
          <w:p>
            <w:pPr>
              <w:pStyle w:val="TableContents"/>
              <w:bidi w:val="0"/>
              <w:spacing w:before="0" w:after="283"/>
              <w:jc w:val="both"/>
              <w:rPr/>
            </w:pPr>
            <w:r>
              <w:rPr/>
              <w:t>Total assets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7" w:type="dxa"/>
            <w:tcBorders>
              <w:bottom w:val="double" w:sz="6" w:space="0" w:color="000000"/>
            </w:tcBorders>
            <w:shd w:fill="CCEEFF" w:val="clear"/>
            <w:tcMar>
              <w:bottom w:w="28" w:type="dxa"/>
            </w:tcMar>
            <w:vAlign w:val="center"/>
          </w:tcPr>
          <w:p>
            <w:pPr>
              <w:pStyle w:val="TableContents"/>
              <w:bidi w:val="0"/>
              <w:spacing w:before="0" w:after="283"/>
              <w:jc w:val="right"/>
              <w:rPr/>
            </w:pPr>
            <w:r>
              <w:rPr/>
              <w:t>266,000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45" w:type="dxa"/>
            <w:tcBorders>
              <w:bottom w:val="double" w:sz="6" w:space="0" w:color="000000"/>
            </w:tcBorders>
            <w:shd w:fill="CCEEFF" w:val="clear"/>
            <w:tcMar>
              <w:bottom w:w="28" w:type="dxa"/>
            </w:tcMar>
            <w:vAlign w:val="center"/>
          </w:tcPr>
          <w:p>
            <w:pPr>
              <w:pStyle w:val="TableContents"/>
              <w:bidi w:val="0"/>
              <w:spacing w:before="0" w:after="283"/>
              <w:jc w:val="right"/>
              <w:rPr/>
            </w:pPr>
            <w:r>
              <w:rPr/>
              <w:t>762,000</w:t>
            </w:r>
          </w:p>
        </w:tc>
        <w:tc>
          <w:tcPr>
            <w:tcW w:w="11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54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54" w:name="xdx_40B_eus-gaap--Liabilities_iI_zE6WJw8"/>
            <w:bookmarkEnd w:id="354"/>
          </w:p>
        </w:tc>
      </w:tr>
      <w:tr>
        <w:trPr/>
        <w:tc>
          <w:tcPr>
            <w:tcW w:w="4370" w:type="dxa"/>
            <w:tcBorders/>
            <w:shd w:fill="CCEEFF" w:val="clear"/>
            <w:vAlign w:val="center"/>
          </w:tcPr>
          <w:p>
            <w:pPr>
              <w:pStyle w:val="TableContents"/>
              <w:bidi w:val="0"/>
              <w:spacing w:before="0" w:after="283"/>
              <w:jc w:val="both"/>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20,273,000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545" w:type="dxa"/>
            <w:tcBorders/>
            <w:shd w:fill="CCEEFF" w:val="clear"/>
            <w:vAlign w:val="center"/>
          </w:tcPr>
          <w:p>
            <w:pPr>
              <w:pStyle w:val="TableContents"/>
              <w:bidi w:val="0"/>
              <w:spacing w:before="0" w:after="283"/>
              <w:jc w:val="right"/>
              <w:rPr/>
            </w:pPr>
            <w:r>
              <w:rPr/>
              <w:t>19,056,000</w:t>
            </w:r>
          </w:p>
        </w:tc>
        <w:tc>
          <w:tcPr>
            <w:tcW w:w="110" w:type="dxa"/>
            <w:tcBorders/>
            <w:shd w:fill="CCEEFF" w:val="clear"/>
            <w:vAlign w:val="center"/>
          </w:tcPr>
          <w:p>
            <w:pPr>
              <w:pStyle w:val="TableContents"/>
              <w:bidi w:val="0"/>
              <w:spacing w:before="0" w:after="283"/>
              <w:jc w:val="left"/>
              <w:rPr/>
            </w:pPr>
            <w:r>
              <w:rPr/>
              <w:t> </w:t>
            </w:r>
            <w:bookmarkStart w:id="355" w:name="xdx_40C_eus-gaap--StockholdersEquity_iI_"/>
            <w:bookmarkEnd w:id="355"/>
          </w:p>
        </w:tc>
      </w:tr>
      <w:tr>
        <w:trPr/>
        <w:tc>
          <w:tcPr>
            <w:tcW w:w="4370" w:type="dxa"/>
            <w:tcBorders/>
            <w:shd w:fill="FFFFFF" w:val="clear"/>
            <w:vAlign w:val="center"/>
          </w:tcPr>
          <w:p>
            <w:pPr>
              <w:pStyle w:val="TableContents"/>
              <w:bidi w:val="0"/>
              <w:spacing w:before="0" w:after="283"/>
              <w:jc w:val="both"/>
              <w:rPr/>
            </w:pPr>
            <w:r>
              <w:rPr/>
              <w:t>Total preferred stock and stockholders’ deficit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7" w:type="dxa"/>
            <w:tcBorders>
              <w:bottom w:val="single" w:sz="12" w:space="0" w:color="000000"/>
            </w:tcBorders>
            <w:shd w:fill="FFFFFF" w:val="clear"/>
            <w:tcMar>
              <w:bottom w:w="28" w:type="dxa"/>
            </w:tcMar>
            <w:vAlign w:val="center"/>
          </w:tcPr>
          <w:p>
            <w:pPr>
              <w:pStyle w:val="TableContents"/>
              <w:bidi w:val="0"/>
              <w:spacing w:before="0" w:after="283"/>
              <w:jc w:val="right"/>
              <w:rPr/>
            </w:pPr>
            <w:r>
              <w:rPr/>
              <w:t>(20,007,000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45" w:type="dxa"/>
            <w:tcBorders>
              <w:bottom w:val="single" w:sz="12" w:space="0" w:color="000000"/>
            </w:tcBorders>
            <w:shd w:fill="FFFFFF" w:val="clear"/>
            <w:tcMar>
              <w:bottom w:w="28" w:type="dxa"/>
            </w:tcMar>
            <w:vAlign w:val="center"/>
          </w:tcPr>
          <w:p>
            <w:pPr>
              <w:pStyle w:val="TableContents"/>
              <w:bidi w:val="0"/>
              <w:spacing w:before="0" w:after="283"/>
              <w:jc w:val="right"/>
              <w:rPr/>
            </w:pPr>
            <w:r>
              <w:rPr/>
              <w:t>(18,294,000</w:t>
            </w:r>
          </w:p>
        </w:tc>
        <w:tc>
          <w:tcPr>
            <w:tcW w:w="110" w:type="dxa"/>
            <w:tcBorders/>
            <w:shd w:fill="FFFFFF" w:val="clear"/>
            <w:vAlign w:val="center"/>
          </w:tcPr>
          <w:p>
            <w:pPr>
              <w:pStyle w:val="TableContents"/>
              <w:bidi w:val="0"/>
              <w:spacing w:before="0" w:after="283"/>
              <w:jc w:val="left"/>
              <w:rPr/>
            </w:pPr>
            <w:r>
              <w:rPr/>
              <w:t>)</w:t>
            </w:r>
            <w:bookmarkStart w:id="356" w:name="xdx_400_eus-gaap--LiabilitiesAndStockhol"/>
            <w:bookmarkEnd w:id="356"/>
          </w:p>
        </w:tc>
      </w:tr>
      <w:tr>
        <w:trPr/>
        <w:tc>
          <w:tcPr>
            <w:tcW w:w="4370" w:type="dxa"/>
            <w:tcBorders/>
            <w:shd w:fill="CCEEFF" w:val="clear"/>
            <w:vAlign w:val="center"/>
          </w:tcPr>
          <w:p>
            <w:pPr>
              <w:pStyle w:val="TableContents"/>
              <w:bidi w:val="0"/>
              <w:spacing w:before="0" w:after="283"/>
              <w:jc w:val="both"/>
              <w:rPr/>
            </w:pPr>
            <w:r>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7" w:type="dxa"/>
            <w:tcBorders>
              <w:bottom w:val="double" w:sz="6" w:space="0" w:color="000000"/>
            </w:tcBorders>
            <w:shd w:fill="CCEEFF" w:val="clear"/>
            <w:tcMar>
              <w:bottom w:w="28" w:type="dxa"/>
            </w:tcMar>
            <w:vAlign w:val="center"/>
          </w:tcPr>
          <w:p>
            <w:pPr>
              <w:pStyle w:val="TableContents"/>
              <w:bidi w:val="0"/>
              <w:spacing w:before="0" w:after="283"/>
              <w:jc w:val="right"/>
              <w:rPr/>
            </w:pPr>
            <w:r>
              <w:rPr/>
              <w:t>266,000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45" w:type="dxa"/>
            <w:tcBorders>
              <w:bottom w:val="double" w:sz="6" w:space="0" w:color="000000"/>
            </w:tcBorders>
            <w:shd w:fill="CCEEFF" w:val="clear"/>
            <w:tcMar>
              <w:bottom w:w="28" w:type="dxa"/>
            </w:tcMar>
            <w:vAlign w:val="center"/>
          </w:tcPr>
          <w:p>
            <w:pPr>
              <w:pStyle w:val="TableContents"/>
              <w:bidi w:val="0"/>
              <w:spacing w:before="0" w:after="283"/>
              <w:jc w:val="right"/>
              <w:rPr/>
            </w:pPr>
            <w:r>
              <w:rPr/>
              <w:t>762,000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57" w:name="xdx_8AB_zgap6SBt2N45"/>
      <w:bookmarkEnd w:id="357"/>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Melt Note Receivable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2021, the Company entered into a loan and security agreement in the principal amount of $</w:t>
      </w:r>
      <w:bookmarkStart w:id="358" w:name="xdx_904_eus-gaap--DebtInstrumentFaceAmou"/>
      <w:bookmarkEnd w:id="358"/>
      <w:r>
        <w:rPr>
          <w:rFonts w:ascii="Times New Roman;Times;Serif" w:hAnsi="Times New Roman;Times;Serif"/>
          <w:b w:val="false"/>
          <w:i w:val="false"/>
          <w:caps w:val="false"/>
          <w:smallCaps w:val="false"/>
          <w:sz w:val="20"/>
        </w:rPr>
        <w:t xml:space="preserve">13,500,000 (the “Melt Loan Agreement”), as lender, with Melt, as borrower. Amounts borrowed under the Melt Loan Agreement bear interest at </w:t>
      </w:r>
      <w:bookmarkStart w:id="359" w:name="xdx_902_eus-gaap--DebtInstrumentInterest"/>
      <w:bookmarkEnd w:id="359"/>
      <w:r>
        <w:rPr>
          <w:rFonts w:ascii="Times New Roman;Times;Serif" w:hAnsi="Times New Roman;Times;Serif"/>
          <w:b w:val="false"/>
          <w:i w:val="false"/>
          <w:caps w:val="false"/>
          <w:smallCaps w:val="false"/>
          <w:sz w:val="20"/>
        </w:rPr>
        <w:t>12.50% per annum, which interest can be paid in-kind at the option of Melt until the maturity date. The Melt Loan Agreement permits Melt to pay interest only on the principal amount loaned thereunder through the term and all amounts owed were previously due and payable on September 1, 2022. In April 2022, the Company entered into a First Amendment and in September 2022, a Second Amendment (together, the “Amendments”) to the Melt Loan Agreement. The Amendments (i) extended the maturity date of the Melt Loan Agreement to June 1, 2023, which can be extended further to September 1, 2026 upon Melt completing a qualifying financing of a minimum amount of $</w:t>
      </w:r>
      <w:bookmarkStart w:id="360" w:name="xdx_902_eus-gaap--DebtInstrumentFaceAmou"/>
      <w:bookmarkEnd w:id="360"/>
      <w:r>
        <w:rPr>
          <w:rFonts w:ascii="Times New Roman;Times;Serif" w:hAnsi="Times New Roman;Times;Serif"/>
          <w:b w:val="false"/>
          <w:i w:val="false"/>
          <w:caps w:val="false"/>
          <w:smallCaps w:val="false"/>
          <w:sz w:val="20"/>
        </w:rPr>
        <w:t>10,000,000 from third-party investors, (ii) added conditions related to minimum cash amounts following a qualifying financing, and (iii) clarified the definition of material adverse effects. Melt may elect to prepay all, but not less than all, of the amounts owed prior to the maturity date at any time without penalty.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Melt has granted the Company a security interest in substantially all of its personal property, rights and assets, including intellectual property rights, to secure the payment of all amounts owed under the Melt Loan Agreement. The Melt Loan Agreement contains customary representations, warranties and covenants, including covenants by Melt limiting additional indebtedness, liens, mergers and acquisitions, dispositions, investments, distributions, subordinated debt, and transactions with affiliates. The Melt Loan Agreement includes customary events of default, and upon the occurrence of an event of default (subject to cure periods for certain events of default), all amounts owed by Melt thereunder may be declared immediately due and payable by the Company, and the interest rate on the loan may be increased by </w:t>
      </w:r>
      <w:bookmarkStart w:id="361" w:name="xdx_906_eus-gaap--DebtInstrumentInterest"/>
      <w:bookmarkEnd w:id="361"/>
      <w:r>
        <w:rPr>
          <w:rFonts w:ascii="Times New Roman;Times;Serif" w:hAnsi="Times New Roman;Times;Serif"/>
          <w:b w:val="false"/>
          <w:i w:val="false"/>
          <w:caps w:val="false"/>
          <w:smallCaps w:val="false"/>
          <w:sz w:val="20"/>
        </w:rPr>
        <w:t>3%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Melt Loan Agreement, the Company and Melt entered into a Right of First Refusal Agreement providing the Company with the right, but not the obligation, to match any offer received by Melt associated with the commercial rights to any of Melt’s drug candidates for a period of five years following the effective date of the Melt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funds received by Melt excluded $</w:t>
      </w:r>
      <w:bookmarkStart w:id="362" w:name="xdx_90F_ecustom--RreimbursableExpenses_c"/>
      <w:bookmarkEnd w:id="362"/>
      <w:r>
        <w:rPr>
          <w:rFonts w:ascii="Times New Roman;Times;Serif" w:hAnsi="Times New Roman;Times;Serif"/>
          <w:b w:val="false"/>
          <w:i w:val="false"/>
          <w:caps w:val="false"/>
          <w:smallCaps w:val="false"/>
          <w:sz w:val="20"/>
        </w:rPr>
        <w:t>908,000 owed to the Company for reimbursable expenses and amounts due under the Melt MSA prior to the effective date of the note receivable. As of March 31, 2023 and December 31, 2022, aggregate principal and accrued interest payable to the Company pursuant to the Melt Loan Agreement amounted to $</w:t>
      </w:r>
      <w:bookmarkStart w:id="363" w:name="xdx_903_eus-gaap--NotesReceivableNet_iI_"/>
      <w:bookmarkEnd w:id="363"/>
      <w:r>
        <w:rPr>
          <w:rFonts w:ascii="Times New Roman;Times;Serif" w:hAnsi="Times New Roman;Times;Serif"/>
          <w:b w:val="false"/>
          <w:i w:val="false"/>
          <w:caps w:val="false"/>
          <w:smallCaps w:val="false"/>
          <w:sz w:val="20"/>
        </w:rPr>
        <w:t>16,501,000 and $</w:t>
      </w:r>
      <w:bookmarkStart w:id="364" w:name="xdx_90E_eus-gaap--NotesReceivableNet_iI_"/>
      <w:bookmarkEnd w:id="364"/>
      <w:r>
        <w:rPr>
          <w:rFonts w:ascii="Times New Roman;Times;Serif" w:hAnsi="Times New Roman;Times;Serif"/>
          <w:b w:val="false"/>
          <w:i w:val="false"/>
          <w:caps w:val="false"/>
          <w:smallCaps w:val="false"/>
          <w:sz w:val="20"/>
        </w:rPr>
        <w:t xml:space="preserve">15,984,000, respectively. In accordance with ASC 328, </w:t>
      </w:r>
      <w:r>
        <w:rPr>
          <w:rFonts w:ascii="Times New Roman;Times;Serif" w:hAnsi="Times New Roman;Times;Serif"/>
          <w:b w:val="false"/>
          <w:i/>
          <w:caps w:val="false"/>
          <w:smallCaps w:val="false"/>
          <w:sz w:val="20"/>
        </w:rPr>
        <w:t>Investments – Equity Method and Joint Ventures</w:t>
      </w:r>
      <w:r>
        <w:rPr>
          <w:rFonts w:ascii="Times New Roman;Times;Serif" w:hAnsi="Times New Roman;Times;Serif"/>
          <w:b w:val="false"/>
          <w:i w:val="false"/>
          <w:caps w:val="false"/>
          <w:smallCaps w:val="false"/>
          <w:sz w:val="20"/>
        </w:rPr>
        <w:t>, the carrying amount of the notes receivable has been reduced by the Company’s allocated share of Melt’s losses based on its ownership of total debt owed by Melt (see Note 2).</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5" w:name="xdx_80C_ecustom--InvestmentsAndAgreement"/>
      <w:bookmarkEnd w:id="365"/>
      <w:r>
        <w:rPr>
          <w:rFonts w:ascii="Times New Roman;Times;Serif" w:hAnsi="Times New Roman;Times;Serif"/>
          <w:b/>
          <w:i w:val="false"/>
          <w:caps w:val="false"/>
          <w:smallCaps w:val="false"/>
          <w:sz w:val="20"/>
        </w:rPr>
        <w:t xml:space="preserve">NOTE 6. </w:t>
      </w:r>
      <w:bookmarkStart w:id="366" w:name="xdx_82B_zWpvBBHQ385b"/>
      <w:bookmarkEnd w:id="366"/>
      <w:r>
        <w:rPr>
          <w:rFonts w:ascii="Times New Roman;Times;Serif" w:hAnsi="Times New Roman;Times;Serif"/>
          <w:b/>
          <w:i w:val="false"/>
          <w:caps w:val="false"/>
          <w:smallCaps w:val="false"/>
          <w:sz w:val="20"/>
        </w:rPr>
        <w:t>INVESTMENT IN SURFACE OPHTHALMICS, INC. -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an asset purchase and license agreement with Surface in 2017 and amended it in April 2018 (the “Surface License Agreements”). Pursuant to the terms of the Surface License Agreements, the Company assigned and licensed to Surface certain intellectual property and related rights associated with Surface’s drug candidates (collectively, the “Surface Products”). Surface is required to make mid-single digit royalty payments to the Company on net sales of the Surface Products while any patent rights remain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2023, the Company owned </w:t>
      </w:r>
      <w:bookmarkStart w:id="367" w:name="xdx_902_eus-gaap--InvestmentOwnedBalance"/>
      <w:bookmarkEnd w:id="367"/>
      <w:r>
        <w:rPr>
          <w:rFonts w:ascii="Times New Roman;Times;Serif" w:hAnsi="Times New Roman;Times;Serif"/>
          <w:b w:val="false"/>
          <w:i w:val="false"/>
          <w:caps w:val="false"/>
          <w:smallCaps w:val="false"/>
          <w:sz w:val="20"/>
        </w:rPr>
        <w:t>3,500,000 shares of Surface common stock. Certain Company directors, Richard L. Lindstrom and Perry J. Sternberg are directors of Surface. Dr. Lindstrom is a principal of Flying L Partners, an affiliate of an investor who purchased Surface Series A Preferred Stock. Mark L. Baum, who is the Company’s Chief Executive Officer, was previously a member of the Surface board of directors and resigned from his position as a director of Surface during the three months ended March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68" w:name="xdx_89F_esrt--ScheduleOfCondensedIncomeS"/>
      <w:bookmarkEnd w:id="368"/>
      <w:r>
        <w:rPr>
          <w:rFonts w:ascii="Times New Roman;Times;Serif" w:hAnsi="Times New Roman;Times;Serif"/>
          <w:b w:val="false"/>
          <w:i w:val="false"/>
          <w:caps w:val="false"/>
          <w:smallCaps w:val="false"/>
          <w:sz w:val="20"/>
        </w:rPr>
        <w:t>The unaudited condensed results of operations information of Surface is summarized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69" w:name="xdx_8B9_zjmo4XpvA8ob"/>
      <w:bookmarkEnd w:id="369"/>
      <w:r>
        <w:rPr>
          <w:rFonts w:ascii="Times New Roman;Times;Serif" w:hAnsi="Times New Roman;Times;Serif"/>
          <w:b w:val="false"/>
          <w:i w:val="false"/>
          <w:caps w:val="false"/>
          <w:smallCaps w:val="false"/>
          <w:sz w:val="20"/>
        </w:rPr>
        <w:t>SUMMARY OF CONDENSED INCOME STATEMENT</w:t>
      </w:r>
    </w:p>
    <w:tbl>
      <w:tblPr>
        <w:tblW w:w="6329" w:type="dxa"/>
        <w:jc w:val="left"/>
        <w:tblInd w:w="0" w:type="dxa"/>
        <w:tblLayout w:type="fixed"/>
        <w:tblCellMar>
          <w:top w:w="0" w:type="dxa"/>
          <w:left w:w="0" w:type="dxa"/>
          <w:bottom w:w="0" w:type="dxa"/>
          <w:right w:w="0" w:type="dxa"/>
        </w:tblCellMar>
      </w:tblPr>
      <w:tblGrid>
        <w:gridCol w:w="2030"/>
        <w:gridCol w:w="60"/>
        <w:gridCol w:w="227"/>
        <w:gridCol w:w="1712"/>
        <w:gridCol w:w="154"/>
        <w:gridCol w:w="97"/>
        <w:gridCol w:w="227"/>
        <w:gridCol w:w="1712"/>
        <w:gridCol w:w="110"/>
      </w:tblGrid>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0" w:name="xdx_492_20230101__20230331__dei--LegalEn"/>
            <w:bookmarkEnd w:id="370"/>
          </w:p>
        </w:tc>
        <w:tc>
          <w:tcPr>
            <w:tcW w:w="19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bookmarkStart w:id="371" w:name="xdx_49D_20220101__20220331__dei--LegalEn"/>
            <w:bookmarkEnd w:id="371"/>
          </w:p>
        </w:tc>
        <w:tc>
          <w:tcPr>
            <w:tcW w:w="19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2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11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9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bookmarkStart w:id="372" w:name="xdx_402_eus-gaap--RevenueFromContractWit"/>
            <w:bookmarkEnd w:id="372"/>
          </w:p>
        </w:tc>
      </w:tr>
      <w:tr>
        <w:trPr/>
        <w:tc>
          <w:tcPr>
            <w:tcW w:w="2030" w:type="dxa"/>
            <w:tcBorders/>
            <w:shd w:fill="CCEEFF" w:val="clear"/>
            <w:vAlign w:val="center"/>
          </w:tcPr>
          <w:p>
            <w:pPr>
              <w:pStyle w:val="TableContents"/>
              <w:bidi w:val="0"/>
              <w:spacing w:before="0" w:after="283"/>
              <w:jc w:val="both"/>
              <w:rPr/>
            </w:pPr>
            <w:r>
              <w:rPr/>
              <w:t>Revenues, net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1712" w:type="dxa"/>
            <w:tcBorders/>
            <w:shd w:fill="CCEEFF" w:val="clear"/>
            <w:vAlign w:val="center"/>
          </w:tcPr>
          <w:p>
            <w:pPr>
              <w:pStyle w:val="TableContents"/>
              <w:bidi w:val="0"/>
              <w:spacing w:before="0" w:after="283"/>
              <w:jc w:val="right"/>
              <w:rPr/>
            </w:pPr>
            <w:r>
              <w:rPr/>
              <w:t>-</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1712"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73" w:name="xdx_404_eus-gaap--OperatingIncomeLoss_zZ"/>
            <w:bookmarkEnd w:id="373"/>
          </w:p>
        </w:tc>
      </w:tr>
      <w:tr>
        <w:trPr/>
        <w:tc>
          <w:tcPr>
            <w:tcW w:w="2030" w:type="dxa"/>
            <w:tcBorders/>
            <w:shd w:fill="FFFFFF" w:val="clear"/>
            <w:vAlign w:val="center"/>
          </w:tcPr>
          <w:p>
            <w:pPr>
              <w:pStyle w:val="TableContents"/>
              <w:bidi w:val="0"/>
              <w:spacing w:before="0" w:after="283"/>
              <w:jc w:val="both"/>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w:t>
            </w:r>
          </w:p>
        </w:tc>
        <w:tc>
          <w:tcPr>
            <w:tcW w:w="1712" w:type="dxa"/>
            <w:tcBorders/>
            <w:shd w:fill="FFFFFF" w:val="clear"/>
            <w:vAlign w:val="center"/>
          </w:tcPr>
          <w:p>
            <w:pPr>
              <w:pStyle w:val="TableContents"/>
              <w:bidi w:val="0"/>
              <w:spacing w:before="0" w:after="283"/>
              <w:jc w:val="right"/>
              <w:rPr/>
            </w:pPr>
            <w:r>
              <w:rPr/>
              <w:t>(1,587,000</w:t>
            </w:r>
          </w:p>
        </w:tc>
        <w:tc>
          <w:tcPr>
            <w:tcW w:w="154" w:type="dxa"/>
            <w:tcBorders/>
            <w:shd w:fill="FFFFFF" w:val="clear"/>
            <w:vAlign w:val="center"/>
          </w:tcPr>
          <w:p>
            <w:pPr>
              <w:pStyle w:val="TableContents"/>
              <w:bidi w:val="0"/>
              <w:spacing w:before="0" w:after="283"/>
              <w:jc w:val="left"/>
              <w:rPr/>
            </w:pPr>
            <w:r>
              <w:rPr/>
              <w:t>)</w:t>
            </w:r>
          </w:p>
        </w:tc>
        <w:tc>
          <w:tcPr>
            <w:tcW w:w="97"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w:t>
            </w:r>
          </w:p>
        </w:tc>
        <w:tc>
          <w:tcPr>
            <w:tcW w:w="1712" w:type="dxa"/>
            <w:tcBorders/>
            <w:shd w:fill="FFFFFF" w:val="clear"/>
            <w:vAlign w:val="center"/>
          </w:tcPr>
          <w:p>
            <w:pPr>
              <w:pStyle w:val="TableContents"/>
              <w:bidi w:val="0"/>
              <w:spacing w:before="0" w:after="283"/>
              <w:jc w:val="right"/>
              <w:rPr/>
            </w:pPr>
            <w:r>
              <w:rPr/>
              <w:t>(1,996,000</w:t>
            </w:r>
          </w:p>
        </w:tc>
        <w:tc>
          <w:tcPr>
            <w:tcW w:w="110" w:type="dxa"/>
            <w:tcBorders/>
            <w:shd w:fill="FFFFFF" w:val="clear"/>
            <w:vAlign w:val="center"/>
          </w:tcPr>
          <w:p>
            <w:pPr>
              <w:pStyle w:val="TableContents"/>
              <w:bidi w:val="0"/>
              <w:spacing w:before="0" w:after="283"/>
              <w:jc w:val="left"/>
              <w:rPr/>
            </w:pPr>
            <w:r>
              <w:rPr/>
              <w:t>)</w:t>
            </w:r>
            <w:bookmarkStart w:id="374" w:name="xdx_40A_eus-gaap--NetIncomeLoss_zhQVtsMe"/>
            <w:bookmarkEnd w:id="374"/>
          </w:p>
        </w:tc>
      </w:tr>
      <w:tr>
        <w:trPr/>
        <w:tc>
          <w:tcPr>
            <w:tcW w:w="2030" w:type="dxa"/>
            <w:tcBorders/>
            <w:shd w:fill="CCEEFF" w:val="clear"/>
            <w:vAlign w:val="center"/>
          </w:tcPr>
          <w:p>
            <w:pPr>
              <w:pStyle w:val="TableContents"/>
              <w:bidi w:val="0"/>
              <w:spacing w:before="0" w:after="283"/>
              <w:jc w:val="both"/>
              <w:rPr/>
            </w:pPr>
            <w:r>
              <w:rPr/>
              <w:t>Net loss</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1712" w:type="dxa"/>
            <w:tcBorders/>
            <w:shd w:fill="CCEEFF" w:val="clear"/>
            <w:vAlign w:val="center"/>
          </w:tcPr>
          <w:p>
            <w:pPr>
              <w:pStyle w:val="TableContents"/>
              <w:bidi w:val="0"/>
              <w:spacing w:before="0" w:after="283"/>
              <w:jc w:val="right"/>
              <w:rPr/>
            </w:pPr>
            <w:r>
              <w:rPr/>
              <w:t>(1,524,000</w:t>
            </w:r>
          </w:p>
        </w:tc>
        <w:tc>
          <w:tcPr>
            <w:tcW w:w="154" w:type="dxa"/>
            <w:tcBorders/>
            <w:shd w:fill="CCEEFF" w:val="clear"/>
            <w:vAlign w:val="center"/>
          </w:tcPr>
          <w:p>
            <w:pPr>
              <w:pStyle w:val="TableContents"/>
              <w:bidi w:val="0"/>
              <w:spacing w:before="0" w:after="283"/>
              <w:jc w:val="left"/>
              <w:rPr/>
            </w:pPr>
            <w:r>
              <w:rPr/>
              <w:t>)</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1712" w:type="dxa"/>
            <w:tcBorders/>
            <w:shd w:fill="CCEEFF" w:val="clear"/>
            <w:vAlign w:val="center"/>
          </w:tcPr>
          <w:p>
            <w:pPr>
              <w:pStyle w:val="TableContents"/>
              <w:bidi w:val="0"/>
              <w:spacing w:before="0" w:after="283"/>
              <w:jc w:val="right"/>
              <w:rPr/>
            </w:pPr>
            <w:r>
              <w:rPr/>
              <w:t>1,996,000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75" w:name="xdx_8A1_z84rLUuymUM6"/>
      <w:bookmarkEnd w:id="37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76" w:name="xdx_896_esrt--ScheduleOfCondensedBalance"/>
      <w:bookmarkEnd w:id="376"/>
      <w:r>
        <w:rPr>
          <w:rFonts w:ascii="Times New Roman;Times;Serif" w:hAnsi="Times New Roman;Times;Serif"/>
          <w:b w:val="false"/>
          <w:i w:val="false"/>
          <w:caps w:val="false"/>
          <w:smallCaps w:val="false"/>
          <w:sz w:val="20"/>
        </w:rPr>
        <w:t>The unaudited condensed balance sheet information of Surface is summarized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77" w:name="xdx_8BA_zQtqcXt3FDT5"/>
      <w:bookmarkEnd w:id="377"/>
      <w:r>
        <w:rPr>
          <w:rFonts w:ascii="Times New Roman;Times;Serif" w:hAnsi="Times New Roman;Times;Serif"/>
          <w:b w:val="false"/>
          <w:i w:val="false"/>
          <w:caps w:val="false"/>
          <w:smallCaps w:val="false"/>
          <w:sz w:val="20"/>
        </w:rPr>
        <w:t>SUMMARY OF CONDENSED BALANCE SHEET</w:t>
      </w:r>
    </w:p>
    <w:tbl>
      <w:tblPr>
        <w:tblW w:w="7738" w:type="dxa"/>
        <w:jc w:val="left"/>
        <w:tblInd w:w="0" w:type="dxa"/>
        <w:tblLayout w:type="fixed"/>
        <w:tblCellMar>
          <w:top w:w="0" w:type="dxa"/>
          <w:left w:w="0" w:type="dxa"/>
          <w:bottom w:w="0" w:type="dxa"/>
          <w:right w:w="0" w:type="dxa"/>
        </w:tblCellMar>
      </w:tblPr>
      <w:tblGrid>
        <w:gridCol w:w="4370"/>
        <w:gridCol w:w="60"/>
        <w:gridCol w:w="156"/>
        <w:gridCol w:w="1228"/>
        <w:gridCol w:w="60"/>
        <w:gridCol w:w="60"/>
        <w:gridCol w:w="195"/>
        <w:gridCol w:w="1534"/>
        <w:gridCol w:w="75"/>
      </w:tblGrid>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8" w:name="xdx_499_20230331__dei--LegalEntityAxis__"/>
            <w:bookmarkEnd w:id="378"/>
          </w:p>
        </w:tc>
        <w:tc>
          <w:tcPr>
            <w:tcW w:w="1384" w:type="dxa"/>
            <w:gridSpan w:val="2"/>
            <w:tcBorders/>
            <w:vAlign w:val="center"/>
          </w:tcPr>
          <w:p>
            <w:pPr>
              <w:pStyle w:val="TableContents"/>
              <w:bidi w:val="0"/>
              <w:spacing w:before="0" w:after="283"/>
              <w:jc w:val="center"/>
              <w:rPr>
                <w:b/>
              </w:rPr>
            </w:pPr>
            <w:r>
              <w:rPr>
                <w:b/>
              </w:rPr>
              <w:t>At 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9" w:name="xdx_49A_20221231__dei--LegalEntityAxis__"/>
            <w:bookmarkEnd w:id="379"/>
          </w:p>
        </w:tc>
        <w:tc>
          <w:tcPr>
            <w:tcW w:w="1729" w:type="dxa"/>
            <w:gridSpan w:val="2"/>
            <w:tcBorders/>
            <w:vAlign w:val="center"/>
          </w:tcPr>
          <w:p>
            <w:pPr>
              <w:pStyle w:val="TableContents"/>
              <w:bidi w:val="0"/>
              <w:spacing w:before="0" w:after="283"/>
              <w:jc w:val="center"/>
              <w:rPr>
                <w:b/>
              </w:rPr>
            </w:pPr>
            <w:r>
              <w:rPr>
                <w:b/>
              </w:rPr>
              <w:t>At December 31,</w:t>
            </w:r>
          </w:p>
        </w:tc>
        <w:tc>
          <w:tcPr>
            <w:tcW w:w="75"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bookmarkStart w:id="380" w:name="xdx_401_eus-gaap--AssetsCurrent_iI_z1H8a"/>
            <w:bookmarkEnd w:id="380"/>
          </w:p>
        </w:tc>
      </w:tr>
      <w:tr>
        <w:trPr/>
        <w:tc>
          <w:tcPr>
            <w:tcW w:w="4370" w:type="dxa"/>
            <w:tcBorders/>
            <w:shd w:fill="CCEEFF" w:val="clear"/>
            <w:vAlign w:val="center"/>
          </w:tcPr>
          <w:p>
            <w:pPr>
              <w:pStyle w:val="TableContents"/>
              <w:bidi w:val="0"/>
              <w:spacing w:before="0" w:after="283"/>
              <w:jc w:val="both"/>
              <w:rPr/>
            </w:pPr>
            <w:r>
              <w:rPr/>
              <w:t>Current assets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13,350,000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534" w:type="dxa"/>
            <w:tcBorders/>
            <w:shd w:fill="CCEEFF" w:val="clear"/>
            <w:vAlign w:val="center"/>
          </w:tcPr>
          <w:p>
            <w:pPr>
              <w:pStyle w:val="TableContents"/>
              <w:bidi w:val="0"/>
              <w:spacing w:before="0" w:after="283"/>
              <w:jc w:val="right"/>
              <w:rPr/>
            </w:pPr>
            <w:r>
              <w:rPr/>
              <w:t>15,350,000</w:t>
            </w:r>
          </w:p>
        </w:tc>
        <w:tc>
          <w:tcPr>
            <w:tcW w:w="75" w:type="dxa"/>
            <w:tcBorders/>
            <w:shd w:fill="CCEEFF" w:val="clear"/>
            <w:vAlign w:val="center"/>
          </w:tcPr>
          <w:p>
            <w:pPr>
              <w:pStyle w:val="TableContents"/>
              <w:bidi w:val="0"/>
              <w:spacing w:before="0" w:after="283"/>
              <w:jc w:val="left"/>
              <w:rPr/>
            </w:pPr>
            <w:r>
              <w:rPr/>
              <w:t> </w:t>
            </w:r>
            <w:bookmarkStart w:id="381" w:name="xdx_402_eus-gaap--AssetsNoncurrent_iI_zy"/>
            <w:bookmarkEnd w:id="381"/>
          </w:p>
        </w:tc>
      </w:tr>
      <w:tr>
        <w:trPr/>
        <w:tc>
          <w:tcPr>
            <w:tcW w:w="4370" w:type="dxa"/>
            <w:tcBorders/>
            <w:shd w:fill="FFFFFF" w:val="clear"/>
            <w:vAlign w:val="center"/>
          </w:tcPr>
          <w:p>
            <w:pPr>
              <w:pStyle w:val="TableContents"/>
              <w:bidi w:val="0"/>
              <w:spacing w:before="0" w:after="283"/>
              <w:jc w:val="both"/>
              <w:rPr/>
            </w:pPr>
            <w:r>
              <w:rPr/>
              <w:t>Non-current assets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8" w:type="dxa"/>
            <w:tcBorders>
              <w:bottom w:val="single" w:sz="12" w:space="0" w:color="000000"/>
            </w:tcBorders>
            <w:shd w:fill="FFFFFF" w:val="clear"/>
            <w:tcMar>
              <w:bottom w:w="28" w:type="dxa"/>
            </w:tcMar>
            <w:vAlign w:val="center"/>
          </w:tcPr>
          <w:p>
            <w:pPr>
              <w:pStyle w:val="TableContents"/>
              <w:bidi w:val="0"/>
              <w:spacing w:before="0" w:after="283"/>
              <w:jc w:val="right"/>
              <w:rPr/>
            </w:pPr>
            <w:r>
              <w:rPr/>
              <w:t>902,000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34" w:type="dxa"/>
            <w:tcBorders>
              <w:bottom w:val="single" w:sz="12" w:space="0" w:color="000000"/>
            </w:tcBorders>
            <w:shd w:fill="FFFFFF" w:val="clear"/>
            <w:tcMar>
              <w:bottom w:w="28" w:type="dxa"/>
            </w:tcMar>
            <w:vAlign w:val="center"/>
          </w:tcPr>
          <w:p>
            <w:pPr>
              <w:pStyle w:val="TableContents"/>
              <w:bidi w:val="0"/>
              <w:spacing w:before="0" w:after="283"/>
              <w:jc w:val="right"/>
              <w:rPr/>
            </w:pPr>
            <w:r>
              <w:rPr/>
              <w:t>652,000</w:t>
            </w:r>
          </w:p>
        </w:tc>
        <w:tc>
          <w:tcPr>
            <w:tcW w:w="75" w:type="dxa"/>
            <w:tcBorders/>
            <w:shd w:fill="FFFFFF" w:val="clear"/>
            <w:vAlign w:val="center"/>
          </w:tcPr>
          <w:p>
            <w:pPr>
              <w:pStyle w:val="TableContents"/>
              <w:bidi w:val="0"/>
              <w:spacing w:before="0" w:after="283"/>
              <w:jc w:val="left"/>
              <w:rPr/>
            </w:pPr>
            <w:r>
              <w:rPr/>
              <w:t> </w:t>
            </w:r>
            <w:bookmarkStart w:id="382" w:name="xdx_403_eus-gaap--Assets_iI_zFRkEftHFin5"/>
            <w:bookmarkEnd w:id="382"/>
          </w:p>
        </w:tc>
      </w:tr>
      <w:tr>
        <w:trPr/>
        <w:tc>
          <w:tcPr>
            <w:tcW w:w="4370" w:type="dxa"/>
            <w:tcBorders/>
            <w:shd w:fill="CCEEFF" w:val="clear"/>
            <w:vAlign w:val="center"/>
          </w:tcPr>
          <w:p>
            <w:pPr>
              <w:pStyle w:val="TableContents"/>
              <w:bidi w:val="0"/>
              <w:spacing w:before="0" w:after="283"/>
              <w:jc w:val="both"/>
              <w:rPr/>
            </w:pPr>
            <w:r>
              <w:rPr/>
              <w:t>Total assets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8" w:type="dxa"/>
            <w:tcBorders>
              <w:bottom w:val="double" w:sz="6" w:space="0" w:color="000000"/>
            </w:tcBorders>
            <w:shd w:fill="CCEEFF" w:val="clear"/>
            <w:tcMar>
              <w:bottom w:w="28" w:type="dxa"/>
            </w:tcMar>
            <w:vAlign w:val="center"/>
          </w:tcPr>
          <w:p>
            <w:pPr>
              <w:pStyle w:val="TableContents"/>
              <w:bidi w:val="0"/>
              <w:spacing w:before="0" w:after="283"/>
              <w:jc w:val="right"/>
              <w:rPr/>
            </w:pPr>
            <w:r>
              <w:rPr/>
              <w:t>14,252,000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34" w:type="dxa"/>
            <w:tcBorders>
              <w:bottom w:val="double" w:sz="6" w:space="0" w:color="000000"/>
            </w:tcBorders>
            <w:shd w:fill="CCEEFF" w:val="clear"/>
            <w:tcMar>
              <w:bottom w:w="28" w:type="dxa"/>
            </w:tcMar>
            <w:vAlign w:val="center"/>
          </w:tcPr>
          <w:p>
            <w:pPr>
              <w:pStyle w:val="TableContents"/>
              <w:bidi w:val="0"/>
              <w:spacing w:before="0" w:after="283"/>
              <w:jc w:val="right"/>
              <w:rPr/>
            </w:pPr>
            <w:r>
              <w:rPr/>
              <w:t>16,002,000</w:t>
            </w:r>
          </w:p>
        </w:tc>
        <w:tc>
          <w:tcPr>
            <w:tcW w:w="75"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53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383" w:name="xdx_40C_eus-gaap--Liabilities_iI_zgO79Nh"/>
            <w:bookmarkEnd w:id="383"/>
          </w:p>
        </w:tc>
      </w:tr>
      <w:tr>
        <w:trPr/>
        <w:tc>
          <w:tcPr>
            <w:tcW w:w="4370" w:type="dxa"/>
            <w:tcBorders/>
            <w:shd w:fill="CCEEFF" w:val="clear"/>
            <w:vAlign w:val="center"/>
          </w:tcPr>
          <w:p>
            <w:pPr>
              <w:pStyle w:val="TableContents"/>
              <w:bidi w:val="0"/>
              <w:spacing w:before="0" w:after="283"/>
              <w:jc w:val="both"/>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995,000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534" w:type="dxa"/>
            <w:tcBorders/>
            <w:shd w:fill="CCEEFF" w:val="clear"/>
            <w:vAlign w:val="center"/>
          </w:tcPr>
          <w:p>
            <w:pPr>
              <w:pStyle w:val="TableContents"/>
              <w:bidi w:val="0"/>
              <w:spacing w:before="0" w:after="283"/>
              <w:jc w:val="right"/>
              <w:rPr/>
            </w:pPr>
            <w:r>
              <w:rPr/>
              <w:t>1,586,000</w:t>
            </w:r>
          </w:p>
        </w:tc>
        <w:tc>
          <w:tcPr>
            <w:tcW w:w="75" w:type="dxa"/>
            <w:tcBorders/>
            <w:shd w:fill="CCEEFF" w:val="clear"/>
            <w:vAlign w:val="center"/>
          </w:tcPr>
          <w:p>
            <w:pPr>
              <w:pStyle w:val="TableContents"/>
              <w:bidi w:val="0"/>
              <w:spacing w:before="0" w:after="283"/>
              <w:jc w:val="left"/>
              <w:rPr/>
            </w:pPr>
            <w:r>
              <w:rPr/>
              <w:t> </w:t>
            </w:r>
            <w:bookmarkStart w:id="384" w:name="xdx_40F_eus-gaap--StockholdersEquity_iI_"/>
            <w:bookmarkEnd w:id="384"/>
          </w:p>
        </w:tc>
      </w:tr>
      <w:tr>
        <w:trPr/>
        <w:tc>
          <w:tcPr>
            <w:tcW w:w="4370" w:type="dxa"/>
            <w:tcBorders/>
            <w:shd w:fill="FFFFFF" w:val="clear"/>
            <w:vAlign w:val="center"/>
          </w:tcPr>
          <w:p>
            <w:pPr>
              <w:pStyle w:val="TableContents"/>
              <w:bidi w:val="0"/>
              <w:spacing w:before="0" w:after="283"/>
              <w:jc w:val="both"/>
              <w:rPr/>
            </w:pPr>
            <w:r>
              <w:rPr/>
              <w:t>Total preferred stock and stockholders’ deficit</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8" w:type="dxa"/>
            <w:tcBorders>
              <w:bottom w:val="single" w:sz="12" w:space="0" w:color="000000"/>
            </w:tcBorders>
            <w:shd w:fill="FFFFFF" w:val="clear"/>
            <w:tcMar>
              <w:bottom w:w="28" w:type="dxa"/>
            </w:tcMar>
            <w:vAlign w:val="center"/>
          </w:tcPr>
          <w:p>
            <w:pPr>
              <w:pStyle w:val="TableContents"/>
              <w:bidi w:val="0"/>
              <w:spacing w:before="0" w:after="283"/>
              <w:jc w:val="right"/>
              <w:rPr/>
            </w:pPr>
            <w:r>
              <w:rPr/>
              <w:t>13,257,000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34" w:type="dxa"/>
            <w:tcBorders>
              <w:bottom w:val="single" w:sz="12" w:space="0" w:color="000000"/>
            </w:tcBorders>
            <w:shd w:fill="FFFFFF" w:val="clear"/>
            <w:tcMar>
              <w:bottom w:w="28" w:type="dxa"/>
            </w:tcMar>
            <w:vAlign w:val="center"/>
          </w:tcPr>
          <w:p>
            <w:pPr>
              <w:pStyle w:val="TableContents"/>
              <w:bidi w:val="0"/>
              <w:spacing w:before="0" w:after="283"/>
              <w:jc w:val="right"/>
              <w:rPr/>
            </w:pPr>
            <w:r>
              <w:rPr/>
              <w:t>14,416,000</w:t>
            </w:r>
          </w:p>
        </w:tc>
        <w:tc>
          <w:tcPr>
            <w:tcW w:w="75" w:type="dxa"/>
            <w:tcBorders/>
            <w:shd w:fill="FFFFFF" w:val="clear"/>
            <w:vAlign w:val="center"/>
          </w:tcPr>
          <w:p>
            <w:pPr>
              <w:pStyle w:val="TableContents"/>
              <w:bidi w:val="0"/>
              <w:spacing w:before="0" w:after="283"/>
              <w:jc w:val="left"/>
              <w:rPr/>
            </w:pPr>
            <w:r>
              <w:rPr/>
              <w:t> </w:t>
            </w:r>
            <w:bookmarkStart w:id="385" w:name="xdx_407_eus-gaap--LiabilitiesAndStockhol"/>
            <w:bookmarkEnd w:id="385"/>
          </w:p>
        </w:tc>
      </w:tr>
      <w:tr>
        <w:trPr/>
        <w:tc>
          <w:tcPr>
            <w:tcW w:w="4370" w:type="dxa"/>
            <w:tcBorders/>
            <w:shd w:fill="CCEEFF" w:val="clear"/>
            <w:vAlign w:val="center"/>
          </w:tcPr>
          <w:p>
            <w:pPr>
              <w:pStyle w:val="TableContents"/>
              <w:bidi w:val="0"/>
              <w:spacing w:before="0" w:after="283"/>
              <w:jc w:val="both"/>
              <w:rPr/>
            </w:pPr>
            <w:r>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8" w:type="dxa"/>
            <w:tcBorders>
              <w:bottom w:val="double" w:sz="6" w:space="0" w:color="000000"/>
            </w:tcBorders>
            <w:shd w:fill="CCEEFF" w:val="clear"/>
            <w:tcMar>
              <w:bottom w:w="28" w:type="dxa"/>
            </w:tcMar>
            <w:vAlign w:val="center"/>
          </w:tcPr>
          <w:p>
            <w:pPr>
              <w:pStyle w:val="TableContents"/>
              <w:bidi w:val="0"/>
              <w:spacing w:before="0" w:after="283"/>
              <w:jc w:val="right"/>
              <w:rPr/>
            </w:pPr>
            <w:r>
              <w:rPr/>
              <w:t>14,252,000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34" w:type="dxa"/>
            <w:tcBorders>
              <w:bottom w:val="double" w:sz="6" w:space="0" w:color="000000"/>
            </w:tcBorders>
            <w:shd w:fill="CCEEFF" w:val="clear"/>
            <w:tcMar>
              <w:bottom w:w="28" w:type="dxa"/>
            </w:tcMar>
            <w:vAlign w:val="center"/>
          </w:tcPr>
          <w:p>
            <w:pPr>
              <w:pStyle w:val="TableContents"/>
              <w:bidi w:val="0"/>
              <w:spacing w:before="0" w:after="283"/>
              <w:jc w:val="right"/>
              <w:rPr/>
            </w:pPr>
            <w:r>
              <w:rPr/>
              <w:t>16,002,000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86" w:name="xdx_8A9_z5dIhdXqfUih"/>
      <w:bookmarkEnd w:id="386"/>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87" w:name="xdx_80A_eus-gaap--InventoryDisclosureTex"/>
      <w:bookmarkEnd w:id="387"/>
      <w:r>
        <w:rPr>
          <w:rFonts w:ascii="Times New Roman;Times;Serif" w:hAnsi="Times New Roman;Times;Serif"/>
          <w:b/>
          <w:i w:val="false"/>
          <w:caps w:val="false"/>
          <w:smallCaps w:val="false"/>
          <w:sz w:val="20"/>
        </w:rPr>
        <w:t xml:space="preserve">NOTE 7. </w:t>
      </w:r>
      <w:bookmarkStart w:id="388" w:name="xdx_827_zs4y7otXACR"/>
      <w:bookmarkEnd w:id="388"/>
      <w:r>
        <w:rPr>
          <w:rFonts w:ascii="Times New Roman;Times;Serif" w:hAnsi="Times New Roman;Times;Serif"/>
          <w:b/>
          <w:i w:val="false"/>
          <w:caps w:val="false"/>
          <w:smallCaps w:val="false"/>
          <w:sz w:val="20"/>
        </w:rPr>
        <w:t xml:space="preserve">INVENTORIES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comprised of finished compounded formulations, over-the-counter and prescription retail pharmacy products, branded commercial pharmaceutical products, including those held at a 3PL, related laboratory supplies and active pharmaceutical ingredients. The composition of inventories as of March 31, 2023 and December 31, 2022 was as follows: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389" w:name="xdx_8B4_zaYm6lFfq5of"/>
      <w:bookmarkStart w:id="390" w:name="xdx_89E_eus-gaap--ScheduleOfInventoryCur"/>
      <w:bookmarkEnd w:id="389"/>
      <w:bookmarkEnd w:id="390"/>
      <w:r>
        <w:rPr>
          <w:rFonts w:ascii="Times New Roman;Times;Serif" w:hAnsi="Times New Roman;Times;Serif"/>
          <w:b w:val="false"/>
          <w:i w:val="false"/>
          <w:caps w:val="false"/>
          <w:smallCaps w:val="false"/>
          <w:sz w:val="20"/>
        </w:rPr>
        <w:t>SCHEDULE OF INVENTORIES</w:t>
      </w:r>
    </w:p>
    <w:tbl>
      <w:tblPr>
        <w:tblW w:w="5488" w:type="dxa"/>
        <w:jc w:val="left"/>
        <w:tblInd w:w="0" w:type="dxa"/>
        <w:tblLayout w:type="fixed"/>
        <w:tblCellMar>
          <w:top w:w="0" w:type="dxa"/>
          <w:left w:w="0" w:type="dxa"/>
          <w:bottom w:w="0" w:type="dxa"/>
          <w:right w:w="0" w:type="dxa"/>
        </w:tblCellMar>
      </w:tblPr>
      <w:tblGrid>
        <w:gridCol w:w="1670"/>
        <w:gridCol w:w="60"/>
        <w:gridCol w:w="201"/>
        <w:gridCol w:w="1408"/>
        <w:gridCol w:w="60"/>
        <w:gridCol w:w="60"/>
        <w:gridCol w:w="244"/>
        <w:gridCol w:w="1710"/>
        <w:gridCol w:w="75"/>
      </w:tblGrid>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1" w:name="xdx_49E_20230331_zKDYD72T0La6"/>
            <w:bookmarkEnd w:id="391"/>
          </w:p>
        </w:tc>
        <w:tc>
          <w:tcPr>
            <w:tcW w:w="16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2" w:name="xdx_491_20221231_zT8CHuETp9J7"/>
            <w:bookmarkEnd w:id="392"/>
          </w:p>
        </w:tc>
        <w:tc>
          <w:tcPr>
            <w:tcW w:w="1954" w:type="dxa"/>
            <w:gridSpan w:val="2"/>
            <w:tcBorders>
              <w:bottom w:val="single" w:sz="12" w:space="0" w:color="000000"/>
            </w:tcBorders>
            <w:tcMar>
              <w:bottom w:w="28" w:type="dxa"/>
            </w:tcMar>
            <w:vAlign w:val="center"/>
          </w:tcPr>
          <w:p>
            <w:pPr>
              <w:pStyle w:val="TableContents"/>
              <w:bidi w:val="0"/>
              <w:spacing w:before="0" w:after="283"/>
              <w:jc w:val="left"/>
              <w:rPr>
                <w:b/>
              </w:rPr>
            </w:pPr>
            <w:r>
              <w:rPr>
                <w:b/>
              </w:rPr>
              <w:t>December 31, 2022</w:t>
            </w:r>
          </w:p>
        </w:tc>
        <w:tc>
          <w:tcPr>
            <w:tcW w:w="75" w:type="dxa"/>
            <w:tcBorders/>
            <w:vAlign w:val="center"/>
          </w:tcPr>
          <w:p>
            <w:pPr>
              <w:pStyle w:val="TableContents"/>
              <w:bidi w:val="0"/>
              <w:spacing w:before="0" w:after="283"/>
              <w:jc w:val="left"/>
              <w:rPr/>
            </w:pPr>
            <w:r>
              <w:rPr/>
              <w:t> </w:t>
            </w:r>
            <w:bookmarkStart w:id="393" w:name="xdx_40F_eus-gaap--InventoryRawMaterials_"/>
            <w:bookmarkEnd w:id="393"/>
          </w:p>
        </w:tc>
      </w:tr>
      <w:tr>
        <w:trPr/>
        <w:tc>
          <w:tcPr>
            <w:tcW w:w="1670" w:type="dxa"/>
            <w:tcBorders/>
            <w:shd w:fill="CCEEFF" w:val="clear"/>
            <w:vAlign w:val="center"/>
          </w:tcPr>
          <w:p>
            <w:pPr>
              <w:pStyle w:val="TableContents"/>
              <w:bidi w:val="0"/>
              <w:spacing w:before="0" w:after="283"/>
              <w:jc w:val="left"/>
              <w:rPr/>
            </w:pPr>
            <w:r>
              <w:rPr/>
              <w:t>Raw materials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408" w:type="dxa"/>
            <w:tcBorders/>
            <w:shd w:fill="CCEEFF" w:val="clear"/>
            <w:vAlign w:val="center"/>
          </w:tcPr>
          <w:p>
            <w:pPr>
              <w:pStyle w:val="TableContents"/>
              <w:bidi w:val="0"/>
              <w:spacing w:before="0" w:after="283"/>
              <w:jc w:val="right"/>
              <w:rPr/>
            </w:pPr>
            <w:r>
              <w:rPr/>
              <w:t>5,023,000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w:t>
            </w:r>
          </w:p>
        </w:tc>
        <w:tc>
          <w:tcPr>
            <w:tcW w:w="1710" w:type="dxa"/>
            <w:tcBorders/>
            <w:shd w:fill="CCEEFF" w:val="clear"/>
            <w:vAlign w:val="center"/>
          </w:tcPr>
          <w:p>
            <w:pPr>
              <w:pStyle w:val="TableContents"/>
              <w:bidi w:val="0"/>
              <w:spacing w:before="0" w:after="283"/>
              <w:jc w:val="right"/>
              <w:rPr/>
            </w:pPr>
            <w:r>
              <w:rPr/>
              <w:t>3,707,000</w:t>
            </w:r>
          </w:p>
        </w:tc>
        <w:tc>
          <w:tcPr>
            <w:tcW w:w="75" w:type="dxa"/>
            <w:tcBorders/>
            <w:shd w:fill="CCEEFF" w:val="clear"/>
            <w:vAlign w:val="center"/>
          </w:tcPr>
          <w:p>
            <w:pPr>
              <w:pStyle w:val="TableContents"/>
              <w:bidi w:val="0"/>
              <w:spacing w:before="0" w:after="283"/>
              <w:jc w:val="left"/>
              <w:rPr/>
            </w:pPr>
            <w:r>
              <w:rPr/>
              <w:t> </w:t>
            </w:r>
            <w:bookmarkStart w:id="394" w:name="xdx_402_eus-gaap--InventoryWorkInProcess"/>
            <w:bookmarkEnd w:id="394"/>
          </w:p>
        </w:tc>
      </w:tr>
      <w:tr>
        <w:trPr/>
        <w:tc>
          <w:tcPr>
            <w:tcW w:w="1670" w:type="dxa"/>
            <w:tcBorders/>
            <w:shd w:fill="FFFFFF" w:val="clear"/>
            <w:vAlign w:val="center"/>
          </w:tcPr>
          <w:p>
            <w:pPr>
              <w:pStyle w:val="TableContents"/>
              <w:bidi w:val="0"/>
              <w:spacing w:before="0" w:after="283"/>
              <w:jc w:val="left"/>
              <w:rPr/>
            </w:pPr>
            <w:r>
              <w:rPr/>
              <w:t>Work in progress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pPr>
            <w:r>
              <w:rPr/>
              <w:t>36,000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pPr>
            <w:r>
              <w:rPr/>
              <w:t>38,000</w:t>
            </w:r>
          </w:p>
        </w:tc>
        <w:tc>
          <w:tcPr>
            <w:tcW w:w="75" w:type="dxa"/>
            <w:tcBorders/>
            <w:shd w:fill="FFFFFF" w:val="clear"/>
            <w:vAlign w:val="center"/>
          </w:tcPr>
          <w:p>
            <w:pPr>
              <w:pStyle w:val="TableContents"/>
              <w:bidi w:val="0"/>
              <w:spacing w:before="0" w:after="283"/>
              <w:jc w:val="left"/>
              <w:rPr/>
            </w:pPr>
            <w:r>
              <w:rPr/>
              <w:t> </w:t>
            </w:r>
            <w:bookmarkStart w:id="395" w:name="xdx_409_eus-gaap--InventoryFinishedGoods"/>
            <w:bookmarkEnd w:id="395"/>
          </w:p>
        </w:tc>
      </w:tr>
      <w:tr>
        <w:trPr/>
        <w:tc>
          <w:tcPr>
            <w:tcW w:w="1670" w:type="dxa"/>
            <w:tcBorders/>
            <w:shd w:fill="CCEEFF" w:val="clear"/>
            <w:vAlign w:val="center"/>
          </w:tcPr>
          <w:p>
            <w:pPr>
              <w:pStyle w:val="TableContents"/>
              <w:bidi w:val="0"/>
              <w:spacing w:before="0" w:after="283"/>
              <w:jc w:val="left"/>
              <w:rPr/>
            </w:pPr>
            <w:r>
              <w:rPr/>
              <w:t>Finished goods</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8" w:type="dxa"/>
            <w:tcBorders>
              <w:bottom w:val="single" w:sz="12" w:space="0" w:color="000000"/>
            </w:tcBorders>
            <w:shd w:fill="CCEEFF" w:val="clear"/>
            <w:tcMar>
              <w:bottom w:w="28" w:type="dxa"/>
            </w:tcMar>
            <w:vAlign w:val="center"/>
          </w:tcPr>
          <w:p>
            <w:pPr>
              <w:pStyle w:val="TableContents"/>
              <w:bidi w:val="0"/>
              <w:spacing w:before="0" w:after="283"/>
              <w:jc w:val="right"/>
              <w:rPr/>
            </w:pPr>
            <w:r>
              <w:rPr/>
              <w:t>4,034,000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10" w:type="dxa"/>
            <w:tcBorders>
              <w:bottom w:val="single" w:sz="12" w:space="0" w:color="000000"/>
            </w:tcBorders>
            <w:shd w:fill="CCEEFF" w:val="clear"/>
            <w:tcMar>
              <w:bottom w:w="28" w:type="dxa"/>
            </w:tcMar>
            <w:vAlign w:val="center"/>
          </w:tcPr>
          <w:p>
            <w:pPr>
              <w:pStyle w:val="TableContents"/>
              <w:bidi w:val="0"/>
              <w:spacing w:before="0" w:after="283"/>
              <w:jc w:val="right"/>
              <w:rPr/>
            </w:pPr>
            <w:r>
              <w:rPr/>
              <w:t>2,796,000</w:t>
            </w:r>
          </w:p>
        </w:tc>
        <w:tc>
          <w:tcPr>
            <w:tcW w:w="75" w:type="dxa"/>
            <w:tcBorders/>
            <w:shd w:fill="CCEEFF" w:val="clear"/>
            <w:vAlign w:val="center"/>
          </w:tcPr>
          <w:p>
            <w:pPr>
              <w:pStyle w:val="TableContents"/>
              <w:bidi w:val="0"/>
              <w:spacing w:before="0" w:after="283"/>
              <w:jc w:val="left"/>
              <w:rPr/>
            </w:pPr>
            <w:r>
              <w:rPr/>
              <w:t> </w:t>
            </w:r>
            <w:bookmarkStart w:id="396" w:name="xdx_408_eus-gaap--InventoryNet_iTI_mtCzf"/>
            <w:bookmarkEnd w:id="396"/>
          </w:p>
        </w:tc>
      </w:tr>
      <w:tr>
        <w:trPr/>
        <w:tc>
          <w:tcPr>
            <w:tcW w:w="1670" w:type="dxa"/>
            <w:tcBorders/>
            <w:shd w:fill="FFFFFF" w:val="clear"/>
            <w:vAlign w:val="center"/>
          </w:tcPr>
          <w:p>
            <w:pPr>
              <w:pStyle w:val="TableContents"/>
              <w:bidi w:val="0"/>
              <w:spacing w:before="0" w:after="283"/>
              <w:jc w:val="left"/>
              <w:rPr/>
            </w:pPr>
            <w:r>
              <w:rPr/>
              <w:t>Total inventories</w:t>
            </w:r>
          </w:p>
        </w:tc>
        <w:tc>
          <w:tcPr>
            <w:tcW w:w="60"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08" w:type="dxa"/>
            <w:tcBorders>
              <w:bottom w:val="double" w:sz="6" w:space="0" w:color="000000"/>
            </w:tcBorders>
            <w:shd w:fill="FFFFFF" w:val="clear"/>
            <w:tcMar>
              <w:bottom w:w="28" w:type="dxa"/>
            </w:tcMar>
            <w:vAlign w:val="center"/>
          </w:tcPr>
          <w:p>
            <w:pPr>
              <w:pStyle w:val="TableContents"/>
              <w:bidi w:val="0"/>
              <w:spacing w:before="0" w:after="283"/>
              <w:jc w:val="right"/>
              <w:rPr/>
            </w:pPr>
            <w:r>
              <w:rPr/>
              <w:t>9,093,000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10" w:type="dxa"/>
            <w:tcBorders>
              <w:bottom w:val="double" w:sz="6" w:space="0" w:color="000000"/>
            </w:tcBorders>
            <w:shd w:fill="FFFFFF" w:val="clear"/>
            <w:tcMar>
              <w:bottom w:w="28" w:type="dxa"/>
            </w:tcMar>
            <w:vAlign w:val="center"/>
          </w:tcPr>
          <w:p>
            <w:pPr>
              <w:pStyle w:val="TableContents"/>
              <w:bidi w:val="0"/>
              <w:spacing w:before="0" w:after="283"/>
              <w:jc w:val="right"/>
              <w:rPr/>
            </w:pPr>
            <w:r>
              <w:rPr/>
              <w:t>6,541,000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397" w:name="xdx_8AB_z2ORXkZbISre"/>
      <w:bookmarkEnd w:id="397"/>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98" w:name="xdx_800_eus-gaap--OtherAssetsDisclosureT"/>
      <w:bookmarkEnd w:id="398"/>
      <w:r>
        <w:rPr>
          <w:rFonts w:ascii="Times New Roman;Times;Serif" w:hAnsi="Times New Roman;Times;Serif"/>
          <w:b/>
          <w:i w:val="false"/>
          <w:caps w:val="false"/>
          <w:smallCaps w:val="false"/>
          <w:sz w:val="20"/>
        </w:rPr>
        <w:t xml:space="preserve">NOTE 8. </w:t>
      </w:r>
      <w:bookmarkStart w:id="399" w:name="xdx_827_z2yUGDviajgg"/>
      <w:bookmarkEnd w:id="399"/>
      <w:r>
        <w:rPr>
          <w:rFonts w:ascii="Times New Roman;Times;Serif" w:hAnsi="Times New Roman;Times;Serif"/>
          <w:b/>
          <w:i w:val="false"/>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00" w:name="xdx_892_eus-gaap--DeferredCostsCapitaliz"/>
      <w:bookmarkEnd w:id="400"/>
      <w:r>
        <w:rPr>
          <w:rFonts w:ascii="Times New Roman;Times;Serif" w:hAnsi="Times New Roman;Times;Serif"/>
          <w:b w:val="false"/>
          <w:i w:val="false"/>
          <w:caps w:val="false"/>
          <w:smallCaps w:val="false"/>
          <w:sz w:val="20"/>
        </w:rPr>
        <w:t>Prepaid expenses and other current assets at March 31, 2023 and December 31, 2022 consisted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01" w:name="xdx_8B6_z5Xwy9y8Pnk1"/>
      <w:bookmarkEnd w:id="401"/>
      <w:r>
        <w:rPr>
          <w:rFonts w:ascii="Times New Roman;Times;Serif" w:hAnsi="Times New Roman;Times;Serif"/>
          <w:b w:val="false"/>
          <w:i w:val="false"/>
          <w:caps w:val="false"/>
          <w:smallCaps w:val="false"/>
          <w:sz w:val="20"/>
        </w:rPr>
        <w:t>SCHEDULE OF PREPAID EXPENSES AND OTHER CURRENT ASSETS</w:t>
      </w:r>
    </w:p>
    <w:tbl>
      <w:tblPr>
        <w:tblW w:w="9193" w:type="dxa"/>
        <w:jc w:val="left"/>
        <w:tblInd w:w="0" w:type="dxa"/>
        <w:tblLayout w:type="fixed"/>
        <w:tblCellMar>
          <w:top w:w="0" w:type="dxa"/>
          <w:left w:w="0" w:type="dxa"/>
          <w:bottom w:w="0" w:type="dxa"/>
          <w:right w:w="0" w:type="dxa"/>
        </w:tblCellMar>
      </w:tblPr>
      <w:tblGrid>
        <w:gridCol w:w="5375"/>
        <w:gridCol w:w="60"/>
        <w:gridCol w:w="201"/>
        <w:gridCol w:w="1408"/>
        <w:gridCol w:w="60"/>
        <w:gridCol w:w="60"/>
        <w:gridCol w:w="244"/>
        <w:gridCol w:w="1710"/>
        <w:gridCol w:w="75"/>
      </w:tblGrid>
      <w:tr>
        <w:trPr/>
        <w:tc>
          <w:tcPr>
            <w:tcW w:w="5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02" w:name="xdx_49B_20230331_zRdlt1eRraYg"/>
            <w:bookmarkEnd w:id="402"/>
          </w:p>
        </w:tc>
        <w:tc>
          <w:tcPr>
            <w:tcW w:w="16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03" w:name="xdx_490_20221231_zdkWMpZFBjC4"/>
            <w:bookmarkEnd w:id="403"/>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2022</w:t>
            </w:r>
          </w:p>
        </w:tc>
        <w:tc>
          <w:tcPr>
            <w:tcW w:w="75" w:type="dxa"/>
            <w:tcBorders/>
            <w:vAlign w:val="center"/>
          </w:tcPr>
          <w:p>
            <w:pPr>
              <w:pStyle w:val="TableContents"/>
              <w:bidi w:val="0"/>
              <w:spacing w:before="0" w:after="283"/>
              <w:jc w:val="left"/>
              <w:rPr/>
            </w:pPr>
            <w:r>
              <w:rPr/>
              <w:t> </w:t>
            </w:r>
            <w:bookmarkStart w:id="404" w:name="xdx_40A_eus-gaap--PrepaidInsurance_iI_ma"/>
            <w:bookmarkEnd w:id="404"/>
          </w:p>
        </w:tc>
      </w:tr>
      <w:tr>
        <w:trPr/>
        <w:tc>
          <w:tcPr>
            <w:tcW w:w="5375" w:type="dxa"/>
            <w:tcBorders/>
            <w:shd w:fill="CCEEFF" w:val="clear"/>
            <w:vAlign w:val="center"/>
          </w:tcPr>
          <w:p>
            <w:pPr>
              <w:pStyle w:val="TableContents"/>
              <w:bidi w:val="0"/>
              <w:spacing w:before="0" w:after="283"/>
              <w:jc w:val="left"/>
              <w:rPr/>
            </w:pPr>
            <w:r>
              <w:rPr/>
              <w:t>Prepaid insurance</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408" w:type="dxa"/>
            <w:tcBorders/>
            <w:shd w:fill="CCEEFF" w:val="clear"/>
            <w:vAlign w:val="center"/>
          </w:tcPr>
          <w:p>
            <w:pPr>
              <w:pStyle w:val="TableContents"/>
              <w:bidi w:val="0"/>
              <w:spacing w:before="0" w:after="283"/>
              <w:jc w:val="right"/>
              <w:rPr/>
            </w:pPr>
            <w:r>
              <w:rPr/>
              <w:t>527,000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w:t>
            </w:r>
          </w:p>
        </w:tc>
        <w:tc>
          <w:tcPr>
            <w:tcW w:w="1710" w:type="dxa"/>
            <w:tcBorders/>
            <w:shd w:fill="CCEEFF" w:val="clear"/>
            <w:vAlign w:val="center"/>
          </w:tcPr>
          <w:p>
            <w:pPr>
              <w:pStyle w:val="TableContents"/>
              <w:bidi w:val="0"/>
              <w:spacing w:before="0" w:after="283"/>
              <w:jc w:val="right"/>
              <w:rPr/>
            </w:pPr>
            <w:r>
              <w:rPr/>
              <w:t>858,000</w:t>
            </w:r>
          </w:p>
        </w:tc>
        <w:tc>
          <w:tcPr>
            <w:tcW w:w="75" w:type="dxa"/>
            <w:tcBorders/>
            <w:shd w:fill="CCEEFF" w:val="clear"/>
            <w:vAlign w:val="center"/>
          </w:tcPr>
          <w:p>
            <w:pPr>
              <w:pStyle w:val="TableContents"/>
              <w:bidi w:val="0"/>
              <w:spacing w:before="0" w:after="283"/>
              <w:jc w:val="left"/>
              <w:rPr/>
            </w:pPr>
            <w:r>
              <w:rPr/>
              <w:t> </w:t>
            </w:r>
            <w:bookmarkStart w:id="405" w:name="xdx_40D_eus-gaap--PrepaidRoyalties_iI_ma"/>
            <w:bookmarkEnd w:id="405"/>
          </w:p>
        </w:tc>
      </w:tr>
      <w:tr>
        <w:trPr/>
        <w:tc>
          <w:tcPr>
            <w:tcW w:w="5375" w:type="dxa"/>
            <w:tcBorders/>
            <w:shd w:fill="FFFFFF" w:val="clear"/>
            <w:vAlign w:val="center"/>
          </w:tcPr>
          <w:p>
            <w:pPr>
              <w:pStyle w:val="TableContents"/>
              <w:bidi w:val="0"/>
              <w:spacing w:before="0" w:after="283"/>
              <w:jc w:val="left"/>
              <w:rPr/>
            </w:pPr>
            <w:r>
              <w:rPr/>
              <w:t>Prepaid computer software licenses and related expenses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pPr>
            <w:r>
              <w:rPr/>
              <w:t>1,072,000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pPr>
            <w:r>
              <w:rPr/>
              <w:t>1,165,000</w:t>
            </w:r>
          </w:p>
        </w:tc>
        <w:tc>
          <w:tcPr>
            <w:tcW w:w="75" w:type="dxa"/>
            <w:tcBorders/>
            <w:shd w:fill="FFFFFF" w:val="clear"/>
            <w:vAlign w:val="center"/>
          </w:tcPr>
          <w:p>
            <w:pPr>
              <w:pStyle w:val="TableContents"/>
              <w:bidi w:val="0"/>
              <w:spacing w:before="0" w:after="283"/>
              <w:jc w:val="left"/>
              <w:rPr/>
            </w:pPr>
            <w:r>
              <w:rPr/>
              <w:t> </w:t>
            </w:r>
            <w:bookmarkStart w:id="406" w:name="xdx_40D_eus-gaap--OtherReceivables_iI_ma"/>
            <w:bookmarkEnd w:id="406"/>
          </w:p>
        </w:tc>
      </w:tr>
      <w:tr>
        <w:trPr/>
        <w:tc>
          <w:tcPr>
            <w:tcW w:w="5375" w:type="dxa"/>
            <w:tcBorders/>
            <w:shd w:fill="CCEEFF" w:val="clear"/>
            <w:vAlign w:val="center"/>
          </w:tcPr>
          <w:p>
            <w:pPr>
              <w:pStyle w:val="TableContents"/>
              <w:bidi w:val="0"/>
              <w:spacing w:before="0" w:after="283"/>
              <w:jc w:val="left"/>
              <w:rPr/>
            </w:pPr>
            <w:r>
              <w:rPr/>
              <w:t>Due from Melt Pharmaceuticals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198,000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pPr>
            <w:r>
              <w:rPr/>
              <w:t>139,000</w:t>
            </w:r>
          </w:p>
        </w:tc>
        <w:tc>
          <w:tcPr>
            <w:tcW w:w="75" w:type="dxa"/>
            <w:tcBorders/>
            <w:shd w:fill="CCEEFF" w:val="clear"/>
            <w:vAlign w:val="center"/>
          </w:tcPr>
          <w:p>
            <w:pPr>
              <w:pStyle w:val="TableContents"/>
              <w:bidi w:val="0"/>
              <w:spacing w:before="0" w:after="283"/>
              <w:jc w:val="left"/>
              <w:rPr/>
            </w:pPr>
            <w:r>
              <w:rPr/>
              <w:t> </w:t>
            </w:r>
            <w:bookmarkStart w:id="407" w:name="xdx_402_eus-gaap--OtherPrepaidExpenseCur"/>
            <w:bookmarkEnd w:id="407"/>
          </w:p>
        </w:tc>
      </w:tr>
      <w:tr>
        <w:trPr/>
        <w:tc>
          <w:tcPr>
            <w:tcW w:w="5375" w:type="dxa"/>
            <w:tcBorders/>
            <w:shd w:fill="FFFFFF" w:val="clear"/>
            <w:vAlign w:val="center"/>
          </w:tcPr>
          <w:p>
            <w:pPr>
              <w:pStyle w:val="TableContents"/>
              <w:bidi w:val="0"/>
              <w:spacing w:before="0" w:after="283"/>
              <w:jc w:val="left"/>
              <w:rPr/>
            </w:pPr>
            <w:r>
              <w:rPr/>
              <w:t>Other prepaid expenses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pPr>
            <w:r>
              <w:rPr/>
              <w:t>1,689,000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pPr>
            <w:r>
              <w:rPr/>
              <w:t>1,331,000</w:t>
            </w:r>
          </w:p>
        </w:tc>
        <w:tc>
          <w:tcPr>
            <w:tcW w:w="75" w:type="dxa"/>
            <w:tcBorders/>
            <w:shd w:fill="FFFFFF" w:val="clear"/>
            <w:vAlign w:val="center"/>
          </w:tcPr>
          <w:p>
            <w:pPr>
              <w:pStyle w:val="TableContents"/>
              <w:bidi w:val="0"/>
              <w:spacing w:before="0" w:after="283"/>
              <w:jc w:val="left"/>
              <w:rPr/>
            </w:pPr>
            <w:r>
              <w:rPr/>
              <w:t> </w:t>
            </w:r>
            <w:bookmarkStart w:id="408" w:name="xdx_401_eus-gaap--OtherAssetsCurrent_iI_"/>
            <w:bookmarkEnd w:id="408"/>
          </w:p>
        </w:tc>
      </w:tr>
      <w:tr>
        <w:trPr/>
        <w:tc>
          <w:tcPr>
            <w:tcW w:w="5375" w:type="dxa"/>
            <w:tcBorders/>
            <w:shd w:fill="CCEEFF" w:val="clear"/>
            <w:vAlign w:val="center"/>
          </w:tcPr>
          <w:p>
            <w:pPr>
              <w:pStyle w:val="TableContents"/>
              <w:bidi w:val="0"/>
              <w:spacing w:before="0" w:after="283"/>
              <w:jc w:val="left"/>
              <w:rPr/>
            </w:pPr>
            <w:r>
              <w:rPr/>
              <w:t>Deposits and other current assets</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8" w:type="dxa"/>
            <w:tcBorders>
              <w:bottom w:val="single" w:sz="12" w:space="0" w:color="000000"/>
            </w:tcBorders>
            <w:shd w:fill="CCEEFF" w:val="clear"/>
            <w:tcMar>
              <w:bottom w:w="28" w:type="dxa"/>
            </w:tcMar>
            <w:vAlign w:val="center"/>
          </w:tcPr>
          <w:p>
            <w:pPr>
              <w:pStyle w:val="TableContents"/>
              <w:bidi w:val="0"/>
              <w:spacing w:before="0" w:after="283"/>
              <w:jc w:val="right"/>
              <w:rPr/>
            </w:pPr>
            <w:r>
              <w:rPr/>
              <w:t>118,000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10" w:type="dxa"/>
            <w:tcBorders>
              <w:bottom w:val="single" w:sz="12" w:space="0" w:color="000000"/>
            </w:tcBorders>
            <w:shd w:fill="CCEEFF" w:val="clear"/>
            <w:tcMar>
              <w:bottom w:w="28" w:type="dxa"/>
            </w:tcMar>
            <w:vAlign w:val="center"/>
          </w:tcPr>
          <w:p>
            <w:pPr>
              <w:pStyle w:val="TableContents"/>
              <w:bidi w:val="0"/>
              <w:spacing w:before="0" w:after="283"/>
              <w:jc w:val="right"/>
              <w:rPr/>
            </w:pPr>
            <w:r>
              <w:rPr/>
              <w:t>118,000</w:t>
            </w:r>
          </w:p>
        </w:tc>
        <w:tc>
          <w:tcPr>
            <w:tcW w:w="75" w:type="dxa"/>
            <w:tcBorders/>
            <w:shd w:fill="CCEEFF" w:val="clear"/>
            <w:vAlign w:val="center"/>
          </w:tcPr>
          <w:p>
            <w:pPr>
              <w:pStyle w:val="TableContents"/>
              <w:bidi w:val="0"/>
              <w:spacing w:before="0" w:after="283"/>
              <w:jc w:val="left"/>
              <w:rPr/>
            </w:pPr>
            <w:r>
              <w:rPr/>
              <w:t> </w:t>
            </w:r>
            <w:bookmarkStart w:id="409" w:name="xdx_404_eus-gaap--PrepaidExpenseAndOther"/>
            <w:bookmarkEnd w:id="409"/>
          </w:p>
        </w:tc>
      </w:tr>
      <w:tr>
        <w:trPr/>
        <w:tc>
          <w:tcPr>
            <w:tcW w:w="5375" w:type="dxa"/>
            <w:tcBorders/>
            <w:shd w:fill="FFFFFF" w:val="clear"/>
            <w:vAlign w:val="center"/>
          </w:tcPr>
          <w:p>
            <w:pPr>
              <w:pStyle w:val="TableContents"/>
              <w:bidi w:val="0"/>
              <w:spacing w:before="0" w:after="283"/>
              <w:jc w:val="left"/>
              <w:rPr/>
            </w:pPr>
            <w:r>
              <w:rPr/>
              <w:t>Total 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08" w:type="dxa"/>
            <w:tcBorders>
              <w:bottom w:val="double" w:sz="6" w:space="0" w:color="000000"/>
            </w:tcBorders>
            <w:shd w:fill="FFFFFF" w:val="clear"/>
            <w:tcMar>
              <w:bottom w:w="28" w:type="dxa"/>
            </w:tcMar>
            <w:vAlign w:val="center"/>
          </w:tcPr>
          <w:p>
            <w:pPr>
              <w:pStyle w:val="TableContents"/>
              <w:bidi w:val="0"/>
              <w:spacing w:before="0" w:after="283"/>
              <w:jc w:val="right"/>
              <w:rPr/>
            </w:pPr>
            <w:r>
              <w:rPr/>
              <w:t>3,604,000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10" w:type="dxa"/>
            <w:tcBorders>
              <w:bottom w:val="double" w:sz="6" w:space="0" w:color="000000"/>
            </w:tcBorders>
            <w:shd w:fill="FFFFFF" w:val="clear"/>
            <w:tcMar>
              <w:bottom w:w="28" w:type="dxa"/>
            </w:tcMar>
            <w:vAlign w:val="center"/>
          </w:tcPr>
          <w:p>
            <w:pPr>
              <w:pStyle w:val="TableContents"/>
              <w:bidi w:val="0"/>
              <w:spacing w:before="0" w:after="283"/>
              <w:jc w:val="right"/>
              <w:rPr/>
            </w:pPr>
            <w:r>
              <w:rPr/>
              <w:t>3,611,000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10" w:name="xdx_8A9_zi773jKVFsE"/>
      <w:bookmarkEnd w:id="410"/>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1080"/>
        <w:jc w:val="left"/>
        <w:rPr>
          <w:rFonts w:ascii="Times New Roman;Times;Serif" w:hAnsi="Times New Roman;Times;Serif"/>
          <w:b/>
          <w:i w:val="false"/>
          <w:caps w:val="false"/>
          <w:smallCaps w:val="false"/>
          <w:sz w:val="20"/>
        </w:rPr>
      </w:pPr>
      <w:bookmarkStart w:id="411" w:name="xdx_807_eus-gaap--PropertyPlantAndEquipm"/>
      <w:bookmarkEnd w:id="411"/>
      <w:r>
        <w:rPr>
          <w:rFonts w:ascii="Times New Roman;Times;Serif" w:hAnsi="Times New Roman;Times;Serif"/>
          <w:b/>
          <w:i w:val="false"/>
          <w:caps w:val="false"/>
          <w:smallCaps w:val="false"/>
          <w:sz w:val="20"/>
        </w:rPr>
        <w:t xml:space="preserve">NOTE 9. </w:t>
      </w:r>
      <w:bookmarkStart w:id="412" w:name="xdx_828_zOX8CAoOEzJ5"/>
      <w:bookmarkEnd w:id="412"/>
      <w:r>
        <w:rPr>
          <w:rFonts w:ascii="Times New Roman;Times;Serif" w:hAnsi="Times New Roman;Times;Serif"/>
          <w:b/>
          <w:i w:val="false"/>
          <w:caps w:val="false"/>
          <w:smallCaps w:val="false"/>
          <w:sz w:val="20"/>
        </w:rPr>
        <w:t xml:space="preserve">PROPERTY, PLANT AND EQUIPMENT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13" w:name="xdx_899_eus-gaap--PropertyPlantAndEquipm"/>
      <w:bookmarkEnd w:id="413"/>
      <w:r>
        <w:rPr>
          <w:rFonts w:ascii="Times New Roman;Times;Serif" w:hAnsi="Times New Roman;Times;Serif"/>
          <w:b w:val="false"/>
          <w:i w:val="false"/>
          <w:caps w:val="false"/>
          <w:smallCaps w:val="false"/>
          <w:sz w:val="20"/>
        </w:rPr>
        <w:t>Property, plant and equipment at March 31, 2023 and December 31, 2022 consisted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14" w:name="xdx_8BE_zxqRN36STERd"/>
      <w:bookmarkEnd w:id="414"/>
      <w:r>
        <w:rPr>
          <w:rFonts w:ascii="Times New Roman;Times;Serif" w:hAnsi="Times New Roman;Times;Serif"/>
          <w:b w:val="false"/>
          <w:i w:val="false"/>
          <w:caps w:val="false"/>
          <w:smallCaps w:val="false"/>
          <w:sz w:val="20"/>
        </w:rPr>
        <w:t>SCHEDULE OF PROPERTY, PLANT AND EQUIPMENT</w:t>
      </w:r>
    </w:p>
    <w:tbl>
      <w:tblPr>
        <w:tblW w:w="7238" w:type="dxa"/>
        <w:jc w:val="left"/>
        <w:tblInd w:w="0" w:type="dxa"/>
        <w:tblLayout w:type="fixed"/>
        <w:tblCellMar>
          <w:top w:w="0" w:type="dxa"/>
          <w:left w:w="0" w:type="dxa"/>
          <w:bottom w:w="0" w:type="dxa"/>
          <w:right w:w="0" w:type="dxa"/>
        </w:tblCellMar>
      </w:tblPr>
      <w:tblGrid>
        <w:gridCol w:w="3350"/>
        <w:gridCol w:w="60"/>
        <w:gridCol w:w="181"/>
        <w:gridCol w:w="1428"/>
        <w:gridCol w:w="95"/>
        <w:gridCol w:w="60"/>
        <w:gridCol w:w="220"/>
        <w:gridCol w:w="1734"/>
        <w:gridCol w:w="110"/>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15" w:name="xdx_49E_20230331_zc75Euza0gT5"/>
            <w:bookmarkEnd w:id="415"/>
          </w:p>
        </w:tc>
        <w:tc>
          <w:tcPr>
            <w:tcW w:w="16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 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16" w:name="xdx_493_20221231_zPhDJxqKRoXi"/>
            <w:bookmarkEnd w:id="416"/>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2021</w:t>
            </w:r>
          </w:p>
        </w:tc>
        <w:tc>
          <w:tcPr>
            <w:tcW w:w="11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73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17" w:name="xdx_400_ecustom--ComputerHardwareGross_i"/>
            <w:bookmarkEnd w:id="417"/>
          </w:p>
        </w:tc>
      </w:tr>
      <w:tr>
        <w:trPr/>
        <w:tc>
          <w:tcPr>
            <w:tcW w:w="3350" w:type="dxa"/>
            <w:tcBorders/>
            <w:shd w:fill="FFFFFF" w:val="clear"/>
            <w:vAlign w:val="center"/>
          </w:tcPr>
          <w:p>
            <w:pPr>
              <w:pStyle w:val="TableContents"/>
              <w:bidi w:val="0"/>
              <w:spacing w:before="0" w:after="283"/>
              <w:jc w:val="left"/>
              <w:rPr/>
            </w:pPr>
            <w:r>
              <w:rPr/>
              <w:t>Computer hardware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1428" w:type="dxa"/>
            <w:tcBorders/>
            <w:shd w:fill="FFFFFF" w:val="clear"/>
            <w:vAlign w:val="center"/>
          </w:tcPr>
          <w:p>
            <w:pPr>
              <w:pStyle w:val="TableContents"/>
              <w:bidi w:val="0"/>
              <w:spacing w:before="0" w:after="283"/>
              <w:jc w:val="right"/>
              <w:rPr/>
            </w:pPr>
            <w:r>
              <w:rPr/>
              <w:t>1,060,000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w:t>
            </w:r>
          </w:p>
        </w:tc>
        <w:tc>
          <w:tcPr>
            <w:tcW w:w="1734" w:type="dxa"/>
            <w:tcBorders/>
            <w:shd w:fill="FFFFFF" w:val="clear"/>
            <w:vAlign w:val="center"/>
          </w:tcPr>
          <w:p>
            <w:pPr>
              <w:pStyle w:val="TableContents"/>
              <w:bidi w:val="0"/>
              <w:spacing w:before="0" w:after="283"/>
              <w:jc w:val="right"/>
              <w:rPr/>
            </w:pPr>
            <w:r>
              <w:rPr/>
              <w:t>979,000</w:t>
            </w:r>
          </w:p>
        </w:tc>
        <w:tc>
          <w:tcPr>
            <w:tcW w:w="110" w:type="dxa"/>
            <w:tcBorders/>
            <w:shd w:fill="FFFFFF" w:val="clear"/>
            <w:vAlign w:val="center"/>
          </w:tcPr>
          <w:p>
            <w:pPr>
              <w:pStyle w:val="TableContents"/>
              <w:bidi w:val="0"/>
              <w:spacing w:before="0" w:after="283"/>
              <w:jc w:val="left"/>
              <w:rPr/>
            </w:pPr>
            <w:r>
              <w:rPr/>
              <w:t> </w:t>
            </w:r>
            <w:bookmarkStart w:id="418" w:name="xdx_40A_eus-gaap--FurnitureAndFixturesGr"/>
            <w:bookmarkEnd w:id="418"/>
          </w:p>
        </w:tc>
      </w:tr>
      <w:tr>
        <w:trPr/>
        <w:tc>
          <w:tcPr>
            <w:tcW w:w="3350" w:type="dxa"/>
            <w:tcBorders/>
            <w:shd w:fill="CCEEFF" w:val="clear"/>
            <w:vAlign w:val="center"/>
          </w:tcPr>
          <w:p>
            <w:pPr>
              <w:pStyle w:val="TableContents"/>
              <w:bidi w:val="0"/>
              <w:spacing w:before="0" w:after="283"/>
              <w:jc w:val="left"/>
              <w:rPr/>
            </w:pPr>
            <w:r>
              <w:rPr/>
              <w:t>Furniture and equipment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922,000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734" w:type="dxa"/>
            <w:tcBorders/>
            <w:shd w:fill="CCEEFF" w:val="clear"/>
            <w:vAlign w:val="center"/>
          </w:tcPr>
          <w:p>
            <w:pPr>
              <w:pStyle w:val="TableContents"/>
              <w:bidi w:val="0"/>
              <w:spacing w:before="0" w:after="283"/>
              <w:jc w:val="right"/>
              <w:rPr/>
            </w:pPr>
            <w:r>
              <w:rPr/>
              <w:t>860,000</w:t>
            </w:r>
          </w:p>
        </w:tc>
        <w:tc>
          <w:tcPr>
            <w:tcW w:w="110" w:type="dxa"/>
            <w:tcBorders/>
            <w:shd w:fill="CCEEFF" w:val="clear"/>
            <w:vAlign w:val="center"/>
          </w:tcPr>
          <w:p>
            <w:pPr>
              <w:pStyle w:val="TableContents"/>
              <w:bidi w:val="0"/>
              <w:spacing w:before="0" w:after="283"/>
              <w:jc w:val="left"/>
              <w:rPr/>
            </w:pPr>
            <w:r>
              <w:rPr/>
              <w:t> </w:t>
            </w:r>
            <w:bookmarkStart w:id="419" w:name="xdx_40C_eus-gaap--MachineryAndEquipmentG"/>
            <w:bookmarkEnd w:id="419"/>
          </w:p>
        </w:tc>
      </w:tr>
      <w:tr>
        <w:trPr/>
        <w:tc>
          <w:tcPr>
            <w:tcW w:w="3350" w:type="dxa"/>
            <w:tcBorders/>
            <w:shd w:fill="FFFFFF" w:val="clear"/>
            <w:vAlign w:val="center"/>
          </w:tcPr>
          <w:p>
            <w:pPr>
              <w:pStyle w:val="TableContents"/>
              <w:bidi w:val="0"/>
              <w:spacing w:before="0" w:after="283"/>
              <w:jc w:val="left"/>
              <w:rPr/>
            </w:pPr>
            <w:r>
              <w:rPr/>
              <w:t>Lab and pharmacy equipment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right"/>
              <w:rPr/>
            </w:pPr>
            <w:r>
              <w:rPr/>
              <w:t>4,335,000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734" w:type="dxa"/>
            <w:tcBorders/>
            <w:shd w:fill="FFFFFF" w:val="clear"/>
            <w:vAlign w:val="center"/>
          </w:tcPr>
          <w:p>
            <w:pPr>
              <w:pStyle w:val="TableContents"/>
              <w:bidi w:val="0"/>
              <w:spacing w:before="0" w:after="283"/>
              <w:jc w:val="right"/>
              <w:rPr/>
            </w:pPr>
            <w:r>
              <w:rPr/>
              <w:t>4,259,000</w:t>
            </w:r>
          </w:p>
        </w:tc>
        <w:tc>
          <w:tcPr>
            <w:tcW w:w="110" w:type="dxa"/>
            <w:tcBorders/>
            <w:shd w:fill="FFFFFF" w:val="clear"/>
            <w:vAlign w:val="center"/>
          </w:tcPr>
          <w:p>
            <w:pPr>
              <w:pStyle w:val="TableContents"/>
              <w:bidi w:val="0"/>
              <w:spacing w:before="0" w:after="283"/>
              <w:jc w:val="left"/>
              <w:rPr/>
            </w:pPr>
            <w:r>
              <w:rPr/>
              <w:t> </w:t>
            </w:r>
            <w:bookmarkStart w:id="420" w:name="xdx_40A_eus-gaap--LeaseholdImprovementsG"/>
            <w:bookmarkEnd w:id="420"/>
          </w:p>
        </w:tc>
      </w:tr>
      <w:tr>
        <w:trPr/>
        <w:tc>
          <w:tcPr>
            <w:tcW w:w="3350"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28" w:type="dxa"/>
            <w:tcBorders>
              <w:bottom w:val="single" w:sz="12" w:space="0" w:color="000000"/>
            </w:tcBorders>
            <w:shd w:fill="CCEEFF" w:val="clear"/>
            <w:tcMar>
              <w:bottom w:w="28" w:type="dxa"/>
            </w:tcMar>
            <w:vAlign w:val="center"/>
          </w:tcPr>
          <w:p>
            <w:pPr>
              <w:pStyle w:val="TableContents"/>
              <w:bidi w:val="0"/>
              <w:spacing w:before="0" w:after="283"/>
              <w:jc w:val="right"/>
              <w:rPr/>
            </w:pPr>
            <w:r>
              <w:rPr/>
              <w:t>6,555,000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34" w:type="dxa"/>
            <w:tcBorders>
              <w:bottom w:val="single" w:sz="12" w:space="0" w:color="000000"/>
            </w:tcBorders>
            <w:shd w:fill="CCEEFF" w:val="clear"/>
            <w:tcMar>
              <w:bottom w:w="28" w:type="dxa"/>
            </w:tcMar>
            <w:vAlign w:val="center"/>
          </w:tcPr>
          <w:p>
            <w:pPr>
              <w:pStyle w:val="TableContents"/>
              <w:bidi w:val="0"/>
              <w:spacing w:before="0" w:after="283"/>
              <w:jc w:val="right"/>
              <w:rPr/>
            </w:pPr>
            <w:r>
              <w:rPr/>
              <w:t>6,449,000</w:t>
            </w:r>
          </w:p>
        </w:tc>
        <w:tc>
          <w:tcPr>
            <w:tcW w:w="110" w:type="dxa"/>
            <w:tcBorders/>
            <w:shd w:fill="CCEEFF" w:val="clear"/>
            <w:vAlign w:val="center"/>
          </w:tcPr>
          <w:p>
            <w:pPr>
              <w:pStyle w:val="TableContents"/>
              <w:bidi w:val="0"/>
              <w:spacing w:before="0" w:after="283"/>
              <w:jc w:val="left"/>
              <w:rPr/>
            </w:pPr>
            <w:r>
              <w:rPr/>
              <w:t> </w:t>
            </w:r>
            <w:bookmarkStart w:id="421" w:name="xdx_400_eus-gaap--PropertyPlantAndEquipm"/>
            <w:bookmarkEnd w:id="421"/>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plant and equipment, gross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right"/>
              <w:rPr/>
            </w:pPr>
            <w:r>
              <w:rPr/>
              <w:t>12,872,000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734" w:type="dxa"/>
            <w:tcBorders/>
            <w:shd w:fill="FFFFFF" w:val="clear"/>
            <w:vAlign w:val="center"/>
          </w:tcPr>
          <w:p>
            <w:pPr>
              <w:pStyle w:val="TableContents"/>
              <w:bidi w:val="0"/>
              <w:spacing w:before="0" w:after="283"/>
              <w:jc w:val="right"/>
              <w:rPr/>
            </w:pPr>
            <w:r>
              <w:rPr/>
              <w:t>12,547,000</w:t>
            </w:r>
          </w:p>
        </w:tc>
        <w:tc>
          <w:tcPr>
            <w:tcW w:w="110" w:type="dxa"/>
            <w:tcBorders/>
            <w:shd w:fill="FFFFFF" w:val="clear"/>
            <w:vAlign w:val="center"/>
          </w:tcPr>
          <w:p>
            <w:pPr>
              <w:pStyle w:val="TableContents"/>
              <w:bidi w:val="0"/>
              <w:spacing w:before="0" w:after="283"/>
              <w:jc w:val="left"/>
              <w:rPr/>
            </w:pPr>
            <w:r>
              <w:rPr/>
              <w:t> </w:t>
            </w:r>
            <w:bookmarkStart w:id="422" w:name="xdx_406_eus-gaap--AccumulatedDepreciatio"/>
            <w:bookmarkEnd w:id="422"/>
          </w:p>
        </w:tc>
      </w:tr>
      <w:tr>
        <w:trPr/>
        <w:tc>
          <w:tcPr>
            <w:tcW w:w="3350" w:type="dxa"/>
            <w:tcBorders/>
            <w:shd w:fill="CCEEFF" w:val="clear"/>
            <w:vAlign w:val="center"/>
          </w:tcPr>
          <w:p>
            <w:pPr>
              <w:pStyle w:val="TableContents"/>
              <w:bidi w:val="0"/>
              <w:spacing w:before="0" w:after="283"/>
              <w:jc w:val="left"/>
              <w:rPr/>
            </w:pPr>
            <w:r>
              <w:rPr/>
              <w:t>Accumulated depreciation</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28" w:type="dxa"/>
            <w:tcBorders>
              <w:bottom w:val="single" w:sz="12" w:space="0" w:color="000000"/>
            </w:tcBorders>
            <w:shd w:fill="CCEEFF" w:val="clear"/>
            <w:tcMar>
              <w:bottom w:w="28" w:type="dxa"/>
            </w:tcMar>
            <w:vAlign w:val="center"/>
          </w:tcPr>
          <w:p>
            <w:pPr>
              <w:pStyle w:val="TableContents"/>
              <w:bidi w:val="0"/>
              <w:spacing w:before="0" w:after="283"/>
              <w:jc w:val="right"/>
              <w:rPr/>
            </w:pPr>
            <w:r>
              <w:rPr/>
              <w:t>(9,286,000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34" w:type="dxa"/>
            <w:tcBorders>
              <w:bottom w:val="single" w:sz="12" w:space="0" w:color="000000"/>
            </w:tcBorders>
            <w:shd w:fill="CCEEFF" w:val="clear"/>
            <w:tcMar>
              <w:bottom w:w="28" w:type="dxa"/>
            </w:tcMar>
            <w:vAlign w:val="center"/>
          </w:tcPr>
          <w:p>
            <w:pPr>
              <w:pStyle w:val="TableContents"/>
              <w:bidi w:val="0"/>
              <w:spacing w:before="0" w:after="283"/>
              <w:jc w:val="right"/>
              <w:rPr/>
            </w:pPr>
            <w:r>
              <w:rPr/>
              <w:t>(9,061,000</w:t>
            </w:r>
          </w:p>
        </w:tc>
        <w:tc>
          <w:tcPr>
            <w:tcW w:w="110" w:type="dxa"/>
            <w:tcBorders/>
            <w:shd w:fill="CCEEFF" w:val="clear"/>
            <w:vAlign w:val="center"/>
          </w:tcPr>
          <w:p>
            <w:pPr>
              <w:pStyle w:val="TableContents"/>
              <w:bidi w:val="0"/>
              <w:spacing w:before="0" w:after="283"/>
              <w:jc w:val="left"/>
              <w:rPr/>
            </w:pPr>
            <w:r>
              <w:rPr/>
              <w:t>)</w:t>
            </w:r>
            <w:bookmarkStart w:id="423" w:name="xdx_403_eus-gaap--PropertyPlantAndEquipm"/>
            <w:bookmarkEnd w:id="423"/>
          </w:p>
        </w:tc>
      </w:tr>
      <w:tr>
        <w:trPr/>
        <w:tc>
          <w:tcPr>
            <w:tcW w:w="335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28" w:type="dxa"/>
            <w:tcBorders>
              <w:bottom w:val="double" w:sz="6" w:space="0" w:color="000000"/>
            </w:tcBorders>
            <w:shd w:fill="FFFFFF" w:val="clear"/>
            <w:tcMar>
              <w:bottom w:w="28" w:type="dxa"/>
            </w:tcMar>
            <w:vAlign w:val="center"/>
          </w:tcPr>
          <w:p>
            <w:pPr>
              <w:pStyle w:val="TableContents"/>
              <w:bidi w:val="0"/>
              <w:spacing w:before="0" w:after="283"/>
              <w:jc w:val="right"/>
              <w:rPr/>
            </w:pPr>
            <w:r>
              <w:rPr/>
              <w:t>3,586,000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34" w:type="dxa"/>
            <w:tcBorders>
              <w:bottom w:val="double" w:sz="6" w:space="0" w:color="000000"/>
            </w:tcBorders>
            <w:shd w:fill="FFFFFF" w:val="clear"/>
            <w:tcMar>
              <w:bottom w:w="28" w:type="dxa"/>
            </w:tcMar>
            <w:vAlign w:val="center"/>
          </w:tcPr>
          <w:p>
            <w:pPr>
              <w:pStyle w:val="TableContents"/>
              <w:bidi w:val="0"/>
              <w:spacing w:before="0" w:after="283"/>
              <w:jc w:val="right"/>
              <w:rPr/>
            </w:pPr>
            <w:r>
              <w:rPr/>
              <w:t>3,486,000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24" w:name="xdx_8A0_zIYRUyzECJWj"/>
      <w:bookmarkEnd w:id="42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2023 and 2022, depreciation expense related to the property, plant and equipment was $</w:t>
      </w:r>
      <w:bookmarkStart w:id="425" w:name="xdx_902_eus-gaap--Depreciation_c20230101"/>
      <w:bookmarkEnd w:id="425"/>
      <w:r>
        <w:rPr>
          <w:rFonts w:ascii="Times New Roman;Times;Serif" w:hAnsi="Times New Roman;Times;Serif"/>
          <w:b w:val="false"/>
          <w:i w:val="false"/>
          <w:caps w:val="false"/>
          <w:smallCaps w:val="false"/>
          <w:sz w:val="20"/>
        </w:rPr>
        <w:t>225,000 and $</w:t>
      </w:r>
      <w:bookmarkStart w:id="426" w:name="xdx_90A_eus-gaap--Depreciation_c20220101"/>
      <w:bookmarkEnd w:id="426"/>
      <w:r>
        <w:rPr>
          <w:rFonts w:ascii="Times New Roman;Times;Serif" w:hAnsi="Times New Roman;Times;Serif"/>
          <w:b w:val="false"/>
          <w:i w:val="false"/>
          <w:caps w:val="false"/>
          <w:smallCaps w:val="false"/>
          <w:sz w:val="20"/>
        </w:rPr>
        <w:t>376,000,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left"/>
        <w:rPr>
          <w:rFonts w:ascii="Times New Roman;Times;Serif" w:hAnsi="Times New Roman;Times;Serif"/>
          <w:b/>
          <w:i w:val="false"/>
          <w:caps w:val="false"/>
          <w:smallCaps w:val="false"/>
          <w:sz w:val="20"/>
        </w:rPr>
      </w:pPr>
      <w:bookmarkStart w:id="427" w:name="xdx_803_ecustom--CapitalizedSoftwareCost"/>
      <w:bookmarkEnd w:id="427"/>
      <w:r>
        <w:rPr>
          <w:rFonts w:ascii="Times New Roman;Times;Serif" w:hAnsi="Times New Roman;Times;Serif"/>
          <w:b/>
          <w:i w:val="false"/>
          <w:caps w:val="false"/>
          <w:smallCaps w:val="false"/>
          <w:sz w:val="20"/>
        </w:rPr>
        <w:t xml:space="preserve">NOTE 10. </w:t>
      </w:r>
      <w:bookmarkStart w:id="428" w:name="xdx_827_zuYCkMqMlyc4"/>
      <w:bookmarkEnd w:id="428"/>
      <w:r>
        <w:rPr>
          <w:rFonts w:ascii="Times New Roman;Times;Serif" w:hAnsi="Times New Roman;Times;Serif"/>
          <w:b/>
          <w:i w:val="false"/>
          <w:caps w:val="false"/>
          <w:smallCaps w:val="false"/>
          <w:sz w:val="20"/>
        </w:rPr>
        <w:t xml:space="preserve">CAPITALIZED SOFTWARE DEVELOPMENT COSTS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29" w:name="xdx_895_ecustom--CapitalizedSoftwareDeve"/>
      <w:bookmarkEnd w:id="429"/>
      <w:r>
        <w:rPr>
          <w:rFonts w:ascii="Times New Roman;Times;Serif" w:hAnsi="Times New Roman;Times;Serif"/>
          <w:b w:val="false"/>
          <w:i w:val="false"/>
          <w:caps w:val="false"/>
          <w:smallCaps w:val="false"/>
          <w:sz w:val="20"/>
        </w:rPr>
        <w:t>Capitalized software development costs at March 31, 2023 and December 31, 2022 consisted of the following: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30" w:name="xdx_8B5_zb4fBM4Xosed"/>
      <w:bookmarkEnd w:id="430"/>
      <w:r>
        <w:rPr>
          <w:rFonts w:ascii="Times New Roman;Times;Serif" w:hAnsi="Times New Roman;Times;Serif"/>
          <w:b w:val="false"/>
          <w:i w:val="false"/>
          <w:caps w:val="false"/>
          <w:smallCaps w:val="false"/>
          <w:sz w:val="20"/>
        </w:rPr>
        <w:t>SCHEDULE OF FINITE LIVED INTANGIBLE ASSETS </w:t>
      </w:r>
    </w:p>
    <w:tbl>
      <w:tblPr>
        <w:tblW w:w="8918" w:type="dxa"/>
        <w:jc w:val="left"/>
        <w:tblInd w:w="0" w:type="dxa"/>
        <w:tblLayout w:type="fixed"/>
        <w:tblCellMar>
          <w:top w:w="0" w:type="dxa"/>
          <w:left w:w="0" w:type="dxa"/>
          <w:bottom w:w="0" w:type="dxa"/>
          <w:right w:w="0" w:type="dxa"/>
        </w:tblCellMar>
      </w:tblPr>
      <w:tblGrid>
        <w:gridCol w:w="5030"/>
        <w:gridCol w:w="60"/>
        <w:gridCol w:w="201"/>
        <w:gridCol w:w="1408"/>
        <w:gridCol w:w="95"/>
        <w:gridCol w:w="60"/>
        <w:gridCol w:w="244"/>
        <w:gridCol w:w="1710"/>
        <w:gridCol w:w="110"/>
      </w:tblGrid>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1" w:name="xdx_499_20230331_z8CuMI1OiIC9"/>
            <w:bookmarkEnd w:id="431"/>
          </w:p>
        </w:tc>
        <w:tc>
          <w:tcPr>
            <w:tcW w:w="16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 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2" w:name="xdx_493_20221231_zjmnHVJwVWa9"/>
            <w:bookmarkEnd w:id="432"/>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2022</w:t>
            </w:r>
          </w:p>
        </w:tc>
        <w:tc>
          <w:tcPr>
            <w:tcW w:w="110" w:type="dxa"/>
            <w:tcBorders/>
            <w:vAlign w:val="center"/>
          </w:tcPr>
          <w:p>
            <w:pPr>
              <w:pStyle w:val="TableContents"/>
              <w:bidi w:val="0"/>
              <w:spacing w:before="0" w:after="283"/>
              <w:jc w:val="left"/>
              <w:rPr/>
            </w:pPr>
            <w:r>
              <w:rPr/>
              <w:t> </w:t>
            </w:r>
            <w:bookmarkStart w:id="433" w:name="xdx_40E_eus-gaap--CapitalizedComputerSof"/>
            <w:bookmarkEnd w:id="433"/>
          </w:p>
        </w:tc>
      </w:tr>
      <w:tr>
        <w:trPr/>
        <w:tc>
          <w:tcPr>
            <w:tcW w:w="5030" w:type="dxa"/>
            <w:tcBorders/>
            <w:shd w:fill="CCEEFF" w:val="clear"/>
            <w:vAlign w:val="center"/>
          </w:tcPr>
          <w:p>
            <w:pPr>
              <w:pStyle w:val="TableContents"/>
              <w:bidi w:val="0"/>
              <w:spacing w:before="0" w:after="283"/>
              <w:jc w:val="left"/>
              <w:rPr/>
            </w:pPr>
            <w:r>
              <w:rPr/>
              <w:t>Capitalized internal-use software development costs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408" w:type="dxa"/>
            <w:tcBorders/>
            <w:shd w:fill="CCEEFF" w:val="clear"/>
            <w:vAlign w:val="center"/>
          </w:tcPr>
          <w:p>
            <w:pPr>
              <w:pStyle w:val="TableContents"/>
              <w:bidi w:val="0"/>
              <w:spacing w:before="0" w:after="283"/>
              <w:jc w:val="right"/>
              <w:rPr/>
            </w:pPr>
            <w:r>
              <w:rPr/>
              <w:t>1,415,000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w:t>
            </w:r>
          </w:p>
        </w:tc>
        <w:tc>
          <w:tcPr>
            <w:tcW w:w="1710" w:type="dxa"/>
            <w:tcBorders/>
            <w:shd w:fill="CCEEFF" w:val="clear"/>
            <w:vAlign w:val="center"/>
          </w:tcPr>
          <w:p>
            <w:pPr>
              <w:pStyle w:val="TableContents"/>
              <w:bidi w:val="0"/>
              <w:spacing w:before="0" w:after="283"/>
              <w:jc w:val="right"/>
              <w:rPr/>
            </w:pPr>
            <w:r>
              <w:rPr/>
              <w:t>1,413,000</w:t>
            </w:r>
          </w:p>
        </w:tc>
        <w:tc>
          <w:tcPr>
            <w:tcW w:w="110" w:type="dxa"/>
            <w:tcBorders/>
            <w:shd w:fill="CCEEFF" w:val="clear"/>
            <w:vAlign w:val="center"/>
          </w:tcPr>
          <w:p>
            <w:pPr>
              <w:pStyle w:val="TableContents"/>
              <w:bidi w:val="0"/>
              <w:spacing w:before="0" w:after="283"/>
              <w:jc w:val="left"/>
              <w:rPr/>
            </w:pPr>
            <w:r>
              <w:rPr/>
              <w:t> </w:t>
            </w:r>
            <w:bookmarkStart w:id="434" w:name="xdx_405_eus-gaap--CapitalizedComputerSof"/>
            <w:bookmarkEnd w:id="434"/>
          </w:p>
        </w:tc>
      </w:tr>
      <w:tr>
        <w:trPr/>
        <w:tc>
          <w:tcPr>
            <w:tcW w:w="5030" w:type="dxa"/>
            <w:tcBorders/>
            <w:shd w:fill="FFFFFF" w:val="clear"/>
            <w:vAlign w:val="center"/>
          </w:tcPr>
          <w:p>
            <w:pPr>
              <w:pStyle w:val="TableContents"/>
              <w:bidi w:val="0"/>
              <w:spacing w:before="0" w:after="283"/>
              <w:jc w:val="left"/>
              <w:rPr/>
            </w:pPr>
            <w:r>
              <w:rPr/>
              <w:t>Acquired third-party software license for internal-use</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8" w:type="dxa"/>
            <w:tcBorders>
              <w:bottom w:val="single" w:sz="12" w:space="0" w:color="000000"/>
            </w:tcBorders>
            <w:shd w:fill="FFFFFF" w:val="clear"/>
            <w:tcMar>
              <w:bottom w:w="28" w:type="dxa"/>
            </w:tcMar>
            <w:vAlign w:val="center"/>
          </w:tcPr>
          <w:p>
            <w:pPr>
              <w:pStyle w:val="TableContents"/>
              <w:bidi w:val="0"/>
              <w:spacing w:before="0" w:after="283"/>
              <w:jc w:val="right"/>
              <w:rPr/>
            </w:pPr>
            <w:r>
              <w:rPr/>
              <w:t>159,000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10" w:type="dxa"/>
            <w:tcBorders>
              <w:bottom w:val="single" w:sz="12" w:space="0" w:color="000000"/>
            </w:tcBorders>
            <w:shd w:fill="FFFFFF" w:val="clear"/>
            <w:tcMar>
              <w:bottom w:w="28" w:type="dxa"/>
            </w:tcMar>
            <w:vAlign w:val="center"/>
          </w:tcPr>
          <w:p>
            <w:pPr>
              <w:pStyle w:val="TableContents"/>
              <w:bidi w:val="0"/>
              <w:spacing w:before="0" w:after="283"/>
              <w:jc w:val="right"/>
              <w:rPr/>
            </w:pPr>
            <w:r>
              <w:rPr/>
              <w:t>159,000</w:t>
            </w:r>
          </w:p>
        </w:tc>
        <w:tc>
          <w:tcPr>
            <w:tcW w:w="110" w:type="dxa"/>
            <w:tcBorders/>
            <w:shd w:fill="FFFFFF" w:val="clear"/>
            <w:vAlign w:val="center"/>
          </w:tcPr>
          <w:p>
            <w:pPr>
              <w:pStyle w:val="TableContents"/>
              <w:bidi w:val="0"/>
              <w:spacing w:before="0" w:after="283"/>
              <w:jc w:val="left"/>
              <w:rPr/>
            </w:pPr>
            <w:r>
              <w:rPr/>
              <w:t> </w:t>
            </w:r>
            <w:bookmarkStart w:id="435" w:name="xdx_406_eus-gaap--CapitalizedComputerSof"/>
            <w:bookmarkEnd w:id="435"/>
          </w:p>
        </w:tc>
      </w:tr>
      <w:tr>
        <w:trPr/>
        <w:tc>
          <w:tcPr>
            <w:tcW w:w="5030" w:type="dxa"/>
            <w:tcBorders/>
            <w:shd w:fill="CCEEFF" w:val="clear"/>
            <w:vAlign w:val="center"/>
          </w:tcPr>
          <w:p>
            <w:pPr>
              <w:pStyle w:val="TableContents"/>
              <w:bidi w:val="0"/>
              <w:spacing w:before="0" w:after="283"/>
              <w:jc w:val="left"/>
              <w:rPr/>
            </w:pPr>
            <w:r>
              <w:rPr/>
              <w:t>Total gross capitalized software for internal-use</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8" w:type="dxa"/>
            <w:tcBorders>
              <w:bottom w:val="single" w:sz="12" w:space="0" w:color="000000"/>
            </w:tcBorders>
            <w:shd w:fill="CCEEFF" w:val="clear"/>
            <w:tcMar>
              <w:bottom w:w="28" w:type="dxa"/>
            </w:tcMar>
            <w:vAlign w:val="center"/>
          </w:tcPr>
          <w:p>
            <w:pPr>
              <w:pStyle w:val="TableContents"/>
              <w:bidi w:val="0"/>
              <w:spacing w:before="0" w:after="283"/>
              <w:jc w:val="right"/>
              <w:rPr/>
            </w:pPr>
            <w:r>
              <w:rPr/>
              <w:t>1,574,000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10" w:type="dxa"/>
            <w:tcBorders>
              <w:bottom w:val="single" w:sz="12" w:space="0" w:color="000000"/>
            </w:tcBorders>
            <w:shd w:fill="CCEEFF" w:val="clear"/>
            <w:tcMar>
              <w:bottom w:w="28" w:type="dxa"/>
            </w:tcMar>
            <w:vAlign w:val="center"/>
          </w:tcPr>
          <w:p>
            <w:pPr>
              <w:pStyle w:val="TableContents"/>
              <w:bidi w:val="0"/>
              <w:spacing w:before="0" w:after="283"/>
              <w:jc w:val="right"/>
              <w:rPr/>
            </w:pPr>
            <w:r>
              <w:rPr/>
              <w:t>1,572,000</w:t>
            </w:r>
          </w:p>
        </w:tc>
        <w:tc>
          <w:tcPr>
            <w:tcW w:w="110" w:type="dxa"/>
            <w:tcBorders/>
            <w:shd w:fill="CCEEFF" w:val="clear"/>
            <w:vAlign w:val="center"/>
          </w:tcPr>
          <w:p>
            <w:pPr>
              <w:pStyle w:val="TableContents"/>
              <w:bidi w:val="0"/>
              <w:spacing w:before="0" w:after="283"/>
              <w:jc w:val="left"/>
              <w:rPr/>
            </w:pPr>
            <w:r>
              <w:rPr/>
              <w:t> </w:t>
            </w:r>
            <w:bookmarkStart w:id="436" w:name="xdx_407_eus-gaap--CapitalizedComputerSof"/>
            <w:bookmarkEnd w:id="436"/>
          </w:p>
        </w:tc>
      </w:tr>
      <w:tr>
        <w:trPr/>
        <w:tc>
          <w:tcPr>
            <w:tcW w:w="5030" w:type="dxa"/>
            <w:tcBorders/>
            <w:shd w:fill="FFFFFF" w:val="clear"/>
            <w:vAlign w:val="center"/>
          </w:tcPr>
          <w:p>
            <w:pPr>
              <w:pStyle w:val="TableContents"/>
              <w:bidi w:val="0"/>
              <w:spacing w:before="0" w:after="283"/>
              <w:jc w:val="left"/>
              <w:rPr/>
            </w:pPr>
            <w:r>
              <w:rPr/>
              <w:t>Accumulated amortization</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pPr>
            <w:r>
              <w:rPr/>
              <w:t>(860,000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pPr>
            <w:r>
              <w:rPr/>
              <w:t>(793,000</w:t>
            </w:r>
          </w:p>
        </w:tc>
        <w:tc>
          <w:tcPr>
            <w:tcW w:w="110" w:type="dxa"/>
            <w:tcBorders/>
            <w:shd w:fill="FFFFFF" w:val="clear"/>
            <w:vAlign w:val="center"/>
          </w:tcPr>
          <w:p>
            <w:pPr>
              <w:pStyle w:val="TableContents"/>
              <w:bidi w:val="0"/>
              <w:spacing w:before="0" w:after="283"/>
              <w:jc w:val="left"/>
              <w:rPr/>
            </w:pPr>
            <w:r>
              <w:rPr/>
              <w:t>)</w:t>
            </w:r>
            <w:bookmarkStart w:id="437" w:name="xdx_405_ecustom--CapitalizedComputerSoft"/>
            <w:bookmarkEnd w:id="437"/>
          </w:p>
        </w:tc>
      </w:tr>
      <w:tr>
        <w:trPr/>
        <w:tc>
          <w:tcPr>
            <w:tcW w:w="5030" w:type="dxa"/>
            <w:tcBorders/>
            <w:shd w:fill="CCEEFF" w:val="clear"/>
            <w:vAlign w:val="center"/>
          </w:tcPr>
          <w:p>
            <w:pPr>
              <w:pStyle w:val="TableContents"/>
              <w:bidi w:val="0"/>
              <w:spacing w:before="0" w:after="283"/>
              <w:jc w:val="left"/>
              <w:rPr/>
            </w:pPr>
            <w:r>
              <w:rPr/>
              <w:t>Capitalized internal-use software in process</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8" w:type="dxa"/>
            <w:tcBorders>
              <w:bottom w:val="single" w:sz="12" w:space="0" w:color="000000"/>
            </w:tcBorders>
            <w:shd w:fill="CCEEFF" w:val="clear"/>
            <w:tcMar>
              <w:bottom w:w="28" w:type="dxa"/>
            </w:tcMar>
            <w:vAlign w:val="center"/>
          </w:tcPr>
          <w:p>
            <w:pPr>
              <w:pStyle w:val="TableContents"/>
              <w:bidi w:val="0"/>
              <w:spacing w:before="0" w:after="283"/>
              <w:jc w:val="right"/>
              <w:rPr/>
            </w:pPr>
            <w:r>
              <w:rPr/>
              <w:t>1,563,000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10" w:type="dxa"/>
            <w:tcBorders>
              <w:bottom w:val="single" w:sz="12" w:space="0" w:color="000000"/>
            </w:tcBorders>
            <w:shd w:fill="CCEEFF" w:val="clear"/>
            <w:tcMar>
              <w:bottom w:w="28" w:type="dxa"/>
            </w:tcMar>
            <w:vAlign w:val="center"/>
          </w:tcPr>
          <w:p>
            <w:pPr>
              <w:pStyle w:val="TableContents"/>
              <w:bidi w:val="0"/>
              <w:spacing w:before="0" w:after="283"/>
              <w:jc w:val="right"/>
              <w:rPr/>
            </w:pPr>
            <w:r>
              <w:rPr/>
              <w:t>1,333,000</w:t>
            </w:r>
          </w:p>
        </w:tc>
        <w:tc>
          <w:tcPr>
            <w:tcW w:w="110" w:type="dxa"/>
            <w:tcBorders/>
            <w:shd w:fill="CCEEFF" w:val="clear"/>
            <w:vAlign w:val="center"/>
          </w:tcPr>
          <w:p>
            <w:pPr>
              <w:pStyle w:val="TableContents"/>
              <w:bidi w:val="0"/>
              <w:spacing w:before="0" w:after="283"/>
              <w:jc w:val="left"/>
              <w:rPr/>
            </w:pPr>
            <w:r>
              <w:rPr/>
              <w:t> </w:t>
            </w:r>
            <w:bookmarkStart w:id="438" w:name="xdx_404_eus-gaap--CapitalizedComputerSof"/>
            <w:bookmarkEnd w:id="438"/>
          </w:p>
        </w:tc>
      </w:tr>
      <w:tr>
        <w:trPr/>
        <w:tc>
          <w:tcPr>
            <w:tcW w:w="503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Total finite lived intangible assets net</w:t>
            </w:r>
          </w:p>
        </w:tc>
        <w:tc>
          <w:tcPr>
            <w:tcW w:w="60"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08" w:type="dxa"/>
            <w:tcBorders>
              <w:bottom w:val="double" w:sz="6" w:space="0" w:color="000000"/>
            </w:tcBorders>
            <w:shd w:fill="FFFFFF" w:val="clear"/>
            <w:tcMar>
              <w:bottom w:w="28" w:type="dxa"/>
            </w:tcMar>
            <w:vAlign w:val="center"/>
          </w:tcPr>
          <w:p>
            <w:pPr>
              <w:pStyle w:val="TableContents"/>
              <w:bidi w:val="0"/>
              <w:spacing w:before="0" w:after="283"/>
              <w:jc w:val="right"/>
              <w:rPr/>
            </w:pPr>
            <w:r>
              <w:rPr/>
              <w:t>2,277,000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10" w:type="dxa"/>
            <w:tcBorders>
              <w:bottom w:val="double" w:sz="6" w:space="0" w:color="000000"/>
            </w:tcBorders>
            <w:shd w:fill="FFFFFF" w:val="clear"/>
            <w:tcMar>
              <w:bottom w:w="28" w:type="dxa"/>
            </w:tcMar>
            <w:vAlign w:val="center"/>
          </w:tcPr>
          <w:p>
            <w:pPr>
              <w:pStyle w:val="TableContents"/>
              <w:bidi w:val="0"/>
              <w:spacing w:before="0" w:after="283"/>
              <w:jc w:val="right"/>
              <w:rPr/>
            </w:pPr>
            <w:r>
              <w:rPr/>
              <w:t>2,112,000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39" w:name="xdx_8A3_zTQiCXR2TsR"/>
      <w:bookmarkEnd w:id="43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amortization expense of $</w:t>
      </w:r>
      <w:bookmarkStart w:id="440" w:name="xdx_900_eus-gaap--AdjustmentForAmortizat"/>
      <w:bookmarkEnd w:id="440"/>
      <w:r>
        <w:rPr>
          <w:rFonts w:ascii="Times New Roman;Times;Serif" w:hAnsi="Times New Roman;Times;Serif"/>
          <w:b w:val="false"/>
          <w:i w:val="false"/>
          <w:caps w:val="false"/>
          <w:smallCaps w:val="false"/>
          <w:sz w:val="20"/>
        </w:rPr>
        <w:t>67,000 and $</w:t>
      </w:r>
      <w:bookmarkStart w:id="441" w:name="xdx_90F_eus-gaap--AdjustmentForAmortizat"/>
      <w:bookmarkEnd w:id="441"/>
      <w:r>
        <w:rPr>
          <w:rFonts w:ascii="Times New Roman;Times;Serif" w:hAnsi="Times New Roman;Times;Serif"/>
          <w:b w:val="false"/>
          <w:i w:val="false"/>
          <w:caps w:val="false"/>
          <w:smallCaps w:val="false"/>
          <w:sz w:val="20"/>
        </w:rPr>
        <w:t>43,000 related to capitalized software development costs during the three months ended March 31, 2023 and 2022,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2" w:name="xdx_804_eus-gaap--GoodwillAndIntangibleA"/>
      <w:bookmarkEnd w:id="442"/>
      <w:r>
        <w:rPr>
          <w:rFonts w:ascii="Times New Roman;Times;Serif" w:hAnsi="Times New Roman;Times;Serif"/>
          <w:b/>
          <w:i w:val="false"/>
          <w:caps w:val="false"/>
          <w:smallCaps w:val="false"/>
          <w:sz w:val="20"/>
        </w:rPr>
        <w:t xml:space="preserve">NOTE 11. </w:t>
      </w:r>
      <w:bookmarkStart w:id="443" w:name="xdx_828_zMMgmXZuoFgb"/>
      <w:bookmarkEnd w:id="443"/>
      <w:r>
        <w:rPr>
          <w:rFonts w:ascii="Times New Roman;Times;Serif" w:hAnsi="Times New Roman;Times;Serif"/>
          <w:b/>
          <w:i w:val="false"/>
          <w:caps w:val="false"/>
          <w:smallCaps w:val="false"/>
          <w:sz w:val="20"/>
        </w:rPr>
        <w:t>INTANGIBLE ASSETS AND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444" w:name="xdx_897_eus-gaap--ScheduleOfIntangibleAs"/>
      <w:bookmarkEnd w:id="444"/>
      <w:r>
        <w:rPr>
          <w:rFonts w:ascii="Times New Roman;Times;Serif" w:hAnsi="Times New Roman;Times;Serif"/>
          <w:b w:val="false"/>
          <w:i w:val="false"/>
          <w:caps w:val="false"/>
          <w:smallCaps w:val="false"/>
          <w:sz w:val="20"/>
        </w:rPr>
        <w:t>The Company’s intangible assets at March 31, 2023 consisted of the following:</w:t>
      </w:r>
    </w:p>
    <w:p>
      <w:pPr>
        <w:pStyle w:val="TextBody"/>
        <w:bidi w:val="0"/>
        <w:spacing w:before="0" w:after="0"/>
        <w:ind w:left="0" w:right="0" w:hanging="0"/>
        <w:jc w:val="left"/>
        <w:rPr>
          <w:caps w:val="false"/>
          <w:smallCaps w:val="false"/>
        </w:rPr>
      </w:pPr>
      <w:r>
        <w:rPr>
          <w:caps w:val="false"/>
          <w:smallCaps w:val="false"/>
        </w:rPr>
        <w:t> </w:t>
      </w:r>
      <w:bookmarkStart w:id="445" w:name="xdx_8B2_zKpI6i34dtEi"/>
      <w:bookmarkEnd w:id="445"/>
      <w:r>
        <w:rPr>
          <w:rFonts w:ascii="Times New Roman;Times;Serif" w:hAnsi="Times New Roman;Times;Serif"/>
          <w:b w:val="false"/>
          <w:i w:val="false"/>
          <w:caps w:val="false"/>
          <w:smallCaps w:val="false"/>
          <w:sz w:val="20"/>
        </w:rPr>
        <w:t>SCHEDULE OF INTANGIBLE ASSETS</w:t>
      </w:r>
    </w:p>
    <w:tbl>
      <w:tblPr>
        <w:tblW w:w="10102" w:type="dxa"/>
        <w:jc w:val="left"/>
        <w:tblInd w:w="0" w:type="dxa"/>
        <w:tblLayout w:type="fixed"/>
        <w:tblCellMar>
          <w:top w:w="0" w:type="dxa"/>
          <w:left w:w="0" w:type="dxa"/>
          <w:bottom w:w="0" w:type="dxa"/>
          <w:right w:w="0" w:type="dxa"/>
        </w:tblCellMar>
      </w:tblPr>
      <w:tblGrid>
        <w:gridCol w:w="1985"/>
        <w:gridCol w:w="60"/>
        <w:gridCol w:w="82"/>
        <w:gridCol w:w="1122"/>
        <w:gridCol w:w="60"/>
        <w:gridCol w:w="60"/>
        <w:gridCol w:w="125"/>
        <w:gridCol w:w="1055"/>
        <w:gridCol w:w="60"/>
        <w:gridCol w:w="60"/>
        <w:gridCol w:w="287"/>
        <w:gridCol w:w="2087"/>
        <w:gridCol w:w="80"/>
        <w:gridCol w:w="60"/>
        <w:gridCol w:w="189"/>
        <w:gridCol w:w="851"/>
        <w:gridCol w:w="60"/>
        <w:gridCol w:w="60"/>
        <w:gridCol w:w="178"/>
        <w:gridCol w:w="1506"/>
        <w:gridCol w:w="75"/>
      </w:tblGrid>
      <w:tr>
        <w:trPr/>
        <w:tc>
          <w:tcPr>
            <w:tcW w:w="19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Amortization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years)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74" w:type="dxa"/>
            <w:gridSpan w:val="2"/>
            <w:tcBorders>
              <w:bottom w:val="single" w:sz="12"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20"/>
              </w:rPr>
              <w:t>Accumulated Amortization</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Impairment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Carrying Value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446" w:name="xdx_900_eus-gaap--FiniteLivedIntangibleA"/>
            <w:bookmarkEnd w:id="446"/>
            <w:r>
              <w:rPr>
                <w:rFonts w:ascii="Times New Roman;Times;Serif" w:hAnsi="Times New Roman;Times;Serif"/>
                <w:b w:val="false"/>
                <w:i w:val="false"/>
                <w:caps w:val="false"/>
                <w:smallCaps w:val="false"/>
                <w:sz w:val="20"/>
              </w:rPr>
              <w:t>7-</w:t>
            </w:r>
            <w:bookmarkStart w:id="447" w:name="xdx_90A_eus-gaap--FiniteLivedIntangibleA"/>
            <w:bookmarkEnd w:id="447"/>
            <w:r>
              <w:rPr>
                <w:rFonts w:ascii="Times New Roman;Times;Serif" w:hAnsi="Times New Roman;Times;Serif"/>
                <w:b w:val="false"/>
                <w:i w:val="false"/>
                <w:caps w:val="false"/>
                <w:smallCaps w:val="false"/>
                <w:sz w:val="20"/>
              </w:rPr>
              <w:t xml:space="preserve">19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48" w:name="xdx_98F_eus-gaap--FiniteLivedIntangibleA"/>
            <w:bookmarkEnd w:id="448"/>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981,000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49" w:name="xdx_984_eus-gaap--FiniteLivedIntangibleA"/>
            <w:bookmarkEnd w:id="449"/>
          </w:p>
        </w:tc>
        <w:tc>
          <w:tcPr>
            <w:tcW w:w="20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50" w:name="xdx_982_ecustom--FiniteLivedIntangibleAs"/>
            <w:bookmarkEnd w:id="450"/>
          </w:p>
        </w:tc>
        <w:tc>
          <w:tcPr>
            <w:tcW w:w="851"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51" w:name="xdx_981_eus-gaap--IntangibleAssetsNetExc"/>
            <w:bookmarkEnd w:id="451"/>
          </w:p>
        </w:tc>
        <w:tc>
          <w:tcPr>
            <w:tcW w:w="15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798,000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452" w:name="xdx_909_eus-gaap--FiniteLivedIntangibleA"/>
            <w:bookmarkEnd w:id="452"/>
            <w:r>
              <w:rPr>
                <w:rFonts w:ascii="Times New Roman;Times;Serif" w:hAnsi="Times New Roman;Times;Serif"/>
                <w:b w:val="false"/>
                <w:i w:val="false"/>
                <w:caps w:val="false"/>
                <w:smallCaps w:val="false"/>
                <w:sz w:val="20"/>
              </w:rPr>
              <w:t>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53" w:name="xdx_981_eus-gaap--FiniteLivedIntangibleA"/>
            <w:bookmarkEnd w:id="453"/>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54" w:name="xdx_983_eus-gaap--FiniteLivedIntangibleA"/>
            <w:bookmarkEnd w:id="454"/>
          </w:p>
        </w:tc>
        <w:tc>
          <w:tcPr>
            <w:tcW w:w="20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55" w:name="xdx_988_ecustom--FiniteLivedIntangibleAs"/>
            <w:bookmarkEnd w:id="455"/>
          </w:p>
        </w:tc>
        <w:tc>
          <w:tcPr>
            <w:tcW w:w="8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56" w:name="xdx_984_eus-gaap--IntangibleAssetsNetExc"/>
            <w:bookmarkEnd w:id="456"/>
          </w:p>
        </w:tc>
        <w:tc>
          <w:tcPr>
            <w:tcW w:w="15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Trademarks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457" w:name="xdx_906_eus-gaap--FiniteLivedIntangibleA"/>
            <w:bookmarkEnd w:id="457"/>
            <w:r>
              <w:rPr>
                <w:rFonts w:ascii="Times New Roman;Times;Serif" w:hAnsi="Times New Roman;Times;Serif"/>
                <w:b w:val="false"/>
                <w:i w:val="false"/>
                <w:caps w:val="false"/>
                <w:smallCaps w:val="false"/>
                <w:sz w:val="20"/>
              </w:rPr>
              <w:t>Indefinite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58" w:name="xdx_982_eus-gaap--FiniteLivedIntangibleA"/>
            <w:bookmarkEnd w:id="458"/>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59" w:name="xdx_98A_eus-gaap--FiniteLivedIntangibleA"/>
            <w:bookmarkEnd w:id="459"/>
          </w:p>
        </w:tc>
        <w:tc>
          <w:tcPr>
            <w:tcW w:w="20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60" w:name="xdx_98F_ecustom--FiniteLivedIntangibleAs"/>
            <w:bookmarkEnd w:id="460"/>
          </w:p>
        </w:tc>
        <w:tc>
          <w:tcPr>
            <w:tcW w:w="8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61" w:name="xdx_985_eus-gaap--IntangibleAssetsNetExc"/>
            <w:bookmarkEnd w:id="461"/>
          </w:p>
        </w:tc>
        <w:tc>
          <w:tcPr>
            <w:tcW w:w="15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NDAs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462" w:name="xdx_90A_eus-gaap--FiniteLivedIntangibleA"/>
            <w:bookmarkEnd w:id="462"/>
            <w:r>
              <w:rPr>
                <w:rFonts w:ascii="Times New Roman;Times;Serif" w:hAnsi="Times New Roman;Times;Serif"/>
                <w:b w:val="false"/>
                <w:i w:val="false"/>
                <w:caps w:val="false"/>
                <w:smallCaps w:val="false"/>
                <w:sz w:val="20"/>
              </w:rPr>
              <w:t>10-</w:t>
            </w:r>
            <w:bookmarkStart w:id="463" w:name="xdx_904_eus-gaap--FiniteLivedIntangibleA"/>
            <w:bookmarkEnd w:id="463"/>
            <w:r>
              <w:rPr>
                <w:rFonts w:ascii="Times New Roman;Times;Serif" w:hAnsi="Times New Roman;Times;Serif"/>
                <w:b w:val="false"/>
                <w:i w:val="false"/>
                <w:caps w:val="false"/>
                <w:smallCaps w:val="false"/>
                <w:sz w:val="20"/>
              </w:rPr>
              <w:t>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64" w:name="xdx_980_eus-gaap--FiniteLivedIntangibleA"/>
            <w:bookmarkEnd w:id="464"/>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154,193,000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65" w:name="xdx_98B_eus-gaap--FiniteLivedIntangibleA"/>
            <w:bookmarkEnd w:id="465"/>
          </w:p>
        </w:tc>
        <w:tc>
          <w:tcPr>
            <w:tcW w:w="20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(3,533,000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66" w:name="xdx_98F_ecustom--FiniteLivedIntangibleAs"/>
            <w:bookmarkEnd w:id="466"/>
          </w:p>
        </w:tc>
        <w:tc>
          <w:tcPr>
            <w:tcW w:w="8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67" w:name="xdx_98E_eus-gaap--IntangibleAssetsNetExc"/>
            <w:bookmarkEnd w:id="467"/>
          </w:p>
        </w:tc>
        <w:tc>
          <w:tcPr>
            <w:tcW w:w="15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150,660,000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relationships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468" w:name="xdx_909_eus-gaap--FiniteLivedIntangibleA"/>
            <w:bookmarkEnd w:id="468"/>
            <w:r>
              <w:rPr>
                <w:rFonts w:ascii="Times New Roman;Times;Serif" w:hAnsi="Times New Roman;Times;Serif"/>
                <w:b w:val="false"/>
                <w:i w:val="false"/>
                <w:caps w:val="false"/>
                <w:smallCaps w:val="false"/>
                <w:sz w:val="20"/>
              </w:rPr>
              <w:t>3-</w:t>
            </w:r>
            <w:bookmarkStart w:id="469" w:name="xdx_908_eus-gaap--FiniteLivedIntangibleA"/>
            <w:bookmarkEnd w:id="469"/>
            <w:r>
              <w:rPr>
                <w:rFonts w:ascii="Times New Roman;Times;Serif" w:hAnsi="Times New Roman;Times;Serif"/>
                <w:b w:val="false"/>
                <w:i w:val="false"/>
                <w:caps w:val="false"/>
                <w:smallCaps w:val="false"/>
                <w:sz w:val="20"/>
              </w:rPr>
              <w:t>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70" w:name="xdx_986_eus-gaap--FiniteLivedIntangibleA"/>
            <w:bookmarkEnd w:id="470"/>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596,000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71" w:name="xdx_983_eus-gaap--FiniteLivedIntangibleA"/>
            <w:bookmarkEnd w:id="471"/>
          </w:p>
        </w:tc>
        <w:tc>
          <w:tcPr>
            <w:tcW w:w="20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(475,000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72" w:name="xdx_98A_ecustom--FiniteLivedIntangibleAs"/>
            <w:bookmarkEnd w:id="472"/>
          </w:p>
        </w:tc>
        <w:tc>
          <w:tcPr>
            <w:tcW w:w="8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73" w:name="xdx_98D_eus-gaap--IntangibleAssetsNetExc"/>
            <w:bookmarkEnd w:id="473"/>
          </w:p>
        </w:tc>
        <w:tc>
          <w:tcPr>
            <w:tcW w:w="15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name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474" w:name="xdx_90B_eus-gaap--FiniteLivedIntangibleA"/>
            <w:bookmarkEnd w:id="474"/>
            <w:r>
              <w:rPr>
                <w:rFonts w:ascii="Times New Roman;Times;Serif" w:hAnsi="Times New Roman;Times;Serif"/>
                <w:b w:val="false"/>
                <w:i w:val="false"/>
                <w:caps w:val="false"/>
                <w:smallCaps w:val="false"/>
                <w:sz w:val="20"/>
              </w:rPr>
              <w:t>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75" w:name="xdx_981_eus-gaap--FiniteLivedIntangibleA"/>
            <w:bookmarkEnd w:id="475"/>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76" w:name="xdx_986_eus-gaap--FiniteLivedIntangibleA"/>
            <w:bookmarkEnd w:id="476"/>
          </w:p>
        </w:tc>
        <w:tc>
          <w:tcPr>
            <w:tcW w:w="20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77" w:name="xdx_98F_ecustom--FiniteLivedIntangibleAs"/>
            <w:bookmarkEnd w:id="477"/>
          </w:p>
        </w:tc>
        <w:tc>
          <w:tcPr>
            <w:tcW w:w="8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78" w:name="xdx_98B_eus-gaap--IntangibleAssetsNetExc"/>
            <w:bookmarkEnd w:id="478"/>
          </w:p>
        </w:tc>
        <w:tc>
          <w:tcPr>
            <w:tcW w:w="15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Non-competition clause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479" w:name="xdx_908_eus-gaap--FiniteLivedIntangibleA"/>
            <w:bookmarkEnd w:id="479"/>
            <w:r>
              <w:rPr>
                <w:rFonts w:ascii="Times New Roman;Times;Serif" w:hAnsi="Times New Roman;Times;Serif"/>
                <w:b w:val="false"/>
                <w:i w:val="false"/>
                <w:caps w:val="false"/>
                <w:smallCaps w:val="false"/>
                <w:sz w:val="20"/>
              </w:rPr>
              <w:t>3-</w:t>
            </w:r>
            <w:bookmarkStart w:id="480" w:name="xdx_902_eus-gaap--FiniteLivedIntangibleA"/>
            <w:bookmarkEnd w:id="480"/>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81" w:name="xdx_987_eus-gaap--FiniteLivedIntangibleA"/>
            <w:bookmarkEnd w:id="481"/>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82" w:name="xdx_98F_eus-gaap--FiniteLivedIntangibleA"/>
            <w:bookmarkEnd w:id="482"/>
          </w:p>
        </w:tc>
        <w:tc>
          <w:tcPr>
            <w:tcW w:w="20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83" w:name="xdx_983_ecustom--FiniteLivedIntangibleAs"/>
            <w:bookmarkEnd w:id="483"/>
          </w:p>
        </w:tc>
        <w:tc>
          <w:tcPr>
            <w:tcW w:w="8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84" w:name="xdx_982_eus-gaap--IntangibleAssetsNetExc"/>
            <w:bookmarkEnd w:id="484"/>
          </w:p>
        </w:tc>
        <w:tc>
          <w:tcPr>
            <w:tcW w:w="15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pharmacy licenses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485" w:name="xdx_908_eus-gaap--FiniteLivedIntangibleA"/>
            <w:bookmarkEnd w:id="485"/>
            <w:r>
              <w:rPr>
                <w:rFonts w:ascii="Times New Roman;Times;Serif" w:hAnsi="Times New Roman;Times;Serif"/>
                <w:b w:val="false"/>
                <w:i w:val="false"/>
                <w:caps w:val="false"/>
                <w:smallCaps w:val="false"/>
                <w:sz w:val="20"/>
              </w:rPr>
              <w:t>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486" w:name="xdx_98A_eus-gaap--FiniteLivedIntangibleA"/>
            <w:bookmarkEnd w:id="486"/>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7"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487" w:name="xdx_983_eus-gaap--FiniteLivedIntangibleA"/>
            <w:bookmarkEnd w:id="487"/>
          </w:p>
        </w:tc>
        <w:tc>
          <w:tcPr>
            <w:tcW w:w="20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488" w:name="xdx_989_ecustom--FiniteLivedIntangibleAs"/>
            <w:bookmarkEnd w:id="488"/>
          </w:p>
        </w:tc>
        <w:tc>
          <w:tcPr>
            <w:tcW w:w="85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489" w:name="xdx_980_eus-gaap--IntangibleAssetsNetExc"/>
            <w:bookmarkEnd w:id="489"/>
          </w:p>
        </w:tc>
        <w:tc>
          <w:tcPr>
            <w:tcW w:w="150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90" w:name="xdx_985_eus-gaap--FiniteLivedIntangibleA"/>
            <w:bookmarkEnd w:id="490"/>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156,270,000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91" w:name="xdx_98E_eus-gaap--FiniteLivedIntangibleA"/>
            <w:bookmarkEnd w:id="491"/>
          </w:p>
        </w:tc>
        <w:tc>
          <w:tcPr>
            <w:tcW w:w="208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(4,278,000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92" w:name="xdx_986_ecustom--FiniteLivedIntangibleAs"/>
            <w:bookmarkEnd w:id="492"/>
          </w:p>
        </w:tc>
        <w:tc>
          <w:tcPr>
            <w:tcW w:w="85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93" w:name="xdx_989_eus-gaap--IntangibleAssetsNetExc"/>
            <w:bookmarkEnd w:id="493"/>
          </w:p>
        </w:tc>
        <w:tc>
          <w:tcPr>
            <w:tcW w:w="150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151,992,000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bookmarkStart w:id="494" w:name="xdx_8A7_z7zqYa9WWqWi"/>
      <w:bookmarkEnd w:id="494"/>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495" w:name="xdx_895_eus-gaap--FiniteLivedIntangibleA"/>
      <w:bookmarkEnd w:id="495"/>
      <w:r>
        <w:rPr>
          <w:rFonts w:ascii="Times New Roman;Times;Serif" w:hAnsi="Times New Roman;Times;Serif"/>
          <w:b w:val="false"/>
          <w:i w:val="false"/>
          <w:caps w:val="false"/>
          <w:smallCaps w:val="false"/>
          <w:sz w:val="20"/>
        </w:rPr>
        <w:t>Amortization expense for intangible assets for the three months ended March 31, 2023 and 2022 was as follows:</w:t>
      </w:r>
    </w:p>
    <w:p>
      <w:pPr>
        <w:pStyle w:val="TextBody"/>
        <w:bidi w:val="0"/>
        <w:spacing w:before="0" w:after="0"/>
        <w:ind w:left="0" w:right="0" w:hanging="0"/>
        <w:jc w:val="left"/>
        <w:rPr>
          <w:caps w:val="false"/>
          <w:smallCaps w:val="false"/>
        </w:rPr>
      </w:pPr>
      <w:r>
        <w:rPr>
          <w:caps w:val="false"/>
          <w:smallCaps w:val="false"/>
        </w:rPr>
        <w:t> </w:t>
      </w:r>
      <w:bookmarkStart w:id="496" w:name="xdx_8B1_zeUt8QaEf837"/>
      <w:bookmarkEnd w:id="496"/>
      <w:r>
        <w:rPr>
          <w:rFonts w:ascii="Times New Roman;Times;Serif" w:hAnsi="Times New Roman;Times;Serif"/>
          <w:b w:val="false"/>
          <w:i w:val="false"/>
          <w:caps w:val="false"/>
          <w:smallCaps w:val="false"/>
          <w:sz w:val="20"/>
        </w:rPr>
        <w:t>SCHEDULE OF AMORTIZATION EXPENSES FOR INTANGIBLE ASSETS</w:t>
      </w:r>
    </w:p>
    <w:tbl>
      <w:tblPr>
        <w:tblW w:w="5061" w:type="dxa"/>
        <w:jc w:val="left"/>
        <w:tblInd w:w="0" w:type="dxa"/>
        <w:tblLayout w:type="fixed"/>
        <w:tblCellMar>
          <w:top w:w="0" w:type="dxa"/>
          <w:left w:w="0" w:type="dxa"/>
          <w:bottom w:w="0" w:type="dxa"/>
          <w:right w:w="0" w:type="dxa"/>
        </w:tblCellMar>
      </w:tblPr>
      <w:tblGrid>
        <w:gridCol w:w="2720"/>
        <w:gridCol w:w="60"/>
        <w:gridCol w:w="141"/>
        <w:gridCol w:w="993"/>
        <w:gridCol w:w="60"/>
        <w:gridCol w:w="60"/>
        <w:gridCol w:w="141"/>
        <w:gridCol w:w="811"/>
        <w:gridCol w:w="75"/>
      </w:tblGrid>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97" w:name="xdx_492_20230101__20230331_zr9KeBJwd6b5"/>
            <w:bookmarkEnd w:id="497"/>
          </w:p>
        </w:tc>
        <w:tc>
          <w:tcPr>
            <w:tcW w:w="11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98" w:name="xdx_499_20220101__20220331_zwW1FCb7jdge"/>
            <w:bookmarkEnd w:id="498"/>
          </w:p>
        </w:tc>
        <w:tc>
          <w:tcPr>
            <w:tcW w:w="9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6" w:type="dxa"/>
            <w:gridSpan w:val="6"/>
            <w:tcBorders/>
            <w:vAlign w:val="center"/>
          </w:tcPr>
          <w:p>
            <w:pPr>
              <w:pStyle w:val="TableContents"/>
              <w:bidi w:val="0"/>
              <w:spacing w:before="0" w:after="283"/>
              <w:jc w:val="center"/>
              <w:rPr>
                <w:b/>
              </w:rPr>
            </w:pPr>
            <w:r>
              <w:rPr>
                <w:b/>
              </w:rPr>
              <w:t>For the</w:t>
            </w:r>
          </w:p>
        </w:tc>
        <w:tc>
          <w:tcPr>
            <w:tcW w:w="75" w:type="dxa"/>
            <w:tcBorders/>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6" w:type="dxa"/>
            <w:gridSpan w:val="6"/>
            <w:tcBorders/>
            <w:vAlign w:val="center"/>
          </w:tcPr>
          <w:p>
            <w:pPr>
              <w:pStyle w:val="TableContents"/>
              <w:bidi w:val="0"/>
              <w:spacing w:before="0" w:after="283"/>
              <w:jc w:val="center"/>
              <w:rPr>
                <w:b/>
              </w:rPr>
            </w:pPr>
            <w:r>
              <w:rPr>
                <w:b/>
              </w:rPr>
              <w:t>Three Months Ended</w:t>
            </w:r>
          </w:p>
        </w:tc>
        <w:tc>
          <w:tcPr>
            <w:tcW w:w="75" w:type="dxa"/>
            <w:tcBorders/>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March 31,</w:t>
            </w:r>
          </w:p>
        </w:tc>
        <w:tc>
          <w:tcPr>
            <w:tcW w:w="75" w:type="dxa"/>
            <w:tcBorders/>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bookmarkStart w:id="499" w:name="xdx_401_eus-gaap--AmortizationOfIntangib"/>
            <w:bookmarkEnd w:id="499"/>
          </w:p>
        </w:tc>
      </w:tr>
      <w:tr>
        <w:trPr/>
        <w:tc>
          <w:tcPr>
            <w:tcW w:w="2720" w:type="dxa"/>
            <w:tcBorders/>
            <w:shd w:fill="CCEEFF" w:val="clear"/>
            <w:vAlign w:val="center"/>
          </w:tcPr>
          <w:p>
            <w:pPr>
              <w:pStyle w:val="TableContents"/>
              <w:bidi w:val="0"/>
              <w:spacing w:before="0" w:after="283"/>
              <w:jc w:val="left"/>
              <w:rPr/>
            </w:pPr>
            <w:r>
              <w:rPr/>
              <w:t>Patents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993" w:type="dxa"/>
            <w:tcBorders/>
            <w:shd w:fill="CCEEFF" w:val="clear"/>
            <w:vAlign w:val="center"/>
          </w:tcPr>
          <w:p>
            <w:pPr>
              <w:pStyle w:val="TableContents"/>
              <w:bidi w:val="0"/>
              <w:spacing w:before="0" w:after="283"/>
              <w:jc w:val="right"/>
              <w:rPr/>
            </w:pPr>
            <w:r>
              <w:rPr/>
              <w:t>22,000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11" w:type="dxa"/>
            <w:tcBorders/>
            <w:shd w:fill="CCEEFF" w:val="clear"/>
            <w:vAlign w:val="center"/>
          </w:tcPr>
          <w:p>
            <w:pPr>
              <w:pStyle w:val="TableContents"/>
              <w:bidi w:val="0"/>
              <w:spacing w:before="0" w:after="283"/>
              <w:jc w:val="right"/>
              <w:rPr/>
            </w:pPr>
            <w:r>
              <w:rPr/>
              <w:t>22,000</w:t>
            </w:r>
          </w:p>
        </w:tc>
        <w:tc>
          <w:tcPr>
            <w:tcW w:w="75" w:type="dxa"/>
            <w:tcBorders/>
            <w:shd w:fill="CCEEFF" w:val="clear"/>
            <w:vAlign w:val="center"/>
          </w:tcPr>
          <w:p>
            <w:pPr>
              <w:pStyle w:val="TableContents"/>
              <w:bidi w:val="0"/>
              <w:spacing w:before="0" w:after="283"/>
              <w:jc w:val="left"/>
              <w:rPr/>
            </w:pPr>
            <w:r>
              <w:rPr/>
              <w:t> </w:t>
            </w:r>
            <w:bookmarkStart w:id="500" w:name="xdx_40D_eus-gaap--AmortizationOfIntangib"/>
            <w:bookmarkEnd w:id="500"/>
          </w:p>
        </w:tc>
      </w:tr>
      <w:tr>
        <w:trPr/>
        <w:tc>
          <w:tcPr>
            <w:tcW w:w="2720" w:type="dxa"/>
            <w:tcBorders/>
            <w:shd w:fill="FFFFFF" w:val="clear"/>
            <w:vAlign w:val="center"/>
          </w:tcPr>
          <w:p>
            <w:pPr>
              <w:pStyle w:val="TableContents"/>
              <w:bidi w:val="0"/>
              <w:spacing w:before="0" w:after="283"/>
              <w:jc w:val="left"/>
              <w:rPr/>
            </w:pPr>
            <w:r>
              <w:rPr/>
              <w:t>Licenses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pPr>
            <w:r>
              <w:rPr/>
              <w:t>8,000</w:t>
            </w:r>
          </w:p>
        </w:tc>
        <w:tc>
          <w:tcPr>
            <w:tcW w:w="75" w:type="dxa"/>
            <w:tcBorders/>
            <w:shd w:fill="FFFFFF" w:val="clear"/>
            <w:vAlign w:val="center"/>
          </w:tcPr>
          <w:p>
            <w:pPr>
              <w:pStyle w:val="TableContents"/>
              <w:bidi w:val="0"/>
              <w:spacing w:before="0" w:after="283"/>
              <w:jc w:val="left"/>
              <w:rPr/>
            </w:pPr>
            <w:r>
              <w:rPr/>
              <w:t> </w:t>
            </w:r>
            <w:bookmarkStart w:id="501" w:name="xdx_405_eus-gaap--AmortizationOfIntangib"/>
            <w:bookmarkEnd w:id="501"/>
          </w:p>
        </w:tc>
      </w:tr>
      <w:tr>
        <w:trPr/>
        <w:tc>
          <w:tcPr>
            <w:tcW w:w="2720" w:type="dxa"/>
            <w:tcBorders/>
            <w:shd w:fill="CCEEFF" w:val="clear"/>
            <w:vAlign w:val="center"/>
          </w:tcPr>
          <w:p>
            <w:pPr>
              <w:pStyle w:val="TableContents"/>
              <w:bidi w:val="0"/>
              <w:spacing w:before="0" w:after="283"/>
              <w:jc w:val="left"/>
              <w:rPr/>
            </w:pPr>
            <w:r>
              <w:rPr/>
              <w:t>Acquired NDAs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2,170,000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341,000</w:t>
            </w:r>
          </w:p>
        </w:tc>
        <w:tc>
          <w:tcPr>
            <w:tcW w:w="75" w:type="dxa"/>
            <w:tcBorders/>
            <w:shd w:fill="CCEEFF" w:val="clear"/>
            <w:vAlign w:val="center"/>
          </w:tcPr>
          <w:p>
            <w:pPr>
              <w:pStyle w:val="TableContents"/>
              <w:bidi w:val="0"/>
              <w:spacing w:before="0" w:after="283"/>
              <w:jc w:val="left"/>
              <w:rPr/>
            </w:pPr>
            <w:r>
              <w:rPr/>
              <w:t> </w:t>
            </w:r>
            <w:bookmarkStart w:id="502" w:name="xdx_40B_eus-gaap--AmortizationOfIntangib"/>
            <w:bookmarkEnd w:id="502"/>
          </w:p>
        </w:tc>
      </w:tr>
      <w:tr>
        <w:trPr/>
        <w:tc>
          <w:tcPr>
            <w:tcW w:w="2720" w:type="dxa"/>
            <w:tcBorders/>
            <w:shd w:fill="FFFFFF" w:val="clear"/>
            <w:vAlign w:val="center"/>
          </w:tcPr>
          <w:p>
            <w:pPr>
              <w:pStyle w:val="TableContents"/>
              <w:bidi w:val="0"/>
              <w:spacing w:before="0" w:after="283"/>
              <w:jc w:val="left"/>
              <w:rPr/>
            </w:pPr>
            <w:r>
              <w:rPr/>
              <w:t>Customer relationships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3" w:type="dxa"/>
            <w:tcBorders>
              <w:bottom w:val="single" w:sz="12" w:space="0" w:color="000000"/>
            </w:tcBorders>
            <w:shd w:fill="FFFFFF" w:val="clear"/>
            <w:tcMar>
              <w:bottom w:w="28" w:type="dxa"/>
            </w:tcMar>
            <w:vAlign w:val="center"/>
          </w:tcPr>
          <w:p>
            <w:pPr>
              <w:pStyle w:val="TableContents"/>
              <w:bidi w:val="0"/>
              <w:spacing w:before="0" w:after="283"/>
              <w:jc w:val="right"/>
              <w:rPr/>
            </w:pPr>
            <w:r>
              <w:rPr/>
              <w:t>13,000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1" w:type="dxa"/>
            <w:tcBorders>
              <w:bottom w:val="single" w:sz="12" w:space="0" w:color="000000"/>
            </w:tcBorders>
            <w:shd w:fill="FFFFFF" w:val="clear"/>
            <w:tcMar>
              <w:bottom w:w="28" w:type="dxa"/>
            </w:tcMar>
            <w:vAlign w:val="center"/>
          </w:tcPr>
          <w:p>
            <w:pPr>
              <w:pStyle w:val="TableContents"/>
              <w:bidi w:val="0"/>
              <w:spacing w:before="0" w:after="283"/>
              <w:jc w:val="right"/>
              <w:rPr/>
            </w:pPr>
            <w:r>
              <w:rPr/>
              <w:t>33,000</w:t>
            </w:r>
          </w:p>
        </w:tc>
        <w:tc>
          <w:tcPr>
            <w:tcW w:w="75" w:type="dxa"/>
            <w:tcBorders/>
            <w:shd w:fill="FFFFFF" w:val="clear"/>
            <w:vAlign w:val="center"/>
          </w:tcPr>
          <w:p>
            <w:pPr>
              <w:pStyle w:val="TableContents"/>
              <w:bidi w:val="0"/>
              <w:spacing w:before="0" w:after="283"/>
              <w:jc w:val="left"/>
              <w:rPr/>
            </w:pPr>
            <w:r>
              <w:rPr/>
              <w:t> </w:t>
            </w:r>
            <w:bookmarkStart w:id="503" w:name="xdx_402_eus-gaap--AmortizationOfIntangib"/>
            <w:bookmarkEnd w:id="503"/>
          </w:p>
        </w:tc>
      </w:tr>
      <w:tr>
        <w:trPr/>
        <w:tc>
          <w:tcPr>
            <w:tcW w:w="27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93" w:type="dxa"/>
            <w:tcBorders>
              <w:bottom w:val="double" w:sz="6" w:space="0" w:color="000000"/>
            </w:tcBorders>
            <w:shd w:fill="CCEEFF" w:val="clear"/>
            <w:tcMar>
              <w:bottom w:w="28" w:type="dxa"/>
            </w:tcMar>
            <w:vAlign w:val="center"/>
          </w:tcPr>
          <w:p>
            <w:pPr>
              <w:pStyle w:val="TableContents"/>
              <w:bidi w:val="0"/>
              <w:spacing w:before="0" w:after="283"/>
              <w:jc w:val="right"/>
              <w:rPr/>
            </w:pPr>
            <w:r>
              <w:rPr/>
              <w:t>2,207,000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11" w:type="dxa"/>
            <w:tcBorders>
              <w:bottom w:val="double" w:sz="6" w:space="0" w:color="000000"/>
            </w:tcBorders>
            <w:shd w:fill="CCEEFF" w:val="clear"/>
            <w:tcMar>
              <w:bottom w:w="28" w:type="dxa"/>
            </w:tcMar>
            <w:vAlign w:val="center"/>
          </w:tcPr>
          <w:p>
            <w:pPr>
              <w:pStyle w:val="TableContents"/>
              <w:bidi w:val="0"/>
              <w:spacing w:before="0" w:after="283"/>
              <w:jc w:val="right"/>
              <w:rPr/>
            </w:pPr>
            <w:r>
              <w:rPr/>
              <w:t>404,000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04" w:name="xdx_8AC_zm3RwNbEkVYc"/>
      <w:bookmarkEnd w:id="504"/>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505" w:name="xdx_891_eus-gaap--ScheduleofFiniteLivedI"/>
      <w:bookmarkEnd w:id="505"/>
      <w:r>
        <w:rPr>
          <w:rFonts w:ascii="Times New Roman;Times;Serif" w:hAnsi="Times New Roman;Times;Serif"/>
          <w:b w:val="false"/>
          <w:i w:val="false"/>
          <w:caps w:val="false"/>
          <w:smallCaps w:val="false"/>
          <w:sz w:val="20"/>
        </w:rPr>
        <w:t>Estimated future amortization expense for the Company’s intangible assets at March 31, 2023 is as follows:</w:t>
      </w:r>
    </w:p>
    <w:p>
      <w:pPr>
        <w:pStyle w:val="TextBody"/>
        <w:bidi w:val="0"/>
        <w:spacing w:before="0" w:after="0"/>
        <w:ind w:left="0" w:right="0" w:hanging="0"/>
        <w:jc w:val="left"/>
        <w:rPr>
          <w:caps w:val="false"/>
          <w:smallCaps w:val="false"/>
        </w:rPr>
      </w:pPr>
      <w:r>
        <w:rPr>
          <w:caps w:val="false"/>
          <w:smallCaps w:val="false"/>
        </w:rPr>
        <w:t> </w:t>
      </w:r>
      <w:bookmarkStart w:id="506" w:name="xdx_8BE_zfMRW3vdYyJ1"/>
      <w:bookmarkEnd w:id="506"/>
      <w:r>
        <w:rPr>
          <w:rFonts w:ascii="Times New Roman;Times;Serif" w:hAnsi="Times New Roman;Times;Serif"/>
          <w:b w:val="false"/>
          <w:i w:val="false"/>
          <w:caps w:val="false"/>
          <w:smallCaps w:val="false"/>
          <w:sz w:val="20"/>
        </w:rPr>
        <w:t>SCHEDULE OF ESTIMATED FUTURE AMORTIZATION EXPENSE</w:t>
      </w:r>
    </w:p>
    <w:tbl>
      <w:tblPr>
        <w:tblW w:w="3360" w:type="dxa"/>
        <w:jc w:val="left"/>
        <w:tblInd w:w="0" w:type="dxa"/>
        <w:tblLayout w:type="fixed"/>
        <w:tblCellMar>
          <w:top w:w="0" w:type="dxa"/>
          <w:left w:w="0" w:type="dxa"/>
          <w:bottom w:w="0" w:type="dxa"/>
          <w:right w:w="0" w:type="dxa"/>
        </w:tblCellMar>
      </w:tblPr>
      <w:tblGrid>
        <w:gridCol w:w="1865"/>
        <w:gridCol w:w="60"/>
        <w:gridCol w:w="140"/>
        <w:gridCol w:w="1220"/>
        <w:gridCol w:w="75"/>
      </w:tblGrid>
      <w:tr>
        <w:trPr/>
        <w:tc>
          <w:tcPr>
            <w:tcW w:w="18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07" w:name="xdx_490_20230331_z85dETrtpz47"/>
            <w:bookmarkEnd w:id="507"/>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08" w:name="xdx_402_eus-gaap--FiniteLivedIntangibleA"/>
            <w:bookmarkEnd w:id="508"/>
          </w:p>
        </w:tc>
      </w:tr>
      <w:tr>
        <w:trPr/>
        <w:tc>
          <w:tcPr>
            <w:tcW w:w="1865" w:type="dxa"/>
            <w:tcBorders/>
            <w:shd w:fill="CCEEFF" w:val="clear"/>
            <w:vAlign w:val="center"/>
          </w:tcPr>
          <w:p>
            <w:pPr>
              <w:pStyle w:val="TableContents"/>
              <w:bidi w:val="0"/>
              <w:spacing w:before="0" w:after="283"/>
              <w:jc w:val="left"/>
              <w:rPr/>
            </w:pPr>
            <w:r>
              <w:rPr/>
              <w:t>Remainder of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8,777,000</w:t>
            </w:r>
          </w:p>
        </w:tc>
        <w:tc>
          <w:tcPr>
            <w:tcW w:w="75" w:type="dxa"/>
            <w:tcBorders/>
            <w:shd w:fill="CCEEFF" w:val="clear"/>
            <w:vAlign w:val="center"/>
          </w:tcPr>
          <w:p>
            <w:pPr>
              <w:pStyle w:val="TableContents"/>
              <w:bidi w:val="0"/>
              <w:spacing w:before="0" w:after="283"/>
              <w:jc w:val="left"/>
              <w:rPr/>
            </w:pPr>
            <w:r>
              <w:rPr/>
              <w:t> </w:t>
            </w:r>
            <w:bookmarkStart w:id="509" w:name="xdx_408_eus-gaap--FiniteLivedIntangibleA"/>
            <w:bookmarkEnd w:id="509"/>
          </w:p>
        </w:tc>
      </w:tr>
      <w:tr>
        <w:trPr/>
        <w:tc>
          <w:tcPr>
            <w:tcW w:w="1865" w:type="dxa"/>
            <w:tcBorders/>
            <w:shd w:fill="FFFFFF" w:val="clear"/>
            <w:vAlign w:val="center"/>
          </w:tcPr>
          <w:p>
            <w:pPr>
              <w:pStyle w:val="TableContents"/>
              <w:bidi w:val="0"/>
              <w:spacing w:before="0" w:after="283"/>
              <w:jc w:val="left"/>
              <w:rPr/>
            </w:pPr>
            <w:r>
              <w:rPr/>
              <w:t>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11,673,000</w:t>
            </w:r>
          </w:p>
        </w:tc>
        <w:tc>
          <w:tcPr>
            <w:tcW w:w="75" w:type="dxa"/>
            <w:tcBorders/>
            <w:shd w:fill="FFFFFF" w:val="clear"/>
            <w:vAlign w:val="center"/>
          </w:tcPr>
          <w:p>
            <w:pPr>
              <w:pStyle w:val="TableContents"/>
              <w:bidi w:val="0"/>
              <w:spacing w:before="0" w:after="283"/>
              <w:jc w:val="left"/>
              <w:rPr/>
            </w:pPr>
            <w:r>
              <w:rPr/>
              <w:t> </w:t>
            </w:r>
            <w:bookmarkStart w:id="510" w:name="xdx_40B_eus-gaap--FiniteLivedIntangibleA"/>
            <w:bookmarkEnd w:id="510"/>
          </w:p>
        </w:tc>
      </w:tr>
      <w:tr>
        <w:trPr/>
        <w:tc>
          <w:tcPr>
            <w:tcW w:w="1865" w:type="dxa"/>
            <w:tcBorders/>
            <w:shd w:fill="CCEEFF" w:val="clear"/>
            <w:vAlign w:val="center"/>
          </w:tcPr>
          <w:p>
            <w:pPr>
              <w:pStyle w:val="TableContents"/>
              <w:bidi w:val="0"/>
              <w:spacing w:before="0" w:after="283"/>
              <w:jc w:val="left"/>
              <w:rPr/>
            </w:pPr>
            <w:r>
              <w:rPr/>
              <w:t>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11,652,000</w:t>
            </w:r>
          </w:p>
        </w:tc>
        <w:tc>
          <w:tcPr>
            <w:tcW w:w="75" w:type="dxa"/>
            <w:tcBorders/>
            <w:shd w:fill="CCEEFF" w:val="clear"/>
            <w:vAlign w:val="center"/>
          </w:tcPr>
          <w:p>
            <w:pPr>
              <w:pStyle w:val="TableContents"/>
              <w:bidi w:val="0"/>
              <w:spacing w:before="0" w:after="283"/>
              <w:jc w:val="left"/>
              <w:rPr/>
            </w:pPr>
            <w:r>
              <w:rPr/>
              <w:t> </w:t>
            </w:r>
            <w:bookmarkStart w:id="511" w:name="xdx_40C_eus-gaap--FiniteLivedIntangibleA"/>
            <w:bookmarkEnd w:id="511"/>
          </w:p>
        </w:tc>
      </w:tr>
      <w:tr>
        <w:trPr/>
        <w:tc>
          <w:tcPr>
            <w:tcW w:w="1865" w:type="dxa"/>
            <w:tcBorders/>
            <w:shd w:fill="FFFFFF" w:val="clear"/>
            <w:vAlign w:val="center"/>
          </w:tcPr>
          <w:p>
            <w:pPr>
              <w:pStyle w:val="TableContents"/>
              <w:bidi w:val="0"/>
              <w:spacing w:before="0" w:after="283"/>
              <w:jc w:val="left"/>
              <w:rPr/>
            </w:pPr>
            <w:r>
              <w:rPr/>
              <w:t>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11,652,000</w:t>
            </w:r>
          </w:p>
        </w:tc>
        <w:tc>
          <w:tcPr>
            <w:tcW w:w="75" w:type="dxa"/>
            <w:tcBorders/>
            <w:shd w:fill="FFFFFF" w:val="clear"/>
            <w:vAlign w:val="center"/>
          </w:tcPr>
          <w:p>
            <w:pPr>
              <w:pStyle w:val="TableContents"/>
              <w:bidi w:val="0"/>
              <w:spacing w:before="0" w:after="283"/>
              <w:jc w:val="left"/>
              <w:rPr/>
            </w:pPr>
            <w:r>
              <w:rPr/>
              <w:t> </w:t>
            </w:r>
            <w:bookmarkStart w:id="512" w:name="xdx_400_eus-gaap--FiniteLivedIntangibleA"/>
            <w:bookmarkEnd w:id="512"/>
          </w:p>
        </w:tc>
      </w:tr>
      <w:tr>
        <w:trPr/>
        <w:tc>
          <w:tcPr>
            <w:tcW w:w="1865" w:type="dxa"/>
            <w:tcBorders/>
            <w:shd w:fill="CCEEFF" w:val="clear"/>
            <w:vAlign w:val="center"/>
          </w:tcPr>
          <w:p>
            <w:pPr>
              <w:pStyle w:val="TableContents"/>
              <w:bidi w:val="0"/>
              <w:spacing w:before="0" w:after="283"/>
              <w:jc w:val="left"/>
              <w:rPr/>
            </w:pPr>
            <w:r>
              <w:rPr/>
              <w:t>2027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11,652,000</w:t>
            </w:r>
          </w:p>
        </w:tc>
        <w:tc>
          <w:tcPr>
            <w:tcW w:w="75" w:type="dxa"/>
            <w:tcBorders/>
            <w:shd w:fill="CCEEFF" w:val="clear"/>
            <w:vAlign w:val="center"/>
          </w:tcPr>
          <w:p>
            <w:pPr>
              <w:pStyle w:val="TableContents"/>
              <w:bidi w:val="0"/>
              <w:spacing w:before="0" w:after="283"/>
              <w:jc w:val="left"/>
              <w:rPr/>
            </w:pPr>
            <w:r>
              <w:rPr/>
              <w:t> </w:t>
            </w:r>
            <w:bookmarkStart w:id="513" w:name="xdx_409_ecustom--FiniteLivedIntangibleAs"/>
            <w:bookmarkEnd w:id="513"/>
          </w:p>
        </w:tc>
      </w:tr>
      <w:tr>
        <w:trPr/>
        <w:tc>
          <w:tcPr>
            <w:tcW w:w="1865" w:type="dxa"/>
            <w:tcBorders/>
            <w:shd w:fill="FFFFFF" w:val="clear"/>
            <w:vAlign w:val="center"/>
          </w:tcPr>
          <w:p>
            <w:pPr>
              <w:pStyle w:val="TableContents"/>
              <w:bidi w:val="0"/>
              <w:spacing w:before="0" w:after="283"/>
              <w:jc w:val="left"/>
              <w:rPr/>
            </w:pPr>
            <w:r>
              <w:rPr/>
              <w:t>Thereafter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96,319,000</w:t>
            </w:r>
          </w:p>
        </w:tc>
        <w:tc>
          <w:tcPr>
            <w:tcW w:w="75" w:type="dxa"/>
            <w:tcBorders/>
            <w:shd w:fill="FFFFFF" w:val="clear"/>
            <w:vAlign w:val="center"/>
          </w:tcPr>
          <w:p>
            <w:pPr>
              <w:pStyle w:val="TableContents"/>
              <w:bidi w:val="0"/>
              <w:spacing w:before="0" w:after="283"/>
              <w:jc w:val="left"/>
              <w:rPr/>
            </w:pPr>
            <w:r>
              <w:rPr/>
              <w:t> </w:t>
            </w:r>
            <w:bookmarkStart w:id="514" w:name="xdx_40B_eus-gaap--FiniteLivedIntangibleA"/>
            <w:bookmarkEnd w:id="514"/>
          </w:p>
        </w:tc>
      </w:tr>
      <w:tr>
        <w:trPr/>
        <w:tc>
          <w:tcPr>
            <w:tcW w:w="18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151,725,000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15" w:name="xdx_8A9_zxrMwyucctK"/>
      <w:bookmarkEnd w:id="515"/>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16" w:name="xdx_802_eus-gaap--AccountsPayableAndAccr"/>
      <w:bookmarkEnd w:id="516"/>
      <w:r>
        <w:rPr>
          <w:rFonts w:ascii="Times New Roman;Times;Serif" w:hAnsi="Times New Roman;Times;Serif"/>
          <w:b/>
          <w:i w:val="false"/>
          <w:caps w:val="false"/>
          <w:smallCaps w:val="false"/>
          <w:sz w:val="20"/>
        </w:rPr>
        <w:t xml:space="preserve">NOTE 12. </w:t>
      </w:r>
      <w:bookmarkStart w:id="517" w:name="xdx_82B_zJ1BvwXUSj19"/>
      <w:bookmarkEnd w:id="517"/>
      <w:r>
        <w:rPr>
          <w:rFonts w:ascii="Times New Roman;Times;Serif" w:hAnsi="Times New Roman;Times;Serif"/>
          <w:b/>
          <w:i w:val="false"/>
          <w:caps w:val="false"/>
          <w:smallCaps w:val="false"/>
          <w:sz w:val="20"/>
        </w:rPr>
        <w:t>ACCOUNTS PAYABLE AND ACCRUED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18" w:name="xdx_898_eus-gaap--ScheduleOfAccountsPaya"/>
      <w:bookmarkEnd w:id="518"/>
      <w:r>
        <w:rPr>
          <w:rFonts w:ascii="Times New Roman;Times;Serif" w:hAnsi="Times New Roman;Times;Serif"/>
          <w:b w:val="false"/>
          <w:i w:val="false"/>
          <w:caps w:val="false"/>
          <w:smallCaps w:val="false"/>
          <w:sz w:val="20"/>
        </w:rPr>
        <w:t>Accounts payable and accrued expenses at March 31, 2023 and December 31, 2022 consisted of the following:</w:t>
      </w:r>
    </w:p>
    <w:p>
      <w:pPr>
        <w:pStyle w:val="TextBody"/>
        <w:bidi w:val="0"/>
        <w:spacing w:before="0" w:after="0"/>
        <w:ind w:left="0" w:right="0" w:hanging="0"/>
        <w:jc w:val="both"/>
        <w:rPr>
          <w:caps w:val="false"/>
          <w:smallCaps w:val="false"/>
        </w:rPr>
      </w:pPr>
      <w:r>
        <w:rPr>
          <w:caps w:val="false"/>
          <w:smallCaps w:val="false"/>
        </w:rPr>
        <w:t> </w:t>
      </w:r>
      <w:bookmarkStart w:id="519" w:name="xdx_8B2_zjTlPls3DNIe"/>
      <w:bookmarkEnd w:id="519"/>
      <w:r>
        <w:rPr>
          <w:rFonts w:ascii="Times New Roman;Times;Serif" w:hAnsi="Times New Roman;Times;Serif"/>
          <w:b w:val="false"/>
          <w:i w:val="false"/>
          <w:caps w:val="false"/>
          <w:smallCaps w:val="false"/>
          <w:sz w:val="20"/>
        </w:rPr>
        <w:t>SCHEDULE OF ACCOUNTS PAYABLE AND ACCRUED EXPENSES</w:t>
      </w:r>
    </w:p>
    <w:tbl>
      <w:tblPr>
        <w:tblW w:w="8009" w:type="dxa"/>
        <w:jc w:val="left"/>
        <w:tblInd w:w="0" w:type="dxa"/>
        <w:tblLayout w:type="fixed"/>
        <w:tblCellMar>
          <w:top w:w="0" w:type="dxa"/>
          <w:left w:w="0" w:type="dxa"/>
          <w:bottom w:w="0" w:type="dxa"/>
          <w:right w:w="0" w:type="dxa"/>
        </w:tblCellMar>
      </w:tblPr>
      <w:tblGrid>
        <w:gridCol w:w="4955"/>
        <w:gridCol w:w="60"/>
        <w:gridCol w:w="140"/>
        <w:gridCol w:w="1175"/>
        <w:gridCol w:w="95"/>
        <w:gridCol w:w="60"/>
        <w:gridCol w:w="150"/>
        <w:gridCol w:w="1264"/>
        <w:gridCol w:w="110"/>
      </w:tblGrid>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20" w:name="xdx_49D_20230331_zWMgTVr2vxt2"/>
            <w:bookmarkEnd w:id="520"/>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21" w:name="xdx_49F_20221231_zvcA3Cj386h8"/>
            <w:bookmarkEnd w:id="521"/>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b/>
              </w:rPr>
            </w:pPr>
            <w:r>
              <w:rPr>
                <w:b/>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bookmarkStart w:id="522" w:name="xdx_406_eus-gaap--AccountsPayableCurrent"/>
            <w:bookmarkEnd w:id="522"/>
          </w:p>
        </w:tc>
      </w:tr>
      <w:tr>
        <w:trPr/>
        <w:tc>
          <w:tcPr>
            <w:tcW w:w="495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6,237,000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264" w:type="dxa"/>
            <w:tcBorders/>
            <w:shd w:fill="CCEEFF" w:val="clear"/>
            <w:vAlign w:val="center"/>
          </w:tcPr>
          <w:p>
            <w:pPr>
              <w:pStyle w:val="TableContents"/>
              <w:bidi w:val="0"/>
              <w:spacing w:before="0" w:after="283"/>
              <w:jc w:val="right"/>
              <w:rPr/>
            </w:pPr>
            <w:r>
              <w:rPr/>
              <w:t>6,440,000</w:t>
            </w:r>
          </w:p>
        </w:tc>
        <w:tc>
          <w:tcPr>
            <w:tcW w:w="110" w:type="dxa"/>
            <w:tcBorders/>
            <w:shd w:fill="CCEEFF" w:val="clear"/>
            <w:vAlign w:val="center"/>
          </w:tcPr>
          <w:p>
            <w:pPr>
              <w:pStyle w:val="TableContents"/>
              <w:bidi w:val="0"/>
              <w:spacing w:before="0" w:after="283"/>
              <w:jc w:val="left"/>
              <w:rPr/>
            </w:pPr>
            <w:r>
              <w:rPr/>
              <w:t> </w:t>
            </w:r>
            <w:bookmarkStart w:id="523" w:name="xdx_408_eus-gaap--AccruedInsuranceCurren"/>
            <w:bookmarkEnd w:id="523"/>
          </w:p>
        </w:tc>
      </w:tr>
      <w:tr>
        <w:trPr/>
        <w:tc>
          <w:tcPr>
            <w:tcW w:w="4955" w:type="dxa"/>
            <w:tcBorders/>
            <w:shd w:fill="FFFFFF" w:val="clear"/>
            <w:vAlign w:val="center"/>
          </w:tcPr>
          <w:p>
            <w:pPr>
              <w:pStyle w:val="TableContents"/>
              <w:bidi w:val="0"/>
              <w:spacing w:before="0" w:after="283"/>
              <w:jc w:val="left"/>
              <w:rPr/>
            </w:pPr>
            <w:r>
              <w:rPr/>
              <w:t>Accrued insurance premium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237,000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575,000</w:t>
            </w:r>
          </w:p>
        </w:tc>
        <w:tc>
          <w:tcPr>
            <w:tcW w:w="110" w:type="dxa"/>
            <w:tcBorders/>
            <w:shd w:fill="FFFFFF" w:val="clear"/>
            <w:vAlign w:val="center"/>
          </w:tcPr>
          <w:p>
            <w:pPr>
              <w:pStyle w:val="TableContents"/>
              <w:bidi w:val="0"/>
              <w:spacing w:before="0" w:after="283"/>
              <w:jc w:val="left"/>
              <w:rPr/>
            </w:pPr>
            <w:r>
              <w:rPr/>
              <w:t> </w:t>
            </w:r>
            <w:bookmarkStart w:id="524" w:name="xdx_40B_eus-gaap--AccruedProfessionalFee"/>
            <w:bookmarkEnd w:id="524"/>
          </w:p>
        </w:tc>
      </w:tr>
      <w:tr>
        <w:trPr/>
        <w:tc>
          <w:tcPr>
            <w:tcW w:w="4955" w:type="dxa"/>
            <w:tcBorders/>
            <w:shd w:fill="CCEEFF" w:val="clear"/>
            <w:vAlign w:val="center"/>
          </w:tcPr>
          <w:p>
            <w:pPr>
              <w:pStyle w:val="TableContents"/>
              <w:bidi w:val="0"/>
              <w:spacing w:before="0" w:after="283"/>
              <w:jc w:val="left"/>
              <w:rPr/>
            </w:pPr>
            <w:r>
              <w:rPr/>
              <w:t>Accrued IHEEZO milestone payment (see Note 16)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5,000,000</w:t>
            </w:r>
          </w:p>
        </w:tc>
        <w:tc>
          <w:tcPr>
            <w:tcW w:w="110" w:type="dxa"/>
            <w:tcBorders/>
            <w:shd w:fill="CCEEFF" w:val="clear"/>
            <w:vAlign w:val="center"/>
          </w:tcPr>
          <w:p>
            <w:pPr>
              <w:pStyle w:val="TableContents"/>
              <w:bidi w:val="0"/>
              <w:spacing w:before="0" w:after="283"/>
              <w:jc w:val="left"/>
              <w:rPr/>
            </w:pPr>
            <w:r>
              <w:rPr/>
              <w:t> </w:t>
            </w:r>
            <w:bookmarkStart w:id="525" w:name="xdx_406_ecustom--AccruedTransitionalFees"/>
            <w:bookmarkEnd w:id="525"/>
          </w:p>
        </w:tc>
      </w:tr>
      <w:tr>
        <w:trPr/>
        <w:tc>
          <w:tcPr>
            <w:tcW w:w="4955" w:type="dxa"/>
            <w:tcBorders/>
            <w:shd w:fill="FFFFFF" w:val="clear"/>
            <w:vAlign w:val="center"/>
          </w:tcPr>
          <w:p>
            <w:pPr>
              <w:pStyle w:val="TableContents"/>
              <w:bidi w:val="0"/>
              <w:spacing w:before="0" w:after="283"/>
              <w:jc w:val="left"/>
              <w:rPr/>
            </w:pPr>
            <w:r>
              <w:rPr/>
              <w:t>Accrued RPC transition payments (see Note 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307,000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453,000</w:t>
            </w:r>
          </w:p>
        </w:tc>
        <w:tc>
          <w:tcPr>
            <w:tcW w:w="110" w:type="dxa"/>
            <w:tcBorders/>
            <w:shd w:fill="FFFFFF" w:val="clear"/>
            <w:vAlign w:val="center"/>
          </w:tcPr>
          <w:p>
            <w:pPr>
              <w:pStyle w:val="TableContents"/>
              <w:bidi w:val="0"/>
              <w:spacing w:before="0" w:after="283"/>
              <w:jc w:val="left"/>
              <w:rPr/>
            </w:pPr>
            <w:r>
              <w:rPr/>
              <w:t> </w:t>
            </w:r>
            <w:bookmarkStart w:id="526" w:name="xdx_407_ecustom--AccruedLigitationSettle"/>
            <w:bookmarkEnd w:id="526"/>
          </w:p>
        </w:tc>
      </w:tr>
      <w:tr>
        <w:trPr/>
        <w:tc>
          <w:tcPr>
            <w:tcW w:w="4955" w:type="dxa"/>
            <w:tcBorders/>
            <w:shd w:fill="CCEEFF" w:val="clear"/>
            <w:vAlign w:val="center"/>
          </w:tcPr>
          <w:p>
            <w:pPr>
              <w:pStyle w:val="TableContents"/>
              <w:bidi w:val="0"/>
              <w:spacing w:before="0" w:after="283"/>
              <w:jc w:val="left"/>
              <w:rPr/>
            </w:pPr>
            <w:r>
              <w:rPr/>
              <w:t>Accrued litigation settlements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49,000</w:t>
            </w:r>
          </w:p>
        </w:tc>
        <w:tc>
          <w:tcPr>
            <w:tcW w:w="110" w:type="dxa"/>
            <w:tcBorders/>
            <w:shd w:fill="CCEEFF" w:val="clear"/>
            <w:vAlign w:val="center"/>
          </w:tcPr>
          <w:p>
            <w:pPr>
              <w:pStyle w:val="TableContents"/>
              <w:bidi w:val="0"/>
              <w:spacing w:before="0" w:after="283"/>
              <w:jc w:val="left"/>
              <w:rPr/>
            </w:pPr>
            <w:r>
              <w:rPr/>
              <w:t> </w:t>
            </w:r>
            <w:bookmarkStart w:id="527" w:name="xdx_40F_ecustom--AccruedExitFeeForNotePa"/>
            <w:bookmarkEnd w:id="527"/>
          </w:p>
        </w:tc>
      </w:tr>
      <w:tr>
        <w:trPr/>
        <w:tc>
          <w:tcPr>
            <w:tcW w:w="4955" w:type="dxa"/>
            <w:tcBorders/>
            <w:shd w:fill="FFFFFF" w:val="clear"/>
            <w:vAlign w:val="center"/>
          </w:tcPr>
          <w:p>
            <w:pPr>
              <w:pStyle w:val="TableContents"/>
              <w:bidi w:val="0"/>
              <w:spacing w:before="0" w:after="283"/>
              <w:jc w:val="left"/>
              <w:rPr/>
            </w:pPr>
            <w:r>
              <w:rPr/>
              <w:t>Accrued exit fee for note payable (see Note 13)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2,275,000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528" w:name="xdx_402_eus-gaap--InterestPayableCurrent"/>
            <w:bookmarkEnd w:id="528"/>
          </w:p>
        </w:tc>
      </w:tr>
      <w:tr>
        <w:trPr/>
        <w:tc>
          <w:tcPr>
            <w:tcW w:w="4955" w:type="dxa"/>
            <w:tcBorders/>
            <w:shd w:fill="CCEEFF" w:val="clear"/>
            <w:vAlign w:val="center"/>
          </w:tcPr>
          <w:p>
            <w:pPr>
              <w:pStyle w:val="TableContents"/>
              <w:bidi w:val="0"/>
              <w:spacing w:before="0" w:after="283"/>
              <w:jc w:val="left"/>
              <w:rPr/>
            </w:pPr>
            <w:r>
              <w:rPr/>
              <w:t>Accrued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1,964,000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shd w:fill="CCEEFF" w:val="clear"/>
            <w:tcMar>
              <w:bottom w:w="28" w:type="dxa"/>
            </w:tcMar>
            <w:vAlign w:val="center"/>
          </w:tcPr>
          <w:p>
            <w:pPr>
              <w:pStyle w:val="TableContents"/>
              <w:bidi w:val="0"/>
              <w:spacing w:before="0" w:after="283"/>
              <w:jc w:val="right"/>
              <w:rPr/>
            </w:pPr>
            <w:r>
              <w:rPr/>
              <w:t>1,254,000</w:t>
            </w:r>
          </w:p>
        </w:tc>
        <w:tc>
          <w:tcPr>
            <w:tcW w:w="110" w:type="dxa"/>
            <w:tcBorders/>
            <w:shd w:fill="CCEEFF" w:val="clear"/>
            <w:vAlign w:val="center"/>
          </w:tcPr>
          <w:p>
            <w:pPr>
              <w:pStyle w:val="TableContents"/>
              <w:bidi w:val="0"/>
              <w:spacing w:before="0" w:after="283"/>
              <w:jc w:val="left"/>
              <w:rPr/>
            </w:pPr>
            <w:r>
              <w:rPr/>
              <w:t> </w:t>
            </w:r>
            <w:bookmarkStart w:id="529" w:name="xdx_40F_eus-gaap--AccountsPayableAndAccr"/>
            <w:bookmarkEnd w:id="529"/>
          </w:p>
        </w:tc>
      </w:tr>
      <w:tr>
        <w:trPr/>
        <w:tc>
          <w:tcPr>
            <w:tcW w:w="4955" w:type="dxa"/>
            <w:tcBorders/>
            <w:shd w:fill="FFFFFF" w:val="clear"/>
            <w:vAlign w:val="center"/>
          </w:tcPr>
          <w:p>
            <w:pPr>
              <w:pStyle w:val="TableContents"/>
              <w:bidi w:val="0"/>
              <w:spacing w:before="0" w:after="283"/>
              <w:jc w:val="left"/>
              <w:rPr/>
            </w:pPr>
            <w:r>
              <w:rPr/>
              <w:t>Total 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16,069,000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1264" w:type="dxa"/>
            <w:tcBorders/>
            <w:shd w:fill="FFFFFF" w:val="clear"/>
            <w:vAlign w:val="center"/>
          </w:tcPr>
          <w:p>
            <w:pPr>
              <w:pStyle w:val="TableContents"/>
              <w:bidi w:val="0"/>
              <w:spacing w:before="0" w:after="283"/>
              <w:jc w:val="right"/>
              <w:rPr/>
            </w:pPr>
            <w:r>
              <w:rPr/>
              <w:t>13,771,000</w:t>
            </w:r>
          </w:p>
        </w:tc>
        <w:tc>
          <w:tcPr>
            <w:tcW w:w="110" w:type="dxa"/>
            <w:tcBorders/>
            <w:shd w:fill="FFFFFF" w:val="clear"/>
            <w:vAlign w:val="center"/>
          </w:tcPr>
          <w:p>
            <w:pPr>
              <w:pStyle w:val="TableContents"/>
              <w:bidi w:val="0"/>
              <w:spacing w:before="0" w:after="283"/>
              <w:jc w:val="left"/>
              <w:rPr/>
            </w:pPr>
            <w:r>
              <w:rPr/>
              <w:t> </w:t>
            </w:r>
            <w:bookmarkStart w:id="530" w:name="xdx_40E_eus-gaap--AccountsPayableAndAccr"/>
            <w:bookmarkEnd w:id="530"/>
          </w:p>
        </w:tc>
      </w:tr>
      <w:tr>
        <w:trPr/>
        <w:tc>
          <w:tcPr>
            <w:tcW w:w="4955" w:type="dxa"/>
            <w:tcBorders/>
            <w:shd w:fill="CCEEFF" w:val="clear"/>
            <w:vAlign w:val="center"/>
          </w:tcPr>
          <w:p>
            <w:pPr>
              <w:pStyle w:val="TableContents"/>
              <w:bidi w:val="0"/>
              <w:spacing w:before="0" w:after="283"/>
              <w:jc w:val="left"/>
              <w:rPr/>
            </w:pPr>
            <w:r>
              <w:rPr/>
              <w:t>Less: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(13,794,000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shd w:fill="CCEEFF" w:val="clear"/>
            <w:tcMar>
              <w:bottom w:w="28" w:type="dxa"/>
            </w:tcMar>
            <w:vAlign w:val="center"/>
          </w:tcPr>
          <w:p>
            <w:pPr>
              <w:pStyle w:val="TableContents"/>
              <w:bidi w:val="0"/>
              <w:spacing w:before="0" w:after="283"/>
              <w:jc w:val="right"/>
              <w:rPr/>
            </w:pPr>
            <w:r>
              <w:rPr/>
              <w:t>(13,771,000</w:t>
            </w:r>
          </w:p>
        </w:tc>
        <w:tc>
          <w:tcPr>
            <w:tcW w:w="110" w:type="dxa"/>
            <w:tcBorders/>
            <w:shd w:fill="CCEEFF" w:val="clear"/>
            <w:vAlign w:val="center"/>
          </w:tcPr>
          <w:p>
            <w:pPr>
              <w:pStyle w:val="TableContents"/>
              <w:bidi w:val="0"/>
              <w:spacing w:before="0" w:after="283"/>
              <w:jc w:val="left"/>
              <w:rPr/>
            </w:pPr>
            <w:r>
              <w:rPr/>
              <w:t>)</w:t>
            </w:r>
            <w:bookmarkStart w:id="531" w:name="xdx_405_eus-gaap--AccountsPayableAndAccr"/>
            <w:bookmarkEnd w:id="531"/>
          </w:p>
        </w:tc>
      </w:tr>
      <w:tr>
        <w:trPr/>
        <w:tc>
          <w:tcPr>
            <w:tcW w:w="4955" w:type="dxa"/>
            <w:tcBorders/>
            <w:shd w:fill="FFFFFF" w:val="clear"/>
            <w:vAlign w:val="center"/>
          </w:tcPr>
          <w:p>
            <w:pPr>
              <w:pStyle w:val="TableContents"/>
              <w:bidi w:val="0"/>
              <w:spacing w:before="0" w:after="283"/>
              <w:jc w:val="left"/>
              <w:rPr/>
            </w:pPr>
            <w:r>
              <w:rPr/>
              <w:t>Non-current total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2,275,000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6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32" w:name="xdx_8A1_zBoeaZS20PGf"/>
      <w:bookmarkEnd w:id="53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financed all insurance policies for the policy term of August 17, 2022 through August 16, 2023. The financing agreement has an interest rate of </w:t>
      </w:r>
      <w:bookmarkStart w:id="533" w:name="xdx_900_eus-gaap--DebtInstrumentInterest"/>
      <w:bookmarkEnd w:id="533"/>
      <w:r>
        <w:rPr>
          <w:rFonts w:ascii="Times New Roman;Times;Serif" w:hAnsi="Times New Roman;Times;Serif"/>
          <w:b w:val="false"/>
          <w:i w:val="false"/>
          <w:caps w:val="false"/>
          <w:smallCaps w:val="false"/>
          <w:sz w:val="20"/>
        </w:rPr>
        <w:t>4.13% per annum and requires eight monthly payments of $</w:t>
      </w:r>
      <w:bookmarkStart w:id="534" w:name="xdx_90A_ecustom--AccruedMonthlyPayments_"/>
      <w:bookmarkEnd w:id="534"/>
      <w:r>
        <w:rPr>
          <w:rFonts w:ascii="Times New Roman;Times;Serif" w:hAnsi="Times New Roman;Times;Serif"/>
          <w:b w:val="false"/>
          <w:i w:val="false"/>
          <w:caps w:val="false"/>
          <w:smallCaps w:val="false"/>
          <w:sz w:val="20"/>
        </w:rPr>
        <w:t>114,000.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35" w:name="xdx_80B_eus-gaap--DebtDisclosureTextBloc"/>
      <w:bookmarkEnd w:id="535"/>
      <w:r>
        <w:rPr>
          <w:rFonts w:ascii="Times New Roman;Times;Serif" w:hAnsi="Times New Roman;Times;Serif"/>
          <w:b/>
          <w:i w:val="false"/>
          <w:caps w:val="false"/>
          <w:smallCaps w:val="false"/>
          <w:sz w:val="20"/>
        </w:rPr>
        <w:t xml:space="preserve">NOTE 13. </w:t>
      </w:r>
      <w:bookmarkStart w:id="536" w:name="xdx_826_zIlYDWR3BKH3"/>
      <w:bookmarkEnd w:id="536"/>
      <w:r>
        <w:rPr>
          <w:rFonts w:ascii="Times New Roman;Times;Serif" w:hAnsi="Times New Roman;Times;Serif"/>
          <w:b/>
          <w:i w:val="false"/>
          <w:caps w:val="false"/>
          <w:smallCaps w:val="false"/>
          <w:sz w:val="20"/>
        </w:rPr>
        <w:t xml:space="preserve">DEBT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Oaktree Loan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2023, the Company entered into a Credit and Guaranty Agreement (the “Oaktree Loan”) with Oaktree Fund Administration, LLC, as administrative agent for the lenders (together, “Oaktree”), providing for a senior secured term loan facility to the Company with a principal amount of up to $</w:t>
      </w:r>
      <w:bookmarkStart w:id="537" w:name="xdx_90E_eus-gaap--DebtInstrumentFaceAmou"/>
      <w:bookmarkEnd w:id="537"/>
      <w:r>
        <w:rPr>
          <w:rFonts w:ascii="Times New Roman;Times;Serif" w:hAnsi="Times New Roman;Times;Serif"/>
          <w:b w:val="false"/>
          <w:i w:val="false"/>
          <w:caps w:val="false"/>
          <w:smallCaps w:val="false"/>
          <w:sz w:val="20"/>
        </w:rPr>
        <w:t>100,000,000. Upon entering into the Oaktree Loan, the Company drew a principal amount of $</w:t>
      </w:r>
      <w:bookmarkStart w:id="538" w:name="xdx_90B_eus-gaap--DebtInstrumentFaceAmou"/>
      <w:bookmarkEnd w:id="538"/>
      <w:r>
        <w:rPr>
          <w:rFonts w:ascii="Times New Roman;Times;Serif" w:hAnsi="Times New Roman;Times;Serif"/>
          <w:b w:val="false"/>
          <w:i w:val="false"/>
          <w:caps w:val="false"/>
          <w:smallCaps w:val="false"/>
          <w:sz w:val="20"/>
        </w:rPr>
        <w:t xml:space="preserve">65,000,000 (“Tranche A”) from the Oaktree Loan and used the net proceeds to repay all amounts owed by the Company pursuant to the Loan and Security Agreement the Company previously entered into with B. Riley Commercial Capital, LLC on December 14, 2022 (the “B. Riley Loan”) – see subheading </w:t>
      </w:r>
      <w:r>
        <w:rPr>
          <w:rFonts w:ascii="Times New Roman;Times;Serif" w:hAnsi="Times New Roman;Times;Serif"/>
          <w:b w:val="false"/>
          <w:i/>
          <w:caps w:val="false"/>
          <w:smallCaps w:val="false"/>
          <w:sz w:val="20"/>
        </w:rPr>
        <w:t xml:space="preserve">B. Riley Loan and Security Agreement – Paid in Full </w:t>
      </w:r>
      <w:r>
        <w:rPr>
          <w:rFonts w:ascii="Times New Roman;Times;Serif" w:hAnsi="Times New Roman;Times;Serif"/>
          <w:b w:val="false"/>
          <w:i w:val="false"/>
          <w:caps w:val="false"/>
          <w:smallCaps w:val="false"/>
          <w:sz w:val="20"/>
        </w:rPr>
        <w:t>within this footnote. The additional principal loan amount of up to $</w:t>
      </w:r>
      <w:bookmarkStart w:id="539" w:name="xdx_906_eus-gaap--DebtInstrumentIncrease"/>
      <w:bookmarkEnd w:id="539"/>
      <w:r>
        <w:rPr>
          <w:rFonts w:ascii="Times New Roman;Times;Serif" w:hAnsi="Times New Roman;Times;Serif"/>
          <w:b w:val="false"/>
          <w:i w:val="false"/>
          <w:caps w:val="false"/>
          <w:smallCaps w:val="false"/>
          <w:sz w:val="20"/>
        </w:rPr>
        <w:t>35,000,000 available under the Oaktree Loan (“Tranche B”) will be made available to the Company upon the commercialization of TRIESENCE (see Note 4). If Tranche B is not drawn by the Company on or before March 27, 2024, the additional principal loan amount available under the Oaktree Loan is reduced to $</w:t>
      </w:r>
      <w:bookmarkStart w:id="540" w:name="xdx_904_eus-gaap--ProceedsFromIssuanceOf"/>
      <w:bookmarkEnd w:id="540"/>
      <w:r>
        <w:rPr>
          <w:rFonts w:ascii="Times New Roman;Times;Serif" w:hAnsi="Times New Roman;Times;Serif"/>
          <w:b w:val="false"/>
          <w:i w:val="false"/>
          <w:caps w:val="false"/>
          <w:smallCaps w:val="false"/>
          <w:sz w:val="20"/>
        </w:rPr>
        <w:t>30,000,000.</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Oaktree Loan is secured by nearly all of the assets, including intellectual property, of the Company and its material subsidiaries. The Oaktree Loan which has a maturity date of </w:t>
      </w:r>
      <w:bookmarkStart w:id="541" w:name="xdx_907_eus-gaap--DebtInstrumentMaturity"/>
      <w:bookmarkEnd w:id="541"/>
      <w:r>
        <w:rPr>
          <w:rFonts w:ascii="Times New Roman;Times;Serif" w:hAnsi="Times New Roman;Times;Serif"/>
          <w:b w:val="false"/>
          <w:i w:val="false"/>
          <w:caps w:val="false"/>
          <w:smallCaps w:val="false"/>
          <w:sz w:val="20"/>
        </w:rPr>
        <w:t xml:space="preserve">January 19, 2026, and bears interest at a rate equal to the Secured Overnight Financing Rate (SOFR) plus </w:t>
      </w:r>
      <w:bookmarkStart w:id="542" w:name="xdx_90E_eus-gaap--DebtInstrumentInterest"/>
      <w:bookmarkEnd w:id="542"/>
      <w:r>
        <w:rPr>
          <w:rFonts w:ascii="Times New Roman;Times;Serif" w:hAnsi="Times New Roman;Times;Serif"/>
          <w:b w:val="false"/>
          <w:i w:val="false"/>
          <w:caps w:val="false"/>
          <w:smallCaps w:val="false"/>
          <w:sz w:val="20"/>
        </w:rPr>
        <w:t xml:space="preserve">6.5% per annum (totaling </w:t>
      </w:r>
      <w:bookmarkStart w:id="543" w:name="xdx_90A_eus-gaap--DebtInstrumentInterest"/>
      <w:bookmarkEnd w:id="543"/>
      <w:r>
        <w:rPr>
          <w:rFonts w:ascii="Times New Roman;Times;Serif" w:hAnsi="Times New Roman;Times;Serif"/>
          <w:b w:val="false"/>
          <w:i w:val="false"/>
          <w:caps w:val="false"/>
          <w:smallCaps w:val="false"/>
          <w:sz w:val="20"/>
        </w:rPr>
        <w:t>11.398% at March 31, 2023). Interest is payable quarterly in arrears on March 31, June 30, September 30, and December 31, of each year. From the proceeds, the Company paid fees and offering expenses of $</w:t>
      </w:r>
      <w:bookmarkStart w:id="544" w:name="xdx_900_eus-gaap--DebtRelatedCommitmentF"/>
      <w:bookmarkEnd w:id="544"/>
      <w:r>
        <w:rPr>
          <w:rFonts w:ascii="Times New Roman;Times;Serif" w:hAnsi="Times New Roman;Times;Serif"/>
          <w:b w:val="false"/>
          <w:i w:val="false"/>
          <w:caps w:val="false"/>
          <w:smallCaps w:val="false"/>
          <w:sz w:val="20"/>
        </w:rPr>
        <w:t>915,000, and the Oaktree Loan was issued at an original issue discount of $</w:t>
      </w:r>
      <w:bookmarkStart w:id="545" w:name="xdx_900_eus-gaap--AmortizationOfDebtDisc"/>
      <w:bookmarkEnd w:id="545"/>
      <w:r>
        <w:rPr>
          <w:rFonts w:ascii="Times New Roman;Times;Serif" w:hAnsi="Times New Roman;Times;Serif"/>
          <w:b w:val="false"/>
          <w:i w:val="false"/>
          <w:caps w:val="false"/>
          <w:smallCaps w:val="false"/>
          <w:sz w:val="20"/>
        </w:rPr>
        <w:t xml:space="preserve">2,500,000. The Oaktree Loan also requires the Company to pay an exit fee equal to </w:t>
      </w:r>
      <w:bookmarkStart w:id="546" w:name="xdx_900_eus-gaap--DebtInstrumentInterest"/>
      <w:bookmarkEnd w:id="546"/>
      <w:r>
        <w:rPr>
          <w:rFonts w:ascii="Times New Roman;Times;Serif" w:hAnsi="Times New Roman;Times;Serif"/>
          <w:b w:val="false"/>
          <w:i w:val="false"/>
          <w:caps w:val="false"/>
          <w:smallCaps w:val="false"/>
          <w:sz w:val="20"/>
        </w:rPr>
        <w:t>3.50% of the aggregate principal amount owed upon any payment or prepayment in full or in part, on or after the maturity date, and accordingly, the Company accrued $</w:t>
      </w:r>
      <w:bookmarkStart w:id="547" w:name="xdx_908_ecustom--AccruedExpenses_c202301"/>
      <w:bookmarkEnd w:id="547"/>
      <w:r>
        <w:rPr>
          <w:rFonts w:ascii="Times New Roman;Times;Serif" w:hAnsi="Times New Roman;Times;Serif"/>
          <w:b w:val="false"/>
          <w:i w:val="false"/>
          <w:caps w:val="false"/>
          <w:smallCaps w:val="false"/>
          <w:sz w:val="20"/>
        </w:rPr>
        <w:t>2,275,000 related to the exit fee. The original issue discount, fees and expenses (including the exit fee) totaling $</w:t>
      </w:r>
      <w:bookmarkStart w:id="548" w:name="xdx_90F_eus-gaap--AmortizationOfFinancin"/>
      <w:bookmarkEnd w:id="548"/>
      <w:r>
        <w:rPr>
          <w:rFonts w:ascii="Times New Roman;Times;Serif" w:hAnsi="Times New Roman;Times;Serif"/>
          <w:b w:val="false"/>
          <w:i w:val="false"/>
          <w:caps w:val="false"/>
          <w:smallCaps w:val="false"/>
          <w:sz w:val="20"/>
        </w:rPr>
        <w:t>5,690,000 have been recorded as a debt discount, which is being amortized over the term of the Oaktree Loan using the effective interest rate method. The Oaktree Loan requires interest-only payments through the maturity date.</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Oaktree Loan contains customary guarantees and covenants, including financial covenants related to minimum liquidity and minimum net revenues. As of the end of the fiscal quarter ending December 31, 2024, if the Company’s Total Leverage Ratio (as defined in the Oaktree Loan) is greater than or equal to five times, but less than seven times, the Company will be required to issue to Oaktree warrants to purchase </w:t>
      </w:r>
      <w:bookmarkStart w:id="549" w:name="xdx_908_eus-gaap--ClassOfWarrantOrRightN"/>
      <w:bookmarkEnd w:id="549"/>
      <w:r>
        <w:rPr>
          <w:rFonts w:ascii="Times New Roman;Times;Serif" w:hAnsi="Times New Roman;Times;Serif"/>
          <w:b w:val="false"/>
          <w:i w:val="false"/>
          <w:caps w:val="false"/>
          <w:smallCaps w:val="false"/>
          <w:sz w:val="20"/>
        </w:rPr>
        <w:t xml:space="preserve">375,000 shares of the Company’s common stock, and if the Total Leverage Ratio is greater than or equal to seven times, the Company will be required to issue to Oaktree warrants to purchase an additional </w:t>
      </w:r>
      <w:bookmarkStart w:id="550" w:name="xdx_908_eus-gaap--ClassOfWarrantOrRightN"/>
      <w:bookmarkEnd w:id="550"/>
      <w:r>
        <w:rPr>
          <w:rFonts w:ascii="Times New Roman;Times;Serif" w:hAnsi="Times New Roman;Times;Serif"/>
          <w:b w:val="false"/>
          <w:i w:val="false"/>
          <w:caps w:val="false"/>
          <w:smallCaps w:val="false"/>
          <w:sz w:val="20"/>
        </w:rPr>
        <w:t xml:space="preserve">375,000 shares of the Company’s common stock (equaling </w:t>
      </w:r>
      <w:bookmarkStart w:id="551" w:name="xdx_907_eus-gaap--ClassOfWarrantOrRightN"/>
      <w:bookmarkEnd w:id="551"/>
      <w:r>
        <w:rPr>
          <w:rFonts w:ascii="Times New Roman;Times;Serif" w:hAnsi="Times New Roman;Times;Serif"/>
          <w:b w:val="false"/>
          <w:i w:val="false"/>
          <w:caps w:val="false"/>
          <w:smallCaps w:val="false"/>
          <w:sz w:val="20"/>
        </w:rPr>
        <w:t>750,000 shares in aggregate). If the Total Leverage Ratio as of the end of the fiscal quarter ending December 31, 2024 is less than five times, no warrants will be issued to Oaktree. Based on current projections, the Company does not expect to issue any warrants related to the Oaktree Loan.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related to the Oaktree Loan totaled $</w:t>
      </w:r>
      <w:bookmarkStart w:id="552" w:name="xdx_902_eus-gaap--InterestExpenseOtherLo"/>
      <w:bookmarkEnd w:id="552"/>
      <w:r>
        <w:rPr>
          <w:rFonts w:ascii="Times New Roman;Times;Serif" w:hAnsi="Times New Roman;Times;Serif"/>
          <w:b w:val="false"/>
          <w:i w:val="false"/>
          <w:caps w:val="false"/>
          <w:smallCaps w:val="false"/>
          <w:sz w:val="20"/>
        </w:rPr>
        <w:t>95,000 for the three months ended March 31, 2023, and included the amortization of debt issuance costs and discount of $</w:t>
      </w:r>
      <w:bookmarkStart w:id="553" w:name="xdx_90F_eus-gaap--AmortizationOfFinancin"/>
      <w:bookmarkEnd w:id="553"/>
      <w:r>
        <w:rPr>
          <w:rFonts w:ascii="Times New Roman;Times;Serif" w:hAnsi="Times New Roman;Times;Serif"/>
          <w:b w:val="false"/>
          <w:i w:val="false"/>
          <w:caps w:val="false"/>
          <w:smallCaps w:val="false"/>
          <w:sz w:val="20"/>
        </w:rPr>
        <w:t>12,000.</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HROWM - 11.875% Senior Notes Due 2027</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2022 and in January 2023, the Company closed an offering of $</w:t>
      </w:r>
      <w:bookmarkStart w:id="554" w:name="xdx_90A_eus-gaap--DebtInstrumentFaceAmou"/>
      <w:bookmarkEnd w:id="554"/>
      <w:r>
        <w:rPr>
          <w:rFonts w:ascii="Times New Roman;Times;Serif" w:hAnsi="Times New Roman;Times;Serif"/>
          <w:b w:val="false"/>
          <w:i w:val="false"/>
          <w:caps w:val="false"/>
          <w:smallCaps w:val="false"/>
          <w:sz w:val="20"/>
        </w:rPr>
        <w:t>35,000,000 and $</w:t>
      </w:r>
      <w:bookmarkStart w:id="555" w:name="xdx_90C_eus-gaap--DebtInstrumentFaceAmou"/>
      <w:bookmarkEnd w:id="555"/>
      <w:r>
        <w:rPr>
          <w:rFonts w:ascii="Times New Roman;Times;Serif" w:hAnsi="Times New Roman;Times;Serif"/>
          <w:b w:val="false"/>
          <w:i w:val="false"/>
          <w:caps w:val="false"/>
          <w:smallCaps w:val="false"/>
          <w:sz w:val="20"/>
        </w:rPr>
        <w:t xml:space="preserve">5,250,000, respectively, aggregate principal amount of </w:t>
      </w:r>
      <w:bookmarkStart w:id="556" w:name="xdx_906_eus-gaap--DebtInstrumentInterest"/>
      <w:bookmarkEnd w:id="556"/>
      <w:r>
        <w:rPr>
          <w:rFonts w:ascii="Times New Roman;Times;Serif" w:hAnsi="Times New Roman;Times;Serif"/>
          <w:b w:val="false"/>
          <w:i w:val="false"/>
          <w:caps w:val="false"/>
          <w:smallCaps w:val="false"/>
          <w:sz w:val="20"/>
        </w:rPr>
        <w:t>11.875% senior notes due in December 2027 (the “2027 Notes”). The 2027 Notes were sold to investors at a par value of $</w:t>
      </w:r>
      <w:bookmarkStart w:id="557" w:name="xdx_902_eus-gaap--SharesIssuedPricePerSh"/>
      <w:bookmarkEnd w:id="557"/>
      <w:r>
        <w:rPr>
          <w:rFonts w:ascii="Times New Roman;Times;Serif" w:hAnsi="Times New Roman;Times;Serif"/>
          <w:b w:val="false"/>
          <w:i w:val="false"/>
          <w:caps w:val="false"/>
          <w:smallCaps w:val="false"/>
          <w:sz w:val="20"/>
        </w:rPr>
        <w:t>25.00 per 2027 Note, and the offering resulted in net proceeds to the Company of approximately $</w:t>
      </w:r>
      <w:bookmarkStart w:id="558" w:name="xdx_90E_eus-gaap--ProceedsFromIssuanceOf"/>
      <w:bookmarkEnd w:id="558"/>
      <w:r>
        <w:rPr>
          <w:rFonts w:ascii="Times New Roman;Times;Serif" w:hAnsi="Times New Roman;Times;Serif"/>
          <w:b w:val="false"/>
          <w:i w:val="false"/>
          <w:caps w:val="false"/>
          <w:smallCaps w:val="false"/>
          <w:sz w:val="20"/>
        </w:rPr>
        <w:t>36,699,000 after deducting underwriting discounts and commissions and expenses of $</w:t>
      </w:r>
      <w:bookmarkStart w:id="559" w:name="xdx_907_eus-gaap--DebtInstrumentUnamorti"/>
      <w:bookmarkEnd w:id="559"/>
      <w:r>
        <w:rPr>
          <w:rFonts w:ascii="Times New Roman;Times;Serif" w:hAnsi="Times New Roman;Times;Serif"/>
          <w:b w:val="false"/>
          <w:i w:val="false"/>
          <w:caps w:val="false"/>
          <w:smallCaps w:val="false"/>
          <w:sz w:val="20"/>
        </w:rPr>
        <w:t>3,551,000.</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2027 Notes are senior unsecured obligations of the Company and rank equally in right of payment with all of the Company’s other existing and future senior unsecured and unsubordinated indebtedness. The 2027 Notes are effectively subordinated in right of payment to all of the Company’s existing and future secured indebtedness and structurally subordinated to all existing and future indebtedness of the Company’s subsidiaries, including trade payables. The 2027 Notes bear interest at the rate of </w:t>
      </w:r>
      <w:bookmarkStart w:id="560" w:name="xdx_903_eus-gaap--DebtInstrumentInterest"/>
      <w:bookmarkEnd w:id="560"/>
      <w:r>
        <w:rPr>
          <w:rFonts w:ascii="Times New Roman;Times;Serif" w:hAnsi="Times New Roman;Times;Serif"/>
          <w:b w:val="false"/>
          <w:i w:val="false"/>
          <w:caps w:val="false"/>
          <w:smallCaps w:val="false"/>
          <w:sz w:val="20"/>
        </w:rPr>
        <w:t xml:space="preserve">11.875% per annum. Interest on the 2027 Notes is payable quarterly in arrears on January 31, April 30, July 31 and October 31 of each year, commencing on January 31, 2023. The 2027 Notes will mature on </w:t>
      </w:r>
      <w:bookmarkStart w:id="561" w:name="xdx_903_eus-gaap--DebtInstrumentMaturity"/>
      <w:bookmarkEnd w:id="561"/>
      <w:r>
        <w:rPr>
          <w:rFonts w:ascii="Times New Roman;Times;Serif" w:hAnsi="Times New Roman;Times;Serif"/>
          <w:b w:val="false"/>
          <w:i w:val="false"/>
          <w:caps w:val="false"/>
          <w:smallCaps w:val="false"/>
          <w:sz w:val="20"/>
        </w:rPr>
        <w:t>December 31, 2027.</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any time prior to December 31, 2024, the Company may, at its option, redeem the 2027 Notes, in whole at any time or in part from time to time, at a </w:t>
      </w:r>
      <w:bookmarkStart w:id="562" w:name="xdx_909_eus-gaap--DebtInstrumentRedempti"/>
      <w:bookmarkEnd w:id="562"/>
      <w:r>
        <w:rPr>
          <w:rFonts w:ascii="Times New Roman;Times;Serif" w:hAnsi="Times New Roman;Times;Serif"/>
          <w:b w:val="false"/>
          <w:i w:val="false"/>
          <w:caps w:val="false"/>
          <w:smallCaps w:val="false"/>
          <w:sz w:val="20"/>
        </w:rPr>
        <w:t>redemption price equal to 100% of the principal amount of the 2027 Notes to be redeemed, plus a make-whole amount, if any, plus accrued and unpaid interest to, but excluding, the date of redemption. The Company may redeem the 2027 Notes for cash in whole or in part at any time at its option (i) on or after December 31, 2024 and prior to December 31, 2025, at a price equal to $25.50 per note, plus accrued and unpaid interest to, but excluding, the date of redemption, (ii) on or after December 31, 2025 and prior to December 31, 2026, at a price equal to $25.25 per note, plus accrued and unpaid interest to, but excluding, the date of redemption, and (iii) on or after December 31, 2026 and prior to maturity, at a price equal to 100% of their principal amount, plus accrued and unpaid interest to, but excluding, the date of redemption. In addition, the Company is required to redeem the 2027 Notes, for cash, in whole but not in part, at the price of $25.50 per note, plus accrued and unpaid interest to, but excluding, the date of redemption, upon occurrence of certain events including (i) the occurrence of a Material Change, as defined in the Second Supplemental Indenture. The 2027 Notes trade on the Nasdaq Stock Market LLC under the symbol “HROWM”.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related to the 2027 Notes totaled $</w:t>
      </w:r>
      <w:bookmarkStart w:id="563" w:name="xdx_906_eus-gaap--InterestExpenseOtherLo"/>
      <w:bookmarkEnd w:id="563"/>
      <w:r>
        <w:rPr>
          <w:rFonts w:ascii="Times New Roman;Times;Serif" w:hAnsi="Times New Roman;Times;Serif"/>
          <w:b w:val="false"/>
          <w:i w:val="false"/>
          <w:caps w:val="false"/>
          <w:smallCaps w:val="false"/>
          <w:sz w:val="20"/>
        </w:rPr>
        <w:t>1,395,000 for the three months ended March 31, 2023, and included amortization of debt issuance costs and debt discount of $</w:t>
      </w:r>
      <w:bookmarkStart w:id="564" w:name="xdx_90D_eus-gaap--AmortizationOfFinancin"/>
      <w:bookmarkEnd w:id="564"/>
      <w:r>
        <w:rPr>
          <w:rFonts w:ascii="Times New Roman;Times;Serif" w:hAnsi="Times New Roman;Times;Serif"/>
          <w:b w:val="false"/>
          <w:i w:val="false"/>
          <w:caps w:val="false"/>
          <w:smallCaps w:val="false"/>
          <w:sz w:val="20"/>
        </w:rPr>
        <w:t>200,000.</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Mark L. Baum, Chief Financial Officer, Andrew R. Boll along with directors Dr. Richard Lindstrom and R. Lawrence Van Horn, in aggregate, own $</w:t>
      </w:r>
      <w:bookmarkStart w:id="565" w:name="xdx_909_eus-gaap--DebtInstrumentFaceAmou"/>
      <w:bookmarkEnd w:id="565"/>
      <w:r>
        <w:rPr>
          <w:rFonts w:ascii="Times New Roman;Times;Serif" w:hAnsi="Times New Roman;Times;Serif"/>
          <w:b w:val="false"/>
          <w:i w:val="false"/>
          <w:caps w:val="false"/>
          <w:smallCaps w:val="false"/>
          <w:sz w:val="20"/>
        </w:rPr>
        <w:t>950,000 in principal amount of the 2027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HROWL - 8.625% Senior Notes Due 2026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2021, the Company closed an offering of $</w:t>
      </w:r>
      <w:bookmarkStart w:id="566" w:name="xdx_901_eus-gaap--DebtInstrumentFaceAmou"/>
      <w:bookmarkEnd w:id="566"/>
      <w:r>
        <w:rPr>
          <w:rFonts w:ascii="Times New Roman;Times;Serif" w:hAnsi="Times New Roman;Times;Serif"/>
          <w:b w:val="false"/>
          <w:i w:val="false"/>
          <w:caps w:val="false"/>
          <w:smallCaps w:val="false"/>
          <w:sz w:val="20"/>
        </w:rPr>
        <w:t>50,000,000 aggregate principal amount of 8.625% senior notes due April 2026, and in May 2021 issued an additional $</w:t>
      </w:r>
      <w:bookmarkStart w:id="567" w:name="xdx_905_eus-gaap--DebtInstrumentIncrease"/>
      <w:bookmarkEnd w:id="567"/>
      <w:r>
        <w:rPr>
          <w:rFonts w:ascii="Times New Roman;Times;Serif" w:hAnsi="Times New Roman;Times;Serif"/>
          <w:b w:val="false"/>
          <w:i w:val="false"/>
          <w:caps w:val="false"/>
          <w:smallCaps w:val="false"/>
          <w:sz w:val="20"/>
        </w:rPr>
        <w:t>5,000,000 of such notes pursuant to the full exercise of the underwriters’ option to purchase additional notes (collectively, the “April Notes”). The April Notes were sold to investors at a par value of $</w:t>
      </w:r>
      <w:bookmarkStart w:id="568" w:name="xdx_90A_eus-gaap--SharesIssuedPricePerSh"/>
      <w:bookmarkEnd w:id="568"/>
      <w:r>
        <w:rPr>
          <w:rFonts w:ascii="Times New Roman;Times;Serif" w:hAnsi="Times New Roman;Times;Serif"/>
          <w:b w:val="false"/>
          <w:i w:val="false"/>
          <w:caps w:val="false"/>
          <w:smallCaps w:val="false"/>
          <w:sz w:val="20"/>
        </w:rPr>
        <w:t>25.00 per April Note and the offering resulted in net proceeds to the Company of approximately $</w:t>
      </w:r>
      <w:bookmarkStart w:id="569" w:name="xdx_900_eus-gaap--ProceedsFromIssuanceOf"/>
      <w:bookmarkEnd w:id="569"/>
      <w:r>
        <w:rPr>
          <w:rFonts w:ascii="Times New Roman;Times;Serif" w:hAnsi="Times New Roman;Times;Serif"/>
          <w:b w:val="false"/>
          <w:i w:val="false"/>
          <w:caps w:val="false"/>
          <w:smallCaps w:val="false"/>
          <w:sz w:val="20"/>
        </w:rPr>
        <w:t>51,909,000 after deducting underwriting discounts and commissions and expenses of $</w:t>
      </w:r>
      <w:bookmarkStart w:id="570" w:name="xdx_903_eus-gaap--DebtInstrumentUnamorti"/>
      <w:bookmarkEnd w:id="570"/>
      <w:r>
        <w:rPr>
          <w:rFonts w:ascii="Times New Roman;Times;Serif" w:hAnsi="Times New Roman;Times;Serif"/>
          <w:b w:val="false"/>
          <w:i w:val="false"/>
          <w:caps w:val="false"/>
          <w:smallCaps w:val="false"/>
          <w:sz w:val="20"/>
        </w:rPr>
        <w:t>3,091,000. In June 2021, in a further issuance of the April Notes, the Company sold an additional $</w:t>
      </w:r>
      <w:bookmarkStart w:id="571" w:name="xdx_904_eus-gaap--DebtInstrumentIncrease"/>
      <w:bookmarkEnd w:id="571"/>
      <w:r>
        <w:rPr>
          <w:rFonts w:ascii="Times New Roman;Times;Serif" w:hAnsi="Times New Roman;Times;Serif"/>
          <w:b w:val="false"/>
          <w:i w:val="false"/>
          <w:caps w:val="false"/>
          <w:smallCaps w:val="false"/>
          <w:sz w:val="20"/>
        </w:rPr>
        <w:t>20,000,000 aggregate principal amount of such notes (the “June Notes,” and together with the April Notes, the “2026 Notes”), at a price of $</w:t>
      </w:r>
      <w:bookmarkStart w:id="572" w:name="xdx_903_eus-gaap--SharesIssuedPricePerSh"/>
      <w:bookmarkEnd w:id="572"/>
      <w:r>
        <w:rPr>
          <w:rFonts w:ascii="Times New Roman;Times;Serif" w:hAnsi="Times New Roman;Times;Serif"/>
          <w:b w:val="false"/>
          <w:i w:val="false"/>
          <w:caps w:val="false"/>
          <w:smallCaps w:val="false"/>
          <w:sz w:val="20"/>
        </w:rPr>
        <w:t>25.75 per June Note, with interest of $</w:t>
      </w:r>
      <w:bookmarkStart w:id="573" w:name="xdx_90D_eus-gaap--InterestExpenseDebt_c2"/>
      <w:bookmarkEnd w:id="573"/>
      <w:r>
        <w:rPr>
          <w:rFonts w:ascii="Times New Roman;Times;Serif" w:hAnsi="Times New Roman;Times;Serif"/>
          <w:b w:val="false"/>
          <w:i w:val="false"/>
          <w:caps w:val="false"/>
          <w:smallCaps w:val="false"/>
          <w:sz w:val="20"/>
        </w:rPr>
        <w:t>278,000 on the June Notes being accrued from April 20, 2021 as of the date of issuance. The June offering resulted in net proceeds to the Company of approximately $</w:t>
      </w:r>
      <w:bookmarkStart w:id="574" w:name="xdx_901_eus-gaap--ProceedsFromIssuanceOf"/>
      <w:bookmarkEnd w:id="574"/>
      <w:r>
        <w:rPr>
          <w:rFonts w:ascii="Times New Roman;Times;Serif" w:hAnsi="Times New Roman;Times;Serif"/>
          <w:b w:val="false"/>
          <w:i w:val="false"/>
          <w:caps w:val="false"/>
          <w:smallCaps w:val="false"/>
          <w:sz w:val="20"/>
        </w:rPr>
        <w:t>19,164,000 after deducting underwriting discounts and commissions and expenses of $</w:t>
      </w:r>
      <w:bookmarkStart w:id="575" w:name="xdx_90B_eus-gaap--DebtInstrumentUnamorti"/>
      <w:bookmarkEnd w:id="575"/>
      <w:r>
        <w:rPr>
          <w:rFonts w:ascii="Times New Roman;Times;Serif" w:hAnsi="Times New Roman;Times;Serif"/>
          <w:b w:val="false"/>
          <w:i w:val="false"/>
          <w:caps w:val="false"/>
          <w:smallCaps w:val="false"/>
          <w:sz w:val="20"/>
        </w:rPr>
        <w:t>1,158,000 and a premium on note issuance of $</w:t>
      </w:r>
      <w:bookmarkStart w:id="576" w:name="xdx_90C_eus-gaap--DebtInstrumentUnamorti"/>
      <w:bookmarkEnd w:id="576"/>
      <w:r>
        <w:rPr>
          <w:rFonts w:ascii="Times New Roman;Times;Serif" w:hAnsi="Times New Roman;Times;Serif"/>
          <w:b w:val="false"/>
          <w:i w:val="false"/>
          <w:caps w:val="false"/>
          <w:smallCaps w:val="false"/>
          <w:sz w:val="20"/>
        </w:rPr>
        <w:t xml:space="preserve">322,000. The June Notes are treated as a single series with the April Notes under the indenture governing the April Notes, dated as of April 20, 2021, and have the same terms as the April Notes (other than the initial offering price and issue date). </w:t>
      </w:r>
      <w:r>
        <w:rPr>
          <w:rFonts w:ascii="Times New Roman;Times;Serif" w:hAnsi="Times New Roman;Times;Serif"/>
          <w:b w:val="false"/>
          <w:i w:val="false"/>
          <w:caps w:val="false"/>
          <w:smallCaps w:val="false"/>
          <w:sz w:val="20"/>
          <w:shd w:fill="FFFFFF" w:val="clear"/>
        </w:rPr>
        <w:t>The 2026 Notes</w:t>
      </w:r>
      <w:r>
        <w:rPr>
          <w:rFonts w:ascii="Times New Roman;Times;Serif" w:hAnsi="Times New Roman;Times;Serif"/>
          <w:b w:val="false"/>
          <w:i w:val="false"/>
          <w:caps w:val="false"/>
          <w:smallCaps w:val="false"/>
          <w:sz w:val="20"/>
        </w:rPr>
        <w:t xml:space="preserve"> are senior unsecured obligations of the Company and rank equally in right of payment with all of our other existing and future senior unsecured and unsubordinated indebtedness. The 2026 Notes are effectively subordinated in right of payment to all of the Company’s existing and future secured indebtedness and structurally subordinated to all existing and future indebtedness of the Company’s subsidiaries, including trade payables. The 2026 Notes bear interest at a rate of </w:t>
      </w:r>
      <w:bookmarkStart w:id="577" w:name="xdx_90A_eus-gaap--DebtInstrumentInterest"/>
      <w:bookmarkEnd w:id="577"/>
      <w:r>
        <w:rPr>
          <w:rFonts w:ascii="Times New Roman;Times;Serif" w:hAnsi="Times New Roman;Times;Serif"/>
          <w:b w:val="false"/>
          <w:i w:val="false"/>
          <w:caps w:val="false"/>
          <w:smallCaps w:val="false"/>
          <w:sz w:val="20"/>
        </w:rPr>
        <w:t xml:space="preserve">8.625% per annum. Interest on the 2026 Notes is payable quarterly in arrears on January 31, April 30, July 31 and October 31 of each year, commencing on July 31, 2021. The 2026 Notes will mature on </w:t>
      </w:r>
      <w:bookmarkStart w:id="578" w:name="xdx_90C_eus-gaap--DebtInstrumentMaturity"/>
      <w:bookmarkEnd w:id="578"/>
      <w:r>
        <w:rPr>
          <w:rFonts w:ascii="Times New Roman;Times;Serif" w:hAnsi="Times New Roman;Times;Serif"/>
          <w:b w:val="false"/>
          <w:i w:val="false"/>
          <w:caps w:val="false"/>
          <w:smallCaps w:val="false"/>
          <w:sz w:val="20"/>
        </w:rPr>
        <w:t xml:space="preserve">April 30, 2026. The </w:t>
      </w:r>
      <w:r>
        <w:rPr>
          <w:rFonts w:ascii="Times New Roman;Times;Serif" w:hAnsi="Times New Roman;Times;Serif"/>
          <w:b w:val="false"/>
          <w:i w:val="false"/>
          <w:caps w:val="false"/>
          <w:smallCaps w:val="false"/>
          <w:sz w:val="20"/>
          <w:shd w:fill="FFFFFF" w:val="clear"/>
        </w:rPr>
        <w:t>issuance costs were recorded as a debt discount and are being amortized as interest expense, net of the amortization of the premium on note issuance, over the term of the 2026 Notes using the effective interest rate method.</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February 1, 2026, the Company may, at its option, redeem the 2026 Notes, in whole at any time or in part from time to time, at a</w:t>
      </w:r>
      <w:bookmarkStart w:id="579" w:name="xdx_90C_eus-gaap--DebtInstrumentRedempti"/>
      <w:bookmarkEnd w:id="579"/>
      <w:r>
        <w:rPr>
          <w:rFonts w:ascii="Times New Roman;Times;Serif" w:hAnsi="Times New Roman;Times;Serif"/>
          <w:b w:val="false"/>
          <w:i w:val="false"/>
          <w:caps w:val="false"/>
          <w:smallCaps w:val="false"/>
          <w:sz w:val="20"/>
        </w:rPr>
        <w:t xml:space="preserve"> redemption price equal to 100% of the principal amount of the 2026 Notes to be redeemed, plus a make-whole amount, if any, plus accrued and unpaid interest to, but excluding, the date of redemption. The Company may redeem the 2026 Notes for cash in whole or in part at any time at our option on or after February 1, 2026 and prior to maturity, at a price equal to 100% of their principal amount, plus accrued and unpaid interest to, but excluding, the date of redemption. On and after any redemption date, interest will cease to accrue on the redeemed Notes. The 2026 Notes trade on the Nasdaq Stock Market LLC under the symbol “HROWL”.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related to the 2026 Notes totaled $</w:t>
      </w:r>
      <w:bookmarkStart w:id="580" w:name="xdx_90A_eus-gaap--InterestExpenseOtherLo"/>
      <w:bookmarkEnd w:id="580"/>
      <w:r>
        <w:rPr>
          <w:rFonts w:ascii="Times New Roman;Times;Serif" w:hAnsi="Times New Roman;Times;Serif"/>
          <w:b w:val="false"/>
          <w:i w:val="false"/>
          <w:caps w:val="false"/>
          <w:smallCaps w:val="false"/>
          <w:sz w:val="20"/>
        </w:rPr>
        <w:t>1,810,000 and $</w:t>
      </w:r>
      <w:bookmarkStart w:id="581" w:name="xdx_90C_eus-gaap--InterestExpenseOtherLo"/>
      <w:bookmarkEnd w:id="581"/>
      <w:r>
        <w:rPr>
          <w:rFonts w:ascii="Times New Roman;Times;Serif" w:hAnsi="Times New Roman;Times;Serif"/>
          <w:b w:val="false"/>
          <w:i w:val="false"/>
          <w:caps w:val="false"/>
          <w:smallCaps w:val="false"/>
          <w:sz w:val="20"/>
        </w:rPr>
        <w:t>1,810,000 for the three months ended March 31, 2023 and 2022, respectively, and included amortization of debt issuance costs and debt discount of $</w:t>
      </w:r>
      <w:bookmarkStart w:id="582" w:name="xdx_90C_eus-gaap--AmortizationOfFinancin"/>
      <w:bookmarkEnd w:id="582"/>
      <w:r>
        <w:rPr>
          <w:rFonts w:ascii="Times New Roman;Times;Serif" w:hAnsi="Times New Roman;Times;Serif"/>
          <w:b w:val="false"/>
          <w:i w:val="false"/>
          <w:caps w:val="false"/>
          <w:smallCaps w:val="false"/>
          <w:sz w:val="20"/>
        </w:rPr>
        <w:t>193,000 and $</w:t>
      </w:r>
      <w:bookmarkStart w:id="583" w:name="xdx_90A_eus-gaap--AmortizationOfFinancin"/>
      <w:bookmarkEnd w:id="583"/>
      <w:r>
        <w:rPr>
          <w:rFonts w:ascii="Times New Roman;Times;Serif" w:hAnsi="Times New Roman;Times;Serif"/>
          <w:b w:val="false"/>
          <w:i w:val="false"/>
          <w:caps w:val="false"/>
          <w:smallCaps w:val="false"/>
          <w:sz w:val="20"/>
        </w:rPr>
        <w:t>193,000, respectively.</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br/>
        <w:t>B. Riley Loan and Security Agreement – Paid in Full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2022 (the “Effective Date”), the Company entered into a Loan and Security Agreement (the “BR Loan”) with B. Riley Commercial Capital, LLC, as Administrative Agent for the Lenders. The BR Loan provided for a loan facility of up to $</w:t>
      </w:r>
      <w:bookmarkStart w:id="584" w:name="xdx_906_eus-gaap--DebtInstrumentFaceAmou"/>
      <w:bookmarkEnd w:id="584"/>
      <w:r>
        <w:rPr>
          <w:rFonts w:ascii="Times New Roman;Times;Serif" w:hAnsi="Times New Roman;Times;Serif"/>
          <w:b w:val="false"/>
          <w:i w:val="false"/>
          <w:caps w:val="false"/>
          <w:smallCaps w:val="false"/>
          <w:sz w:val="20"/>
        </w:rPr>
        <w:t xml:space="preserve">100,000,000 to the Company with a maturity date of </w:t>
      </w:r>
      <w:bookmarkStart w:id="585" w:name="xdx_902_eus-gaap--DebtInstrumentMaturity"/>
      <w:bookmarkEnd w:id="585"/>
      <w:r>
        <w:rPr>
          <w:rFonts w:ascii="Times New Roman;Times;Serif" w:hAnsi="Times New Roman;Times;Serif"/>
          <w:b w:val="false"/>
          <w:i w:val="false"/>
          <w:caps w:val="false"/>
          <w:smallCaps w:val="false"/>
          <w:sz w:val="20"/>
        </w:rPr>
        <w:t xml:space="preserve">December 14, 2025, at an interest rate of </w:t>
      </w:r>
      <w:bookmarkStart w:id="586" w:name="xdx_902_eus-gaap--DebtInstrumentInterest"/>
      <w:bookmarkEnd w:id="586"/>
      <w:r>
        <w:rPr>
          <w:rFonts w:ascii="Times New Roman;Times;Serif" w:hAnsi="Times New Roman;Times;Serif"/>
          <w:b w:val="false"/>
          <w:i w:val="false"/>
          <w:caps w:val="false"/>
          <w:smallCaps w:val="false"/>
          <w:sz w:val="20"/>
        </w:rPr>
        <w:t>10.875% per annum.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BR Loan was secured by an intellectual property security agreement entered into in connection with the BR Loan, and by all assets of the Company and its material subsidiaries. The outstanding balance of the BR Loan was due in full on the maturity date. The BR Loan provided for voluntary prepayment subject to no prepayment fee if no loan had been funded or the prepayment or repayment occured (other than as a result of acceleration of the BR Loan) on or prior to the date that was 90 days following the Effective Date and up to </w:t>
      </w:r>
      <w:bookmarkStart w:id="587" w:name="xdx_90E_eus-gaap--DebtInstrumentInterest"/>
      <w:bookmarkEnd w:id="587"/>
      <w:r>
        <w:rPr>
          <w:rFonts w:ascii="Times New Roman;Times;Serif" w:hAnsi="Times New Roman;Times;Serif"/>
          <w:b w:val="false"/>
          <w:i w:val="false"/>
          <w:caps w:val="false"/>
          <w:smallCaps w:val="false"/>
          <w:sz w:val="20"/>
        </w:rPr>
        <w:t>3.00% of the amount of the loan based on other payment dates.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2023, $</w:t>
      </w:r>
      <w:bookmarkStart w:id="588" w:name="xdx_901_eus-gaap--DebtInstrumentFaceAmou"/>
      <w:bookmarkEnd w:id="588"/>
      <w:r>
        <w:rPr>
          <w:rFonts w:ascii="Times New Roman;Times;Serif" w:hAnsi="Times New Roman;Times;Serif"/>
          <w:b w:val="false"/>
          <w:i w:val="false"/>
          <w:caps w:val="false"/>
          <w:smallCaps w:val="false"/>
          <w:sz w:val="20"/>
        </w:rPr>
        <w:t>59,750,000 of principal amount was funded pursuant to the BR Loan simultaneously with the consummation of the Fab 5 Acquisition. In March 2023, the Company repaid all amounts owed under the BR Loan, including accrued interest of $</w:t>
      </w:r>
      <w:bookmarkStart w:id="589" w:name="xdx_906_eus-gaap--ProceedsFromSaleOfLoan"/>
      <w:bookmarkEnd w:id="589"/>
      <w:r>
        <w:rPr>
          <w:rFonts w:ascii="Times New Roman;Times;Serif" w:hAnsi="Times New Roman;Times;Serif"/>
          <w:b w:val="false"/>
          <w:i w:val="false"/>
          <w:caps w:val="false"/>
          <w:smallCaps w:val="false"/>
          <w:sz w:val="20"/>
        </w:rPr>
        <w:t>1,200,000, from proceeds received in connection with the Oaktree Loan, and no exit or prepayment fees were paid as a result of the payoff of the BR Loan.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related to the BR Loan totaled $</w:t>
      </w:r>
      <w:bookmarkStart w:id="590" w:name="xdx_90C_eus-gaap--InterestExpenseOtherLo"/>
      <w:bookmarkEnd w:id="590"/>
      <w:r>
        <w:rPr>
          <w:rFonts w:ascii="Times New Roman;Times;Serif" w:hAnsi="Times New Roman;Times;Serif"/>
          <w:b w:val="false"/>
          <w:i w:val="false"/>
          <w:caps w:val="false"/>
          <w:smallCaps w:val="false"/>
          <w:sz w:val="20"/>
        </w:rPr>
        <w:t>1,565,000 for the three months ended March 31, 2023, and included amortization of debt issuance costs and debt discount of $</w:t>
      </w:r>
      <w:bookmarkStart w:id="591" w:name="xdx_904_eus-gaap--AmortizationOfFinancin"/>
      <w:bookmarkEnd w:id="591"/>
      <w:r>
        <w:rPr>
          <w:rFonts w:ascii="Times New Roman;Times;Serif" w:hAnsi="Times New Roman;Times;Serif"/>
          <w:b w:val="false"/>
          <w:i w:val="false"/>
          <w:caps w:val="false"/>
          <w:smallCaps w:val="false"/>
          <w:sz w:val="20"/>
        </w:rPr>
        <w:t>356,000. The Company recorded $</w:t>
      </w:r>
      <w:bookmarkStart w:id="592" w:name="xdx_901_eus-gaap--ExtinguishmentOfDebtAm"/>
      <w:bookmarkEnd w:id="592"/>
      <w:r>
        <w:rPr>
          <w:rFonts w:ascii="Times New Roman;Times;Serif" w:hAnsi="Times New Roman;Times;Serif"/>
          <w:b w:val="false"/>
          <w:i w:val="false"/>
          <w:caps w:val="false"/>
          <w:smallCaps w:val="false"/>
          <w:sz w:val="20"/>
        </w:rPr>
        <w:t>5,465,000 related to the write off of the remaining unamortized debt issuance costs and debt discount in connection with the early extinguishment of debt associated with the BR Loan.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bookmarkStart w:id="593" w:name="xdx_89A_eus-gaap--ScheduleOfMaturitiesOf"/>
      <w:bookmarkEnd w:id="593"/>
      <w:r>
        <w:rPr>
          <w:rFonts w:ascii="Times New Roman;Times;Serif" w:hAnsi="Times New Roman;Times;Serif"/>
          <w:b w:val="false"/>
          <w:i w:val="false"/>
          <w:caps w:val="false"/>
          <w:smallCaps w:val="false"/>
          <w:sz w:val="20"/>
          <w:shd w:fill="FFFFFF" w:val="clear"/>
        </w:rPr>
        <w:t>At March 31, 2023, future minimum payments under the Company’s debt are as follows:</w:t>
      </w:r>
    </w:p>
    <w:p>
      <w:pPr>
        <w:pStyle w:val="TextBody"/>
        <w:shd w:fill="FFFFFF" w:val="clear"/>
        <w:bidi w:val="0"/>
        <w:spacing w:before="0" w:after="0"/>
        <w:ind w:left="0" w:right="0" w:hanging="0"/>
        <w:jc w:val="both"/>
        <w:rPr>
          <w:caps w:val="false"/>
          <w:smallCaps w:val="false"/>
        </w:rPr>
      </w:pPr>
      <w:r>
        <w:rPr>
          <w:caps w:val="false"/>
          <w:smallCaps w:val="false"/>
        </w:rPr>
        <w:t> </w:t>
      </w:r>
      <w:bookmarkStart w:id="594" w:name="xdx_8B3_zL5uuUByesh4"/>
      <w:bookmarkEnd w:id="594"/>
      <w:r>
        <w:rPr>
          <w:rFonts w:ascii="Times New Roman;Times;Serif" w:hAnsi="Times New Roman;Times;Serif"/>
          <w:b w:val="false"/>
          <w:i w:val="false"/>
          <w:caps w:val="false"/>
          <w:smallCaps w:val="false"/>
          <w:sz w:val="20"/>
        </w:rPr>
        <w:t>SCHEDULE OF FUTURE MINIMUM PAYMENT UNDER NOTES PAYABLES</w:t>
      </w:r>
    </w:p>
    <w:tbl>
      <w:tblPr>
        <w:tblW w:w="5735" w:type="dxa"/>
        <w:jc w:val="left"/>
        <w:tblInd w:w="0" w:type="dxa"/>
        <w:tblLayout w:type="fixed"/>
        <w:tblCellMar>
          <w:top w:w="0" w:type="dxa"/>
          <w:left w:w="0" w:type="dxa"/>
          <w:bottom w:w="0" w:type="dxa"/>
          <w:right w:w="0" w:type="dxa"/>
        </w:tblCellMar>
      </w:tblPr>
      <w:tblGrid>
        <w:gridCol w:w="4205"/>
        <w:gridCol w:w="60"/>
        <w:gridCol w:w="140"/>
        <w:gridCol w:w="1220"/>
        <w:gridCol w:w="110"/>
      </w:tblGrid>
      <w:tr>
        <w:trPr/>
        <w:tc>
          <w:tcPr>
            <w:tcW w:w="4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95" w:name="xdx_490_20230331_zNrPsSKUWJXg"/>
            <w:bookmarkEnd w:id="595"/>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10" w:type="dxa"/>
            <w:tcBorders/>
            <w:vAlign w:val="center"/>
          </w:tcPr>
          <w:p>
            <w:pPr>
              <w:pStyle w:val="TableContents"/>
              <w:bidi w:val="0"/>
              <w:spacing w:before="0" w:after="283"/>
              <w:jc w:val="left"/>
              <w:rPr/>
            </w:pPr>
            <w:r>
              <w:rPr/>
              <w:t> </w:t>
            </w:r>
            <w:bookmarkStart w:id="596" w:name="xdx_406_eus-gaap--LongTermDebtMaturities"/>
            <w:bookmarkEnd w:id="596"/>
          </w:p>
        </w:tc>
      </w:tr>
      <w:tr>
        <w:trPr/>
        <w:tc>
          <w:tcPr>
            <w:tcW w:w="4205" w:type="dxa"/>
            <w:tcBorders/>
            <w:shd w:fill="CCEEFF" w:val="clear"/>
            <w:vAlign w:val="center"/>
          </w:tcPr>
          <w:p>
            <w:pPr>
              <w:pStyle w:val="TableContents"/>
              <w:bidi w:val="0"/>
              <w:spacing w:before="0" w:after="283"/>
              <w:jc w:val="left"/>
              <w:rPr/>
            </w:pPr>
            <w:r>
              <w:rPr/>
              <w:t>Remainder of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14,145,000</w:t>
            </w:r>
          </w:p>
        </w:tc>
        <w:tc>
          <w:tcPr>
            <w:tcW w:w="110" w:type="dxa"/>
            <w:tcBorders/>
            <w:shd w:fill="CCEEFF" w:val="clear"/>
            <w:vAlign w:val="center"/>
          </w:tcPr>
          <w:p>
            <w:pPr>
              <w:pStyle w:val="TableContents"/>
              <w:bidi w:val="0"/>
              <w:spacing w:before="0" w:after="283"/>
              <w:jc w:val="left"/>
              <w:rPr/>
            </w:pPr>
            <w:r>
              <w:rPr/>
              <w:t> </w:t>
            </w:r>
            <w:bookmarkStart w:id="597" w:name="xdx_40C_eus-gaap--LongTermDebtMaturities"/>
            <w:bookmarkEnd w:id="597"/>
          </w:p>
        </w:tc>
      </w:tr>
      <w:tr>
        <w:trPr/>
        <w:tc>
          <w:tcPr>
            <w:tcW w:w="4205" w:type="dxa"/>
            <w:tcBorders/>
            <w:shd w:fill="FFFFFF" w:val="clear"/>
            <w:vAlign w:val="center"/>
          </w:tcPr>
          <w:p>
            <w:pPr>
              <w:pStyle w:val="TableContents"/>
              <w:bidi w:val="0"/>
              <w:spacing w:before="0" w:after="283"/>
              <w:jc w:val="left"/>
              <w:rPr/>
            </w:pPr>
            <w:r>
              <w:rPr/>
              <w:t>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18,695,000</w:t>
            </w:r>
          </w:p>
        </w:tc>
        <w:tc>
          <w:tcPr>
            <w:tcW w:w="110" w:type="dxa"/>
            <w:tcBorders/>
            <w:shd w:fill="FFFFFF" w:val="clear"/>
            <w:vAlign w:val="center"/>
          </w:tcPr>
          <w:p>
            <w:pPr>
              <w:pStyle w:val="TableContents"/>
              <w:bidi w:val="0"/>
              <w:spacing w:before="0" w:after="283"/>
              <w:jc w:val="left"/>
              <w:rPr/>
            </w:pPr>
            <w:r>
              <w:rPr/>
              <w:t> </w:t>
            </w:r>
            <w:bookmarkStart w:id="598" w:name="xdx_409_eus-gaap--LongTermDebtMaturities"/>
            <w:bookmarkEnd w:id="598"/>
          </w:p>
        </w:tc>
      </w:tr>
      <w:tr>
        <w:trPr/>
        <w:tc>
          <w:tcPr>
            <w:tcW w:w="4205" w:type="dxa"/>
            <w:tcBorders/>
            <w:shd w:fill="CCEEFF" w:val="clear"/>
            <w:vAlign w:val="center"/>
          </w:tcPr>
          <w:p>
            <w:pPr>
              <w:pStyle w:val="TableContents"/>
              <w:bidi w:val="0"/>
              <w:spacing w:before="0" w:after="283"/>
              <w:jc w:val="left"/>
              <w:rPr/>
            </w:pPr>
            <w:r>
              <w:rPr/>
              <w:t>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18,695,000</w:t>
            </w:r>
          </w:p>
        </w:tc>
        <w:tc>
          <w:tcPr>
            <w:tcW w:w="110" w:type="dxa"/>
            <w:tcBorders/>
            <w:shd w:fill="CCEEFF" w:val="clear"/>
            <w:vAlign w:val="center"/>
          </w:tcPr>
          <w:p>
            <w:pPr>
              <w:pStyle w:val="TableContents"/>
              <w:bidi w:val="0"/>
              <w:spacing w:before="0" w:after="283"/>
              <w:jc w:val="left"/>
              <w:rPr/>
            </w:pPr>
            <w:r>
              <w:rPr/>
              <w:t> </w:t>
            </w:r>
            <w:bookmarkStart w:id="599" w:name="xdx_40B_eus-gaap--LongTermDebtMaturities"/>
            <w:bookmarkEnd w:id="599"/>
          </w:p>
        </w:tc>
      </w:tr>
      <w:tr>
        <w:trPr/>
        <w:tc>
          <w:tcPr>
            <w:tcW w:w="4205" w:type="dxa"/>
            <w:tcBorders/>
            <w:shd w:fill="FFFFFF" w:val="clear"/>
            <w:vAlign w:val="center"/>
          </w:tcPr>
          <w:p>
            <w:pPr>
              <w:pStyle w:val="TableContents"/>
              <w:bidi w:val="0"/>
              <w:spacing w:before="0" w:after="283"/>
              <w:jc w:val="left"/>
              <w:rPr/>
            </w:pPr>
            <w:r>
              <w:rPr/>
              <w:t>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147,325,000</w:t>
            </w:r>
          </w:p>
        </w:tc>
        <w:tc>
          <w:tcPr>
            <w:tcW w:w="110" w:type="dxa"/>
            <w:tcBorders/>
            <w:shd w:fill="FFFFFF" w:val="clear"/>
            <w:vAlign w:val="center"/>
          </w:tcPr>
          <w:p>
            <w:pPr>
              <w:pStyle w:val="TableContents"/>
              <w:bidi w:val="0"/>
              <w:spacing w:before="0" w:after="283"/>
              <w:jc w:val="left"/>
              <w:rPr/>
            </w:pPr>
            <w:r>
              <w:rPr/>
              <w:t> </w:t>
            </w:r>
            <w:bookmarkStart w:id="600" w:name="xdx_40C_eus-gaap--LongTermDebtMaturities"/>
            <w:bookmarkEnd w:id="600"/>
          </w:p>
        </w:tc>
      </w:tr>
      <w:tr>
        <w:trPr/>
        <w:tc>
          <w:tcPr>
            <w:tcW w:w="4205" w:type="dxa"/>
            <w:tcBorders/>
            <w:shd w:fill="CCEEFF" w:val="clear"/>
            <w:vAlign w:val="center"/>
          </w:tcPr>
          <w:p>
            <w:pPr>
              <w:pStyle w:val="TableContents"/>
              <w:bidi w:val="0"/>
              <w:spacing w:before="0" w:after="283"/>
              <w:jc w:val="left"/>
              <w:rPr/>
            </w:pPr>
            <w:r>
              <w:rPr/>
              <w:t>2027</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45,030,000</w:t>
            </w:r>
          </w:p>
        </w:tc>
        <w:tc>
          <w:tcPr>
            <w:tcW w:w="110" w:type="dxa"/>
            <w:tcBorders/>
            <w:shd w:fill="CCEEFF" w:val="clear"/>
            <w:vAlign w:val="center"/>
          </w:tcPr>
          <w:p>
            <w:pPr>
              <w:pStyle w:val="TableContents"/>
              <w:bidi w:val="0"/>
              <w:spacing w:before="0" w:after="283"/>
              <w:jc w:val="left"/>
              <w:rPr/>
            </w:pPr>
            <w:r>
              <w:rPr/>
              <w:t> </w:t>
            </w:r>
            <w:bookmarkStart w:id="601" w:name="xdx_403_eus-gaap--LongTermDebt_iTI_mtCzg"/>
            <w:bookmarkEnd w:id="601"/>
          </w:p>
        </w:tc>
      </w:tr>
      <w:tr>
        <w:trPr/>
        <w:tc>
          <w:tcPr>
            <w:tcW w:w="4205" w:type="dxa"/>
            <w:tcBorders/>
            <w:shd w:fill="FFFFFF" w:val="clear"/>
            <w:vAlign w:val="center"/>
          </w:tcPr>
          <w:p>
            <w:pPr>
              <w:pStyle w:val="TableContents"/>
              <w:bidi w:val="0"/>
              <w:spacing w:before="0" w:after="283"/>
              <w:jc w:val="left"/>
              <w:rPr/>
            </w:pPr>
            <w:r>
              <w:rPr/>
              <w:t>Total minimum 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243,890,000</w:t>
            </w:r>
          </w:p>
        </w:tc>
        <w:tc>
          <w:tcPr>
            <w:tcW w:w="110" w:type="dxa"/>
            <w:tcBorders/>
            <w:shd w:fill="FFFFFF" w:val="clear"/>
            <w:vAlign w:val="center"/>
          </w:tcPr>
          <w:p>
            <w:pPr>
              <w:pStyle w:val="TableContents"/>
              <w:bidi w:val="0"/>
              <w:spacing w:before="0" w:after="283"/>
              <w:jc w:val="left"/>
              <w:rPr/>
            </w:pPr>
            <w:r>
              <w:rPr/>
              <w:t> </w:t>
            </w:r>
            <w:bookmarkStart w:id="602" w:name="xdx_405_eus-gaap--InterestPayableCurrent"/>
            <w:bookmarkEnd w:id="602"/>
          </w:p>
        </w:tc>
      </w:tr>
      <w:tr>
        <w:trPr/>
        <w:tc>
          <w:tcPr>
            <w:tcW w:w="4205" w:type="dxa"/>
            <w:tcBorders/>
            <w:shd w:fill="CCEEFF" w:val="clear"/>
            <w:vAlign w:val="center"/>
          </w:tcPr>
          <w:p>
            <w:pPr>
              <w:pStyle w:val="TableContents"/>
              <w:bidi w:val="0"/>
              <w:spacing w:before="0" w:after="283"/>
              <w:jc w:val="left"/>
              <w:rPr/>
            </w:pPr>
            <w:r>
              <w:rPr/>
              <w:t>Less: amount representing interest payments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(63,640,000</w:t>
            </w:r>
          </w:p>
        </w:tc>
        <w:tc>
          <w:tcPr>
            <w:tcW w:w="110" w:type="dxa"/>
            <w:tcBorders/>
            <w:shd w:fill="CCEEFF" w:val="clear"/>
            <w:vAlign w:val="center"/>
          </w:tcPr>
          <w:p>
            <w:pPr>
              <w:pStyle w:val="TableContents"/>
              <w:bidi w:val="0"/>
              <w:spacing w:before="0" w:after="283"/>
              <w:jc w:val="left"/>
              <w:rPr/>
            </w:pPr>
            <w:r>
              <w:rPr/>
              <w:t>)</w:t>
            </w:r>
            <w:bookmarkStart w:id="603" w:name="xdx_401_eus-gaap--DebtInstrumentCarrying"/>
            <w:bookmarkEnd w:id="603"/>
          </w:p>
        </w:tc>
      </w:tr>
      <w:tr>
        <w:trPr/>
        <w:tc>
          <w:tcPr>
            <w:tcW w:w="4205" w:type="dxa"/>
            <w:tcBorders/>
            <w:shd w:fill="FFFFFF" w:val="clear"/>
            <w:vAlign w:val="center"/>
          </w:tcPr>
          <w:p>
            <w:pPr>
              <w:pStyle w:val="TableContents"/>
              <w:bidi w:val="0"/>
              <w:spacing w:before="0" w:after="283"/>
              <w:jc w:val="left"/>
              <w:rPr/>
            </w:pPr>
            <w:r>
              <w:rPr/>
              <w:t>Notes payable, gross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180,250,000</w:t>
            </w:r>
          </w:p>
        </w:tc>
        <w:tc>
          <w:tcPr>
            <w:tcW w:w="110" w:type="dxa"/>
            <w:tcBorders/>
            <w:shd w:fill="FFFFFF" w:val="clear"/>
            <w:vAlign w:val="center"/>
          </w:tcPr>
          <w:p>
            <w:pPr>
              <w:pStyle w:val="TableContents"/>
              <w:bidi w:val="0"/>
              <w:spacing w:before="0" w:after="283"/>
              <w:jc w:val="left"/>
              <w:rPr/>
            </w:pPr>
            <w:r>
              <w:rPr/>
              <w:t> </w:t>
            </w:r>
            <w:bookmarkStart w:id="604" w:name="xdx_40F_eus-gaap--DebtInstrumentUnamorti"/>
            <w:bookmarkEnd w:id="604"/>
          </w:p>
        </w:tc>
      </w:tr>
      <w:tr>
        <w:trPr/>
        <w:tc>
          <w:tcPr>
            <w:tcW w:w="4205" w:type="dxa"/>
            <w:tcBorders/>
            <w:shd w:fill="CCEEFF" w:val="clear"/>
            <w:vAlign w:val="center"/>
          </w:tcPr>
          <w:p>
            <w:pPr>
              <w:pStyle w:val="TableContents"/>
              <w:bidi w:val="0"/>
              <w:spacing w:before="0" w:after="283"/>
              <w:jc w:val="left"/>
              <w:rPr/>
            </w:pPr>
            <w:r>
              <w:rPr/>
              <w:t>Less: unamortized discount, net of premium</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(11,400,000</w:t>
            </w:r>
          </w:p>
        </w:tc>
        <w:tc>
          <w:tcPr>
            <w:tcW w:w="110" w:type="dxa"/>
            <w:tcBorders/>
            <w:shd w:fill="CCEEFF" w:val="clear"/>
            <w:vAlign w:val="center"/>
          </w:tcPr>
          <w:p>
            <w:pPr>
              <w:pStyle w:val="TableContents"/>
              <w:bidi w:val="0"/>
              <w:spacing w:before="0" w:after="283"/>
              <w:jc w:val="left"/>
              <w:rPr/>
            </w:pPr>
            <w:r>
              <w:rPr/>
              <w:t>)</w:t>
            </w:r>
            <w:bookmarkStart w:id="605" w:name="xdx_409_eus-gaap--LongTermNotesPayable_i"/>
            <w:bookmarkEnd w:id="605"/>
          </w:p>
        </w:tc>
      </w:tr>
      <w:tr>
        <w:trPr/>
        <w:tc>
          <w:tcPr>
            <w:tcW w:w="4205" w:type="dxa"/>
            <w:tcBorders/>
            <w:shd w:fill="FFFFFF" w:val="clear"/>
            <w:vAlign w:val="center"/>
          </w:tcPr>
          <w:p>
            <w:pPr>
              <w:pStyle w:val="TableContents"/>
              <w:bidi w:val="0"/>
              <w:spacing w:before="0" w:after="283"/>
              <w:jc w:val="left"/>
              <w:rPr/>
            </w:pPr>
            <w:r>
              <w:rPr/>
              <w:t>Notes payable, net of unamortized discount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168,850,000</w:t>
            </w:r>
          </w:p>
        </w:tc>
        <w:tc>
          <w:tcPr>
            <w:tcW w:w="110"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bookmarkStart w:id="606" w:name="xdx_8AB_zhVgYonasC7i"/>
      <w:bookmarkEnd w:id="606"/>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07" w:name="xdx_804_eus-gaap--LesseeOperatingLeasesT"/>
      <w:bookmarkEnd w:id="607"/>
      <w:r>
        <w:rPr>
          <w:rFonts w:ascii="Times New Roman;Times;Serif" w:hAnsi="Times New Roman;Times;Serif"/>
          <w:b/>
          <w:i w:val="false"/>
          <w:caps w:val="false"/>
          <w:smallCaps w:val="false"/>
          <w:sz w:val="20"/>
        </w:rPr>
        <w:t xml:space="preserve">NOTE 14. </w:t>
      </w:r>
      <w:bookmarkStart w:id="608" w:name="xdx_828_zlz5cZbQxkF2"/>
      <w:bookmarkEnd w:id="608"/>
      <w:r>
        <w:rPr>
          <w:rFonts w:ascii="Times New Roman;Times;Serif" w:hAnsi="Times New Roman;Times;Serif"/>
          <w:b/>
          <w:i w:val="false"/>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leases office and laboratory space under non-cancelable operating leases listed below. These lease agreements have remaining terms between </w:t>
      </w:r>
      <w:bookmarkStart w:id="609" w:name="xdx_908_eus-gaap--LesseeOperatingLeaseRe"/>
      <w:bookmarkEnd w:id="609"/>
      <w:r>
        <w:rPr>
          <w:rFonts w:ascii="Times New Roman;Times;Serif" w:hAnsi="Times New Roman;Times;Serif"/>
          <w:b w:val="false"/>
          <w:i w:val="false"/>
          <w:caps w:val="false"/>
          <w:smallCaps w:val="false"/>
          <w:sz w:val="20"/>
        </w:rPr>
        <w:t xml:space="preserve">one to </w:t>
      </w:r>
      <w:bookmarkStart w:id="610" w:name="xdx_902_eus-gaap--LesseeOperatingLeaseRe"/>
      <w:bookmarkEnd w:id="610"/>
      <w:r>
        <w:rPr>
          <w:rFonts w:ascii="Times New Roman;Times;Serif" w:hAnsi="Times New Roman;Times;Serif"/>
          <w:b w:val="false"/>
          <w:i w:val="false"/>
          <w:caps w:val="false"/>
          <w:smallCaps w:val="false"/>
          <w:sz w:val="20"/>
        </w:rPr>
        <w:t>five years and contain various clauses for renewal at the Company’s option.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operating lease for </w:t>
            </w:r>
            <w:bookmarkStart w:id="611" w:name="xdx_909_eus-gaap--AreaOfLand_iI_uSquareF"/>
            <w:bookmarkEnd w:id="611"/>
            <w:r>
              <w:rPr>
                <w:rFonts w:ascii="Times New Roman;Times;Serif" w:hAnsi="Times New Roman;Times;Serif"/>
                <w:b w:val="false"/>
                <w:i w:val="false"/>
                <w:caps w:val="false"/>
                <w:smallCaps w:val="false"/>
                <w:sz w:val="20"/>
              </w:rPr>
              <w:t xml:space="preserve">5,789 square feet of office space in Carlsbad, California, which commenced in January 2022 and will expire in </w:t>
            </w:r>
            <w:bookmarkStart w:id="612" w:name="xdx_90B_ecustom--LeaseExpirationDateDesc"/>
            <w:bookmarkEnd w:id="612"/>
            <w:r>
              <w:rPr>
                <w:rFonts w:ascii="Times New Roman;Times;Serif" w:hAnsi="Times New Roman;Times;Serif"/>
                <w:b w:val="false"/>
                <w:i w:val="false"/>
                <w:caps w:val="false"/>
                <w:smallCaps w:val="false"/>
                <w:sz w:val="20"/>
              </w:rPr>
              <w:t>March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operating lease for </w:t>
            </w:r>
            <w:bookmarkStart w:id="613" w:name="xdx_90F_eus-gaap--AreaOfLand_iI_uSquareF"/>
            <w:bookmarkEnd w:id="613"/>
            <w:r>
              <w:rPr>
                <w:rFonts w:ascii="Times New Roman;Times;Serif" w:hAnsi="Times New Roman;Times;Serif"/>
                <w:b w:val="false"/>
                <w:i w:val="false"/>
                <w:caps w:val="false"/>
                <w:smallCaps w:val="false"/>
                <w:sz w:val="20"/>
              </w:rPr>
              <w:t xml:space="preserve">35,326 square feet of lab, warehouse and office space in Ledgewood, New Jersey that expires in </w:t>
            </w:r>
            <w:bookmarkStart w:id="614" w:name="xdx_907_ecustom--LeaseExpirationDateDesc"/>
            <w:bookmarkEnd w:id="614"/>
            <w:r>
              <w:rPr>
                <w:rFonts w:ascii="Times New Roman;Times;Serif" w:hAnsi="Times New Roman;Times;Serif"/>
                <w:b w:val="false"/>
                <w:i w:val="false"/>
                <w:caps w:val="false"/>
                <w:smallCaps w:val="false"/>
                <w:sz w:val="20"/>
              </w:rPr>
              <w:t xml:space="preserve">July 2026, with an option to extend the term for two additional five-year periods. This includes an amendment, which was made effective July 2020, that extended the term of the original lease and added </w:t>
            </w:r>
            <w:bookmarkStart w:id="615" w:name="xdx_90C_ecustom--AdditionalAreaOfLand_uS"/>
            <w:bookmarkEnd w:id="615"/>
            <w:r>
              <w:rPr>
                <w:rFonts w:ascii="Times New Roman;Times;Serif" w:hAnsi="Times New Roman;Times;Serif"/>
                <w:b w:val="false"/>
                <w:i w:val="false"/>
                <w:caps w:val="false"/>
                <w:smallCaps w:val="false"/>
                <w:sz w:val="20"/>
              </w:rPr>
              <w:t xml:space="preserve">1,400 of additional square footage to the lease, and another amendment entered into in May 2021 that extended the term of the lease to July 2027 and added </w:t>
            </w:r>
            <w:bookmarkStart w:id="616" w:name="xdx_90A_ecustom--AdditionalAreaOfLand_uS"/>
            <w:bookmarkEnd w:id="616"/>
            <w:r>
              <w:rPr>
                <w:rFonts w:ascii="Times New Roman;Times;Serif" w:hAnsi="Times New Roman;Times;Serif"/>
                <w:b w:val="false"/>
                <w:i w:val="false"/>
                <w:caps w:val="false"/>
                <w:smallCaps w:val="false"/>
                <w:sz w:val="20"/>
              </w:rPr>
              <w:t>8,900 square feet of space.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operating lease for</w:t>
            </w:r>
            <w:bookmarkStart w:id="617" w:name="xdx_900_eus-gaap--AreaOfLand_iI_uSquareF"/>
            <w:bookmarkEnd w:id="617"/>
            <w:r>
              <w:rPr>
                <w:rFonts w:ascii="Times New Roman;Times;Serif" w:hAnsi="Times New Roman;Times;Serif"/>
                <w:b w:val="false"/>
                <w:i w:val="false"/>
                <w:caps w:val="false"/>
                <w:smallCaps w:val="false"/>
                <w:sz w:val="20"/>
              </w:rPr>
              <w:t xml:space="preserve"> 5,500 square feet of office space in Nashville, Tennessee that expires </w:t>
            </w:r>
            <w:bookmarkStart w:id="618" w:name="xdx_904_ecustom--LeaseExpirationDateDesc"/>
            <w:bookmarkEnd w:id="618"/>
            <w:r>
              <w:rPr>
                <w:rFonts w:ascii="Times New Roman;Times;Serif" w:hAnsi="Times New Roman;Times;Serif"/>
                <w:b w:val="false"/>
                <w:i w:val="false"/>
                <w:caps w:val="false"/>
                <w:smallCaps w:val="false"/>
                <w:sz w:val="20"/>
              </w:rPr>
              <w:t>November 30, 2024, with an option to extend the term for two additional five-year periods.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operating lease for </w:t>
            </w:r>
            <w:bookmarkStart w:id="619" w:name="xdx_905_eus-gaap--AreaOfLand_iI_uSquareF"/>
            <w:bookmarkEnd w:id="619"/>
            <w:r>
              <w:rPr>
                <w:rFonts w:ascii="Times New Roman;Times;Serif" w:hAnsi="Times New Roman;Times;Serif"/>
                <w:b w:val="false"/>
                <w:i w:val="false"/>
                <w:caps w:val="false"/>
                <w:smallCaps w:val="false"/>
                <w:sz w:val="20"/>
              </w:rPr>
              <w:t xml:space="preserve">11,552 square feet of lab and office space in Nashville, Tennessee which commenced in June 2022 and will expire in </w:t>
            </w:r>
            <w:bookmarkStart w:id="620" w:name="xdx_90C_ecustom--LeaseExpirationDateDesc"/>
            <w:bookmarkEnd w:id="620"/>
            <w:r>
              <w:rPr>
                <w:rFonts w:ascii="Times New Roman;Times;Serif" w:hAnsi="Times New Roman;Times;Serif"/>
                <w:b w:val="false"/>
                <w:i w:val="false"/>
                <w:caps w:val="false"/>
                <w:smallCaps w:val="false"/>
                <w:sz w:val="20"/>
              </w:rPr>
              <w:t xml:space="preserve">June 2027.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March 31, 2023, the weighted average incremental borrowing rate and the weighted average remaining lease term for the operating leases held by the Company were</w:t>
      </w:r>
      <w:bookmarkStart w:id="621" w:name="xdx_909_eus-gaap--OperatingLeaseWeighted"/>
      <w:bookmarkEnd w:id="621"/>
      <w:r>
        <w:rPr>
          <w:rFonts w:ascii="Times New Roman;Times;Serif" w:hAnsi="Times New Roman;Times;Serif"/>
          <w:b w:val="false"/>
          <w:i w:val="false"/>
          <w:caps w:val="false"/>
          <w:smallCaps w:val="false"/>
          <w:sz w:val="20"/>
        </w:rPr>
        <w:t xml:space="preserve"> 6.61% and </w:t>
      </w:r>
      <w:bookmarkStart w:id="622" w:name="xdx_904_eus-gaap--OperatingLeaseWeighted"/>
      <w:bookmarkEnd w:id="622"/>
      <w:r>
        <w:rPr>
          <w:rFonts w:ascii="Times New Roman;Times;Serif" w:hAnsi="Times New Roman;Times;Serif"/>
          <w:b w:val="false"/>
          <w:i w:val="false"/>
          <w:caps w:val="false"/>
          <w:smallCaps w:val="false"/>
          <w:sz w:val="20"/>
        </w:rPr>
        <w:t>10.72 years,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2023 and 2022, cash paid for amounts included for the operating lease liabilities was $</w:t>
      </w:r>
      <w:bookmarkStart w:id="623" w:name="xdx_901_eus-gaap--OperatingLeasePayments"/>
      <w:bookmarkEnd w:id="623"/>
      <w:r>
        <w:rPr>
          <w:rFonts w:ascii="Times New Roman;Times;Serif" w:hAnsi="Times New Roman;Times;Serif"/>
          <w:b w:val="false"/>
          <w:i w:val="false"/>
          <w:caps w:val="false"/>
          <w:smallCaps w:val="false"/>
          <w:sz w:val="20"/>
        </w:rPr>
        <w:t>306,000 and $</w:t>
      </w:r>
      <w:bookmarkStart w:id="624" w:name="xdx_90E_eus-gaap--OperatingLeasePayments"/>
      <w:bookmarkEnd w:id="624"/>
      <w:r>
        <w:rPr>
          <w:rFonts w:ascii="Times New Roman;Times;Serif" w:hAnsi="Times New Roman;Times;Serif"/>
          <w:b w:val="false"/>
          <w:i w:val="false"/>
          <w:caps w:val="false"/>
          <w:smallCaps w:val="false"/>
          <w:sz w:val="20"/>
        </w:rPr>
        <w:t>166,000, respectively. During the three months ended March 31, 2023 and 2022, the Company recorded operating lease expense of $</w:t>
      </w:r>
      <w:bookmarkStart w:id="625" w:name="xdx_90E_eus-gaap--OperatingLeaseExpense_"/>
      <w:bookmarkEnd w:id="625"/>
      <w:r>
        <w:rPr>
          <w:rFonts w:ascii="Times New Roman;Times;Serif" w:hAnsi="Times New Roman;Times;Serif"/>
          <w:b w:val="false"/>
          <w:i w:val="false"/>
          <w:caps w:val="false"/>
          <w:smallCaps w:val="false"/>
          <w:sz w:val="20"/>
        </w:rPr>
        <w:t>309,000 and $</w:t>
      </w:r>
      <w:bookmarkStart w:id="626" w:name="xdx_906_eus-gaap--OperatingLeaseExpense_"/>
      <w:bookmarkEnd w:id="626"/>
      <w:r>
        <w:rPr>
          <w:rFonts w:ascii="Times New Roman;Times;Serif" w:hAnsi="Times New Roman;Times;Serif"/>
          <w:b w:val="false"/>
          <w:i w:val="false"/>
          <w:caps w:val="false"/>
          <w:smallCaps w:val="false"/>
          <w:sz w:val="20"/>
        </w:rPr>
        <w:t>238,000, respectively, which is included in selling,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27" w:name="xdx_89E_eus-gaap--LesseeOperatingLeaseLi"/>
      <w:bookmarkEnd w:id="627"/>
      <w:r>
        <w:rPr>
          <w:rFonts w:ascii="Times New Roman;Times;Serif" w:hAnsi="Times New Roman;Times;Serif"/>
          <w:b w:val="false"/>
          <w:i w:val="false"/>
          <w:caps w:val="false"/>
          <w:smallCaps w:val="false"/>
          <w:sz w:val="20"/>
        </w:rPr>
        <w:t>Future lease payments under operating leases as of March 31, 2023 were as follows</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bookmarkStart w:id="628" w:name="xdx_8B5_zG6G9TKvnKJc"/>
      <w:bookmarkEnd w:id="628"/>
      <w:r>
        <w:rPr>
          <w:rFonts w:ascii="Times New Roman;Times;Serif" w:hAnsi="Times New Roman;Times;Serif"/>
          <w:b w:val="false"/>
          <w:i w:val="false"/>
          <w:caps w:val="false"/>
          <w:smallCaps w:val="false"/>
          <w:sz w:val="20"/>
        </w:rPr>
        <w:t>SCHEDULE OF FUTURE LEASE PAYMENT UNDER OPERATING LEASES</w:t>
      </w:r>
    </w:p>
    <w:tbl>
      <w:tblPr>
        <w:tblW w:w="6479" w:type="dxa"/>
        <w:jc w:val="left"/>
        <w:tblInd w:w="0" w:type="dxa"/>
        <w:tblLayout w:type="fixed"/>
        <w:tblCellMar>
          <w:top w:w="0" w:type="dxa"/>
          <w:left w:w="0" w:type="dxa"/>
          <w:bottom w:w="0" w:type="dxa"/>
          <w:right w:w="0" w:type="dxa"/>
        </w:tblCellMar>
      </w:tblPr>
      <w:tblGrid>
        <w:gridCol w:w="4520"/>
        <w:gridCol w:w="60"/>
        <w:gridCol w:w="202"/>
        <w:gridCol w:w="1587"/>
        <w:gridCol w:w="110"/>
      </w:tblGrid>
      <w:tr>
        <w:trPr/>
        <w:tc>
          <w:tcPr>
            <w:tcW w:w="4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29" w:name="xdx_498_20230331_zPWoenSo7Btk"/>
            <w:bookmarkEnd w:id="629"/>
          </w:p>
        </w:tc>
        <w:tc>
          <w:tcPr>
            <w:tcW w:w="17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Operating Leases</w:t>
            </w:r>
          </w:p>
        </w:tc>
        <w:tc>
          <w:tcPr>
            <w:tcW w:w="110" w:type="dxa"/>
            <w:tcBorders/>
            <w:vAlign w:val="center"/>
          </w:tcPr>
          <w:p>
            <w:pPr>
              <w:pStyle w:val="TableContents"/>
              <w:bidi w:val="0"/>
              <w:spacing w:before="0" w:after="283"/>
              <w:jc w:val="left"/>
              <w:rPr/>
            </w:pPr>
            <w:r>
              <w:rPr/>
              <w:t> </w:t>
            </w:r>
            <w:bookmarkStart w:id="630" w:name="xdx_40E_eus-gaap--LesseeOperatingLeaseLi"/>
            <w:bookmarkEnd w:id="630"/>
          </w:p>
        </w:tc>
      </w:tr>
      <w:tr>
        <w:trPr/>
        <w:tc>
          <w:tcPr>
            <w:tcW w:w="4520" w:type="dxa"/>
            <w:tcBorders/>
            <w:shd w:fill="CCEEFF" w:val="clear"/>
            <w:vAlign w:val="center"/>
          </w:tcPr>
          <w:p>
            <w:pPr>
              <w:pStyle w:val="TableContents"/>
              <w:bidi w:val="0"/>
              <w:spacing w:before="0" w:after="283"/>
              <w:jc w:val="left"/>
              <w:rPr/>
            </w:pPr>
            <w:r>
              <w:rPr/>
              <w:t>Remainder of 2023</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1587" w:type="dxa"/>
            <w:tcBorders/>
            <w:shd w:fill="CCEEFF" w:val="clear"/>
            <w:vAlign w:val="center"/>
          </w:tcPr>
          <w:p>
            <w:pPr>
              <w:pStyle w:val="TableContents"/>
              <w:bidi w:val="0"/>
              <w:spacing w:before="0" w:after="283"/>
              <w:jc w:val="right"/>
              <w:rPr/>
            </w:pPr>
            <w:r>
              <w:rPr/>
              <w:t>925,000</w:t>
            </w:r>
          </w:p>
        </w:tc>
        <w:tc>
          <w:tcPr>
            <w:tcW w:w="110" w:type="dxa"/>
            <w:tcBorders/>
            <w:shd w:fill="CCEEFF" w:val="clear"/>
            <w:vAlign w:val="center"/>
          </w:tcPr>
          <w:p>
            <w:pPr>
              <w:pStyle w:val="TableContents"/>
              <w:bidi w:val="0"/>
              <w:spacing w:before="0" w:after="283"/>
              <w:jc w:val="left"/>
              <w:rPr/>
            </w:pPr>
            <w:r>
              <w:rPr/>
              <w:t> </w:t>
            </w:r>
            <w:bookmarkStart w:id="631" w:name="xdx_408_eus-gaap--LesseeOperatingLeaseLi"/>
            <w:bookmarkEnd w:id="631"/>
          </w:p>
        </w:tc>
      </w:tr>
      <w:tr>
        <w:trPr/>
        <w:tc>
          <w:tcPr>
            <w:tcW w:w="4520" w:type="dxa"/>
            <w:tcBorders/>
            <w:shd w:fill="FFFFFF" w:val="clear"/>
            <w:vAlign w:val="center"/>
          </w:tcPr>
          <w:p>
            <w:pPr>
              <w:pStyle w:val="TableContents"/>
              <w:bidi w:val="0"/>
              <w:spacing w:before="0" w:after="283"/>
              <w:jc w:val="left"/>
              <w:rPr/>
            </w:pPr>
            <w:r>
              <w:rPr/>
              <w:t>2024</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587" w:type="dxa"/>
            <w:tcBorders/>
            <w:shd w:fill="FFFFFF" w:val="clear"/>
            <w:vAlign w:val="center"/>
          </w:tcPr>
          <w:p>
            <w:pPr>
              <w:pStyle w:val="TableContents"/>
              <w:bidi w:val="0"/>
              <w:spacing w:before="0" w:after="283"/>
              <w:jc w:val="right"/>
              <w:rPr/>
            </w:pPr>
            <w:r>
              <w:rPr/>
              <w:t>1,262,000</w:t>
            </w:r>
          </w:p>
        </w:tc>
        <w:tc>
          <w:tcPr>
            <w:tcW w:w="110" w:type="dxa"/>
            <w:tcBorders/>
            <w:shd w:fill="FFFFFF" w:val="clear"/>
            <w:vAlign w:val="center"/>
          </w:tcPr>
          <w:p>
            <w:pPr>
              <w:pStyle w:val="TableContents"/>
              <w:bidi w:val="0"/>
              <w:spacing w:before="0" w:after="283"/>
              <w:jc w:val="left"/>
              <w:rPr/>
            </w:pPr>
            <w:r>
              <w:rPr/>
              <w:t> </w:t>
            </w:r>
            <w:bookmarkStart w:id="632" w:name="xdx_40E_eus-gaap--LesseeOperatingLeaseLi"/>
            <w:bookmarkEnd w:id="632"/>
          </w:p>
        </w:tc>
      </w:tr>
      <w:tr>
        <w:trPr/>
        <w:tc>
          <w:tcPr>
            <w:tcW w:w="4520" w:type="dxa"/>
            <w:tcBorders/>
            <w:shd w:fill="CCEEFF" w:val="clear"/>
            <w:vAlign w:val="center"/>
          </w:tcPr>
          <w:p>
            <w:pPr>
              <w:pStyle w:val="TableContents"/>
              <w:bidi w:val="0"/>
              <w:spacing w:before="0" w:after="283"/>
              <w:jc w:val="left"/>
              <w:rPr/>
            </w:pPr>
            <w:r>
              <w:rPr/>
              <w:t>2025</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587" w:type="dxa"/>
            <w:tcBorders/>
            <w:shd w:fill="CCEEFF" w:val="clear"/>
            <w:vAlign w:val="center"/>
          </w:tcPr>
          <w:p>
            <w:pPr>
              <w:pStyle w:val="TableContents"/>
              <w:bidi w:val="0"/>
              <w:spacing w:before="0" w:after="283"/>
              <w:jc w:val="right"/>
              <w:rPr/>
            </w:pPr>
            <w:r>
              <w:rPr/>
              <w:t>1,093,000</w:t>
            </w:r>
          </w:p>
        </w:tc>
        <w:tc>
          <w:tcPr>
            <w:tcW w:w="110" w:type="dxa"/>
            <w:tcBorders/>
            <w:shd w:fill="CCEEFF" w:val="clear"/>
            <w:vAlign w:val="center"/>
          </w:tcPr>
          <w:p>
            <w:pPr>
              <w:pStyle w:val="TableContents"/>
              <w:bidi w:val="0"/>
              <w:spacing w:before="0" w:after="283"/>
              <w:jc w:val="left"/>
              <w:rPr/>
            </w:pPr>
            <w:r>
              <w:rPr/>
              <w:t> </w:t>
            </w:r>
            <w:bookmarkStart w:id="633" w:name="xdx_400_eus-gaap--LesseeOperatingLeaseLi"/>
            <w:bookmarkEnd w:id="633"/>
          </w:p>
        </w:tc>
      </w:tr>
      <w:tr>
        <w:trPr/>
        <w:tc>
          <w:tcPr>
            <w:tcW w:w="4520" w:type="dxa"/>
            <w:tcBorders/>
            <w:shd w:fill="FFFFFF" w:val="clear"/>
            <w:vAlign w:val="center"/>
          </w:tcPr>
          <w:p>
            <w:pPr>
              <w:pStyle w:val="TableContents"/>
              <w:bidi w:val="0"/>
              <w:spacing w:before="0" w:after="283"/>
              <w:jc w:val="left"/>
              <w:rPr/>
            </w:pPr>
            <w:r>
              <w:rPr/>
              <w:t>2026</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587" w:type="dxa"/>
            <w:tcBorders/>
            <w:shd w:fill="FFFFFF" w:val="clear"/>
            <w:vAlign w:val="center"/>
          </w:tcPr>
          <w:p>
            <w:pPr>
              <w:pStyle w:val="TableContents"/>
              <w:bidi w:val="0"/>
              <w:spacing w:before="0" w:after="283"/>
              <w:jc w:val="right"/>
              <w:rPr/>
            </w:pPr>
            <w:r>
              <w:rPr/>
              <w:t>1,114,000</w:t>
            </w:r>
          </w:p>
        </w:tc>
        <w:tc>
          <w:tcPr>
            <w:tcW w:w="110" w:type="dxa"/>
            <w:tcBorders/>
            <w:shd w:fill="FFFFFF" w:val="clear"/>
            <w:vAlign w:val="center"/>
          </w:tcPr>
          <w:p>
            <w:pPr>
              <w:pStyle w:val="TableContents"/>
              <w:bidi w:val="0"/>
              <w:spacing w:before="0" w:after="283"/>
              <w:jc w:val="left"/>
              <w:rPr/>
            </w:pPr>
            <w:r>
              <w:rPr/>
              <w:t> </w:t>
            </w:r>
            <w:bookmarkStart w:id="634" w:name="xdx_40A_eus-gaap--LesseeOperatingLeaseLi"/>
            <w:bookmarkEnd w:id="634"/>
          </w:p>
        </w:tc>
      </w:tr>
      <w:tr>
        <w:trPr/>
        <w:tc>
          <w:tcPr>
            <w:tcW w:w="4520" w:type="dxa"/>
            <w:tcBorders/>
            <w:shd w:fill="CCEEFF" w:val="clear"/>
            <w:vAlign w:val="center"/>
          </w:tcPr>
          <w:p>
            <w:pPr>
              <w:pStyle w:val="TableContents"/>
              <w:bidi w:val="0"/>
              <w:spacing w:before="0" w:after="283"/>
              <w:jc w:val="left"/>
              <w:rPr/>
            </w:pPr>
            <w:r>
              <w:rPr/>
              <w:t>2027</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587" w:type="dxa"/>
            <w:tcBorders/>
            <w:shd w:fill="CCEEFF" w:val="clear"/>
            <w:vAlign w:val="center"/>
          </w:tcPr>
          <w:p>
            <w:pPr>
              <w:pStyle w:val="TableContents"/>
              <w:bidi w:val="0"/>
              <w:spacing w:before="0" w:after="283"/>
              <w:jc w:val="right"/>
              <w:rPr/>
            </w:pPr>
            <w:r>
              <w:rPr/>
              <w:t>972,000</w:t>
            </w:r>
          </w:p>
        </w:tc>
        <w:tc>
          <w:tcPr>
            <w:tcW w:w="110" w:type="dxa"/>
            <w:tcBorders/>
            <w:shd w:fill="CCEEFF" w:val="clear"/>
            <w:vAlign w:val="center"/>
          </w:tcPr>
          <w:p>
            <w:pPr>
              <w:pStyle w:val="TableContents"/>
              <w:bidi w:val="0"/>
              <w:spacing w:before="0" w:after="283"/>
              <w:jc w:val="left"/>
              <w:rPr/>
            </w:pPr>
            <w:r>
              <w:rPr/>
              <w:t> </w:t>
            </w:r>
            <w:bookmarkStart w:id="635" w:name="xdx_403_eus-gaap--LesseeOperatingLeaseLi"/>
            <w:bookmarkEnd w:id="635"/>
          </w:p>
        </w:tc>
      </w:tr>
      <w:tr>
        <w:trPr/>
        <w:tc>
          <w:tcPr>
            <w:tcW w:w="4520" w:type="dxa"/>
            <w:tcBorders/>
            <w:shd w:fill="FFFFFF" w:val="clear"/>
            <w:vAlign w:val="center"/>
          </w:tcPr>
          <w:p>
            <w:pPr>
              <w:pStyle w:val="TableContents"/>
              <w:bidi w:val="0"/>
              <w:spacing w:before="0" w:after="283"/>
              <w:jc w:val="left"/>
              <w:rPr/>
            </w:pPr>
            <w:r>
              <w:rPr/>
              <w:t>Thereafter</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87" w:type="dxa"/>
            <w:tcBorders>
              <w:bottom w:val="single" w:sz="12" w:space="0" w:color="000000"/>
            </w:tcBorders>
            <w:shd w:fill="FFFFFF" w:val="clear"/>
            <w:tcMar>
              <w:bottom w:w="28" w:type="dxa"/>
            </w:tcMar>
            <w:vAlign w:val="center"/>
          </w:tcPr>
          <w:p>
            <w:pPr>
              <w:pStyle w:val="TableContents"/>
              <w:bidi w:val="0"/>
              <w:spacing w:before="0" w:after="283"/>
              <w:jc w:val="right"/>
              <w:rPr/>
            </w:pPr>
            <w:r>
              <w:rPr/>
              <w:t>5,829,000</w:t>
            </w:r>
          </w:p>
        </w:tc>
        <w:tc>
          <w:tcPr>
            <w:tcW w:w="110" w:type="dxa"/>
            <w:tcBorders/>
            <w:shd w:fill="FFFFFF" w:val="clear"/>
            <w:vAlign w:val="center"/>
          </w:tcPr>
          <w:p>
            <w:pPr>
              <w:pStyle w:val="TableContents"/>
              <w:bidi w:val="0"/>
              <w:spacing w:before="0" w:after="283"/>
              <w:jc w:val="left"/>
              <w:rPr/>
            </w:pPr>
            <w:r>
              <w:rPr/>
              <w:t> </w:t>
            </w:r>
            <w:bookmarkStart w:id="636" w:name="xdx_401_eus-gaap--LesseeOperatingLeaseLi"/>
            <w:bookmarkEnd w:id="636"/>
          </w:p>
        </w:tc>
      </w:tr>
      <w:tr>
        <w:trPr/>
        <w:tc>
          <w:tcPr>
            <w:tcW w:w="4520" w:type="dxa"/>
            <w:tcBorders/>
            <w:shd w:fill="CCEEFF" w:val="clear"/>
            <w:vAlign w:val="center"/>
          </w:tcPr>
          <w:p>
            <w:pPr>
              <w:pStyle w:val="TableContents"/>
              <w:bidi w:val="0"/>
              <w:spacing w:before="0" w:after="283"/>
              <w:jc w:val="left"/>
              <w:rPr/>
            </w:pPr>
            <w:r>
              <w:rPr/>
              <w:t>Total minimum lease payments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587" w:type="dxa"/>
            <w:tcBorders/>
            <w:shd w:fill="CCEEFF" w:val="clear"/>
            <w:vAlign w:val="center"/>
          </w:tcPr>
          <w:p>
            <w:pPr>
              <w:pStyle w:val="TableContents"/>
              <w:bidi w:val="0"/>
              <w:spacing w:before="0" w:after="283"/>
              <w:jc w:val="right"/>
              <w:rPr/>
            </w:pPr>
            <w:r>
              <w:rPr/>
              <w:t>11,195,000</w:t>
            </w:r>
          </w:p>
        </w:tc>
        <w:tc>
          <w:tcPr>
            <w:tcW w:w="110" w:type="dxa"/>
            <w:tcBorders/>
            <w:shd w:fill="CCEEFF" w:val="clear"/>
            <w:vAlign w:val="center"/>
          </w:tcPr>
          <w:p>
            <w:pPr>
              <w:pStyle w:val="TableContents"/>
              <w:bidi w:val="0"/>
              <w:spacing w:before="0" w:after="283"/>
              <w:jc w:val="left"/>
              <w:rPr/>
            </w:pPr>
            <w:r>
              <w:rPr/>
              <w:t> </w:t>
            </w:r>
            <w:bookmarkStart w:id="637" w:name="xdx_400_eus-gaap--LesseeOperatingLeaseLi"/>
            <w:bookmarkEnd w:id="637"/>
          </w:p>
        </w:tc>
      </w:tr>
      <w:tr>
        <w:trPr/>
        <w:tc>
          <w:tcPr>
            <w:tcW w:w="4520" w:type="dxa"/>
            <w:tcBorders/>
            <w:shd w:fill="FFFFFF" w:val="clear"/>
            <w:vAlign w:val="center"/>
          </w:tcPr>
          <w:p>
            <w:pPr>
              <w:pStyle w:val="TableContents"/>
              <w:bidi w:val="0"/>
              <w:spacing w:before="0" w:after="283"/>
              <w:jc w:val="left"/>
              <w:rPr/>
            </w:pPr>
            <w:r>
              <w:rPr/>
              <w:t>Less: amount representing interest payments</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87" w:type="dxa"/>
            <w:tcBorders>
              <w:bottom w:val="single" w:sz="12" w:space="0" w:color="000000"/>
            </w:tcBorders>
            <w:shd w:fill="FFFFFF" w:val="clear"/>
            <w:tcMar>
              <w:bottom w:w="28" w:type="dxa"/>
            </w:tcMar>
            <w:vAlign w:val="center"/>
          </w:tcPr>
          <w:p>
            <w:pPr>
              <w:pStyle w:val="TableContents"/>
              <w:bidi w:val="0"/>
              <w:spacing w:before="0" w:after="283"/>
              <w:jc w:val="right"/>
              <w:rPr/>
            </w:pPr>
            <w:r>
              <w:rPr/>
              <w:t>(3,314,000</w:t>
            </w:r>
          </w:p>
        </w:tc>
        <w:tc>
          <w:tcPr>
            <w:tcW w:w="110" w:type="dxa"/>
            <w:tcBorders/>
            <w:shd w:fill="FFFFFF" w:val="clear"/>
            <w:vAlign w:val="center"/>
          </w:tcPr>
          <w:p>
            <w:pPr>
              <w:pStyle w:val="TableContents"/>
              <w:bidi w:val="0"/>
              <w:spacing w:before="0" w:after="283"/>
              <w:jc w:val="left"/>
              <w:rPr/>
            </w:pPr>
            <w:r>
              <w:rPr/>
              <w:t>)</w:t>
            </w:r>
            <w:bookmarkStart w:id="638" w:name="xdx_406_eus-gaap--OperatingLeaseLiabilit"/>
            <w:bookmarkEnd w:id="638"/>
          </w:p>
        </w:tc>
      </w:tr>
      <w:tr>
        <w:trPr/>
        <w:tc>
          <w:tcPr>
            <w:tcW w:w="4520" w:type="dxa"/>
            <w:tcBorders/>
            <w:shd w:fill="CCEEFF" w:val="clear"/>
            <w:vAlign w:val="center"/>
          </w:tcPr>
          <w:p>
            <w:pPr>
              <w:pStyle w:val="TableContents"/>
              <w:bidi w:val="0"/>
              <w:spacing w:before="0" w:after="283"/>
              <w:jc w:val="left"/>
              <w:rPr/>
            </w:pPr>
            <w:r>
              <w:rPr/>
              <w:t> </w:t>
            </w:r>
            <w:r>
              <w:rPr/>
              <w:t>Total operating lease liabilities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587" w:type="dxa"/>
            <w:tcBorders/>
            <w:shd w:fill="CCEEFF" w:val="clear"/>
            <w:vAlign w:val="center"/>
          </w:tcPr>
          <w:p>
            <w:pPr>
              <w:pStyle w:val="TableContents"/>
              <w:bidi w:val="0"/>
              <w:spacing w:before="0" w:after="283"/>
              <w:jc w:val="right"/>
              <w:rPr/>
            </w:pPr>
            <w:r>
              <w:rPr/>
              <w:t>7,881,000</w:t>
            </w:r>
          </w:p>
        </w:tc>
        <w:tc>
          <w:tcPr>
            <w:tcW w:w="110" w:type="dxa"/>
            <w:tcBorders/>
            <w:shd w:fill="CCEEFF" w:val="clear"/>
            <w:vAlign w:val="center"/>
          </w:tcPr>
          <w:p>
            <w:pPr>
              <w:pStyle w:val="TableContents"/>
              <w:bidi w:val="0"/>
              <w:spacing w:before="0" w:after="283"/>
              <w:jc w:val="left"/>
              <w:rPr/>
            </w:pPr>
            <w:r>
              <w:rPr/>
              <w:t> </w:t>
            </w:r>
            <w:bookmarkStart w:id="639" w:name="xdx_40E_eus-gaap--OperatingLeaseLiabilit"/>
            <w:bookmarkEnd w:id="639"/>
          </w:p>
        </w:tc>
      </w:tr>
      <w:tr>
        <w:trPr/>
        <w:tc>
          <w:tcPr>
            <w:tcW w:w="4520" w:type="dxa"/>
            <w:tcBorders/>
            <w:shd w:fill="FFFFFF" w:val="clear"/>
            <w:vAlign w:val="center"/>
          </w:tcPr>
          <w:p>
            <w:pPr>
              <w:pStyle w:val="TableContents"/>
              <w:bidi w:val="0"/>
              <w:spacing w:before="0" w:after="283"/>
              <w:jc w:val="left"/>
              <w:rPr/>
            </w:pPr>
            <w:r>
              <w:rPr/>
              <w:t>Less: current portion, operating lease liabilities</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87" w:type="dxa"/>
            <w:tcBorders>
              <w:bottom w:val="single" w:sz="12" w:space="0" w:color="000000"/>
            </w:tcBorders>
            <w:shd w:fill="FFFFFF" w:val="clear"/>
            <w:tcMar>
              <w:bottom w:w="28" w:type="dxa"/>
            </w:tcMar>
            <w:vAlign w:val="center"/>
          </w:tcPr>
          <w:p>
            <w:pPr>
              <w:pStyle w:val="TableContents"/>
              <w:bidi w:val="0"/>
              <w:spacing w:before="0" w:after="283"/>
              <w:jc w:val="right"/>
              <w:rPr/>
            </w:pPr>
            <w:r>
              <w:rPr/>
              <w:t>(744,000</w:t>
            </w:r>
          </w:p>
        </w:tc>
        <w:tc>
          <w:tcPr>
            <w:tcW w:w="110" w:type="dxa"/>
            <w:tcBorders/>
            <w:shd w:fill="FFFFFF" w:val="clear"/>
            <w:vAlign w:val="center"/>
          </w:tcPr>
          <w:p>
            <w:pPr>
              <w:pStyle w:val="TableContents"/>
              <w:bidi w:val="0"/>
              <w:spacing w:before="0" w:after="283"/>
              <w:jc w:val="left"/>
              <w:rPr/>
            </w:pPr>
            <w:r>
              <w:rPr/>
              <w:t>)</w:t>
            </w:r>
            <w:bookmarkStart w:id="640" w:name="xdx_40C_eus-gaap--OperatingLeaseLiabilit"/>
            <w:bookmarkEnd w:id="640"/>
          </w:p>
        </w:tc>
      </w:tr>
      <w:tr>
        <w:trPr/>
        <w:tc>
          <w:tcPr>
            <w:tcW w:w="4520" w:type="dxa"/>
            <w:tcBorders/>
            <w:shd w:fill="CCEEFF" w:val="clear"/>
            <w:vAlign w:val="center"/>
          </w:tcPr>
          <w:p>
            <w:pPr>
              <w:pStyle w:val="TableContents"/>
              <w:bidi w:val="0"/>
              <w:spacing w:before="0" w:after="283"/>
              <w:jc w:val="left"/>
              <w:rPr/>
            </w:pPr>
            <w:r>
              <w:rPr/>
              <w:t>Operating lease liabilities, net of current portion</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87" w:type="dxa"/>
            <w:tcBorders>
              <w:bottom w:val="double" w:sz="6" w:space="0" w:color="000000"/>
            </w:tcBorders>
            <w:shd w:fill="CCEEFF" w:val="clear"/>
            <w:tcMar>
              <w:bottom w:w="28" w:type="dxa"/>
            </w:tcMar>
            <w:vAlign w:val="center"/>
          </w:tcPr>
          <w:p>
            <w:pPr>
              <w:pStyle w:val="TableContents"/>
              <w:bidi w:val="0"/>
              <w:spacing w:before="0" w:after="283"/>
              <w:jc w:val="right"/>
              <w:rPr/>
            </w:pPr>
            <w:r>
              <w:rPr/>
              <w:t>7,137,000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41" w:name="xdx_8A5_zEZBbYVTzEF4"/>
      <w:bookmarkEnd w:id="641"/>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42" w:name="xdx_806_eus-gaap--ShareholdersEquityAndS"/>
      <w:bookmarkEnd w:id="642"/>
      <w:r>
        <w:rPr>
          <w:rFonts w:ascii="Times New Roman;Times;Serif" w:hAnsi="Times New Roman;Times;Serif"/>
          <w:b/>
          <w:i w:val="false"/>
          <w:caps w:val="false"/>
          <w:smallCaps w:val="false"/>
          <w:sz w:val="20"/>
        </w:rPr>
        <w:t xml:space="preserve">NOTE 15. </w:t>
      </w:r>
      <w:bookmarkStart w:id="643" w:name="xdx_827_zT2I2YpBmnK6"/>
      <w:bookmarkEnd w:id="643"/>
      <w:r>
        <w:rPr>
          <w:rFonts w:ascii="Times New Roman;Times;Serif" w:hAnsi="Times New Roman;Times;Serif"/>
          <w:b/>
          <w:i w:val="false"/>
          <w:caps w:val="false"/>
          <w:smallCaps w:val="false"/>
          <w:sz w:val="20"/>
        </w:rPr>
        <w:t xml:space="preserve">STOCKHOLDERS’ EQUITY AND STOCK-BASED COMPENSATION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2023, the Company issued </w:t>
      </w:r>
      <w:bookmarkStart w:id="644" w:name="xdx_90C_eus-gaap--StockIssuedDuringPerio"/>
      <w:bookmarkEnd w:id="644"/>
      <w:r>
        <w:rPr>
          <w:rFonts w:ascii="Times New Roman;Times;Serif" w:hAnsi="Times New Roman;Times;Serif"/>
          <w:b w:val="false"/>
          <w:i w:val="false"/>
          <w:caps w:val="false"/>
          <w:smallCaps w:val="false"/>
          <w:sz w:val="20"/>
        </w:rPr>
        <w:t>33,063 shares of common stock and received proceeds of $</w:t>
      </w:r>
      <w:bookmarkStart w:id="645" w:name="xdx_902_eus-gaap--ProceedsFromStockOptio"/>
      <w:bookmarkEnd w:id="645"/>
      <w:r>
        <w:rPr>
          <w:rFonts w:ascii="Times New Roman;Times;Serif" w:hAnsi="Times New Roman;Times;Serif"/>
          <w:b w:val="false"/>
          <w:i w:val="false"/>
          <w:caps w:val="false"/>
          <w:smallCaps w:val="false"/>
          <w:sz w:val="20"/>
        </w:rPr>
        <w:t xml:space="preserve">148,000 upon the exercise of options to purchase </w:t>
      </w:r>
      <w:bookmarkStart w:id="646" w:name="xdx_90B_ecustom--CashlessExerciseOfOptio"/>
      <w:bookmarkEnd w:id="646"/>
      <w:r>
        <w:rPr>
          <w:rFonts w:ascii="Times New Roman;Times;Serif" w:hAnsi="Times New Roman;Times;Serif"/>
          <w:b w:val="false"/>
          <w:i w:val="false"/>
          <w:caps w:val="false"/>
          <w:smallCaps w:val="false"/>
          <w:sz w:val="20"/>
        </w:rPr>
        <w:t>33,063 shares of common stock with exercise prices ranging from $</w:t>
      </w:r>
      <w:bookmarkStart w:id="647" w:name="xdx_900_eus-gaap--ShareBasedCompensation"/>
      <w:bookmarkEnd w:id="647"/>
      <w:r>
        <w:rPr>
          <w:rFonts w:ascii="Times New Roman;Times;Serif" w:hAnsi="Times New Roman;Times;Serif"/>
          <w:b w:val="false"/>
          <w:i w:val="false"/>
          <w:caps w:val="false"/>
          <w:smallCaps w:val="false"/>
          <w:sz w:val="20"/>
        </w:rPr>
        <w:t>3.50 to $</w:t>
      </w:r>
      <w:bookmarkStart w:id="648" w:name="xdx_902_eus-gaap--ShareBasedCompensation"/>
      <w:bookmarkEnd w:id="648"/>
      <w:r>
        <w:rPr>
          <w:rFonts w:ascii="Times New Roman;Times;Serif" w:hAnsi="Times New Roman;Times;Serif"/>
          <w:b w:val="false"/>
          <w:i w:val="false"/>
          <w:caps w:val="false"/>
          <w:smallCaps w:val="false"/>
          <w:sz w:val="20"/>
        </w:rPr>
        <w:t>7.60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2023, </w:t>
      </w:r>
      <w:bookmarkStart w:id="649" w:name="xdx_90F_eus-gaap--ShareBasedCompensation"/>
      <w:bookmarkEnd w:id="649"/>
      <w:r>
        <w:rPr>
          <w:rFonts w:ascii="Times New Roman;Times;Serif" w:hAnsi="Times New Roman;Times;Serif"/>
          <w:b w:val="false"/>
          <w:i w:val="false"/>
          <w:caps w:val="false"/>
          <w:smallCaps w:val="false"/>
          <w:sz w:val="20"/>
        </w:rPr>
        <w:t xml:space="preserve">23,000 RSUs granted in January 2020 to Andrew R. Boll, the Company’s Chief Financial Officer, vested, and in January 2023, the Company issued </w:t>
      </w:r>
      <w:bookmarkStart w:id="650" w:name="xdx_90A_eus-gaap--StockIssuedDuringPerio"/>
      <w:bookmarkEnd w:id="650"/>
      <w:r>
        <w:rPr>
          <w:rFonts w:ascii="Times New Roman;Times;Serif" w:hAnsi="Times New Roman;Times;Serif"/>
          <w:b w:val="false"/>
          <w:i w:val="false"/>
          <w:caps w:val="false"/>
          <w:smallCaps w:val="false"/>
          <w:sz w:val="20"/>
        </w:rPr>
        <w:t xml:space="preserve">13,398 shares of common stock to Mr. Boll, net of </w:t>
      </w:r>
      <w:bookmarkStart w:id="651" w:name="xdx_90E_eus-gaap--StockIssuedDuringPerio"/>
      <w:bookmarkEnd w:id="651"/>
      <w:r>
        <w:rPr>
          <w:rFonts w:ascii="Times New Roman;Times;Serif" w:hAnsi="Times New Roman;Times;Serif"/>
          <w:b w:val="false"/>
          <w:i w:val="false"/>
          <w:caps w:val="false"/>
          <w:smallCaps w:val="false"/>
          <w:sz w:val="20"/>
        </w:rPr>
        <w:t>9,602 shares of common stock withheld for payroll tax withholdings totaling $</w:t>
      </w:r>
      <w:bookmarkStart w:id="652" w:name="xdx_90F_eus-gaap--StockIssuedDuringPerio"/>
      <w:bookmarkEnd w:id="652"/>
      <w:r>
        <w:rPr>
          <w:rFonts w:ascii="Times New Roman;Times;Serif" w:hAnsi="Times New Roman;Times;Serif"/>
          <w:b w:val="false"/>
          <w:i w:val="false"/>
          <w:caps w:val="false"/>
          <w:smallCaps w:val="false"/>
          <w:sz w:val="20"/>
        </w:rPr>
        <w:t>142,000.</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2023, </w:t>
      </w:r>
      <w:bookmarkStart w:id="653" w:name="xdx_906_eus-gaap--ShareBasedCompensation"/>
      <w:bookmarkEnd w:id="653"/>
      <w:r>
        <w:rPr>
          <w:rFonts w:ascii="Times New Roman;Times;Serif" w:hAnsi="Times New Roman;Times;Serif"/>
          <w:b w:val="false"/>
          <w:i w:val="false"/>
          <w:caps w:val="false"/>
          <w:smallCaps w:val="false"/>
          <w:sz w:val="20"/>
        </w:rPr>
        <w:t xml:space="preserve">88,000 RSUs granted in January 2020 to Mark L. Baum, the Company’s Chief Executive Officer, vested, and in January 2023, the Company issued </w:t>
      </w:r>
      <w:bookmarkStart w:id="654" w:name="xdx_90F_eus-gaap--StockIssuedDuringPerio"/>
      <w:bookmarkEnd w:id="654"/>
      <w:r>
        <w:rPr>
          <w:rFonts w:ascii="Times New Roman;Times;Serif" w:hAnsi="Times New Roman;Times;Serif"/>
          <w:b w:val="false"/>
          <w:i w:val="false"/>
          <w:caps w:val="false"/>
          <w:smallCaps w:val="false"/>
          <w:sz w:val="20"/>
        </w:rPr>
        <w:t xml:space="preserve">52,821 shares of common stock to Mr. Baum, net of </w:t>
      </w:r>
      <w:bookmarkStart w:id="655" w:name="xdx_90E_eus-gaap--StockIssuedDuringPerio"/>
      <w:bookmarkEnd w:id="655"/>
      <w:r>
        <w:rPr>
          <w:rFonts w:ascii="Times New Roman;Times;Serif" w:hAnsi="Times New Roman;Times;Serif"/>
          <w:b w:val="false"/>
          <w:i w:val="false"/>
          <w:caps w:val="false"/>
          <w:smallCaps w:val="false"/>
          <w:sz w:val="20"/>
        </w:rPr>
        <w:t>35,179 shares of common stock withheld for payroll tax withholdings totaling $</w:t>
      </w:r>
      <w:bookmarkStart w:id="656" w:name="xdx_909_eus-gaap--StockIssuedDuringPerio"/>
      <w:bookmarkEnd w:id="656"/>
      <w:r>
        <w:rPr>
          <w:rFonts w:ascii="Times New Roman;Times;Serif" w:hAnsi="Times New Roman;Times;Serif"/>
          <w:b w:val="false"/>
          <w:i w:val="false"/>
          <w:caps w:val="false"/>
          <w:smallCaps w:val="false"/>
          <w:sz w:val="20"/>
        </w:rPr>
        <w:t>519,000.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2023, the Company issued </w:t>
      </w:r>
      <w:bookmarkStart w:id="657" w:name="xdx_901_eus-gaap--StockIssuedDuringPerio"/>
      <w:bookmarkEnd w:id="657"/>
      <w:r>
        <w:rPr>
          <w:rFonts w:ascii="Times New Roman;Times;Serif" w:hAnsi="Times New Roman;Times;Serif"/>
          <w:b w:val="false"/>
          <w:i w:val="false"/>
          <w:caps w:val="false"/>
          <w:smallCaps w:val="false"/>
          <w:sz w:val="20"/>
        </w:rPr>
        <w:t xml:space="preserve">55,558 shares of common stock to Mr. Boll, upon the cashless exercise of options to purchase </w:t>
      </w:r>
      <w:bookmarkStart w:id="658" w:name="xdx_908_ecustom--CashlessExerciseOfOptio"/>
      <w:bookmarkEnd w:id="658"/>
      <w:r>
        <w:rPr>
          <w:rFonts w:ascii="Times New Roman;Times;Serif" w:hAnsi="Times New Roman;Times;Serif"/>
          <w:b w:val="false"/>
          <w:i w:val="false"/>
          <w:caps w:val="false"/>
          <w:smallCaps w:val="false"/>
          <w:sz w:val="20"/>
        </w:rPr>
        <w:t>90,000 shares at an exercise price of $</w:t>
      </w:r>
      <w:bookmarkStart w:id="659" w:name="xdx_90D_ecustom--CashlessExerciseOfOptio"/>
      <w:bookmarkEnd w:id="659"/>
      <w:r>
        <w:rPr>
          <w:rFonts w:ascii="Times New Roman;Times;Serif" w:hAnsi="Times New Roman;Times;Serif"/>
          <w:b w:val="false"/>
          <w:i w:val="false"/>
          <w:caps w:val="false"/>
          <w:smallCaps w:val="false"/>
          <w:sz w:val="20"/>
        </w:rPr>
        <w:t xml:space="preserve">6.00 per share. The Company withheld from Mr. Boll </w:t>
      </w:r>
      <w:bookmarkStart w:id="660" w:name="xdx_902_ecustom--CashlessExerciseOfOptio"/>
      <w:bookmarkEnd w:id="660"/>
      <w:r>
        <w:rPr>
          <w:rFonts w:ascii="Times New Roman;Times;Serif" w:hAnsi="Times New Roman;Times;Serif"/>
          <w:b w:val="false"/>
          <w:i w:val="false"/>
          <w:caps w:val="false"/>
          <w:smallCaps w:val="false"/>
          <w:sz w:val="20"/>
        </w:rPr>
        <w:t xml:space="preserve">25,521 shares as consideration for the cashless exercise and an additional </w:t>
      </w:r>
      <w:bookmarkStart w:id="661" w:name="xdx_904_ecustom--CommonStockWithheldForP"/>
      <w:bookmarkEnd w:id="661"/>
      <w:r>
        <w:rPr>
          <w:rFonts w:ascii="Times New Roman;Times;Serif" w:hAnsi="Times New Roman;Times;Serif"/>
          <w:b w:val="false"/>
          <w:i w:val="false"/>
          <w:caps w:val="false"/>
          <w:smallCaps w:val="false"/>
          <w:sz w:val="20"/>
        </w:rPr>
        <w:t>8,921 shares for payroll tax obligations totaling $</w:t>
      </w:r>
      <w:bookmarkStart w:id="662" w:name="xdx_907_ecustom--CommonStockWithheldForP"/>
      <w:bookmarkEnd w:id="662"/>
      <w:r>
        <w:rPr>
          <w:rFonts w:ascii="Times New Roman;Times;Serif" w:hAnsi="Times New Roman;Times;Serif"/>
          <w:b w:val="false"/>
          <w:i w:val="false"/>
          <w:caps w:val="false"/>
          <w:smallCaps w:val="false"/>
          <w:sz w:val="20"/>
        </w:rPr>
        <w:t>189,000.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2023, </w:t>
      </w:r>
      <w:bookmarkStart w:id="663" w:name="xdx_90B_eus-gaap--ShareBasedCompensation"/>
      <w:bookmarkEnd w:id="663"/>
      <w:r>
        <w:rPr>
          <w:rFonts w:ascii="Times New Roman;Times;Serif" w:hAnsi="Times New Roman;Times;Serif"/>
          <w:b w:val="false"/>
          <w:i w:val="false"/>
          <w:caps w:val="false"/>
          <w:smallCaps w:val="false"/>
          <w:sz w:val="20"/>
        </w:rPr>
        <w:t>16,405 shares of the Company’s common stock underlying RSUs issued to directors vested, but the issuance and delivery of these shares are deferred until the applicable director resigns.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Stock Option Plan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On September 17, 2007, the Company’s Board of Directors and stockholders adopted the Company’s 2007 Incentive Stock and Awards Plan, which was subsequently amended on November 5, 2008, February 26, 2012, July 18, 2012, May 2, 2013 and September 27, 2013 (as amended, the “2007 Plan”). The 2007 Plan reached its term in September 2017, and we can no longer issue additional awards under this plan; however, options previously issued under the 2007 Plan will remain outstanding until they are exercised, reach their maturity or are otherwise cancelled/forfeited. On June 13, 2017, the Company’s Board of Directors and stockholders adopted the Company’s 2017 Incentive Stock and Awards Plan which was subsequently amended on June 3, 2021 (as amended, the “2017 Plan” together with the 2007 Plan, the “Plans”). As of March 31, 2023, the 2017 Plan provides for the issuance of a maximum of </w:t>
      </w:r>
      <w:bookmarkStart w:id="664" w:name="xdx_909_eus-gaap--ShareBasedCompensation"/>
      <w:bookmarkEnd w:id="664"/>
      <w:r>
        <w:rPr>
          <w:rFonts w:ascii="Times New Roman;Times;Serif" w:hAnsi="Times New Roman;Times;Serif"/>
          <w:b w:val="false"/>
          <w:i w:val="false"/>
          <w:caps w:val="false"/>
          <w:smallCaps w:val="false"/>
          <w:sz w:val="20"/>
          <w:shd w:fill="FFFFFF" w:val="clear"/>
        </w:rPr>
        <w:t xml:space="preserve">6,000,000 shares of the Company’s common stock. The purposes of the Plans are to attract and retain directors, officers, consultants, advisors and employees whose services are considered valuable, to encourage a sense of proprietorship and to stimulate an active interest of such persons in the Company’s development and financial success. Under the Plans, the Company is authorized to issue incentive stock options intended to qualify under Section 422 of the Internal Revenue Code of 1986, as amended, non-qualified stock options, restricted stock units and restricted stock. The Plans are administered by the Compensation Committee of the Company’s Board of Directors. The Company had </w:t>
      </w:r>
      <w:bookmarkStart w:id="665" w:name="xdx_905_eus-gaap--CommonStockCapitalShar"/>
      <w:bookmarkEnd w:id="665"/>
      <w:r>
        <w:rPr>
          <w:rFonts w:ascii="Times New Roman;Times;Serif" w:hAnsi="Times New Roman;Times;Serif"/>
          <w:b w:val="false"/>
          <w:i w:val="false"/>
          <w:caps w:val="false"/>
          <w:smallCaps w:val="false"/>
          <w:sz w:val="20"/>
          <w:shd w:fill="FFFFFF" w:val="clear"/>
        </w:rPr>
        <w:t>2,145,767</w:t>
      </w:r>
      <w:r>
        <w:rPr>
          <w:rFonts w:ascii="Times New Roman;Times;Serif" w:hAnsi="Times New Roman;Times;Serif"/>
          <w:b w:val="false"/>
          <w:i w:val="false"/>
          <w:caps w:val="false"/>
          <w:smallCaps w:val="false"/>
          <w:sz w:val="20"/>
        </w:rPr>
        <w:t xml:space="preserve"> shares available for future issuances under the 2017 Plan at March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666" w:name="xdx_896_eus-gaap--ScheduleOfShareBasedCo"/>
      <w:bookmarkEnd w:id="666"/>
      <w:r>
        <w:rPr>
          <w:rFonts w:ascii="Times New Roman;Times;Serif" w:hAnsi="Times New Roman;Times;Serif"/>
          <w:b w:val="false"/>
          <w:i w:val="false"/>
          <w:caps w:val="false"/>
          <w:smallCaps w:val="false"/>
          <w:sz w:val="20"/>
        </w:rPr>
        <w:t>A summary of stock option activity under the Plans for the three months ended March 31, 2023 is as follows:</w:t>
      </w:r>
    </w:p>
    <w:p>
      <w:pPr>
        <w:pStyle w:val="TextBody"/>
        <w:bidi w:val="0"/>
        <w:spacing w:before="0" w:after="0"/>
        <w:ind w:left="0" w:right="0" w:hanging="0"/>
        <w:jc w:val="left"/>
        <w:rPr>
          <w:caps w:val="false"/>
          <w:smallCaps w:val="false"/>
        </w:rPr>
      </w:pPr>
      <w:r>
        <w:rPr>
          <w:caps w:val="false"/>
          <w:smallCaps w:val="false"/>
        </w:rPr>
        <w:t> </w:t>
      </w:r>
      <w:bookmarkStart w:id="667" w:name="xdx_8B3_z9Rju3tkyoQd"/>
      <w:bookmarkEnd w:id="667"/>
      <w:r>
        <w:rPr>
          <w:rFonts w:ascii="Times New Roman;Times;Serif" w:hAnsi="Times New Roman;Times;Serif"/>
          <w:b w:val="false"/>
          <w:i w:val="false"/>
          <w:caps w:val="false"/>
          <w:smallCaps w:val="false"/>
          <w:sz w:val="20"/>
        </w:rPr>
        <w:t>SCHEDULE OF STOCK OPTION PLAN ACTIVITY</w:t>
      </w:r>
    </w:p>
    <w:tbl>
      <w:tblPr>
        <w:tblW w:w="10205" w:type="dxa"/>
        <w:jc w:val="left"/>
        <w:tblInd w:w="0" w:type="dxa"/>
        <w:tblLayout w:type="fixed"/>
        <w:tblCellMar>
          <w:top w:w="0" w:type="dxa"/>
          <w:left w:w="0" w:type="dxa"/>
          <w:bottom w:w="0" w:type="dxa"/>
          <w:right w:w="0" w:type="dxa"/>
        </w:tblCellMar>
      </w:tblPr>
      <w:tblGrid>
        <w:gridCol w:w="2084"/>
        <w:gridCol w:w="60"/>
        <w:gridCol w:w="77"/>
        <w:gridCol w:w="1274"/>
        <w:gridCol w:w="95"/>
        <w:gridCol w:w="60"/>
        <w:gridCol w:w="378"/>
        <w:gridCol w:w="1514"/>
        <w:gridCol w:w="60"/>
        <w:gridCol w:w="60"/>
        <w:gridCol w:w="309"/>
        <w:gridCol w:w="2273"/>
        <w:gridCol w:w="60"/>
        <w:gridCol w:w="60"/>
        <w:gridCol w:w="198"/>
        <w:gridCol w:w="1563"/>
        <w:gridCol w:w="80"/>
      </w:tblGrid>
      <w:tr>
        <w:trPr/>
        <w:tc>
          <w:tcPr>
            <w:tcW w:w="20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 Remaining Contractual Life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Aggregate Intrinsic Value</w:t>
            </w:r>
          </w:p>
        </w:tc>
        <w:tc>
          <w:tcPr>
            <w:tcW w:w="80" w:type="dxa"/>
            <w:tcBorders/>
            <w:vAlign w:val="center"/>
          </w:tcPr>
          <w:p>
            <w:pPr>
              <w:pStyle w:val="TableContents"/>
              <w:bidi w:val="0"/>
              <w:spacing w:before="0" w:after="283"/>
              <w:jc w:val="left"/>
              <w:rPr/>
            </w:pPr>
            <w:r>
              <w:rPr/>
              <w:t> </w:t>
            </w:r>
          </w:p>
        </w:tc>
      </w:tr>
      <w:tr>
        <w:trPr/>
        <w:tc>
          <w:tcPr>
            <w:tcW w:w="2084" w:type="dxa"/>
            <w:tcBorders/>
            <w:shd w:fill="CCEEFF" w:val="clear"/>
            <w:vAlign w:val="center"/>
          </w:tcPr>
          <w:p>
            <w:pPr>
              <w:pStyle w:val="TableContents"/>
              <w:bidi w:val="0"/>
              <w:spacing w:before="0" w:after="283"/>
              <w:jc w:val="left"/>
              <w:rPr/>
            </w:pPr>
            <w:r>
              <w:rPr/>
              <w:t>Options outstanding – January 1, 2022</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bookmarkStart w:id="668" w:name="xdx_986_eus-gaap--ShareBasedCompensation"/>
            <w:bookmarkEnd w:id="668"/>
          </w:p>
        </w:tc>
        <w:tc>
          <w:tcPr>
            <w:tcW w:w="1274" w:type="dxa"/>
            <w:tcBorders/>
            <w:shd w:fill="CCEEFF" w:val="clear"/>
            <w:vAlign w:val="center"/>
          </w:tcPr>
          <w:p>
            <w:pPr>
              <w:pStyle w:val="TableContents"/>
              <w:bidi w:val="0"/>
              <w:spacing w:before="0" w:after="283"/>
              <w:jc w:val="right"/>
              <w:rPr/>
            </w:pPr>
            <w:r>
              <w:rPr/>
              <w:t>3,027,701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w:t>
            </w:r>
            <w:bookmarkStart w:id="669" w:name="xdx_987_eus-gaap--ShareBasedCompensation"/>
            <w:bookmarkEnd w:id="669"/>
          </w:p>
        </w:tc>
        <w:tc>
          <w:tcPr>
            <w:tcW w:w="1514" w:type="dxa"/>
            <w:tcBorders/>
            <w:shd w:fill="CCEEFF" w:val="clear"/>
            <w:vAlign w:val="center"/>
          </w:tcPr>
          <w:p>
            <w:pPr>
              <w:pStyle w:val="TableContents"/>
              <w:bidi w:val="0"/>
              <w:spacing w:before="0" w:after="283"/>
              <w:jc w:val="right"/>
              <w:rPr/>
            </w:pPr>
            <w:r>
              <w:rPr/>
              <w:t>5.90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22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56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084" w:type="dxa"/>
            <w:tcBorders/>
            <w:shd w:fill="FFFFFF" w:val="clear"/>
            <w:vAlign w:val="center"/>
          </w:tcPr>
          <w:p>
            <w:pPr>
              <w:pStyle w:val="TableContents"/>
              <w:bidi w:val="0"/>
              <w:spacing w:before="0" w:after="283"/>
              <w:jc w:val="left"/>
              <w:rPr/>
            </w:pPr>
            <w:r>
              <w:rPr/>
              <w:t>Options granted</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bookmarkStart w:id="670" w:name="xdx_984_eus-gaap--ShareBasedCompensation"/>
            <w:bookmarkEnd w:id="670"/>
          </w:p>
        </w:tc>
        <w:tc>
          <w:tcPr>
            <w:tcW w:w="1274" w:type="dxa"/>
            <w:tcBorders/>
            <w:shd w:fill="FFFFFF" w:val="clear"/>
            <w:vAlign w:val="center"/>
          </w:tcPr>
          <w:p>
            <w:pPr>
              <w:pStyle w:val="TableContents"/>
              <w:bidi w:val="0"/>
              <w:spacing w:before="0" w:after="283"/>
              <w:jc w:val="right"/>
              <w:rPr/>
            </w:pPr>
            <w:r>
              <w:rPr/>
              <w:t>28,500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w:t>
            </w:r>
            <w:bookmarkStart w:id="671" w:name="xdx_98B_eus-gaap--ShareBasedCompensation"/>
            <w:bookmarkEnd w:id="671"/>
          </w:p>
        </w:tc>
        <w:tc>
          <w:tcPr>
            <w:tcW w:w="1514" w:type="dxa"/>
            <w:tcBorders/>
            <w:shd w:fill="FFFFFF" w:val="clear"/>
            <w:vAlign w:val="center"/>
          </w:tcPr>
          <w:p>
            <w:pPr>
              <w:pStyle w:val="TableContents"/>
              <w:bidi w:val="0"/>
              <w:spacing w:before="0" w:after="283"/>
              <w:jc w:val="right"/>
              <w:rPr/>
            </w:pPr>
            <w:r>
              <w:rPr/>
              <w:t>17.40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22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56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084" w:type="dxa"/>
            <w:tcBorders/>
            <w:shd w:fill="CCEEFF" w:val="clear"/>
            <w:vAlign w:val="center"/>
          </w:tcPr>
          <w:p>
            <w:pPr>
              <w:pStyle w:val="TableContents"/>
              <w:bidi w:val="0"/>
              <w:spacing w:before="0" w:after="283"/>
              <w:jc w:val="left"/>
              <w:rPr/>
            </w:pPr>
            <w:r>
              <w:rPr/>
              <w:t>Options exercised</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bookmarkStart w:id="672" w:name="xdx_987_eus-gaap--StockIssuedDuringPerio"/>
            <w:bookmarkEnd w:id="672"/>
          </w:p>
        </w:tc>
        <w:tc>
          <w:tcPr>
            <w:tcW w:w="1274" w:type="dxa"/>
            <w:tcBorders/>
            <w:shd w:fill="CCEEFF" w:val="clear"/>
            <w:vAlign w:val="center"/>
          </w:tcPr>
          <w:p>
            <w:pPr>
              <w:pStyle w:val="TableContents"/>
              <w:bidi w:val="0"/>
              <w:spacing w:before="0" w:after="283"/>
              <w:jc w:val="right"/>
              <w:rPr/>
            </w:pPr>
            <w:r>
              <w:rPr/>
              <w:t>(123,063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w:t>
            </w:r>
            <w:bookmarkStart w:id="673" w:name="xdx_989_eus-gaap--ShareBasedCompensation"/>
            <w:bookmarkEnd w:id="673"/>
          </w:p>
        </w:tc>
        <w:tc>
          <w:tcPr>
            <w:tcW w:w="1514" w:type="dxa"/>
            <w:tcBorders/>
            <w:shd w:fill="CCEEFF" w:val="clear"/>
            <w:vAlign w:val="center"/>
          </w:tcPr>
          <w:p>
            <w:pPr>
              <w:pStyle w:val="TableContents"/>
              <w:bidi w:val="0"/>
              <w:spacing w:before="0" w:after="283"/>
              <w:jc w:val="right"/>
              <w:rPr/>
            </w:pPr>
            <w:r>
              <w:rPr/>
              <w:t>5.54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22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56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084" w:type="dxa"/>
            <w:tcBorders/>
            <w:shd w:fill="FFFFFF" w:val="clear"/>
            <w:vAlign w:val="center"/>
          </w:tcPr>
          <w:p>
            <w:pPr>
              <w:pStyle w:val="TableContents"/>
              <w:bidi w:val="0"/>
              <w:spacing w:before="0" w:after="283"/>
              <w:jc w:val="left"/>
              <w:rPr/>
            </w:pPr>
            <w:r>
              <w:rPr/>
              <w:t>Options cancelled/forfeited</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674" w:name="xdx_98F_eus-gaap--ShareBasedCompensation"/>
            <w:bookmarkEnd w:id="674"/>
          </w:p>
        </w:tc>
        <w:tc>
          <w:tcPr>
            <w:tcW w:w="1274" w:type="dxa"/>
            <w:tcBorders>
              <w:bottom w:val="single" w:sz="12" w:space="0" w:color="000000"/>
            </w:tcBorders>
            <w:shd w:fill="FFFFFF" w:val="clear"/>
            <w:tcMar>
              <w:bottom w:w="28" w:type="dxa"/>
            </w:tcMar>
            <w:vAlign w:val="center"/>
          </w:tcPr>
          <w:p>
            <w:pPr>
              <w:pStyle w:val="TableContents"/>
              <w:bidi w:val="0"/>
              <w:spacing w:before="0" w:after="283"/>
              <w:jc w:val="right"/>
              <w:rPr/>
            </w:pPr>
            <w:r>
              <w:rPr/>
              <w:t>(42,112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w:t>
            </w:r>
            <w:bookmarkStart w:id="675" w:name="xdx_986_eus-gaap--ShareBasedCompensation"/>
            <w:bookmarkEnd w:id="675"/>
          </w:p>
        </w:tc>
        <w:tc>
          <w:tcPr>
            <w:tcW w:w="1514" w:type="dxa"/>
            <w:tcBorders/>
            <w:shd w:fill="FFFFFF" w:val="clear"/>
            <w:vAlign w:val="center"/>
          </w:tcPr>
          <w:p>
            <w:pPr>
              <w:pStyle w:val="TableContents"/>
              <w:bidi w:val="0"/>
              <w:spacing w:before="0" w:after="283"/>
              <w:jc w:val="right"/>
              <w:rPr/>
            </w:pPr>
            <w:r>
              <w:rPr/>
              <w:t>5.61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22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56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084" w:type="dxa"/>
            <w:tcBorders/>
            <w:shd w:fill="CCEEFF" w:val="clear"/>
            <w:vAlign w:val="center"/>
          </w:tcPr>
          <w:p>
            <w:pPr>
              <w:pStyle w:val="TableContents"/>
              <w:bidi w:val="0"/>
              <w:spacing w:before="0" w:after="283"/>
              <w:jc w:val="left"/>
              <w:rPr/>
            </w:pPr>
            <w:r>
              <w:rPr/>
              <w:t>Options outstanding – March 31, 2023</w:t>
            </w:r>
          </w:p>
        </w:tc>
        <w:tc>
          <w:tcPr>
            <w:tcW w:w="60" w:type="dxa"/>
            <w:tcBorders/>
            <w:shd w:fill="CCEEFF" w:val="clear"/>
            <w:vAlign w:val="center"/>
          </w:tcPr>
          <w:p>
            <w:pPr>
              <w:pStyle w:val="TableContents"/>
              <w:bidi w:val="0"/>
              <w:spacing w:before="0" w:after="283"/>
              <w:jc w:val="left"/>
              <w:rPr/>
            </w:pPr>
            <w:r>
              <w:rPr/>
              <w:t> </w:t>
            </w:r>
          </w:p>
        </w:tc>
        <w:tc>
          <w:tcPr>
            <w:tcW w:w="7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76" w:name="xdx_98B_eus-gaap--ShareBasedCompensation"/>
            <w:bookmarkEnd w:id="676"/>
          </w:p>
        </w:tc>
        <w:tc>
          <w:tcPr>
            <w:tcW w:w="1274" w:type="dxa"/>
            <w:tcBorders>
              <w:bottom w:val="double" w:sz="6" w:space="0" w:color="000000"/>
            </w:tcBorders>
            <w:shd w:fill="CCEEFF" w:val="clear"/>
            <w:tcMar>
              <w:bottom w:w="28" w:type="dxa"/>
            </w:tcMar>
            <w:vAlign w:val="center"/>
          </w:tcPr>
          <w:p>
            <w:pPr>
              <w:pStyle w:val="TableContents"/>
              <w:bidi w:val="0"/>
              <w:spacing w:before="0" w:after="283"/>
              <w:jc w:val="right"/>
              <w:rPr/>
            </w:pPr>
            <w:r>
              <w:rPr/>
              <w:t>2,891,026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w:t>
            </w:r>
            <w:bookmarkStart w:id="677" w:name="xdx_986_eus-gaap--ShareBasedCompensation"/>
            <w:bookmarkEnd w:id="677"/>
          </w:p>
        </w:tc>
        <w:tc>
          <w:tcPr>
            <w:tcW w:w="1514" w:type="dxa"/>
            <w:tcBorders/>
            <w:shd w:fill="CCEEFF" w:val="clear"/>
            <w:vAlign w:val="center"/>
          </w:tcPr>
          <w:p>
            <w:pPr>
              <w:pStyle w:val="TableContents"/>
              <w:bidi w:val="0"/>
              <w:spacing w:before="0" w:after="283"/>
              <w:jc w:val="right"/>
              <w:rPr/>
            </w:pPr>
            <w:r>
              <w:rPr/>
              <w:t>6.03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2273" w:type="dxa"/>
            <w:tcBorders/>
            <w:shd w:fill="CCEEFF" w:val="clear"/>
            <w:vAlign w:val="center"/>
          </w:tcPr>
          <w:p>
            <w:pPr>
              <w:pStyle w:val="TableContents"/>
              <w:bidi w:val="0"/>
              <w:spacing w:before="0" w:after="283"/>
              <w:jc w:val="right"/>
              <w:rPr/>
            </w:pPr>
            <w:bookmarkStart w:id="678" w:name="xdx_901_eus-gaap--SharebasedCompensation"/>
            <w:bookmarkEnd w:id="678"/>
            <w:r>
              <w:rPr/>
              <w:t>4.30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bookmarkStart w:id="679" w:name="xdx_982_eus-gaap--ShareBasedCompensation"/>
            <w:bookmarkEnd w:id="679"/>
          </w:p>
        </w:tc>
        <w:tc>
          <w:tcPr>
            <w:tcW w:w="1563" w:type="dxa"/>
            <w:tcBorders/>
            <w:shd w:fill="CCEEFF" w:val="clear"/>
            <w:vAlign w:val="center"/>
          </w:tcPr>
          <w:p>
            <w:pPr>
              <w:pStyle w:val="TableContents"/>
              <w:bidi w:val="0"/>
              <w:spacing w:before="0" w:after="283"/>
              <w:jc w:val="right"/>
              <w:rPr/>
            </w:pPr>
            <w:r>
              <w:rPr/>
              <w:t>43,730,000</w:t>
            </w:r>
          </w:p>
        </w:tc>
        <w:tc>
          <w:tcPr>
            <w:tcW w:w="80" w:type="dxa"/>
            <w:tcBorders/>
            <w:shd w:fill="CCEEFF" w:val="clear"/>
            <w:vAlign w:val="center"/>
          </w:tcPr>
          <w:p>
            <w:pPr>
              <w:pStyle w:val="TableContents"/>
              <w:bidi w:val="0"/>
              <w:spacing w:before="0" w:after="283"/>
              <w:jc w:val="left"/>
              <w:rPr/>
            </w:pPr>
            <w:r>
              <w:rPr/>
              <w:t> </w:t>
            </w:r>
          </w:p>
        </w:tc>
      </w:tr>
      <w:tr>
        <w:trPr/>
        <w:tc>
          <w:tcPr>
            <w:tcW w:w="2084" w:type="dxa"/>
            <w:tcBorders/>
            <w:shd w:fill="FFFFFF" w:val="clear"/>
            <w:vAlign w:val="center"/>
          </w:tcPr>
          <w:p>
            <w:pPr>
              <w:pStyle w:val="TableContents"/>
              <w:bidi w:val="0"/>
              <w:spacing w:before="0" w:after="283"/>
              <w:jc w:val="left"/>
              <w:rPr/>
            </w:pPr>
            <w:r>
              <w:rPr/>
              <w:t>Options exercisable</w:t>
            </w:r>
          </w:p>
        </w:tc>
        <w:tc>
          <w:tcPr>
            <w:tcW w:w="60" w:type="dxa"/>
            <w:tcBorders/>
            <w:shd w:fill="FFFFFF" w:val="clear"/>
            <w:vAlign w:val="center"/>
          </w:tcPr>
          <w:p>
            <w:pPr>
              <w:pStyle w:val="TableContents"/>
              <w:bidi w:val="0"/>
              <w:spacing w:before="0" w:after="283"/>
              <w:jc w:val="left"/>
              <w:rPr/>
            </w:pPr>
            <w:r>
              <w:rPr/>
              <w:t> </w:t>
            </w:r>
          </w:p>
        </w:tc>
        <w:tc>
          <w:tcPr>
            <w:tcW w:w="7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680" w:name="xdx_980_eus-gaap--ShareBasedCompensation"/>
            <w:bookmarkEnd w:id="680"/>
          </w:p>
        </w:tc>
        <w:tc>
          <w:tcPr>
            <w:tcW w:w="1274" w:type="dxa"/>
            <w:tcBorders>
              <w:bottom w:val="double" w:sz="6" w:space="0" w:color="000000"/>
            </w:tcBorders>
            <w:shd w:fill="FFFFFF" w:val="clear"/>
            <w:tcMar>
              <w:bottom w:w="28" w:type="dxa"/>
            </w:tcMar>
            <w:vAlign w:val="center"/>
          </w:tcPr>
          <w:p>
            <w:pPr>
              <w:pStyle w:val="TableContents"/>
              <w:bidi w:val="0"/>
              <w:spacing w:before="0" w:after="283"/>
              <w:jc w:val="right"/>
              <w:rPr/>
            </w:pPr>
            <w:r>
              <w:rPr/>
              <w:t>2,589,182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w:t>
            </w:r>
            <w:bookmarkStart w:id="681" w:name="xdx_985_eus-gaap--ShareBasedCompensation"/>
            <w:bookmarkEnd w:id="681"/>
          </w:p>
        </w:tc>
        <w:tc>
          <w:tcPr>
            <w:tcW w:w="1514" w:type="dxa"/>
            <w:tcBorders/>
            <w:shd w:fill="FFFFFF" w:val="clear"/>
            <w:vAlign w:val="center"/>
          </w:tcPr>
          <w:p>
            <w:pPr>
              <w:pStyle w:val="TableContents"/>
              <w:bidi w:val="0"/>
              <w:spacing w:before="0" w:after="283"/>
              <w:jc w:val="right"/>
              <w:rPr/>
            </w:pPr>
            <w:r>
              <w:rPr/>
              <w:t>5.73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2273" w:type="dxa"/>
            <w:tcBorders/>
            <w:shd w:fill="FFFFFF" w:val="clear"/>
            <w:vAlign w:val="center"/>
          </w:tcPr>
          <w:p>
            <w:pPr>
              <w:pStyle w:val="TableContents"/>
              <w:bidi w:val="0"/>
              <w:spacing w:before="0" w:after="283"/>
              <w:jc w:val="right"/>
              <w:rPr/>
            </w:pPr>
            <w:bookmarkStart w:id="682" w:name="xdx_90F_eus-gaap--SharebasedCompensation"/>
            <w:bookmarkEnd w:id="682"/>
            <w:r>
              <w:rPr/>
              <w:t>3.77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w:t>
            </w:r>
            <w:bookmarkStart w:id="683" w:name="xdx_983_eus-gaap--SharebasedCompensation"/>
            <w:bookmarkEnd w:id="683"/>
          </w:p>
        </w:tc>
        <w:tc>
          <w:tcPr>
            <w:tcW w:w="1563" w:type="dxa"/>
            <w:tcBorders/>
            <w:shd w:fill="FFFFFF" w:val="clear"/>
            <w:vAlign w:val="center"/>
          </w:tcPr>
          <w:p>
            <w:pPr>
              <w:pStyle w:val="TableContents"/>
              <w:bidi w:val="0"/>
              <w:spacing w:before="0" w:after="283"/>
              <w:jc w:val="right"/>
              <w:rPr/>
            </w:pPr>
            <w:r>
              <w:rPr/>
              <w:t>39,941,000</w:t>
            </w:r>
          </w:p>
        </w:tc>
        <w:tc>
          <w:tcPr>
            <w:tcW w:w="80" w:type="dxa"/>
            <w:tcBorders/>
            <w:shd w:fill="FFFFFF" w:val="clear"/>
            <w:vAlign w:val="center"/>
          </w:tcPr>
          <w:p>
            <w:pPr>
              <w:pStyle w:val="TableContents"/>
              <w:bidi w:val="0"/>
              <w:spacing w:before="0" w:after="283"/>
              <w:jc w:val="left"/>
              <w:rPr/>
            </w:pPr>
            <w:r>
              <w:rPr/>
              <w:t> </w:t>
            </w:r>
          </w:p>
        </w:tc>
      </w:tr>
      <w:tr>
        <w:trPr/>
        <w:tc>
          <w:tcPr>
            <w:tcW w:w="2084" w:type="dxa"/>
            <w:tcBorders/>
            <w:shd w:fill="CCEEFF" w:val="clear"/>
            <w:vAlign w:val="center"/>
          </w:tcPr>
          <w:p>
            <w:pPr>
              <w:pStyle w:val="TableContents"/>
              <w:bidi w:val="0"/>
              <w:spacing w:before="0" w:after="283"/>
              <w:jc w:val="left"/>
              <w:rPr/>
            </w:pPr>
            <w:r>
              <w:rPr/>
              <w:t>Options vested and expected to vest</w:t>
            </w:r>
          </w:p>
        </w:tc>
        <w:tc>
          <w:tcPr>
            <w:tcW w:w="60" w:type="dxa"/>
            <w:tcBorders/>
            <w:shd w:fill="CCEEFF" w:val="clear"/>
            <w:vAlign w:val="center"/>
          </w:tcPr>
          <w:p>
            <w:pPr>
              <w:pStyle w:val="TableContents"/>
              <w:bidi w:val="0"/>
              <w:spacing w:before="0" w:after="283"/>
              <w:jc w:val="left"/>
              <w:rPr/>
            </w:pPr>
            <w:r>
              <w:rPr/>
              <w:t> </w:t>
            </w:r>
          </w:p>
        </w:tc>
        <w:tc>
          <w:tcPr>
            <w:tcW w:w="7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84" w:name="xdx_98F_eus-gaap--ShareBasedCompensation"/>
            <w:bookmarkEnd w:id="684"/>
          </w:p>
        </w:tc>
        <w:tc>
          <w:tcPr>
            <w:tcW w:w="1274" w:type="dxa"/>
            <w:tcBorders>
              <w:bottom w:val="double" w:sz="6" w:space="0" w:color="000000"/>
            </w:tcBorders>
            <w:shd w:fill="CCEEFF" w:val="clear"/>
            <w:tcMar>
              <w:bottom w:w="28" w:type="dxa"/>
            </w:tcMar>
            <w:vAlign w:val="center"/>
          </w:tcPr>
          <w:p>
            <w:pPr>
              <w:pStyle w:val="TableContents"/>
              <w:bidi w:val="0"/>
              <w:spacing w:before="0" w:after="283"/>
              <w:jc w:val="right"/>
              <w:rPr/>
            </w:pPr>
            <w:r>
              <w:rPr/>
              <w:t>2,848,713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w:t>
            </w:r>
            <w:bookmarkStart w:id="685" w:name="xdx_981_eus-gaap--ShareBasedCompensation"/>
            <w:bookmarkEnd w:id="685"/>
          </w:p>
        </w:tc>
        <w:tc>
          <w:tcPr>
            <w:tcW w:w="1514" w:type="dxa"/>
            <w:tcBorders/>
            <w:shd w:fill="CCEEFF" w:val="clear"/>
            <w:vAlign w:val="center"/>
          </w:tcPr>
          <w:p>
            <w:pPr>
              <w:pStyle w:val="TableContents"/>
              <w:bidi w:val="0"/>
              <w:spacing w:before="0" w:after="283"/>
              <w:jc w:val="right"/>
              <w:rPr/>
            </w:pPr>
            <w:r>
              <w:rPr/>
              <w:t>5.99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2273" w:type="dxa"/>
            <w:tcBorders/>
            <w:shd w:fill="CCEEFF" w:val="clear"/>
            <w:vAlign w:val="center"/>
          </w:tcPr>
          <w:p>
            <w:pPr>
              <w:pStyle w:val="TableContents"/>
              <w:bidi w:val="0"/>
              <w:spacing w:before="0" w:after="283"/>
              <w:jc w:val="right"/>
              <w:rPr/>
            </w:pPr>
            <w:bookmarkStart w:id="686" w:name="xdx_90A_eus-gaap--SharebasedCompensation"/>
            <w:bookmarkEnd w:id="686"/>
            <w:r>
              <w:rPr/>
              <w:t>4.23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bookmarkStart w:id="687" w:name="xdx_989_eus-gaap--ShareBasedCompensation"/>
            <w:bookmarkEnd w:id="687"/>
          </w:p>
        </w:tc>
        <w:tc>
          <w:tcPr>
            <w:tcW w:w="1563" w:type="dxa"/>
            <w:tcBorders/>
            <w:shd w:fill="CCEEFF" w:val="clear"/>
            <w:vAlign w:val="center"/>
          </w:tcPr>
          <w:p>
            <w:pPr>
              <w:pStyle w:val="TableContents"/>
              <w:bidi w:val="0"/>
              <w:spacing w:before="0" w:after="283"/>
              <w:jc w:val="right"/>
              <w:rPr/>
            </w:pPr>
            <w:r>
              <w:rPr/>
              <w:t>43,219,000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88" w:name="xdx_8A9_zbJ0mIik6Qvd"/>
      <w:bookmarkEnd w:id="68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intrinsic value in the table above represents the total pre-tax amount of the proceeds, net of exercise price, which would have been received by option holders if all option holders had exercised and immediately sold all shares underlying options with an exercise price lower than the market price on March 31, 2023, based on the closing price of the Company’s common stock of $</w:t>
      </w:r>
      <w:bookmarkStart w:id="689" w:name="xdx_90D_ecustom--ClosingPriceOfCommonSto"/>
      <w:bookmarkEnd w:id="689"/>
      <w:r>
        <w:rPr>
          <w:rFonts w:ascii="Times New Roman;Times;Serif" w:hAnsi="Times New Roman;Times;Serif"/>
          <w:b w:val="false"/>
          <w:i w:val="false"/>
          <w:caps w:val="false"/>
          <w:smallCaps w:val="false"/>
          <w:sz w:val="20"/>
        </w:rPr>
        <w:t>21.16 on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2023, the Company granted stock options to certain employees. The stock options were granted with an exercise price equal to the current market price of the Company’s common stock, as reported by the securities exchange on which the common stock was then listed, at the grant date and have contractual terms of ten years. </w:t>
      </w:r>
      <w:bookmarkStart w:id="690" w:name="xdx_904_eus-gaap--ShareBasedCompensation"/>
      <w:bookmarkEnd w:id="690"/>
      <w:r>
        <w:rPr>
          <w:rFonts w:ascii="Times New Roman;Times;Serif" w:hAnsi="Times New Roman;Times;Serif"/>
          <w:b w:val="false"/>
          <w:i w:val="false"/>
          <w:caps w:val="false"/>
          <w:smallCaps w:val="false"/>
          <w:sz w:val="20"/>
        </w:rPr>
        <w:t>Vesting terms for options granted to employees during the three months ended March 31, 2023 included the following vesting schedule: 25% of the shares subject to the option vest and become exercisable on the first anniversary of the grant date and the remaining 75% of the shares subject to the option vest and become exercisable quarterly in equal installments thereafter over three years. Certain option awards provide for accelerated vesting if there is a change in control (as defined in the Plans) and in the event of certain modifications to the option award agreement.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fair value of each option award is estimated on the date of grant using the Black-Scholes-Merton option pricing model. The expected term of options granted to employees and directors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w:t>
      </w:r>
      <w:bookmarkStart w:id="691" w:name="xdx_905_ecustom--ShareBasedCompensationA"/>
      <w:bookmarkEnd w:id="691"/>
      <w:r>
        <w:rPr>
          <w:rFonts w:ascii="Times New Roman;Times;Serif" w:hAnsi="Times New Roman;Times;Serif"/>
          <w:b w:val="false"/>
          <w:i w:val="false"/>
          <w:caps w:val="false"/>
          <w:smallCaps w:val="false"/>
          <w:sz w:val="20"/>
        </w:rPr>
        <w:t>10%. These factors could change in the future, which would affect the determination of stock-based compensation expense in future periods. Utilizing these assumptions, the fair value is determined at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92" w:name="xdx_89E_eus-gaap--ScheduleOfShareBasedPa"/>
      <w:bookmarkEnd w:id="692"/>
      <w:r>
        <w:rPr>
          <w:rFonts w:ascii="Times New Roman;Times;Serif" w:hAnsi="Times New Roman;Times;Serif"/>
          <w:b w:val="false"/>
          <w:i w:val="false"/>
          <w:caps w:val="false"/>
          <w:smallCaps w:val="false"/>
          <w:sz w:val="20"/>
        </w:rPr>
        <w:t>The table below illustrates the fair value per share determined using the Black-Scholes-Merton option pricing model with the following assumptions used for valuing options granted to employees:</w:t>
      </w:r>
    </w:p>
    <w:p>
      <w:pPr>
        <w:pStyle w:val="TextBody"/>
        <w:bidi w:val="0"/>
        <w:spacing w:before="0" w:after="0"/>
        <w:ind w:left="0" w:right="0" w:hanging="0"/>
        <w:jc w:val="both"/>
        <w:rPr>
          <w:caps w:val="false"/>
          <w:smallCaps w:val="false"/>
        </w:rPr>
      </w:pPr>
      <w:r>
        <w:rPr>
          <w:caps w:val="false"/>
          <w:smallCaps w:val="false"/>
        </w:rPr>
        <w:t> </w:t>
      </w:r>
      <w:bookmarkStart w:id="693" w:name="xdx_8B8_zuGX0P2gbPG6"/>
      <w:bookmarkEnd w:id="693"/>
      <w:r>
        <w:rPr>
          <w:rFonts w:ascii="Times New Roman;Times;Serif" w:hAnsi="Times New Roman;Times;Serif"/>
          <w:b w:val="false"/>
          <w:i w:val="false"/>
          <w:caps w:val="false"/>
          <w:smallCaps w:val="false"/>
          <w:sz w:val="20"/>
        </w:rPr>
        <w:t>SCHEDULE OF FAIR VALUE ASSUMPTIONS</w:t>
      </w:r>
    </w:p>
    <w:tbl>
      <w:tblPr>
        <w:tblW w:w="5705" w:type="dxa"/>
        <w:jc w:val="left"/>
        <w:tblInd w:w="0" w:type="dxa"/>
        <w:tblLayout w:type="fixed"/>
        <w:tblCellMar>
          <w:top w:w="0" w:type="dxa"/>
          <w:left w:w="0" w:type="dxa"/>
          <w:bottom w:w="0" w:type="dxa"/>
          <w:right w:w="0" w:type="dxa"/>
        </w:tblCellMar>
      </w:tblPr>
      <w:tblGrid>
        <w:gridCol w:w="4475"/>
        <w:gridCol w:w="60"/>
        <w:gridCol w:w="140"/>
        <w:gridCol w:w="800"/>
        <w:gridCol w:w="230"/>
      </w:tblGrid>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30"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Weighted-average fair value of options granted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694" w:name="xdx_98D_eus-gaap--ShareBasedCompensation"/>
            <w:bookmarkEnd w:id="694"/>
          </w:p>
        </w:tc>
        <w:tc>
          <w:tcPr>
            <w:tcW w:w="800" w:type="dxa"/>
            <w:tcBorders/>
            <w:shd w:fill="CCEEFF" w:val="clear"/>
            <w:vAlign w:val="center"/>
          </w:tcPr>
          <w:p>
            <w:pPr>
              <w:pStyle w:val="TableContents"/>
              <w:bidi w:val="0"/>
              <w:spacing w:before="0" w:after="283"/>
              <w:jc w:val="right"/>
              <w:rPr/>
            </w:pPr>
            <w:r>
              <w:rPr/>
              <w:t>10.58</w:t>
            </w:r>
          </w:p>
        </w:tc>
        <w:tc>
          <w:tcPr>
            <w:tcW w:w="23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Expected terms (in years)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20"/>
              </w:rPr>
            </w:pPr>
            <w:bookmarkStart w:id="695" w:name="xdx_90F_eus-gaap--SharebasedCompensation"/>
            <w:bookmarkEnd w:id="695"/>
            <w:r>
              <w:rPr>
                <w:rFonts w:ascii="Times New Roman;Times;Serif" w:hAnsi="Times New Roman;Times;Serif"/>
                <w:sz w:val="20"/>
              </w:rPr>
              <w:t>5.50-</w:t>
            </w:r>
            <w:bookmarkStart w:id="696" w:name="xdx_90E_eus-gaap--SharebasedCompensation"/>
            <w:bookmarkEnd w:id="696"/>
            <w:r>
              <w:rPr>
                <w:rFonts w:ascii="Times New Roman;Times;Serif" w:hAnsi="Times New Roman;Times;Serif"/>
                <w:sz w:val="20"/>
              </w:rPr>
              <w:t>6.11</w:t>
            </w:r>
          </w:p>
        </w:tc>
        <w:tc>
          <w:tcPr>
            <w:tcW w:w="23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Expected volatility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20"/>
              </w:rPr>
            </w:pPr>
            <w:bookmarkStart w:id="697" w:name="xdx_904_eus-gaap--ShareBasedCompensation"/>
            <w:bookmarkEnd w:id="697"/>
            <w:r>
              <w:rPr>
                <w:rFonts w:ascii="Times New Roman;Times;Serif" w:hAnsi="Times New Roman;Times;Serif"/>
                <w:sz w:val="20"/>
              </w:rPr>
              <w:t>69-</w:t>
            </w:r>
            <w:bookmarkStart w:id="698" w:name="xdx_900_eus-gaap--ShareBasedCompensation"/>
            <w:bookmarkEnd w:id="698"/>
            <w:r>
              <w:rPr>
                <w:rFonts w:ascii="Times New Roman;Times;Serif" w:hAnsi="Times New Roman;Times;Serif"/>
                <w:sz w:val="20"/>
              </w:rPr>
              <w:t>70</w:t>
            </w:r>
          </w:p>
        </w:tc>
        <w:tc>
          <w:tcPr>
            <w:tcW w:w="230" w:type="dxa"/>
            <w:tcBorders/>
            <w:shd w:fill="CCEEFF" w:val="clear"/>
            <w:vAlign w:val="center"/>
          </w:tcPr>
          <w:p>
            <w:pPr>
              <w:pStyle w:val="TableContents"/>
              <w:bidi w:val="0"/>
              <w:spacing w:before="0" w:after="283"/>
              <w:jc w:val="left"/>
              <w:rPr/>
            </w:pPr>
            <w:r>
              <w:rPr/>
              <w:t>%</w:t>
            </w:r>
          </w:p>
        </w:tc>
      </w:tr>
      <w:tr>
        <w:trPr/>
        <w:tc>
          <w:tcPr>
            <w:tcW w:w="4475" w:type="dxa"/>
            <w:tcBorders/>
            <w:shd w:fill="FFFFFF" w:val="clear"/>
            <w:vAlign w:val="center"/>
          </w:tcPr>
          <w:p>
            <w:pPr>
              <w:pStyle w:val="TableContents"/>
              <w:bidi w:val="0"/>
              <w:spacing w:before="0" w:after="283"/>
              <w:jc w:val="left"/>
              <w:rPr/>
            </w:pPr>
            <w:r>
              <w:rPr/>
              <w:t>Risk-free interest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20"/>
              </w:rPr>
            </w:pPr>
            <w:bookmarkStart w:id="699" w:name="xdx_903_eus-gaap--ShareBasedCompensation"/>
            <w:bookmarkEnd w:id="699"/>
            <w:r>
              <w:rPr>
                <w:rFonts w:ascii="Times New Roman;Times;Serif" w:hAnsi="Times New Roman;Times;Serif"/>
                <w:sz w:val="20"/>
              </w:rPr>
              <w:t>3.64-</w:t>
            </w:r>
            <w:bookmarkStart w:id="700" w:name="xdx_90B_eus-gaap--ShareBasedCompensation"/>
            <w:bookmarkEnd w:id="700"/>
            <w:r>
              <w:rPr>
                <w:rFonts w:ascii="Times New Roman;Times;Serif" w:hAnsi="Times New Roman;Times;Serif"/>
                <w:sz w:val="20"/>
              </w:rPr>
              <w:t>3.76</w:t>
            </w:r>
          </w:p>
        </w:tc>
        <w:tc>
          <w:tcPr>
            <w:tcW w:w="230" w:type="dxa"/>
            <w:tcBorders/>
            <w:shd w:fill="FFFFFF" w:val="clear"/>
            <w:vAlign w:val="center"/>
          </w:tcPr>
          <w:p>
            <w:pPr>
              <w:pStyle w:val="TableContents"/>
              <w:bidi w:val="0"/>
              <w:spacing w:before="0" w:after="283"/>
              <w:jc w:val="left"/>
              <w:rPr/>
            </w:pPr>
            <w:r>
              <w:rPr/>
              <w:t>%</w:t>
            </w:r>
          </w:p>
        </w:tc>
      </w:tr>
      <w:tr>
        <w:trPr/>
        <w:tc>
          <w:tcPr>
            <w:tcW w:w="4475" w:type="dxa"/>
            <w:tcBorders/>
            <w:shd w:fill="CCEEFF" w:val="clear"/>
            <w:vAlign w:val="center"/>
          </w:tcPr>
          <w:p>
            <w:pPr>
              <w:pStyle w:val="TableContents"/>
              <w:bidi w:val="0"/>
              <w:spacing w:before="0" w:after="283"/>
              <w:jc w:val="left"/>
              <w:rPr/>
            </w:pPr>
            <w:r>
              <w:rPr/>
              <w:t>Dividend yield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01" w:name="xdx_982_eus-gaap--ShareBasedCompensation"/>
            <w:bookmarkEnd w:id="701"/>
          </w:p>
        </w:tc>
        <w:tc>
          <w:tcPr>
            <w:tcW w:w="800"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02" w:name="xdx_8A7_z0wD4zBgxgEl"/>
      <w:bookmarkEnd w:id="70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03" w:name="xdx_89A_eus-gaap--ScheduleOfShareBasedCo"/>
      <w:bookmarkEnd w:id="703"/>
      <w:r>
        <w:rPr>
          <w:rFonts w:ascii="Times New Roman;Times;Serif" w:hAnsi="Times New Roman;Times;Serif"/>
          <w:b w:val="false"/>
          <w:i w:val="false"/>
          <w:caps w:val="false"/>
          <w:smallCaps w:val="false"/>
          <w:sz w:val="20"/>
        </w:rPr>
        <w:t>The following table summarizes information about stock options outstanding and exercisable at March 31, 2023:</w:t>
      </w:r>
    </w:p>
    <w:p>
      <w:pPr>
        <w:pStyle w:val="TextBody"/>
        <w:bidi w:val="0"/>
        <w:spacing w:before="0" w:after="0"/>
        <w:jc w:val="center"/>
        <w:rPr>
          <w:rFonts w:ascii="Times New Roman;Times;Serif" w:hAnsi="Times New Roman;Times;Serif"/>
          <w:b w:val="false"/>
          <w:i w:val="false"/>
          <w:caps w:val="false"/>
          <w:smallCaps w:val="false"/>
          <w:sz w:val="20"/>
        </w:rPr>
      </w:pPr>
      <w:bookmarkStart w:id="704" w:name="xdx_8BB_zjdJMcnDbTdc"/>
      <w:bookmarkEnd w:id="704"/>
      <w:r>
        <w:rPr>
          <w:rFonts w:ascii="Times New Roman;Times;Serif" w:hAnsi="Times New Roman;Times;Serif"/>
          <w:b w:val="false"/>
          <w:i w:val="false"/>
          <w:caps w:val="false"/>
          <w:smallCaps w:val="false"/>
          <w:sz w:val="20"/>
        </w:rPr>
        <w:t>SCHEDULE OF STOCK OPTION OUTSTANDING AND EXERCISABLE  </w:t>
      </w:r>
    </w:p>
    <w:tbl>
      <w:tblPr>
        <w:tblW w:w="10205" w:type="dxa"/>
        <w:jc w:val="left"/>
        <w:tblInd w:w="0" w:type="dxa"/>
        <w:tblLayout w:type="fixed"/>
        <w:tblCellMar>
          <w:top w:w="0" w:type="dxa"/>
          <w:left w:w="0" w:type="dxa"/>
          <w:bottom w:w="0" w:type="dxa"/>
          <w:right w:w="0" w:type="dxa"/>
        </w:tblCellMar>
      </w:tblPr>
      <w:tblGrid>
        <w:gridCol w:w="1637"/>
        <w:gridCol w:w="60"/>
        <w:gridCol w:w="69"/>
        <w:gridCol w:w="986"/>
        <w:gridCol w:w="60"/>
        <w:gridCol w:w="60"/>
        <w:gridCol w:w="147"/>
        <w:gridCol w:w="939"/>
        <w:gridCol w:w="60"/>
        <w:gridCol w:w="60"/>
        <w:gridCol w:w="446"/>
        <w:gridCol w:w="1738"/>
        <w:gridCol w:w="60"/>
        <w:gridCol w:w="60"/>
        <w:gridCol w:w="97"/>
        <w:gridCol w:w="1393"/>
        <w:gridCol w:w="64"/>
        <w:gridCol w:w="64"/>
        <w:gridCol w:w="524"/>
        <w:gridCol w:w="1600"/>
        <w:gridCol w:w="81"/>
      </w:tblGrid>
      <w:tr>
        <w:trPr/>
        <w:tc>
          <w:tcPr>
            <w:tcW w:w="163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6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 Outstanding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4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 Exercisable</w:t>
            </w:r>
          </w:p>
        </w:tc>
        <w:tc>
          <w:tcPr>
            <w:tcW w:w="8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37"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Range of Exercise Prices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86"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Weighted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Remaining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Contractual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Life in Years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184" w:type="dxa"/>
            <w:gridSpan w:val="2"/>
            <w:tcBorders>
              <w:bottom w:val="single" w:sz="12"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20"/>
              </w:rPr>
              <w:t>Weighted Average Exercise Price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90" w:type="dxa"/>
            <w:gridSpan w:val="2"/>
            <w:tcBorders>
              <w:bottom w:val="single" w:sz="12" w:space="0" w:color="000000"/>
            </w:tcBorders>
            <w:tcMar>
              <w:bottom w:w="28" w:type="dxa"/>
            </w:tcMar>
            <w:vAlign w:val="center"/>
          </w:tcPr>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Exercisable</w:t>
            </w:r>
          </w:p>
        </w:tc>
        <w:tc>
          <w:tcPr>
            <w:tcW w:w="64" w:type="dxa"/>
            <w:tcBorders/>
            <w:vAlign w:val="center"/>
          </w:tcPr>
          <w:p>
            <w:pPr>
              <w:pStyle w:val="TableContents"/>
              <w:bidi w:val="0"/>
              <w:spacing w:before="0" w:after="283"/>
              <w:jc w:val="center"/>
              <w:rPr>
                <w:caps w:val="false"/>
                <w:smallCaps w:val="false"/>
              </w:rPr>
            </w:pPr>
            <w:r>
              <w:rPr>
                <w:caps w:val="false"/>
                <w:smallCaps w:val="false"/>
              </w:rPr>
              <w:t> </w:t>
            </w:r>
          </w:p>
        </w:tc>
        <w:tc>
          <w:tcPr>
            <w:tcW w:w="64" w:type="dxa"/>
            <w:tcBorders/>
            <w:vAlign w:val="center"/>
          </w:tcPr>
          <w:p>
            <w:pPr>
              <w:pStyle w:val="TableContents"/>
              <w:bidi w:val="0"/>
              <w:spacing w:before="0" w:after="283"/>
              <w:jc w:val="center"/>
              <w:rPr>
                <w:caps w:val="false"/>
                <w:smallCaps w:val="false"/>
              </w:rPr>
            </w:pPr>
            <w:r>
              <w:rPr>
                <w:caps w:val="false"/>
                <w:smallCaps w:val="false"/>
              </w:rPr>
              <w:t> </w:t>
            </w:r>
          </w:p>
        </w:tc>
        <w:tc>
          <w:tcPr>
            <w:tcW w:w="2124" w:type="dxa"/>
            <w:gridSpan w:val="2"/>
            <w:tcBorders>
              <w:bottom w:val="single" w:sz="12" w:space="0" w:color="000000"/>
            </w:tcBorders>
            <w:tcMar>
              <w:bottom w:w="28" w:type="dxa"/>
            </w:tcMar>
            <w:vAlign w:val="center"/>
          </w:tcPr>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Exercise Price</w:t>
            </w:r>
          </w:p>
        </w:tc>
        <w:tc>
          <w:tcPr>
            <w:tcW w:w="8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63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05" w:name="xdx_90F_eus-gaap--ShareBasedCompensation"/>
            <w:bookmarkEnd w:id="705"/>
            <w:r>
              <w:rPr>
                <w:rFonts w:ascii="Times New Roman;Times;Serif" w:hAnsi="Times New Roman;Times;Serif"/>
                <w:b w:val="false"/>
                <w:i w:val="false"/>
                <w:caps w:val="false"/>
                <w:smallCaps w:val="false"/>
                <w:sz w:val="20"/>
              </w:rPr>
              <w:t>1.47 - $</w:t>
            </w:r>
            <w:bookmarkStart w:id="706" w:name="xdx_908_eus-gaap--ShareBasedCompensation"/>
            <w:bookmarkEnd w:id="706"/>
            <w:r>
              <w:rPr>
                <w:rFonts w:ascii="Times New Roman;Times;Serif" w:hAnsi="Times New Roman;Times;Serif"/>
                <w:b w:val="false"/>
                <w:i w:val="false"/>
                <w:caps w:val="false"/>
                <w:smallCaps w:val="false"/>
                <w:sz w:val="20"/>
              </w:rPr>
              <w:t>1.73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07" w:name="xdx_981_eus-gaap--ShareBasedCompensation"/>
            <w:bookmarkEnd w:id="707"/>
          </w:p>
        </w:tc>
        <w:tc>
          <w:tcPr>
            <w:tcW w:w="9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298,112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08" w:name="xdx_90D_eus-gaap--SharebasedCompensation"/>
            <w:bookmarkEnd w:id="708"/>
            <w:r>
              <w:rPr>
                <w:rFonts w:ascii="Times New Roman;Times;Serif" w:hAnsi="Times New Roman;Times;Serif"/>
                <w:b w:val="false"/>
                <w:i w:val="false"/>
                <w:caps w:val="false"/>
                <w:smallCaps w:val="false"/>
                <w:sz w:val="20"/>
              </w:rPr>
              <w:t>4.71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09" w:name="xdx_985_eus-gaap--SharebasedCompensation"/>
            <w:bookmarkEnd w:id="709"/>
          </w:p>
        </w:tc>
        <w:tc>
          <w:tcPr>
            <w:tcW w:w="17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10" w:name="xdx_986_eus-gaap--ShareBasedCompensation"/>
            <w:bookmarkEnd w:id="710"/>
          </w:p>
        </w:tc>
        <w:tc>
          <w:tcPr>
            <w:tcW w:w="13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298,112</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11" w:name="xdx_98B_eus-gaap--SharebasedCompensation"/>
            <w:bookmarkEnd w:id="711"/>
          </w:p>
        </w:tc>
        <w:tc>
          <w:tcPr>
            <w:tcW w:w="1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63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12" w:name="xdx_90E_eus-gaap--ShareBasedCompensation"/>
            <w:bookmarkEnd w:id="712"/>
            <w:r>
              <w:rPr>
                <w:rFonts w:ascii="Times New Roman;Times;Serif" w:hAnsi="Times New Roman;Times;Serif"/>
                <w:b w:val="false"/>
                <w:i w:val="false"/>
                <w:caps w:val="false"/>
                <w:smallCaps w:val="false"/>
                <w:sz w:val="20"/>
              </w:rPr>
              <w:t>2.23 - $</w:t>
            </w:r>
            <w:bookmarkStart w:id="713" w:name="xdx_90A_eus-gaap--ShareBasedCompensation"/>
            <w:bookmarkEnd w:id="713"/>
            <w:r>
              <w:rPr>
                <w:rFonts w:ascii="Times New Roman;Times;Serif" w:hAnsi="Times New Roman;Times;Serif"/>
                <w:b w:val="false"/>
                <w:i w:val="false"/>
                <w:caps w:val="false"/>
                <w:smallCaps w:val="false"/>
                <w:sz w:val="20"/>
              </w:rPr>
              <w:t>2.60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14" w:name="xdx_98E_eus-gaap--ShareBasedCompensation"/>
            <w:bookmarkEnd w:id="714"/>
          </w:p>
        </w:tc>
        <w:tc>
          <w:tcPr>
            <w:tcW w:w="9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309,068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15" w:name="xdx_90D_eus-gaap--SharebasedCompensation"/>
            <w:bookmarkEnd w:id="715"/>
            <w:r>
              <w:rPr>
                <w:rFonts w:ascii="Times New Roman;Times;Serif" w:hAnsi="Times New Roman;Times;Serif"/>
                <w:b w:val="false"/>
                <w:i w:val="false"/>
                <w:caps w:val="false"/>
                <w:smallCaps w:val="false"/>
                <w:sz w:val="20"/>
              </w:rPr>
              <w:t>3.61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16" w:name="xdx_985_eus-gaap--SharebasedCompensation"/>
            <w:bookmarkEnd w:id="716"/>
          </w:p>
        </w:tc>
        <w:tc>
          <w:tcPr>
            <w:tcW w:w="17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17" w:name="xdx_980_eus-gaap--ShareBasedCompensation"/>
            <w:bookmarkEnd w:id="717"/>
          </w:p>
        </w:tc>
        <w:tc>
          <w:tcPr>
            <w:tcW w:w="13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309,068</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18" w:name="xdx_98E_eus-gaap--SharebasedCompensation"/>
            <w:bookmarkEnd w:id="718"/>
          </w:p>
        </w:tc>
        <w:tc>
          <w:tcPr>
            <w:tcW w:w="1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63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19" w:name="xdx_901_eus-gaap--ShareBasedCompensation"/>
            <w:bookmarkEnd w:id="719"/>
            <w:r>
              <w:rPr>
                <w:rFonts w:ascii="Times New Roman;Times;Serif" w:hAnsi="Times New Roman;Times;Serif"/>
                <w:b w:val="false"/>
                <w:i w:val="false"/>
                <w:caps w:val="false"/>
                <w:smallCaps w:val="false"/>
                <w:sz w:val="20"/>
              </w:rPr>
              <w:t>3.95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20" w:name="xdx_989_eus-gaap--ShareBasedCompensation"/>
            <w:bookmarkEnd w:id="720"/>
          </w:p>
        </w:tc>
        <w:tc>
          <w:tcPr>
            <w:tcW w:w="9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21" w:name="xdx_90E_eus-gaap--SharebasedCompensation"/>
            <w:bookmarkEnd w:id="721"/>
            <w:r>
              <w:rPr>
                <w:rFonts w:ascii="Times New Roman;Times;Serif" w:hAnsi="Times New Roman;Times;Serif"/>
                <w:b w:val="false"/>
                <w:i w:val="false"/>
                <w:caps w:val="false"/>
                <w:smallCaps w:val="false"/>
                <w:sz w:val="20"/>
              </w:rPr>
              <w:t>2.93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22" w:name="xdx_982_eus-gaap--SharebasedCompensation"/>
            <w:bookmarkEnd w:id="722"/>
          </w:p>
        </w:tc>
        <w:tc>
          <w:tcPr>
            <w:tcW w:w="17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23" w:name="xdx_980_eus-gaap--ShareBasedCompensation"/>
            <w:bookmarkEnd w:id="723"/>
          </w:p>
        </w:tc>
        <w:tc>
          <w:tcPr>
            <w:tcW w:w="13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310,000</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24" w:name="xdx_983_eus-gaap--SharebasedCompensation"/>
            <w:bookmarkEnd w:id="724"/>
          </w:p>
        </w:tc>
        <w:tc>
          <w:tcPr>
            <w:tcW w:w="1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63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25" w:name="xdx_90A_eus-gaap--ShareBasedCompensation"/>
            <w:bookmarkEnd w:id="725"/>
            <w:r>
              <w:rPr>
                <w:rFonts w:ascii="Times New Roman;Times;Serif" w:hAnsi="Times New Roman;Times;Serif"/>
                <w:b w:val="false"/>
                <w:i w:val="false"/>
                <w:caps w:val="false"/>
                <w:smallCaps w:val="false"/>
                <w:sz w:val="20"/>
              </w:rPr>
              <w:t>4.08 - $</w:t>
            </w:r>
            <w:bookmarkStart w:id="726" w:name="xdx_90B_eus-gaap--ShareBasedCompensation"/>
            <w:bookmarkEnd w:id="726"/>
            <w:r>
              <w:rPr>
                <w:rFonts w:ascii="Times New Roman;Times;Serif" w:hAnsi="Times New Roman;Times;Serif"/>
                <w:b w:val="false"/>
                <w:i w:val="false"/>
                <w:caps w:val="false"/>
                <w:smallCaps w:val="false"/>
                <w:sz w:val="20"/>
              </w:rPr>
              <w:t>6.30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27" w:name="xdx_986_eus-gaap--ShareBasedCompensation"/>
            <w:bookmarkEnd w:id="727"/>
          </w:p>
        </w:tc>
        <w:tc>
          <w:tcPr>
            <w:tcW w:w="9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409,850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28" w:name="xdx_90A_eus-gaap--SharebasedCompensation"/>
            <w:bookmarkEnd w:id="728"/>
            <w:r>
              <w:rPr>
                <w:rFonts w:ascii="Times New Roman;Times;Serif" w:hAnsi="Times New Roman;Times;Serif"/>
                <w:b w:val="false"/>
                <w:i w:val="false"/>
                <w:caps w:val="false"/>
                <w:smallCaps w:val="false"/>
                <w:sz w:val="20"/>
              </w:rPr>
              <w:t>5.66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29" w:name="xdx_98D_eus-gaap--SharebasedCompensation"/>
            <w:bookmarkEnd w:id="729"/>
          </w:p>
        </w:tc>
        <w:tc>
          <w:tcPr>
            <w:tcW w:w="17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30" w:name="xdx_983_eus-gaap--ShareBasedCompensation"/>
            <w:bookmarkEnd w:id="730"/>
          </w:p>
        </w:tc>
        <w:tc>
          <w:tcPr>
            <w:tcW w:w="13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398,194</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31" w:name="xdx_986_eus-gaap--SharebasedCompensation"/>
            <w:bookmarkEnd w:id="731"/>
          </w:p>
        </w:tc>
        <w:tc>
          <w:tcPr>
            <w:tcW w:w="1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63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32" w:name="xdx_904_eus-gaap--ShareBasedCompensation"/>
            <w:bookmarkEnd w:id="732"/>
            <w:r>
              <w:rPr>
                <w:rFonts w:ascii="Times New Roman;Times;Serif" w:hAnsi="Times New Roman;Times;Serif"/>
                <w:b w:val="false"/>
                <w:i w:val="false"/>
                <w:caps w:val="false"/>
                <w:smallCaps w:val="false"/>
                <w:sz w:val="20"/>
              </w:rPr>
              <w:t>6.75 - $</w:t>
            </w:r>
            <w:bookmarkStart w:id="733" w:name="xdx_907_eus-gaap--ShareBasedCompensation"/>
            <w:bookmarkEnd w:id="733"/>
            <w:r>
              <w:rPr>
                <w:rFonts w:ascii="Times New Roman;Times;Serif" w:hAnsi="Times New Roman;Times;Serif"/>
                <w:b w:val="false"/>
                <w:i w:val="false"/>
                <w:caps w:val="false"/>
                <w:smallCaps w:val="false"/>
                <w:sz w:val="20"/>
              </w:rPr>
              <w:t>7.30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34" w:name="xdx_982_eus-gaap--ShareBasedCompensation"/>
            <w:bookmarkEnd w:id="734"/>
          </w:p>
        </w:tc>
        <w:tc>
          <w:tcPr>
            <w:tcW w:w="9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35" w:name="xdx_906_eus-gaap--SharebasedCompensation"/>
            <w:bookmarkEnd w:id="735"/>
            <w:r>
              <w:rPr>
                <w:rFonts w:ascii="Times New Roman;Times;Serif" w:hAnsi="Times New Roman;Times;Serif"/>
                <w:b w:val="false"/>
                <w:i w:val="false"/>
                <w:caps w:val="false"/>
                <w:smallCaps w:val="false"/>
                <w:sz w:val="20"/>
              </w:rPr>
              <w:t>7.43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36" w:name="xdx_987_eus-gaap--SharebasedCompensation"/>
            <w:bookmarkEnd w:id="736"/>
          </w:p>
        </w:tc>
        <w:tc>
          <w:tcPr>
            <w:tcW w:w="17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37" w:name="xdx_98B_eus-gaap--ShareBasedCompensation"/>
            <w:bookmarkEnd w:id="737"/>
          </w:p>
        </w:tc>
        <w:tc>
          <w:tcPr>
            <w:tcW w:w="13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279,500</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38" w:name="xdx_98C_eus-gaap--SharebasedCompensation"/>
            <w:bookmarkEnd w:id="738"/>
          </w:p>
        </w:tc>
        <w:tc>
          <w:tcPr>
            <w:tcW w:w="1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7.29</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63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39" w:name="xdx_908_eus-gaap--ShareBasedCompensation"/>
            <w:bookmarkEnd w:id="739"/>
            <w:r>
              <w:rPr>
                <w:rFonts w:ascii="Times New Roman;Times;Serif" w:hAnsi="Times New Roman;Times;Serif"/>
                <w:b w:val="false"/>
                <w:i w:val="false"/>
                <w:caps w:val="false"/>
                <w:smallCaps w:val="false"/>
                <w:sz w:val="20"/>
              </w:rPr>
              <w:t>7.37 - $</w:t>
            </w:r>
            <w:bookmarkStart w:id="740" w:name="xdx_90A_eus-gaap--ShareBasedCompensation"/>
            <w:bookmarkEnd w:id="740"/>
            <w:r>
              <w:rPr>
                <w:rFonts w:ascii="Times New Roman;Times;Serif" w:hAnsi="Times New Roman;Times;Serif"/>
                <w:b w:val="false"/>
                <w:i w:val="false"/>
                <w:caps w:val="false"/>
                <w:smallCaps w:val="false"/>
                <w:sz w:val="20"/>
              </w:rPr>
              <w:t>7.79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41" w:name="xdx_980_eus-gaap--ShareBasedCompensation"/>
            <w:bookmarkEnd w:id="741"/>
          </w:p>
        </w:tc>
        <w:tc>
          <w:tcPr>
            <w:tcW w:w="9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260,323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42" w:name="xdx_90E_eus-gaap--SharebasedCompensation"/>
            <w:bookmarkEnd w:id="742"/>
            <w:r>
              <w:rPr>
                <w:rFonts w:ascii="Times New Roman;Times;Serif" w:hAnsi="Times New Roman;Times;Serif"/>
                <w:b w:val="false"/>
                <w:i w:val="false"/>
                <w:caps w:val="false"/>
                <w:smallCaps w:val="false"/>
                <w:sz w:val="20"/>
              </w:rPr>
              <w:t>5.13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43" w:name="xdx_98A_eus-gaap--SharebasedCompensation"/>
            <w:bookmarkEnd w:id="743"/>
          </w:p>
        </w:tc>
        <w:tc>
          <w:tcPr>
            <w:tcW w:w="17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44" w:name="xdx_985_eus-gaap--ShareBasedCompensation"/>
            <w:bookmarkEnd w:id="744"/>
          </w:p>
        </w:tc>
        <w:tc>
          <w:tcPr>
            <w:tcW w:w="13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166,760</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45" w:name="xdx_983_eus-gaap--SharebasedCompensation"/>
            <w:bookmarkEnd w:id="745"/>
          </w:p>
        </w:tc>
        <w:tc>
          <w:tcPr>
            <w:tcW w:w="1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63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46" w:name="xdx_902_eus-gaap--ShareBasedCompensation"/>
            <w:bookmarkEnd w:id="746"/>
            <w:r>
              <w:rPr>
                <w:rFonts w:ascii="Times New Roman;Times;Serif" w:hAnsi="Times New Roman;Times;Serif"/>
                <w:b w:val="false"/>
                <w:i w:val="false"/>
                <w:caps w:val="false"/>
                <w:smallCaps w:val="false"/>
                <w:sz w:val="20"/>
              </w:rPr>
              <w:t>7.87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47" w:name="xdx_98B_eus-gaap--ShareBasedCompensation"/>
            <w:bookmarkEnd w:id="747"/>
          </w:p>
        </w:tc>
        <w:tc>
          <w:tcPr>
            <w:tcW w:w="9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48" w:name="xdx_90D_eus-gaap--SharebasedCompensation"/>
            <w:bookmarkEnd w:id="748"/>
            <w:r>
              <w:rPr>
                <w:rFonts w:ascii="Times New Roman;Times;Serif" w:hAnsi="Times New Roman;Times;Serif"/>
                <w:b w:val="false"/>
                <w:i w:val="false"/>
                <w:caps w:val="false"/>
                <w:smallCaps w:val="false"/>
                <w:sz w:val="20"/>
              </w:rPr>
              <w:t>2.33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49" w:name="xdx_987_eus-gaap--SharebasedCompensation"/>
            <w:bookmarkEnd w:id="749"/>
          </w:p>
        </w:tc>
        <w:tc>
          <w:tcPr>
            <w:tcW w:w="17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50" w:name="xdx_98C_eus-gaap--ShareBasedCompensation"/>
            <w:bookmarkEnd w:id="750"/>
          </w:p>
        </w:tc>
        <w:tc>
          <w:tcPr>
            <w:tcW w:w="13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600,000</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51" w:name="xdx_981_eus-gaap--SharebasedCompensation"/>
            <w:bookmarkEnd w:id="751"/>
          </w:p>
        </w:tc>
        <w:tc>
          <w:tcPr>
            <w:tcW w:w="1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7.87</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63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52" w:name="xdx_906_eus-gaap--ShareBasedCompensation"/>
            <w:bookmarkEnd w:id="752"/>
            <w:r>
              <w:rPr>
                <w:rFonts w:ascii="Times New Roman;Times;Serif" w:hAnsi="Times New Roman;Times;Serif"/>
                <w:b w:val="false"/>
                <w:i w:val="false"/>
                <w:caps w:val="false"/>
                <w:smallCaps w:val="false"/>
                <w:sz w:val="20"/>
              </w:rPr>
              <w:t>7.89 - $</w:t>
            </w:r>
            <w:bookmarkStart w:id="753" w:name="xdx_90D_eus-gaap--ShareBasedCompensation"/>
            <w:bookmarkEnd w:id="753"/>
            <w:r>
              <w:rPr>
                <w:rFonts w:ascii="Times New Roman;Times;Serif" w:hAnsi="Times New Roman;Times;Serif"/>
                <w:b w:val="false"/>
                <w:i w:val="false"/>
                <w:caps w:val="false"/>
                <w:smallCaps w:val="false"/>
                <w:sz w:val="20"/>
              </w:rPr>
              <w:t>12.38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54" w:name="xdx_981_eus-gaap--ShareBasedCompensation"/>
            <w:bookmarkEnd w:id="754"/>
          </w:p>
        </w:tc>
        <w:tc>
          <w:tcPr>
            <w:tcW w:w="9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274,173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55" w:name="xdx_90C_eus-gaap--SharebasedCompensation"/>
            <w:bookmarkEnd w:id="755"/>
            <w:r>
              <w:rPr>
                <w:rFonts w:ascii="Times New Roman;Times;Serif" w:hAnsi="Times New Roman;Times;Serif"/>
                <w:b w:val="false"/>
                <w:i w:val="false"/>
                <w:caps w:val="false"/>
                <w:smallCaps w:val="false"/>
                <w:sz w:val="20"/>
              </w:rPr>
              <w:t>2.57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56" w:name="xdx_985_eus-gaap--SharebasedCompensation"/>
            <w:bookmarkEnd w:id="756"/>
          </w:p>
        </w:tc>
        <w:tc>
          <w:tcPr>
            <w:tcW w:w="17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57" w:name="xdx_986_eus-gaap--ShareBasedCompensation"/>
            <w:bookmarkEnd w:id="757"/>
          </w:p>
        </w:tc>
        <w:tc>
          <w:tcPr>
            <w:tcW w:w="13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227,548</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58" w:name="xdx_98C_eus-gaap--SharebasedCompensation"/>
            <w:bookmarkEnd w:id="758"/>
          </w:p>
        </w:tc>
        <w:tc>
          <w:tcPr>
            <w:tcW w:w="1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8.84</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63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59" w:name="xdx_904_eus-gaap--ShareBasedCompensation"/>
            <w:bookmarkEnd w:id="759"/>
            <w:r>
              <w:rPr>
                <w:rFonts w:ascii="Times New Roman;Times;Serif" w:hAnsi="Times New Roman;Times;Serif"/>
                <w:b w:val="false"/>
                <w:i w:val="false"/>
                <w:caps w:val="false"/>
                <w:smallCaps w:val="false"/>
                <w:sz w:val="20"/>
              </w:rPr>
              <w:t>15.17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60" w:name="xdx_985_eus-gaap--ShareBasedCompensation"/>
            <w:bookmarkEnd w:id="760"/>
          </w:p>
        </w:tc>
        <w:tc>
          <w:tcPr>
            <w:tcW w:w="9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61" w:name="xdx_901_eus-gaap--SharebasedCompensation"/>
            <w:bookmarkEnd w:id="761"/>
            <w:r>
              <w:rPr>
                <w:rFonts w:ascii="Times New Roman;Times;Serif" w:hAnsi="Times New Roman;Times;Serif"/>
                <w:b w:val="false"/>
                <w:i w:val="false"/>
                <w:caps w:val="false"/>
                <w:smallCaps w:val="false"/>
                <w:sz w:val="20"/>
              </w:rPr>
              <w:t>9.84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62" w:name="xdx_986_eus-gaap--SharebasedCompensation"/>
            <w:bookmarkEnd w:id="762"/>
          </w:p>
        </w:tc>
        <w:tc>
          <w:tcPr>
            <w:tcW w:w="17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63" w:name="xdx_98F_eus-gaap--ShareBasedCompensation"/>
            <w:bookmarkEnd w:id="763"/>
          </w:p>
        </w:tc>
        <w:tc>
          <w:tcPr>
            <w:tcW w:w="13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64" w:name="xdx_98E_eus-gaap--SharebasedCompensation"/>
            <w:bookmarkEnd w:id="764"/>
          </w:p>
        </w:tc>
        <w:tc>
          <w:tcPr>
            <w:tcW w:w="1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63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65" w:name="xdx_904_eus-gaap--ShareBasedCompensation"/>
            <w:bookmarkEnd w:id="765"/>
            <w:r>
              <w:rPr>
                <w:rFonts w:ascii="Times New Roman;Times;Serif" w:hAnsi="Times New Roman;Times;Serif"/>
                <w:b w:val="false"/>
                <w:i w:val="false"/>
                <w:caps w:val="false"/>
                <w:smallCaps w:val="false"/>
                <w:sz w:val="20"/>
              </w:rPr>
              <w:t>18.35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766" w:name="xdx_98B_eus-gaap--ShareBasedCompensation"/>
            <w:bookmarkEnd w:id="766"/>
          </w:p>
        </w:tc>
        <w:tc>
          <w:tcPr>
            <w:tcW w:w="98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67" w:name="xdx_900_eus-gaap--SharebasedCompensation"/>
            <w:bookmarkEnd w:id="767"/>
            <w:r>
              <w:rPr>
                <w:rFonts w:ascii="Times New Roman;Times;Serif" w:hAnsi="Times New Roman;Times;Serif"/>
                <w:b w:val="false"/>
                <w:i w:val="false"/>
                <w:caps w:val="false"/>
                <w:smallCaps w:val="false"/>
                <w:sz w:val="20"/>
              </w:rPr>
              <w:t>9.82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68" w:name="xdx_982_eus-gaap--SharebasedCompensation"/>
            <w:bookmarkEnd w:id="768"/>
          </w:p>
        </w:tc>
        <w:tc>
          <w:tcPr>
            <w:tcW w:w="17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69" w:name="xdx_98E_eus-gaap--ShareBasedCompensation"/>
            <w:bookmarkEnd w:id="769"/>
          </w:p>
        </w:tc>
        <w:tc>
          <w:tcPr>
            <w:tcW w:w="139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70" w:name="xdx_986_eus-gaap--SharebasedCompensation"/>
            <w:bookmarkEnd w:id="770"/>
          </w:p>
        </w:tc>
        <w:tc>
          <w:tcPr>
            <w:tcW w:w="1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63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71" w:name="xdx_902_eus-gaap--ShareBasedCompensation"/>
            <w:bookmarkEnd w:id="771"/>
            <w:r>
              <w:rPr>
                <w:rFonts w:ascii="Times New Roman;Times;Serif" w:hAnsi="Times New Roman;Times;Serif"/>
                <w:b w:val="false"/>
                <w:i w:val="false"/>
                <w:caps w:val="false"/>
                <w:smallCaps w:val="false"/>
                <w:sz w:val="20"/>
              </w:rPr>
              <w:t>1.47 - $</w:t>
            </w:r>
            <w:bookmarkStart w:id="772" w:name="xdx_90B_eus-gaap--ShareBasedCompensation"/>
            <w:bookmarkEnd w:id="772"/>
            <w:r>
              <w:rPr>
                <w:rFonts w:ascii="Times New Roman;Times;Serif" w:hAnsi="Times New Roman;Times;Serif"/>
                <w:b w:val="false"/>
                <w:i w:val="false"/>
                <w:caps w:val="false"/>
                <w:smallCaps w:val="false"/>
                <w:sz w:val="20"/>
              </w:rPr>
              <w:t>18.35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773" w:name="xdx_982_eus-gaap--ShareBasedCompensation"/>
            <w:bookmarkEnd w:id="773"/>
          </w:p>
        </w:tc>
        <w:tc>
          <w:tcPr>
            <w:tcW w:w="98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2,891,026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74" w:name="xdx_908_eus-gaap--SharebasedCompensation"/>
            <w:bookmarkEnd w:id="774"/>
            <w:r>
              <w:rPr>
                <w:rFonts w:ascii="Times New Roman;Times;Serif" w:hAnsi="Times New Roman;Times;Serif"/>
                <w:b w:val="false"/>
                <w:i w:val="false"/>
                <w:caps w:val="false"/>
                <w:smallCaps w:val="false"/>
                <w:sz w:val="20"/>
              </w:rPr>
              <w:t>4.30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75" w:name="xdx_984_eus-gaap--SharebasedCompensation"/>
            <w:bookmarkEnd w:id="775"/>
          </w:p>
        </w:tc>
        <w:tc>
          <w:tcPr>
            <w:tcW w:w="17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76" w:name="xdx_989_eus-gaap--ShareBasedCompensation"/>
            <w:bookmarkEnd w:id="776"/>
          </w:p>
        </w:tc>
        <w:tc>
          <w:tcPr>
            <w:tcW w:w="139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2,589,182</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77" w:name="xdx_98C_eus-gaap--SharebasedCompensation"/>
            <w:bookmarkEnd w:id="777"/>
          </w:p>
        </w:tc>
        <w:tc>
          <w:tcPr>
            <w:tcW w:w="1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5.73</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bookmarkStart w:id="778" w:name="xdx_8A2_z8LDKa7NPZze"/>
      <w:bookmarkEnd w:id="778"/>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there was approximately $</w:t>
      </w:r>
      <w:bookmarkStart w:id="779" w:name="xdx_90D_eus-gaap--EmployeeServiceShareBa"/>
      <w:bookmarkEnd w:id="779"/>
      <w:r>
        <w:rPr>
          <w:rFonts w:ascii="Times New Roman;Times;Serif" w:hAnsi="Times New Roman;Times;Serif"/>
          <w:b w:val="false"/>
          <w:i w:val="false"/>
          <w:caps w:val="false"/>
          <w:smallCaps w:val="false"/>
          <w:sz w:val="20"/>
        </w:rPr>
        <w:t xml:space="preserve">1,441,000 of total unrecognized compensation expense related to unvested stock options granted under the Plans. That expense is expected to be recognized over the weighted-average remaining vesting period of </w:t>
      </w:r>
      <w:bookmarkStart w:id="780" w:name="xdx_908_eus-gaap--EmployeeServiceShareBa"/>
      <w:bookmarkEnd w:id="780"/>
      <w:r>
        <w:rPr>
          <w:rFonts w:ascii="Times New Roman;Times;Serif" w:hAnsi="Times New Roman;Times;Serif"/>
          <w:b w:val="false"/>
          <w:i w:val="false"/>
          <w:caps w:val="false"/>
          <w:smallCaps w:val="false"/>
          <w:sz w:val="20"/>
        </w:rPr>
        <w:t>3.0 years. The stock-based compensation for all stock options was $</w:t>
      </w:r>
      <w:bookmarkStart w:id="781" w:name="xdx_90E_eus-gaap--ShareBasedCompensation"/>
      <w:bookmarkEnd w:id="781"/>
      <w:r>
        <w:rPr>
          <w:rFonts w:ascii="Times New Roman;Times;Serif" w:hAnsi="Times New Roman;Times;Serif"/>
          <w:b w:val="false"/>
          <w:i w:val="false"/>
          <w:caps w:val="false"/>
          <w:smallCaps w:val="false"/>
          <w:sz w:val="20"/>
        </w:rPr>
        <w:t>341,000 and $</w:t>
      </w:r>
      <w:bookmarkStart w:id="782" w:name="xdx_903_eus-gaap--ShareBasedCompensation"/>
      <w:bookmarkEnd w:id="782"/>
      <w:r>
        <w:rPr>
          <w:rFonts w:ascii="Times New Roman;Times;Serif" w:hAnsi="Times New Roman;Times;Serif"/>
          <w:b w:val="false"/>
          <w:i w:val="false"/>
          <w:caps w:val="false"/>
          <w:smallCaps w:val="false"/>
          <w:sz w:val="20"/>
        </w:rPr>
        <w:t>272,000 during the three months ended March 31, 2023 and 2022,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intrinsic value of options exercised during the three months ended March 31, 2023 was $</w:t>
      </w:r>
      <w:bookmarkStart w:id="783" w:name="xdx_90E_eus-gaap--ShareBasedCompensation"/>
      <w:bookmarkEnd w:id="783"/>
      <w:r>
        <w:rPr>
          <w:rFonts w:ascii="Times New Roman;Times;Serif" w:hAnsi="Times New Roman;Times;Serif"/>
          <w:b w:val="false"/>
          <w:i w:val="false"/>
          <w:caps w:val="false"/>
          <w:smallCaps w:val="false"/>
          <w:sz w:val="20"/>
        </w:rPr>
        <w:t>1,819,000.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Restricted Stock Units/Performance Stock Units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RSU awards are granted subject to certain vesting requirements and other restrictions, including performance and market-based vesting criteria. The grant date fair value of the RSUs, which has been determined based upon the market value of the Company’s common stock on the grant date, is expensed over the vesting period of the RSUs.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84" w:name="xdx_897_eus-gaap--ScheduleOfShareBasedCo"/>
      <w:bookmarkEnd w:id="784"/>
      <w:r>
        <w:rPr>
          <w:rFonts w:ascii="Times New Roman;Times;Serif" w:hAnsi="Times New Roman;Times;Serif"/>
          <w:b w:val="false"/>
          <w:i w:val="false"/>
          <w:caps w:val="false"/>
          <w:smallCaps w:val="false"/>
          <w:sz w:val="20"/>
        </w:rPr>
        <w:t>A summary of the Company’s RSU activity (including performance stock units) and related information for the three months ended March 31, 2023 is as follows:</w:t>
      </w:r>
    </w:p>
    <w:p>
      <w:pPr>
        <w:pStyle w:val="TextBody"/>
        <w:bidi w:val="0"/>
        <w:spacing w:before="0" w:after="0"/>
        <w:ind w:left="0" w:right="0" w:hanging="0"/>
        <w:jc w:val="both"/>
        <w:rPr>
          <w:caps w:val="false"/>
          <w:smallCaps w:val="false"/>
        </w:rPr>
      </w:pPr>
      <w:r>
        <w:rPr>
          <w:caps w:val="false"/>
          <w:smallCaps w:val="false"/>
        </w:rPr>
        <w:t> </w:t>
      </w:r>
      <w:bookmarkStart w:id="785" w:name="xdx_8B0_zBEFkkTxR6tc"/>
      <w:bookmarkEnd w:id="785"/>
      <w:r>
        <w:rPr>
          <w:rFonts w:ascii="Times New Roman;Times;Serif" w:hAnsi="Times New Roman;Times;Serif"/>
          <w:b w:val="false"/>
          <w:i w:val="false"/>
          <w:caps w:val="false"/>
          <w:smallCaps w:val="false"/>
          <w:sz w:val="20"/>
        </w:rPr>
        <w:t>SCHEDULE OF RESTRICTED STOCK UNITS ACTIVITY</w:t>
      </w:r>
    </w:p>
    <w:tbl>
      <w:tblPr>
        <w:tblW w:w="9558" w:type="dxa"/>
        <w:jc w:val="left"/>
        <w:tblInd w:w="0" w:type="dxa"/>
        <w:tblLayout w:type="fixed"/>
        <w:tblCellMar>
          <w:top w:w="0" w:type="dxa"/>
          <w:left w:w="0" w:type="dxa"/>
          <w:bottom w:w="0" w:type="dxa"/>
          <w:right w:w="0" w:type="dxa"/>
        </w:tblCellMar>
      </w:tblPr>
      <w:tblGrid>
        <w:gridCol w:w="3215"/>
        <w:gridCol w:w="60"/>
        <w:gridCol w:w="102"/>
        <w:gridCol w:w="1672"/>
        <w:gridCol w:w="95"/>
        <w:gridCol w:w="60"/>
        <w:gridCol w:w="1032"/>
        <w:gridCol w:w="3247"/>
        <w:gridCol w:w="75"/>
      </w:tblGrid>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RSUs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 Grant Date Fair Value</w:t>
            </w:r>
          </w:p>
        </w:tc>
        <w:tc>
          <w:tcPr>
            <w:tcW w:w="7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RSUs unvested - January 1, 2023</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bookmarkStart w:id="786" w:name="xdx_98A_eus-gaap--ShareBasedCompensation"/>
            <w:bookmarkEnd w:id="786"/>
          </w:p>
        </w:tc>
        <w:tc>
          <w:tcPr>
            <w:tcW w:w="1672" w:type="dxa"/>
            <w:tcBorders/>
            <w:shd w:fill="CCEEFF" w:val="clear"/>
            <w:vAlign w:val="center"/>
          </w:tcPr>
          <w:p>
            <w:pPr>
              <w:pStyle w:val="TableContents"/>
              <w:bidi w:val="0"/>
              <w:spacing w:before="0" w:after="283"/>
              <w:jc w:val="right"/>
              <w:rPr/>
            </w:pPr>
            <w:r>
              <w:rPr/>
              <w:t>2,061,719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left"/>
              <w:rPr/>
            </w:pPr>
            <w:r>
              <w:rPr/>
              <w:t>$</w:t>
            </w:r>
            <w:bookmarkStart w:id="787" w:name="xdx_98A_eus-gaap--ShareBasedCompensation"/>
            <w:bookmarkEnd w:id="787"/>
          </w:p>
        </w:tc>
        <w:tc>
          <w:tcPr>
            <w:tcW w:w="3247" w:type="dxa"/>
            <w:tcBorders/>
            <w:shd w:fill="CCEEFF" w:val="clear"/>
            <w:vAlign w:val="center"/>
          </w:tcPr>
          <w:p>
            <w:pPr>
              <w:pStyle w:val="TableContents"/>
              <w:bidi w:val="0"/>
              <w:spacing w:before="0" w:after="283"/>
              <w:jc w:val="right"/>
              <w:rPr/>
            </w:pPr>
            <w:r>
              <w:rPr/>
              <w:t>6.88</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RSUs granted</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bookmarkStart w:id="788" w:name="xdx_989_eus-gaap--ShareBasedCompensation"/>
            <w:bookmarkEnd w:id="788"/>
          </w:p>
        </w:tc>
        <w:tc>
          <w:tcPr>
            <w:tcW w:w="167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left"/>
              <w:rPr/>
            </w:pPr>
            <w:r>
              <w:rPr/>
              <w:t>$</w:t>
            </w:r>
            <w:bookmarkStart w:id="789" w:name="xdx_98A_eus-gaap--ShareBasedCompensation"/>
            <w:bookmarkEnd w:id="789"/>
          </w:p>
        </w:tc>
        <w:tc>
          <w:tcPr>
            <w:tcW w:w="324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RSUs vested</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bookmarkStart w:id="790" w:name="xdx_98D_eus-gaap--ShareBasedCompensation"/>
            <w:bookmarkEnd w:id="790"/>
          </w:p>
        </w:tc>
        <w:tc>
          <w:tcPr>
            <w:tcW w:w="1672" w:type="dxa"/>
            <w:tcBorders/>
            <w:shd w:fill="CCEEFF" w:val="clear"/>
            <w:vAlign w:val="center"/>
          </w:tcPr>
          <w:p>
            <w:pPr>
              <w:pStyle w:val="TableContents"/>
              <w:bidi w:val="0"/>
              <w:spacing w:before="0" w:after="283"/>
              <w:jc w:val="right"/>
              <w:rPr/>
            </w:pPr>
            <w:r>
              <w:rPr/>
              <w:t>(127,405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left"/>
              <w:rPr/>
            </w:pPr>
            <w:r>
              <w:rPr/>
              <w:t>$</w:t>
            </w:r>
            <w:bookmarkStart w:id="791" w:name="xdx_985_eus-gaap--ShareBasedCompensation"/>
            <w:bookmarkEnd w:id="791"/>
          </w:p>
        </w:tc>
        <w:tc>
          <w:tcPr>
            <w:tcW w:w="3247" w:type="dxa"/>
            <w:tcBorders/>
            <w:shd w:fill="CCEEFF" w:val="clear"/>
            <w:vAlign w:val="center"/>
          </w:tcPr>
          <w:p>
            <w:pPr>
              <w:pStyle w:val="TableContents"/>
              <w:bidi w:val="0"/>
              <w:spacing w:before="0" w:after="283"/>
              <w:jc w:val="right"/>
              <w:rPr/>
            </w:pPr>
            <w:r>
              <w:rPr/>
              <w:t>7.34</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RSUs cancelled/forfeited</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792" w:name="xdx_980_eus-gaap--ShareBasedCompensation"/>
            <w:bookmarkEnd w:id="792"/>
          </w:p>
        </w:tc>
        <w:tc>
          <w:tcPr>
            <w:tcW w:w="1672" w:type="dxa"/>
            <w:tcBorders>
              <w:bottom w:val="single" w:sz="12" w:space="0" w:color="000000"/>
            </w:tcBorders>
            <w:shd w:fill="FFFFFF" w:val="clear"/>
            <w:tcMar>
              <w:bottom w:w="28" w:type="dxa"/>
            </w:tcMar>
            <w:vAlign w:val="center"/>
          </w:tcPr>
          <w:p>
            <w:pPr>
              <w:pStyle w:val="TableContents"/>
              <w:bidi w:val="0"/>
              <w:spacing w:before="0" w:after="283"/>
              <w:jc w:val="right"/>
              <w:rPr/>
            </w:pPr>
            <w:r>
              <w:rPr/>
              <w:t>(75,000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left"/>
              <w:rPr/>
            </w:pPr>
            <w:r>
              <w:rPr/>
              <w:t>$</w:t>
            </w:r>
            <w:bookmarkStart w:id="793" w:name="xdx_98D_eus-gaap--ShareBasedCompensation"/>
            <w:bookmarkEnd w:id="793"/>
          </w:p>
        </w:tc>
        <w:tc>
          <w:tcPr>
            <w:tcW w:w="3247" w:type="dxa"/>
            <w:tcBorders/>
            <w:shd w:fill="FFFFFF" w:val="clear"/>
            <w:vAlign w:val="center"/>
          </w:tcPr>
          <w:p>
            <w:pPr>
              <w:pStyle w:val="TableContents"/>
              <w:bidi w:val="0"/>
              <w:spacing w:before="0" w:after="283"/>
              <w:jc w:val="right"/>
              <w:rPr/>
            </w:pPr>
            <w:r>
              <w:rPr/>
              <w:t>5.83</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RSUs unvested - March 31, 2023</w:t>
            </w:r>
          </w:p>
        </w:tc>
        <w:tc>
          <w:tcPr>
            <w:tcW w:w="60" w:type="dxa"/>
            <w:tcBorders/>
            <w:shd w:fill="CCEEFF" w:val="clear"/>
            <w:vAlign w:val="center"/>
          </w:tcPr>
          <w:p>
            <w:pPr>
              <w:pStyle w:val="TableContents"/>
              <w:bidi w:val="0"/>
              <w:spacing w:before="0" w:after="283"/>
              <w:jc w:val="left"/>
              <w:rPr/>
            </w:pPr>
            <w:r>
              <w:rPr/>
              <w:t> </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794" w:name="xdx_987_eus-gaap--ShareBasedCompensation"/>
            <w:bookmarkEnd w:id="794"/>
          </w:p>
        </w:tc>
        <w:tc>
          <w:tcPr>
            <w:tcW w:w="1672" w:type="dxa"/>
            <w:tcBorders>
              <w:bottom w:val="double" w:sz="6" w:space="0" w:color="000000"/>
            </w:tcBorders>
            <w:shd w:fill="CCEEFF" w:val="clear"/>
            <w:tcMar>
              <w:bottom w:w="28" w:type="dxa"/>
            </w:tcMar>
            <w:vAlign w:val="center"/>
          </w:tcPr>
          <w:p>
            <w:pPr>
              <w:pStyle w:val="TableContents"/>
              <w:bidi w:val="0"/>
              <w:spacing w:before="0" w:after="283"/>
              <w:jc w:val="right"/>
              <w:rPr/>
            </w:pPr>
            <w:r>
              <w:rPr/>
              <w:t>1,859,314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left"/>
              <w:rPr/>
            </w:pPr>
            <w:r>
              <w:rPr/>
              <w:t>$</w:t>
            </w:r>
            <w:bookmarkStart w:id="795" w:name="xdx_98E_eus-gaap--ShareBasedCompensation"/>
            <w:bookmarkEnd w:id="795"/>
          </w:p>
        </w:tc>
        <w:tc>
          <w:tcPr>
            <w:tcW w:w="3247" w:type="dxa"/>
            <w:tcBorders/>
            <w:shd w:fill="CCEEFF" w:val="clear"/>
            <w:vAlign w:val="center"/>
          </w:tcPr>
          <w:p>
            <w:pPr>
              <w:pStyle w:val="TableContents"/>
              <w:bidi w:val="0"/>
              <w:spacing w:before="0" w:after="283"/>
              <w:jc w:val="right"/>
              <w:rPr/>
            </w:pPr>
            <w:r>
              <w:rPr/>
              <w:t>6.82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796" w:name="xdx_8AF_zJzOylkC77ea"/>
      <w:bookmarkEnd w:id="796"/>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the total unrecognized compensation expense related to unvested RSUs was approximately $</w:t>
      </w:r>
      <w:bookmarkStart w:id="797" w:name="xdx_905_eus-gaap--EmployeeServiceShareBa"/>
      <w:bookmarkEnd w:id="797"/>
      <w:r>
        <w:rPr>
          <w:rFonts w:ascii="Times New Roman;Times;Serif" w:hAnsi="Times New Roman;Times;Serif"/>
          <w:b w:val="false"/>
          <w:i w:val="false"/>
          <w:caps w:val="false"/>
          <w:smallCaps w:val="false"/>
          <w:sz w:val="20"/>
        </w:rPr>
        <w:t xml:space="preserve">2,476,000, which is expected to be recognized over a weighted-average period of </w:t>
      </w:r>
      <w:bookmarkStart w:id="798" w:name="xdx_909_eus-gaap--EmployeeServiceShareBa"/>
      <w:bookmarkEnd w:id="798"/>
      <w:r>
        <w:rPr>
          <w:rFonts w:ascii="Times New Roman;Times;Serif" w:hAnsi="Times New Roman;Times;Serif"/>
          <w:b w:val="false"/>
          <w:i w:val="false"/>
          <w:caps w:val="false"/>
          <w:smallCaps w:val="false"/>
          <w:sz w:val="20"/>
        </w:rPr>
        <w:t>0.4 years, based on estimated and actual vesting schedules of the applicable RSUs. The stock-based compensation for RSUs during the three months ended March 31, 2023 and 2022 was $</w:t>
      </w:r>
      <w:bookmarkStart w:id="799" w:name="xdx_90B_eus-gaap--ShareBasedCompensation"/>
      <w:bookmarkEnd w:id="799"/>
      <w:r>
        <w:rPr>
          <w:rFonts w:ascii="Times New Roman;Times;Serif" w:hAnsi="Times New Roman;Times;Serif"/>
          <w:b w:val="false"/>
          <w:i w:val="false"/>
          <w:caps w:val="false"/>
          <w:smallCaps w:val="false"/>
          <w:sz w:val="20"/>
        </w:rPr>
        <w:t>1,292,000 and $</w:t>
      </w:r>
      <w:bookmarkStart w:id="800" w:name="xdx_903_eus-gaap--ShareBasedCompensation"/>
      <w:bookmarkEnd w:id="800"/>
      <w:r>
        <w:rPr>
          <w:rFonts w:ascii="Times New Roman;Times;Serif" w:hAnsi="Times New Roman;Times;Serif"/>
          <w:b w:val="false"/>
          <w:i w:val="false"/>
          <w:caps w:val="false"/>
          <w:smallCaps w:val="false"/>
          <w:sz w:val="20"/>
        </w:rPr>
        <w:t>1,744,000, respectively.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Stock-Based Compensation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01" w:name="xdx_89E_eus-gaap--ScheduleOfShareBasedCo"/>
      <w:bookmarkEnd w:id="801"/>
      <w:r>
        <w:rPr>
          <w:rFonts w:ascii="Times New Roman;Times;Serif" w:hAnsi="Times New Roman;Times;Serif"/>
          <w:b w:val="false"/>
          <w:i w:val="false"/>
          <w:caps w:val="false"/>
          <w:smallCaps w:val="false"/>
          <w:sz w:val="20"/>
        </w:rPr>
        <w:t>The Company recorded stock-based compensation related to equity instruments granted to employees, directors and consultants as follows:</w:t>
      </w:r>
    </w:p>
    <w:p>
      <w:pPr>
        <w:pStyle w:val="TextBody"/>
        <w:bidi w:val="0"/>
        <w:spacing w:before="0" w:after="0"/>
        <w:ind w:left="0" w:right="0" w:hanging="0"/>
        <w:jc w:val="both"/>
        <w:rPr>
          <w:caps w:val="false"/>
          <w:smallCaps w:val="false"/>
        </w:rPr>
      </w:pPr>
      <w:r>
        <w:rPr>
          <w:caps w:val="false"/>
          <w:smallCaps w:val="false"/>
        </w:rPr>
        <w:t> </w:t>
      </w:r>
      <w:bookmarkStart w:id="802" w:name="xdx_8BC_zZ1YE1gnKllb"/>
      <w:bookmarkEnd w:id="802"/>
      <w:r>
        <w:rPr>
          <w:rFonts w:ascii="Times New Roman;Times;Serif" w:hAnsi="Times New Roman;Times;Serif"/>
          <w:b w:val="false"/>
          <w:i w:val="false"/>
          <w:caps w:val="false"/>
          <w:smallCaps w:val="false"/>
          <w:sz w:val="20"/>
        </w:rPr>
        <w:t>SCHEDULE OF STOCK BASED COMPENSATION GRANTED TO EMPLOYEES DIRECTORS CONSULTANTS</w:t>
      </w:r>
    </w:p>
    <w:tbl>
      <w:tblPr>
        <w:tblW w:w="7941" w:type="dxa"/>
        <w:jc w:val="left"/>
        <w:tblInd w:w="0" w:type="dxa"/>
        <w:tblLayout w:type="fixed"/>
        <w:tblCellMar>
          <w:top w:w="0" w:type="dxa"/>
          <w:left w:w="0" w:type="dxa"/>
          <w:bottom w:w="0" w:type="dxa"/>
          <w:right w:w="0" w:type="dxa"/>
        </w:tblCellMar>
      </w:tblPr>
      <w:tblGrid>
        <w:gridCol w:w="4490"/>
        <w:gridCol w:w="60"/>
        <w:gridCol w:w="196"/>
        <w:gridCol w:w="1378"/>
        <w:gridCol w:w="84"/>
        <w:gridCol w:w="84"/>
        <w:gridCol w:w="196"/>
        <w:gridCol w:w="1378"/>
        <w:gridCol w:w="75"/>
      </w:tblGrid>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03" w:name="xdx_496_20230101__20230331_zJPdqR3J36yd"/>
            <w:bookmarkEnd w:id="803"/>
          </w:p>
        </w:tc>
        <w:tc>
          <w:tcPr>
            <w:tcW w:w="15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bookmarkStart w:id="804" w:name="xdx_495_20220101__20220331_zBpIwqyD9XW7"/>
            <w:bookmarkEnd w:id="804"/>
          </w:p>
        </w:tc>
        <w:tc>
          <w:tcPr>
            <w:tcW w:w="15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6" w:type="dxa"/>
            <w:gridSpan w:val="6"/>
            <w:tcBorders/>
            <w:vAlign w:val="center"/>
          </w:tcPr>
          <w:p>
            <w:pPr>
              <w:pStyle w:val="TableContents"/>
              <w:bidi w:val="0"/>
              <w:spacing w:before="0" w:after="283"/>
              <w:jc w:val="center"/>
              <w:rPr>
                <w:b/>
              </w:rPr>
            </w:pPr>
            <w:r>
              <w:rPr>
                <w:b/>
              </w:rPr>
              <w:t>For the</w:t>
            </w:r>
          </w:p>
        </w:tc>
        <w:tc>
          <w:tcPr>
            <w:tcW w:w="75"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 March 31,</w:t>
            </w:r>
          </w:p>
        </w:tc>
        <w:tc>
          <w:tcPr>
            <w:tcW w:w="75"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5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bookmarkStart w:id="805" w:name="xdx_40A_eus-gaap--AllocatedShareBasedCom"/>
            <w:bookmarkEnd w:id="805"/>
          </w:p>
        </w:tc>
      </w:tr>
      <w:tr>
        <w:trPr/>
        <w:tc>
          <w:tcPr>
            <w:tcW w:w="4490" w:type="dxa"/>
            <w:tcBorders/>
            <w:shd w:fill="CCEEFF" w:val="clear"/>
            <w:vAlign w:val="center"/>
          </w:tcPr>
          <w:p>
            <w:pPr>
              <w:pStyle w:val="TableContents"/>
              <w:bidi w:val="0"/>
              <w:spacing w:before="0" w:after="283"/>
              <w:jc w:val="left"/>
              <w:rPr/>
            </w:pPr>
            <w:r>
              <w:rPr/>
              <w:t>Employees - selling, general and administrative</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1378" w:type="dxa"/>
            <w:tcBorders/>
            <w:shd w:fill="CCEEFF" w:val="clear"/>
            <w:vAlign w:val="center"/>
          </w:tcPr>
          <w:p>
            <w:pPr>
              <w:pStyle w:val="TableContents"/>
              <w:bidi w:val="0"/>
              <w:spacing w:before="0" w:after="283"/>
              <w:jc w:val="right"/>
              <w:rPr/>
            </w:pPr>
            <w:r>
              <w:rPr/>
              <w:t>1,328,000</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1378" w:type="dxa"/>
            <w:tcBorders/>
            <w:shd w:fill="CCEEFF" w:val="clear"/>
            <w:vAlign w:val="center"/>
          </w:tcPr>
          <w:p>
            <w:pPr>
              <w:pStyle w:val="TableContents"/>
              <w:bidi w:val="0"/>
              <w:spacing w:before="0" w:after="283"/>
              <w:jc w:val="right"/>
              <w:rPr/>
            </w:pPr>
            <w:r>
              <w:rPr/>
              <w:t>1,676,000</w:t>
            </w:r>
          </w:p>
        </w:tc>
        <w:tc>
          <w:tcPr>
            <w:tcW w:w="75" w:type="dxa"/>
            <w:tcBorders/>
            <w:shd w:fill="CCEEFF" w:val="clear"/>
            <w:vAlign w:val="center"/>
          </w:tcPr>
          <w:p>
            <w:pPr>
              <w:pStyle w:val="TableContents"/>
              <w:bidi w:val="0"/>
              <w:spacing w:before="0" w:after="283"/>
              <w:jc w:val="left"/>
              <w:rPr/>
            </w:pPr>
            <w:r>
              <w:rPr/>
              <w:t> </w:t>
            </w:r>
            <w:bookmarkStart w:id="806" w:name="xdx_406_eus-gaap--AllocatedShareBasedCom"/>
            <w:bookmarkEnd w:id="806"/>
          </w:p>
        </w:tc>
      </w:tr>
      <w:tr>
        <w:trPr/>
        <w:tc>
          <w:tcPr>
            <w:tcW w:w="4490" w:type="dxa"/>
            <w:tcBorders/>
            <w:shd w:fill="FFFFFF" w:val="clear"/>
            <w:vAlign w:val="center"/>
          </w:tcPr>
          <w:p>
            <w:pPr>
              <w:pStyle w:val="TableContents"/>
              <w:bidi w:val="0"/>
              <w:spacing w:before="0" w:after="283"/>
              <w:jc w:val="left"/>
              <w:rPr/>
            </w:pPr>
            <w:r>
              <w:rPr/>
              <w:t>Employees - R&amp;D</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378" w:type="dxa"/>
            <w:tcBorders/>
            <w:shd w:fill="FFFFFF" w:val="clear"/>
            <w:vAlign w:val="center"/>
          </w:tcPr>
          <w:p>
            <w:pPr>
              <w:pStyle w:val="TableContents"/>
              <w:bidi w:val="0"/>
              <w:spacing w:before="0" w:after="283"/>
              <w:jc w:val="right"/>
              <w:rPr/>
            </w:pPr>
            <w:r>
              <w:rPr/>
              <w:t>163,000</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378" w:type="dxa"/>
            <w:tcBorders/>
            <w:shd w:fill="FFFFFF" w:val="clear"/>
            <w:vAlign w:val="center"/>
          </w:tcPr>
          <w:p>
            <w:pPr>
              <w:pStyle w:val="TableContents"/>
              <w:bidi w:val="0"/>
              <w:spacing w:before="0" w:after="283"/>
              <w:jc w:val="right"/>
              <w:rPr/>
            </w:pPr>
            <w:r>
              <w:rPr/>
              <w:t>186,000</w:t>
            </w:r>
          </w:p>
        </w:tc>
        <w:tc>
          <w:tcPr>
            <w:tcW w:w="75" w:type="dxa"/>
            <w:tcBorders/>
            <w:shd w:fill="FFFFFF" w:val="clear"/>
            <w:vAlign w:val="center"/>
          </w:tcPr>
          <w:p>
            <w:pPr>
              <w:pStyle w:val="TableContents"/>
              <w:bidi w:val="0"/>
              <w:spacing w:before="0" w:after="283"/>
              <w:jc w:val="left"/>
              <w:rPr/>
            </w:pPr>
            <w:r>
              <w:rPr/>
              <w:t> </w:t>
            </w:r>
            <w:bookmarkStart w:id="807" w:name="xdx_402_eus-gaap--AllocatedShareBasedCom"/>
            <w:bookmarkEnd w:id="807"/>
          </w:p>
        </w:tc>
      </w:tr>
      <w:tr>
        <w:trPr/>
        <w:tc>
          <w:tcPr>
            <w:tcW w:w="4490" w:type="dxa"/>
            <w:tcBorders/>
            <w:shd w:fill="CCEEFF" w:val="clear"/>
            <w:vAlign w:val="center"/>
          </w:tcPr>
          <w:p>
            <w:pPr>
              <w:pStyle w:val="TableContents"/>
              <w:bidi w:val="0"/>
              <w:spacing w:before="0" w:after="283"/>
              <w:jc w:val="left"/>
              <w:rPr/>
            </w:pPr>
            <w:r>
              <w:rPr/>
              <w:t>Directors - selling, general and administrative</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378" w:type="dxa"/>
            <w:tcBorders/>
            <w:shd w:fill="CCEEFF" w:val="clear"/>
            <w:vAlign w:val="center"/>
          </w:tcPr>
          <w:p>
            <w:pPr>
              <w:pStyle w:val="TableContents"/>
              <w:bidi w:val="0"/>
              <w:spacing w:before="0" w:after="283"/>
              <w:jc w:val="right"/>
              <w:rPr/>
            </w:pPr>
            <w:r>
              <w:rPr/>
              <w:t>125,000</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378" w:type="dxa"/>
            <w:tcBorders/>
            <w:shd w:fill="CCEEFF" w:val="clear"/>
            <w:vAlign w:val="center"/>
          </w:tcPr>
          <w:p>
            <w:pPr>
              <w:pStyle w:val="TableContents"/>
              <w:bidi w:val="0"/>
              <w:spacing w:before="0" w:after="283"/>
              <w:jc w:val="right"/>
              <w:rPr/>
            </w:pPr>
            <w:r>
              <w:rPr/>
              <w:t>100,000</w:t>
            </w:r>
          </w:p>
        </w:tc>
        <w:tc>
          <w:tcPr>
            <w:tcW w:w="75" w:type="dxa"/>
            <w:tcBorders/>
            <w:shd w:fill="CCEEFF" w:val="clear"/>
            <w:vAlign w:val="center"/>
          </w:tcPr>
          <w:p>
            <w:pPr>
              <w:pStyle w:val="TableContents"/>
              <w:bidi w:val="0"/>
              <w:spacing w:before="0" w:after="283"/>
              <w:jc w:val="left"/>
              <w:rPr/>
            </w:pPr>
            <w:r>
              <w:rPr/>
              <w:t> </w:t>
            </w:r>
            <w:bookmarkStart w:id="808" w:name="xdx_40F_eus-gaap--AllocatedShareBasedCom"/>
            <w:bookmarkEnd w:id="808"/>
          </w:p>
        </w:tc>
      </w:tr>
      <w:tr>
        <w:trPr/>
        <w:tc>
          <w:tcPr>
            <w:tcW w:w="4490" w:type="dxa"/>
            <w:tcBorders/>
            <w:shd w:fill="FFFFFF" w:val="clear"/>
            <w:vAlign w:val="center"/>
          </w:tcPr>
          <w:p>
            <w:pPr>
              <w:pStyle w:val="TableContents"/>
              <w:bidi w:val="0"/>
              <w:spacing w:before="0" w:after="283"/>
              <w:jc w:val="left"/>
              <w:rPr/>
            </w:pPr>
            <w:r>
              <w:rPr/>
              <w:t>Consultants - R&amp;D</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78" w:type="dxa"/>
            <w:tcBorders>
              <w:bottom w:val="single" w:sz="12" w:space="0" w:color="000000"/>
            </w:tcBorders>
            <w:shd w:fill="FFFFFF" w:val="clear"/>
            <w:tcMar>
              <w:bottom w:w="28" w:type="dxa"/>
            </w:tcMar>
            <w:vAlign w:val="center"/>
          </w:tcPr>
          <w:p>
            <w:pPr>
              <w:pStyle w:val="TableContents"/>
              <w:bidi w:val="0"/>
              <w:spacing w:before="0" w:after="283"/>
              <w:jc w:val="right"/>
              <w:rPr/>
            </w:pPr>
            <w:r>
              <w:rPr/>
              <w:t>17,000</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78" w:type="dxa"/>
            <w:tcBorders>
              <w:bottom w:val="single" w:sz="12" w:space="0" w:color="000000"/>
            </w:tcBorders>
            <w:shd w:fill="FFFFFF" w:val="clear"/>
            <w:tcMar>
              <w:bottom w:w="28" w:type="dxa"/>
            </w:tcMar>
            <w:vAlign w:val="center"/>
          </w:tcPr>
          <w:p>
            <w:pPr>
              <w:pStyle w:val="TableContents"/>
              <w:bidi w:val="0"/>
              <w:spacing w:before="0" w:after="283"/>
              <w:jc w:val="right"/>
              <w:rPr/>
            </w:pPr>
            <w:r>
              <w:rPr/>
              <w:t>54,000</w:t>
            </w:r>
          </w:p>
        </w:tc>
        <w:tc>
          <w:tcPr>
            <w:tcW w:w="75" w:type="dxa"/>
            <w:tcBorders/>
            <w:shd w:fill="FFFFFF" w:val="clear"/>
            <w:vAlign w:val="center"/>
          </w:tcPr>
          <w:p>
            <w:pPr>
              <w:pStyle w:val="TableContents"/>
              <w:bidi w:val="0"/>
              <w:spacing w:before="0" w:after="283"/>
              <w:jc w:val="left"/>
              <w:rPr/>
            </w:pPr>
            <w:r>
              <w:rPr/>
              <w:t> </w:t>
            </w:r>
            <w:bookmarkStart w:id="809" w:name="xdx_409_eus-gaap--AllocatedShareBasedCom"/>
            <w:bookmarkEnd w:id="809"/>
          </w:p>
        </w:tc>
      </w:tr>
      <w:tr>
        <w:trPr/>
        <w:tc>
          <w:tcPr>
            <w:tcW w:w="449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78" w:type="dxa"/>
            <w:tcBorders>
              <w:bottom w:val="double" w:sz="6" w:space="0" w:color="000000"/>
            </w:tcBorders>
            <w:shd w:fill="CCEEFF" w:val="clear"/>
            <w:tcMar>
              <w:bottom w:w="28" w:type="dxa"/>
            </w:tcMar>
            <w:vAlign w:val="center"/>
          </w:tcPr>
          <w:p>
            <w:pPr>
              <w:pStyle w:val="TableContents"/>
              <w:bidi w:val="0"/>
              <w:spacing w:before="0" w:after="283"/>
              <w:jc w:val="right"/>
              <w:rPr/>
            </w:pPr>
            <w:r>
              <w:rPr/>
              <w:t>1,633,000</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78" w:type="dxa"/>
            <w:tcBorders>
              <w:bottom w:val="double" w:sz="6" w:space="0" w:color="000000"/>
            </w:tcBorders>
            <w:shd w:fill="CCEEFF" w:val="clear"/>
            <w:tcMar>
              <w:bottom w:w="28" w:type="dxa"/>
            </w:tcMar>
            <w:vAlign w:val="center"/>
          </w:tcPr>
          <w:p>
            <w:pPr>
              <w:pStyle w:val="TableContents"/>
              <w:bidi w:val="0"/>
              <w:spacing w:before="0" w:after="283"/>
              <w:jc w:val="right"/>
              <w:rPr/>
            </w:pPr>
            <w:r>
              <w:rPr/>
              <w:t>2,016,000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10" w:name="xdx_8A1_zUOESGw4In5i"/>
      <w:bookmarkEnd w:id="810"/>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11" w:name="xdx_80A_eus-gaap--CommitmentsAndContinge"/>
      <w:bookmarkEnd w:id="811"/>
      <w:r>
        <w:rPr>
          <w:rFonts w:ascii="Times New Roman;Times;Serif" w:hAnsi="Times New Roman;Times;Serif"/>
          <w:b/>
          <w:i w:val="false"/>
          <w:caps w:val="false"/>
          <w:smallCaps w:val="false"/>
          <w:sz w:val="20"/>
        </w:rPr>
        <w:t xml:space="preserve">NOTE 16. </w:t>
      </w:r>
      <w:bookmarkStart w:id="812" w:name="xdx_826_zi9pMlGKKB59"/>
      <w:bookmarkEnd w:id="812"/>
      <w:r>
        <w:rPr>
          <w:rFonts w:ascii="Times New Roman;Times;Serif" w:hAnsi="Times New Roman;Times;Serif"/>
          <w:b/>
          <w:i w:val="false"/>
          <w:caps w:val="false"/>
          <w:smallCaps w:val="false"/>
          <w:sz w:val="20"/>
        </w:rPr>
        <w:t xml:space="preserve">COMMITMENTS AND CONTINGENCIES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Other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the Company is involved in various legal proceedings, government investigations and other matters that are complex in nature and have outcomes that are difficult to predict. The Company describes legal proceedings and other matters that are/were significant or that it believes could become significant in this footnote.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accruals for loss contingencies to the extent that it concludes it is probable that a liability has been incurred and the amount of the related loss can be reasonably estimated. The Company evaluates, on a quarterly basis, developments in legal proceedings and other matters that could cause an increase or decrease in the amount of a liability that has been accrued previously.</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legal proceedings involve various aspects of its business and a variety of claims, some of which present novel factual allegations and/or unique legal theories. Typically, a number of the matters pending against the Company are at early stages of the legal process, which in complex proceedings of the sort the Company face often extend for several years. While it is not possible to accurately predict or determine the eventual outcomes of matters that have not concluded, an adverse determination in one or more of matter (whether discussed in this footnote or not) currently pending may have a material adverse effect on the Company’s condensed consolidated results of operations, financial position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Ocular Science, Inc. et. 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2021, ImprimisRx, LLC, a subsidiary of the Company, filed a lawsuit against Ocular Science, Inc. and OSRX, Inc. (together, “OSRX”) in the U.S. District Court for the Southern District of California, asserting claims for copyright infringement, trademark infringement, unfair competition and false advertising (Lanham Act). ImprimisRx is seeking damages from OSRX. Since July 2021, the complaint has been amended and OSRX added counterclaims alleging ImprimisRx, LLC is violating the Lanham Act with false advertising. Both parties are seeking damages from the other. Discovery is currently ongoing and trial is set to take place in the fourth quarter of 2023.</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 and Professional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and professional liability litigation represents an inherent risk to all firms in the pharmaceutical and pharmacy industry. We utilize traditional third-party insurance policies with regard to our product and professional liability claims. Such insurance coverage at any given time reflects current market conditions, including cost and availability, when the policy is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indemnification provisions contained in the Company’s governing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indemnifies Oaktree for certain claims and losses associated with the Oaktree Loan.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incurred any payments for these obligations and, therefore, no liabilities have been recorded for these indemnities in the accompanying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Klarity License Agreement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license agreement in April 2017, as amended in April 2018 (the “Klarity License Agreement”), with Richard L. Lindstrom, M.D., a member of its Board of Directors. Pursuant to the terms of the Klarity License Agreement, the Company licensed certain intellectual property and related rights from Dr. Lindstrom to develop, formulate, make, sell, and sub-license the topical ophthalmic solution Klarity designed to protect and rehabilitate the ocular surface (the “Klarity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13" w:name="xdx_90B_ecustom--RoyaltyPaymentDescripti"/>
      <w:bookmarkEnd w:id="813"/>
      <w:r>
        <w:rPr>
          <w:rFonts w:ascii="Times New Roman;Times;Serif" w:hAnsi="Times New Roman;Times;Serif"/>
          <w:b w:val="false"/>
          <w:i w:val="false"/>
          <w:caps w:val="false"/>
          <w:smallCaps w:val="false"/>
          <w:sz w:val="20"/>
        </w:rPr>
        <w:t>Under the terms of the Klarity License Agreement, the Company is required to make royalty payments to Dr. Lindstrom ranging from 3% to 6% of net sales, dependent upon the final formulation of the Klarity Product sold. In addition, the Company is required to make certain milestone payments to Dr. Lindstrom including: (i) an initial payment of $</w:t>
      </w:r>
      <w:bookmarkStart w:id="814" w:name="xdx_900_eus-gaap--RoyaltyExpense_c201704"/>
      <w:bookmarkEnd w:id="814"/>
      <w:r>
        <w:rPr>
          <w:rFonts w:ascii="Times New Roman;Times;Serif" w:hAnsi="Times New Roman;Times;Serif"/>
          <w:b w:val="false"/>
          <w:i w:val="false"/>
          <w:caps w:val="false"/>
          <w:smallCaps w:val="false"/>
          <w:sz w:val="20"/>
        </w:rPr>
        <w:t>50,000 upon execution of the Klarity License Agreement, (ii) a second payment of $</w:t>
      </w:r>
      <w:bookmarkStart w:id="815" w:name="xdx_905_eus-gaap--RoyaltyExpense_c201704"/>
      <w:bookmarkEnd w:id="815"/>
      <w:r>
        <w:rPr>
          <w:rFonts w:ascii="Times New Roman;Times;Serif" w:hAnsi="Times New Roman;Times;Serif"/>
          <w:b w:val="false"/>
          <w:i w:val="false"/>
          <w:caps w:val="false"/>
          <w:smallCaps w:val="false"/>
          <w:sz w:val="20"/>
        </w:rPr>
        <w:t>50,000 following the first $</w:t>
      </w:r>
      <w:bookmarkStart w:id="816" w:name="xdx_900_ecustom--NetSalesRevenue_c201704"/>
      <w:bookmarkEnd w:id="816"/>
      <w:r>
        <w:rPr>
          <w:rFonts w:ascii="Times New Roman;Times;Serif" w:hAnsi="Times New Roman;Times;Serif"/>
          <w:b w:val="false"/>
          <w:i w:val="false"/>
          <w:caps w:val="false"/>
          <w:smallCaps w:val="false"/>
          <w:sz w:val="20"/>
        </w:rPr>
        <w:t>50,000 in net sales of the Klarity Product; and (iii) a final payment of $</w:t>
      </w:r>
      <w:bookmarkStart w:id="817" w:name="xdx_90F_eus-gaap--RoyaltyExpense_c201704"/>
      <w:bookmarkEnd w:id="817"/>
      <w:r>
        <w:rPr>
          <w:rFonts w:ascii="Times New Roman;Times;Serif" w:hAnsi="Times New Roman;Times;Serif"/>
          <w:b w:val="false"/>
          <w:i w:val="false"/>
          <w:caps w:val="false"/>
          <w:smallCaps w:val="false"/>
          <w:sz w:val="20"/>
        </w:rPr>
        <w:t>50,000 following the first $</w:t>
      </w:r>
      <w:bookmarkStart w:id="818" w:name="xdx_90E_ecustom--NetSalesRevenue_c201704"/>
      <w:bookmarkEnd w:id="818"/>
      <w:r>
        <w:rPr>
          <w:rFonts w:ascii="Times New Roman;Times;Serif" w:hAnsi="Times New Roman;Times;Serif"/>
          <w:b w:val="false"/>
          <w:i w:val="false"/>
          <w:caps w:val="false"/>
          <w:smallCaps w:val="false"/>
          <w:sz w:val="20"/>
        </w:rPr>
        <w:t>100,000 in net sales of the Klarity Product. All of the above referenced milestone payments were payable at the Company’s election in cash or shares of the Company’s restricted common stock. Payments totaling $</w:t>
      </w:r>
      <w:bookmarkStart w:id="819" w:name="xdx_905_ecustom--MilestonePaymentInCash_"/>
      <w:bookmarkEnd w:id="819"/>
      <w:r>
        <w:rPr>
          <w:rFonts w:ascii="Times New Roman;Times;Serif" w:hAnsi="Times New Roman;Times;Serif"/>
          <w:b w:val="false"/>
          <w:i w:val="false"/>
          <w:caps w:val="false"/>
          <w:smallCaps w:val="false"/>
          <w:sz w:val="20"/>
        </w:rPr>
        <w:t>71,000 and $</w:t>
      </w:r>
      <w:bookmarkStart w:id="820" w:name="xdx_900_ecustom--MilestonePaymentInCash_"/>
      <w:bookmarkEnd w:id="820"/>
      <w:r>
        <w:rPr>
          <w:rFonts w:ascii="Times New Roman;Times;Serif" w:hAnsi="Times New Roman;Times;Serif"/>
          <w:b w:val="false"/>
          <w:i w:val="false"/>
          <w:caps w:val="false"/>
          <w:smallCaps w:val="false"/>
          <w:sz w:val="20"/>
        </w:rPr>
        <w:t>30,000 were made during the three months ended March 31, 2023 and 2022, respectively. Royalty expenses were $</w:t>
      </w:r>
      <w:bookmarkStart w:id="821" w:name="xdx_905_eus-gaap--RoyaltyExpense_c202301"/>
      <w:bookmarkEnd w:id="821"/>
      <w:r>
        <w:rPr>
          <w:rFonts w:ascii="Times New Roman;Times;Serif" w:hAnsi="Times New Roman;Times;Serif"/>
          <w:b w:val="false"/>
          <w:i w:val="false"/>
          <w:caps w:val="false"/>
          <w:smallCaps w:val="false"/>
          <w:sz w:val="20"/>
        </w:rPr>
        <w:t>75,000 and $</w:t>
      </w:r>
      <w:bookmarkStart w:id="822" w:name="xdx_904_eus-gaap--RoyaltyExpense_c202201"/>
      <w:bookmarkEnd w:id="822"/>
      <w:r>
        <w:rPr>
          <w:rFonts w:ascii="Times New Roman;Times;Serif" w:hAnsi="Times New Roman;Times;Serif"/>
          <w:b w:val="false"/>
          <w:i w:val="false"/>
          <w:caps w:val="false"/>
          <w:smallCaps w:val="false"/>
          <w:sz w:val="20"/>
        </w:rPr>
        <w:t>71,000 during the three months ended March 31, 2023 and 2022, respectively, and were included in accounts payable to Dr. Lindstrom.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Injectable Asset Purchase Agreement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2019, the Company entered into an asset purchase agreement (the “Lindstrom APA”) with Dr. Lindstrom, a member of its Board of Directors. Pursuant to the terms of the Lindstrom APA, the Company acquired certain intellectual property and related rights from Dr. Lindstrom to develop, formulate, make, sell, and sub-license an ophthalmic injectable product (the “Lindstrom Product”).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23" w:name="xdx_900_ecustom--RoyaltyPaymentDescripti"/>
      <w:bookmarkEnd w:id="823"/>
      <w:r>
        <w:rPr>
          <w:rFonts w:ascii="Times New Roman;Times;Serif" w:hAnsi="Times New Roman;Times;Serif"/>
          <w:b w:val="false"/>
          <w:i w:val="false"/>
          <w:caps w:val="false"/>
          <w:smallCaps w:val="false"/>
          <w:sz w:val="20"/>
        </w:rPr>
        <w:t>Under the terms of the Lindstrom APA, the Company is required to make royalty payments to Dr. Lindstrom ranging from 2% to 3% of net sales, dependent upon the final formulation and patent protection of the Lindstrom Product sold. In addition, the Company is required to make certain milestone payments to Dr. Lindstrom including an initial payment of $</w:t>
      </w:r>
      <w:bookmarkStart w:id="824" w:name="xdx_90A_ecustom--InitialMilestonePayment"/>
      <w:bookmarkEnd w:id="824"/>
      <w:r>
        <w:rPr>
          <w:rFonts w:ascii="Times New Roman;Times;Serif" w:hAnsi="Times New Roman;Times;Serif"/>
          <w:b w:val="false"/>
          <w:i w:val="false"/>
          <w:caps w:val="false"/>
          <w:smallCaps w:val="false"/>
          <w:sz w:val="20"/>
        </w:rPr>
        <w:t>33,000 upon execution of the Lindstrom APA. Dr. Lindstrom was paid $</w:t>
      </w:r>
      <w:bookmarkStart w:id="825" w:name="xdx_90E_ecustom--MilestonePaymentInCash_"/>
      <w:bookmarkEnd w:id="825"/>
      <w:r>
        <w:rPr>
          <w:rFonts w:ascii="Times New Roman;Times;Serif" w:hAnsi="Times New Roman;Times;Serif"/>
          <w:b w:val="false"/>
          <w:i w:val="false"/>
          <w:caps w:val="false"/>
          <w:smallCaps w:val="false"/>
          <w:sz w:val="20"/>
        </w:rPr>
        <w:t>9,000 and $</w:t>
      </w:r>
      <w:bookmarkStart w:id="826" w:name="xdx_906_ecustom--MilestonePaymentInCash_"/>
      <w:bookmarkEnd w:id="826"/>
      <w:r>
        <w:rPr>
          <w:rFonts w:ascii="Times New Roman;Times;Serif" w:hAnsi="Times New Roman;Times;Serif"/>
          <w:b w:val="false"/>
          <w:i w:val="false"/>
          <w:caps w:val="false"/>
          <w:smallCaps w:val="false"/>
          <w:sz w:val="20"/>
        </w:rPr>
        <w:t>8,000 in cash during the three months ended March 31, 2023 and 2022, respectively. The Company incurred $</w:t>
      </w:r>
      <w:bookmarkStart w:id="827" w:name="xdx_900_eus-gaap--RoyaltyExpense_c202301"/>
      <w:bookmarkEnd w:id="827"/>
      <w:r>
        <w:rPr>
          <w:rFonts w:ascii="Times New Roman;Times;Serif" w:hAnsi="Times New Roman;Times;Serif"/>
          <w:b w:val="false"/>
          <w:i w:val="false"/>
          <w:caps w:val="false"/>
          <w:smallCaps w:val="false"/>
          <w:sz w:val="20"/>
        </w:rPr>
        <w:t>8,000 and $</w:t>
      </w:r>
      <w:bookmarkStart w:id="828" w:name="xdx_90F_eus-gaap--RoyaltyExpense_c202201"/>
      <w:bookmarkEnd w:id="828"/>
      <w:r>
        <w:rPr>
          <w:rFonts w:ascii="Times New Roman;Times;Serif" w:hAnsi="Times New Roman;Times;Serif"/>
          <w:b w:val="false"/>
          <w:i w:val="false"/>
          <w:caps w:val="false"/>
          <w:smallCaps w:val="false"/>
          <w:sz w:val="20"/>
        </w:rPr>
        <w:t>7,000 for royalty expenses related to the Lindstrom APA during the three months ended March 31, 2023 and 2022,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Asset Purchase, License and Related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acquired and sourced intellectual property rights related to certain proprietary innovations from certain inventors and related parties (the “Inventors”) through multiple asset purchase agreements, license agreements, strategic agreements and commission agreements. In general, these agreements provide that the Inventors will cooperate with the Company in obtaining patent protection for the acquired intellectual property and that the Company will use commercially reasonable efforts to research, develop and commercialize a product based on the acquired intellectual property. In addition, the Company has acquired a right of first refusal on additional intellectual property and drug development opportunities presented by these Inventors.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consideration for the acquisition of the intellectual property rights, the Company is obligated to make payments to the Inventors based on the completion of certain milestones, generally consisting of: (i) a payment payable within 30 days after the issuance of the first patent in the United States arising from the acquired intellectual property (if any); (ii) a payment payable within 30 days after the Company files the first investigational new drug application (“IND”) with the U.S. Food and Drug Administration (“FDA”) for the first product arising from the acquired intellectual property (if any); (iii) for certain of the Inventors, a payment payable within 30 days after the Company files the first new drug application with the FDA for the first product arising from the acquired intellectual property (if any); and (4) certain royalty payments based on the net receipts received by the Company in connection with the sale or licensing of any product based on the acquired intellectual property (if any), after deducting (among other things) the Company’s development costs associated with such product. If, following five years after the date of the applicable asset purchase agreement, the Company either (a) for certain of the Inventors, has not filed an IND or, for the remaining Inventors, has not initiated a study where data is derived, or (b) has failed to generate royalty payments to the Inventors for any product based on the acquired intellectual property, the Inventors may terminate the applicable asset purchase agreement and request that the Company re-assign the acquired technology to the Inventors. </w:t>
      </w:r>
      <w:r>
        <w:rPr>
          <w:rFonts w:ascii="Times New Roman;Times;Serif" w:hAnsi="Times New Roman;Times;Serif"/>
          <w:b w:val="false"/>
          <w:i w:val="false"/>
          <w:caps w:val="false"/>
          <w:smallCaps w:val="false"/>
          <w:sz w:val="20"/>
          <w:shd w:fill="FFFFFF" w:val="clear"/>
        </w:rPr>
        <w:t>During the three months ended March 31, 2023 and 2022, $</w:t>
      </w:r>
      <w:bookmarkStart w:id="829" w:name="xdx_904_eus-gaap--RoyaltyExpense_c202301"/>
      <w:bookmarkEnd w:id="829"/>
      <w:r>
        <w:rPr>
          <w:rFonts w:ascii="Times New Roman;Times;Serif" w:hAnsi="Times New Roman;Times;Serif"/>
          <w:b w:val="false"/>
          <w:i w:val="false"/>
          <w:caps w:val="false"/>
          <w:smallCaps w:val="false"/>
          <w:sz w:val="20"/>
          <w:shd w:fill="FFFFFF" w:val="clear"/>
        </w:rPr>
        <w:t>293,000 and $</w:t>
      </w:r>
      <w:bookmarkStart w:id="830" w:name="xdx_90C_eus-gaap--RoyaltyExpense_c202201"/>
      <w:bookmarkEnd w:id="830"/>
      <w:r>
        <w:rPr>
          <w:rFonts w:ascii="Times New Roman;Times;Serif" w:hAnsi="Times New Roman;Times;Serif"/>
          <w:b w:val="false"/>
          <w:i w:val="false"/>
          <w:caps w:val="false"/>
          <w:smallCaps w:val="false"/>
          <w:sz w:val="20"/>
          <w:shd w:fill="FFFFFF" w:val="clear"/>
        </w:rPr>
        <w:t>213,000 were incurred under these agreements as royalty expenses,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Sintetica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2021, the Company entered into a License and Supply Agreement (the “Sintetica Agreement”) with Sintetica S.A. (“Sintetica”), pursuant to which Sintetica granted the Company the exclusive license and marketing rights to its patented ophthalmic drug candidate (“IHEEZO”) in the U.S. and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Pursuant to the Sintetica Agreement, the Company agreed to pay Sintetica a per unit transfer price to supply IHEEZO, along with a per unit royalty for units sold. The Company is required to pay Sintetica up to $</w:t>
      </w:r>
      <w:bookmarkStart w:id="831" w:name="xdx_906_eus-gaap--PaymentsForRoyalties_c"/>
      <w:bookmarkEnd w:id="831"/>
      <w:r>
        <w:rPr>
          <w:rFonts w:ascii="Times New Roman;Times;Serif" w:hAnsi="Times New Roman;Times;Serif"/>
          <w:b w:val="false"/>
          <w:i w:val="false"/>
          <w:caps w:val="false"/>
          <w:smallCaps w:val="false"/>
          <w:sz w:val="20"/>
          <w:shd w:fill="FFFFFF" w:val="clear"/>
        </w:rPr>
        <w:t>18,000,000 in one-time milestone payments including a $</w:t>
      </w:r>
      <w:bookmarkStart w:id="832" w:name="xdx_90E_eus-gaap--PaymentsForRoyalties_c"/>
      <w:bookmarkEnd w:id="832"/>
      <w:r>
        <w:rPr>
          <w:rFonts w:ascii="Times New Roman;Times;Serif" w:hAnsi="Times New Roman;Times;Serif"/>
          <w:b w:val="false"/>
          <w:i w:val="false"/>
          <w:caps w:val="false"/>
          <w:smallCaps w:val="false"/>
          <w:sz w:val="20"/>
          <w:shd w:fill="FFFFFF" w:val="clear"/>
        </w:rPr>
        <w:t>5,000,000 payment (the “Upfront Payment”) due within 30 days of signing the Sintetica Agreement and the balance of payments due upon achievement of certain regulatory and commercial milestones. Under the terms of the Sintetica Agreement, Sintetica was responsible for regulatory filings for IHEEZO in the U.S. As of March 31, 2023 and December 31, 2022, the Company had accrued $</w:t>
      </w:r>
      <w:bookmarkStart w:id="833" w:name="xdx_90B_ecustom--PurchaseOfIntangibleAss"/>
      <w:bookmarkStart w:id="834" w:name="xdx_909_ecustom--PurchaseOfIntangibleAss"/>
      <w:bookmarkEnd w:id="833"/>
      <w:bookmarkEnd w:id="834"/>
      <w:r>
        <w:rPr>
          <w:rFonts w:ascii="Times New Roman;Times;Serif" w:hAnsi="Times New Roman;Times;Serif"/>
          <w:b w:val="false"/>
          <w:i w:val="false"/>
          <w:caps w:val="false"/>
          <w:smallCaps w:val="false"/>
          <w:sz w:val="20"/>
          <w:shd w:fill="FFFFFF" w:val="clear"/>
        </w:rPr>
        <w:t>5,000,000 under the Sintetica Agreement related to a milestone payment, which was capitalized as an intangible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the Sintetica Agreement has a ten-year term, and allows for a ten-year extension if certain sales thresholds are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Wakamoto Agreement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August 2021, the Company entered into a License Agreement and a Basic Sale and Purchase Agreement (together, the “Wakamoto Agreements”) with Wakamoto Pharmaceutical Co., Ltd. (“Wakamoto”), pursuant to which Wakamoto granted the Company the exclusive license and marketing rights to its ophthalmic drug candidate (“MAQ-100”) in the U.S. and Canada.</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w:t>
      </w:r>
      <w:r>
        <w:rPr>
          <w:rFonts w:ascii="Times New Roman;Times;Serif" w:hAnsi="Times New Roman;Times;Serif"/>
          <w:b w:val="false"/>
          <w:i w:val="false"/>
          <w:caps w:val="false"/>
          <w:smallCaps w:val="false"/>
          <w:sz w:val="20"/>
          <w:shd w:fill="FFFFFF" w:val="clear"/>
        </w:rPr>
        <w:t xml:space="preserve">Wakamoto </w:t>
      </w:r>
      <w:r>
        <w:rPr>
          <w:rFonts w:ascii="Times New Roman;Times;Serif" w:hAnsi="Times New Roman;Times;Serif"/>
          <w:b w:val="false"/>
          <w:i w:val="false"/>
          <w:caps w:val="false"/>
          <w:smallCaps w:val="false"/>
          <w:sz w:val="20"/>
        </w:rPr>
        <w:t>Agreements, Wakamoto will supply MAQ-100 to the Company, and the Company will pay Wakamoto a per unit transfer price to supply MAQ-100. In addition, the Company is required to pay Wakamoto various one-time milestone payments totaling up to $</w:t>
      </w:r>
      <w:bookmarkStart w:id="835" w:name="xdx_90E_eus-gaap--PaymentsForRoyalties_c"/>
      <w:bookmarkEnd w:id="835"/>
      <w:r>
        <w:rPr>
          <w:rFonts w:ascii="Times New Roman;Times;Serif" w:hAnsi="Times New Roman;Times;Serif"/>
          <w:b w:val="false"/>
          <w:i w:val="false"/>
          <w:caps w:val="false"/>
          <w:smallCaps w:val="false"/>
          <w:sz w:val="20"/>
        </w:rPr>
        <w:t>2,000,000 upon the achievement of certain regulatory milestones and up to $</w:t>
      </w:r>
      <w:bookmarkStart w:id="836" w:name="xdx_904_ecustom--CommercialPaymentsForRo"/>
      <w:bookmarkEnd w:id="836"/>
      <w:r>
        <w:rPr>
          <w:rFonts w:ascii="Times New Roman;Times;Serif" w:hAnsi="Times New Roman;Times;Serif"/>
          <w:b w:val="false"/>
          <w:i w:val="false"/>
          <w:caps w:val="false"/>
          <w:smallCaps w:val="false"/>
          <w:sz w:val="20"/>
        </w:rPr>
        <w:t>6,200,000 upon the achievement of certain commercial milestones. Under the terms of the Agreements, the Company will be responsible for regulatory filings and fees for MAQ-100 in the U.S. and Canada. Through March 31, 2023, no amounts have been paid or accrued under the Wakamoto agreement.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the term of the Agreements is for five years from the date of the FDA’s market approval of MAQ-100 and allows for a five-year extension if certain unit sales thresholds are met.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Eyepoint Commercial Alliance Agreement - Terminated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In August 2020, the Company, through its wholly owned subsidiary ImprimisRx, LLC, entered into a Commercial Alliance Agreement (the “Dexycu Agreement”) with Eyepoint Pharmaceuticals, Inc. (“Eyepoint”), pursuant to which Eyepoint granted the Company the non-exclusive right to co-promote DEXYCU</w:t>
      </w:r>
      <w:r>
        <w:rPr>
          <w:rFonts w:ascii="Times New Roman;Times;Serif" w:hAnsi="Times New Roman;Times;Serif"/>
          <w:b w:val="false"/>
          <w:i w:val="false"/>
          <w:caps w:val="false"/>
          <w:smallCaps w:val="false"/>
          <w:position w:val="7"/>
          <w:sz w:val="16"/>
          <w:sz w:val="20"/>
          <w:shd w:fill="FFFFFF" w:val="clear"/>
        </w:rPr>
        <w:t>®</w:t>
      </w:r>
      <w:r>
        <w:rPr>
          <w:rFonts w:ascii="Times New Roman;Times;Serif" w:hAnsi="Times New Roman;Times;Serif"/>
          <w:b w:val="false"/>
          <w:i w:val="false"/>
          <w:caps w:val="false"/>
          <w:smallCaps w:val="false"/>
          <w:sz w:val="20"/>
          <w:shd w:fill="FFFFFF" w:val="clear"/>
        </w:rPr>
        <w:t xml:space="preserve"> (dexamethasone intraocular suspension) 9% for the treatment of post-operative inflammation following ocular surgery in the United States.</w:t>
      </w:r>
      <w:r>
        <w:rPr>
          <w:rFonts w:ascii="Times New Roman;Times;Serif" w:hAnsi="Times New Roman;Times;Serif"/>
          <w:b w:val="false"/>
          <w:i w:val="false"/>
          <w:caps w:val="false"/>
          <w:smallCaps w:val="false"/>
          <w:sz w:val="20"/>
        </w:rPr>
        <w:t xml:space="preserve"> Pursuant to the </w:t>
      </w:r>
      <w:r>
        <w:rPr>
          <w:rFonts w:ascii="Times New Roman;Times;Serif" w:hAnsi="Times New Roman;Times;Serif"/>
          <w:b w:val="false"/>
          <w:i w:val="false"/>
          <w:caps w:val="false"/>
          <w:smallCaps w:val="false"/>
          <w:sz w:val="20"/>
          <w:shd w:fill="FFFFFF" w:val="clear"/>
        </w:rPr>
        <w:t>Dexycu Agreement</w:t>
      </w:r>
      <w:r>
        <w:rPr>
          <w:rFonts w:ascii="Times New Roman;Times;Serif" w:hAnsi="Times New Roman;Times;Serif"/>
          <w:b w:val="false"/>
          <w:i w:val="false"/>
          <w:caps w:val="false"/>
          <w:smallCaps w:val="false"/>
          <w:sz w:val="20"/>
        </w:rPr>
        <w:t xml:space="preserve">, Eyepoint pays the Company a fee calculated based on the quarterly sales of DEXYCU in excess of predefined volumes to specific customers of the Company in the U.S. Under the terms of the </w:t>
      </w:r>
      <w:r>
        <w:rPr>
          <w:rFonts w:ascii="Times New Roman;Times;Serif" w:hAnsi="Times New Roman;Times;Serif"/>
          <w:b w:val="false"/>
          <w:i w:val="false"/>
          <w:caps w:val="false"/>
          <w:smallCaps w:val="false"/>
          <w:sz w:val="20"/>
          <w:shd w:fill="FFFFFF" w:val="clear"/>
        </w:rPr>
        <w:t>Dexycu Agreement</w:t>
      </w:r>
      <w:r>
        <w:rPr>
          <w:rFonts w:ascii="Times New Roman;Times;Serif" w:hAnsi="Times New Roman;Times;Serif"/>
          <w:b w:val="false"/>
          <w:i w:val="false"/>
          <w:caps w:val="false"/>
          <w:smallCaps w:val="false"/>
          <w:sz w:val="20"/>
        </w:rPr>
        <w:t>, the Company agreed to use commercially reasonable efforts to promote and market DEXYCU in the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Following the preliminary Hospital Outpatient Prospective Payment System (HOPPS) rule proposed by the Centers for Medicare &amp; Medicaid Services (CMS) in July of 2022, which did not contain an extension of the pass-through payment period for Dexycu beyond December 31, 2022, the Company entered into a Mutual Termination Agreement (the “Termination Agreement”) with Eyepoint on October 7, 2022, pursuant to which Eyepoint and the Company agreed (a) that the Company will continue to support the sale of Dexycu through the fourth quarter of 2022, consistent with the Company’s level of effort during the January through June 2022 period, (b) to decrease the required minimum quarterly sales levels based on Dexycu unit demand for the fourth quarter of 2022, and (c) to terminate the Dexycu Agreement, along with ancillary letter agreements, effective January 1, 2023.</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During the three months ended March 31, 2022, the Company recorded $</w:t>
      </w:r>
      <w:bookmarkStart w:id="837" w:name="xdx_903_ecustom--CommissionRevenues_c202"/>
      <w:bookmarkEnd w:id="837"/>
      <w:r>
        <w:rPr>
          <w:rFonts w:ascii="Times New Roman;Times;Serif" w:hAnsi="Times New Roman;Times;Serif"/>
          <w:b w:val="false"/>
          <w:i w:val="false"/>
          <w:caps w:val="false"/>
          <w:smallCaps w:val="false"/>
          <w:sz w:val="20"/>
          <w:shd w:fill="FFFFFF" w:val="clear"/>
        </w:rPr>
        <w:t>1,320,000 in commission revenues related to the Dexycu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various sales and marketing agreements with certain organizations to provide exclusive and non-exclusive sales and marketing representation services to Harrow in select geographies in the U.S. in connection with the Company’s ophthalmic pharmaceutical compounded formulations or related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38" w:name="xdx_909_ecustom--DescriptionForCommissio"/>
      <w:bookmarkEnd w:id="838"/>
      <w:r>
        <w:rPr>
          <w:rFonts w:ascii="Times New Roman;Times;Serif" w:hAnsi="Times New Roman;Times;Serif"/>
          <w:b w:val="false"/>
          <w:i w:val="false"/>
          <w:caps w:val="false"/>
          <w:smallCaps w:val="false"/>
          <w:sz w:val="20"/>
        </w:rPr>
        <w:t xml:space="preserve">Under the terms of the sales and marketing agreements, the Company is generally required to make commission payments equal to 10% to 14% of net sales for products above and beyond the initial existing sales amounts. In addition, the Company is required to make periodic milestone payments to certain organizations in shares of the Company’s restricted common stock if net sales in the assigned territory reach certain future levels by the end of their terms. </w:t>
      </w:r>
      <w:r>
        <w:rPr>
          <w:rFonts w:ascii="Times New Roman;Times;Serif" w:hAnsi="Times New Roman;Times;Serif"/>
          <w:b w:val="false"/>
          <w:i w:val="false"/>
          <w:caps w:val="false"/>
          <w:smallCaps w:val="false"/>
          <w:sz w:val="20"/>
          <w:shd w:fill="FFFFFF" w:val="clear"/>
        </w:rPr>
        <w:t>Commission expenses of $</w:t>
      </w:r>
      <w:bookmarkStart w:id="839" w:name="xdx_90C_eus-gaap--SalesCommissionsAndFee"/>
      <w:bookmarkEnd w:id="839"/>
      <w:r>
        <w:rPr>
          <w:rFonts w:ascii="Times New Roman;Times;Serif" w:hAnsi="Times New Roman;Times;Serif"/>
          <w:b w:val="false"/>
          <w:i w:val="false"/>
          <w:caps w:val="false"/>
          <w:smallCaps w:val="false"/>
          <w:sz w:val="20"/>
          <w:shd w:fill="FFFFFF" w:val="clear"/>
        </w:rPr>
        <w:t>130,000 and $</w:t>
      </w:r>
      <w:bookmarkStart w:id="840" w:name="xdx_903_eus-gaap--SalesCommissionsAndFee"/>
      <w:bookmarkEnd w:id="840"/>
      <w:r>
        <w:rPr>
          <w:rFonts w:ascii="Times New Roman;Times;Serif" w:hAnsi="Times New Roman;Times;Serif"/>
          <w:b w:val="false"/>
          <w:i w:val="false"/>
          <w:caps w:val="false"/>
          <w:smallCaps w:val="false"/>
          <w:sz w:val="20"/>
          <w:shd w:fill="FFFFFF" w:val="clear"/>
        </w:rPr>
        <w:t>1,047,000 were incurred under these agreements during the three months ended March 31, 2023 and 2022,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41" w:name="xdx_801_eus-gaap--SegmentReportingDisclo"/>
      <w:bookmarkEnd w:id="841"/>
      <w:r>
        <w:rPr>
          <w:rFonts w:ascii="Times New Roman;Times;Serif" w:hAnsi="Times New Roman;Times;Serif"/>
          <w:b/>
          <w:i w:val="false"/>
          <w:caps w:val="false"/>
          <w:smallCaps w:val="false"/>
          <w:sz w:val="20"/>
        </w:rPr>
        <w:t xml:space="preserve">NOTE 17. </w:t>
      </w:r>
      <w:bookmarkStart w:id="842" w:name="xdx_824_zvzE41bah0i1"/>
      <w:bookmarkEnd w:id="842"/>
      <w:r>
        <w:rPr>
          <w:rFonts w:ascii="Times New Roman;Times;Serif" w:hAnsi="Times New Roman;Times;Serif"/>
          <w:b/>
          <w:i w:val="false"/>
          <w:caps w:val="false"/>
          <w:smallCaps w:val="false"/>
          <w:sz w:val="20"/>
        </w:rPr>
        <w:t>SEGMENTS AND 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operates its business on the basis of a single reportable segment, which is the business of </w:t>
      </w:r>
      <w:r>
        <w:rPr>
          <w:rFonts w:ascii="Times New Roman;Times;Serif" w:hAnsi="Times New Roman;Times;Serif"/>
          <w:b w:val="false"/>
          <w:i w:val="false"/>
          <w:caps w:val="false"/>
          <w:smallCaps w:val="false"/>
          <w:sz w:val="20"/>
          <w:shd w:fill="FFFFFF" w:val="clear"/>
        </w:rPr>
        <w:t>discovery, development, and commercialization of innovative ophthalmic therapies</w:t>
      </w:r>
      <w:r>
        <w:rPr>
          <w:rFonts w:ascii="Times New Roman;Times;Serif" w:hAnsi="Times New Roman;Times;Serif"/>
          <w:b w:val="false"/>
          <w:i w:val="false"/>
          <w:caps w:val="false"/>
          <w:smallCaps w:val="false"/>
          <w:sz w:val="20"/>
        </w:rPr>
        <w:t>. The Company’s chief operating decision-maker is the Chief Executive Officer, who evaluates the Company as a single operating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two products that each comprised more than 10% of total revenues during the three months ended March 31, 2023 and 2022. These products collectively accounted for </w:t>
      </w:r>
      <w:bookmarkStart w:id="843" w:name="xdx_905_eus-gaap--ConcentrationRiskPerce"/>
      <w:bookmarkEnd w:id="843"/>
      <w:r>
        <w:rPr>
          <w:rFonts w:ascii="Times New Roman;Times;Serif" w:hAnsi="Times New Roman;Times;Serif"/>
          <w:b w:val="false"/>
          <w:i w:val="false"/>
          <w:caps w:val="false"/>
          <w:smallCaps w:val="false"/>
          <w:sz w:val="20"/>
        </w:rPr>
        <w:t xml:space="preserve">36% and </w:t>
      </w:r>
      <w:bookmarkStart w:id="844" w:name="xdx_906_eus-gaap--ConcentrationRiskPerce"/>
      <w:bookmarkEnd w:id="844"/>
      <w:r>
        <w:rPr>
          <w:rFonts w:ascii="Times New Roman;Times;Serif" w:hAnsi="Times New Roman;Times;Serif"/>
          <w:b w:val="false"/>
          <w:i w:val="false"/>
          <w:caps w:val="false"/>
          <w:smallCaps w:val="false"/>
          <w:sz w:val="20"/>
        </w:rPr>
        <w:t>32% of revenues during the three months ended March 31, 2023 and 2022,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sells its products and compounded formulations to a large number of customers. There were no customers who comprised more than 10% of the Company’s total product sales during the three months ended March 31, 2023 and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receives its active pharmaceutical ingredients from three main suppliers. These suppliers collectively accounted for </w:t>
      </w:r>
      <w:bookmarkStart w:id="845" w:name="xdx_904_eus-gaap--ConcentrationRiskPerce"/>
      <w:bookmarkEnd w:id="845"/>
      <w:r>
        <w:rPr>
          <w:rFonts w:ascii="Times New Roman;Times;Serif" w:hAnsi="Times New Roman;Times;Serif"/>
          <w:b w:val="false"/>
          <w:i w:val="false"/>
          <w:caps w:val="false"/>
          <w:smallCaps w:val="false"/>
          <w:sz w:val="20"/>
        </w:rPr>
        <w:t xml:space="preserve">90% and </w:t>
      </w:r>
      <w:bookmarkStart w:id="846" w:name="xdx_904_eus-gaap--ConcentrationRiskPerce"/>
      <w:bookmarkEnd w:id="846"/>
      <w:r>
        <w:rPr>
          <w:rFonts w:ascii="Times New Roman;Times;Serif" w:hAnsi="Times New Roman;Times;Serif"/>
          <w:b w:val="false"/>
          <w:i w:val="false"/>
          <w:caps w:val="false"/>
          <w:smallCaps w:val="false"/>
          <w:sz w:val="20"/>
        </w:rPr>
        <w:t>74% of active pharmaceutical ingredient purchases during the three months ended March 31, 2023 and 2022, respectively.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47" w:name="xdx_805_eus-gaap--SubsequentEventsTextBl"/>
      <w:bookmarkEnd w:id="847"/>
      <w:r>
        <w:rPr>
          <w:rFonts w:ascii="Times New Roman;Times;Serif" w:hAnsi="Times New Roman;Times;Serif"/>
          <w:b/>
          <w:i w:val="false"/>
          <w:caps w:val="false"/>
          <w:smallCaps w:val="false"/>
          <w:sz w:val="20"/>
        </w:rPr>
        <w:t xml:space="preserve">NOTE 18. </w:t>
      </w:r>
      <w:bookmarkStart w:id="848" w:name="xdx_82B_z2PCInzjpO4g"/>
      <w:bookmarkEnd w:id="848"/>
      <w:r>
        <w:rPr>
          <w:rFonts w:ascii="Times New Roman;Times;Serif" w:hAnsi="Times New Roman;Times;Serif"/>
          <w:b/>
          <w:i w:val="false"/>
          <w:caps w:val="false"/>
          <w:smallCaps w:val="false"/>
          <w:sz w:val="20"/>
        </w:rPr>
        <w:t xml:space="preserve">SUBSEQUENT EVENTS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performed an evaluation of events occurring subsequent to March 31, 2023 through the filing date of this Quarterly Report on Form 10-Q. Based on its evaluation, no events other than those described below need to be disclosed.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April 2023, the Company issued </w:t>
      </w:r>
      <w:bookmarkStart w:id="849" w:name="xdx_90A_eus-gaap--StockIssuedDuringPerio"/>
      <w:bookmarkEnd w:id="849"/>
      <w:r>
        <w:rPr>
          <w:rFonts w:ascii="Times New Roman;Times;Serif" w:hAnsi="Times New Roman;Times;Serif"/>
          <w:b w:val="false"/>
          <w:i w:val="false"/>
          <w:caps w:val="false"/>
          <w:smallCaps w:val="false"/>
          <w:sz w:val="20"/>
        </w:rPr>
        <w:t xml:space="preserve">62,367 shares of common stock to Mark L. Baum, the Company’s Chief Executive Officer, upon the cashless exercise of options to purchase </w:t>
      </w:r>
      <w:bookmarkStart w:id="850" w:name="xdx_90C_ecustom--CashlessExerciseOfWarra"/>
      <w:bookmarkEnd w:id="850"/>
      <w:r>
        <w:rPr>
          <w:rFonts w:ascii="Times New Roman;Times;Serif" w:hAnsi="Times New Roman;Times;Serif"/>
          <w:b w:val="false"/>
          <w:i w:val="false"/>
          <w:caps w:val="false"/>
          <w:smallCaps w:val="false"/>
          <w:sz w:val="20"/>
        </w:rPr>
        <w:t>180,000 shares at an exercise price of $</w:t>
      </w:r>
      <w:bookmarkStart w:id="851" w:name="xdx_907_eus-gaap--ClassOfWarrantOrRightE"/>
      <w:bookmarkEnd w:id="851"/>
      <w:r>
        <w:rPr>
          <w:rFonts w:ascii="Times New Roman;Times;Serif" w:hAnsi="Times New Roman;Times;Serif"/>
          <w:b w:val="false"/>
          <w:i w:val="false"/>
          <w:caps w:val="false"/>
          <w:smallCaps w:val="false"/>
          <w:sz w:val="20"/>
        </w:rPr>
        <w:t xml:space="preserve">8.99 per share. The Company withheld from Mr. Baum </w:t>
      </w:r>
      <w:bookmarkStart w:id="852" w:name="xdx_905_eus-gaap--StockIssuedDuringPerio"/>
      <w:bookmarkEnd w:id="852"/>
      <w:r>
        <w:rPr>
          <w:rFonts w:ascii="Times New Roman;Times;Serif" w:hAnsi="Times New Roman;Times;Serif"/>
          <w:b w:val="false"/>
          <w:i w:val="false"/>
          <w:caps w:val="false"/>
          <w:smallCaps w:val="false"/>
          <w:sz w:val="20"/>
        </w:rPr>
        <w:t xml:space="preserve">77,167 shares as consideration for the cashless exercise and an additional </w:t>
      </w:r>
      <w:bookmarkStart w:id="853" w:name="xdx_904_eus-gaap--StockIssuedDuringPerio"/>
      <w:bookmarkEnd w:id="853"/>
      <w:r>
        <w:rPr>
          <w:rFonts w:ascii="Times New Roman;Times;Serif" w:hAnsi="Times New Roman;Times;Serif"/>
          <w:b w:val="false"/>
          <w:i w:val="false"/>
          <w:caps w:val="false"/>
          <w:smallCaps w:val="false"/>
          <w:sz w:val="20"/>
        </w:rPr>
        <w:t>40,466 shares for payroll tax obligations totaling $</w:t>
      </w:r>
      <w:bookmarkStart w:id="854" w:name="xdx_90A_eus-gaap--StockIssuedDuringPerio"/>
      <w:bookmarkEnd w:id="854"/>
      <w:r>
        <w:rPr>
          <w:rFonts w:ascii="Times New Roman;Times;Serif" w:hAnsi="Times New Roman;Times;Serif"/>
          <w:b w:val="false"/>
          <w:i w:val="false"/>
          <w:caps w:val="false"/>
          <w:smallCaps w:val="false"/>
          <w:sz w:val="20"/>
        </w:rPr>
        <w:t>849,000.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April 2023, the Company issued </w:t>
      </w:r>
      <w:bookmarkStart w:id="855" w:name="xdx_902_eus-gaap--StockIssuedDuringPerio"/>
      <w:bookmarkEnd w:id="855"/>
      <w:r>
        <w:rPr>
          <w:rFonts w:ascii="Times New Roman;Times;Serif" w:hAnsi="Times New Roman;Times;Serif"/>
          <w:b w:val="false"/>
          <w:i w:val="false"/>
          <w:caps w:val="false"/>
          <w:smallCaps w:val="false"/>
          <w:sz w:val="20"/>
        </w:rPr>
        <w:t xml:space="preserve">3,260 shares of common stock upon the exercise of options to purchase </w:t>
      </w:r>
      <w:bookmarkStart w:id="856" w:name="xdx_901_ecustom--CashlessExerciseOfWarra"/>
      <w:bookmarkEnd w:id="856"/>
      <w:r>
        <w:rPr>
          <w:rFonts w:ascii="Times New Roman;Times;Serif" w:hAnsi="Times New Roman;Times;Serif"/>
          <w:b w:val="false"/>
          <w:i w:val="false"/>
          <w:caps w:val="false"/>
          <w:smallCaps w:val="false"/>
          <w:sz w:val="20"/>
        </w:rPr>
        <w:t>3,260 shares of common stock at exercise prices ranging from $</w:t>
      </w:r>
      <w:bookmarkStart w:id="857" w:name="xdx_90C_eus-gaap--ClassOfWarrantOrRightE"/>
      <w:bookmarkEnd w:id="857"/>
      <w:r>
        <w:rPr>
          <w:rFonts w:ascii="Times New Roman;Times;Serif" w:hAnsi="Times New Roman;Times;Serif"/>
          <w:b w:val="false"/>
          <w:i w:val="false"/>
          <w:caps w:val="false"/>
          <w:smallCaps w:val="false"/>
          <w:sz w:val="20"/>
        </w:rPr>
        <w:t>1.70 to $</w:t>
      </w:r>
      <w:bookmarkStart w:id="858" w:name="xdx_902_eus-gaap--ClassOfWarrantOrRightE"/>
      <w:bookmarkEnd w:id="858"/>
      <w:r>
        <w:rPr>
          <w:rFonts w:ascii="Times New Roman;Times;Serif" w:hAnsi="Times New Roman;Times;Serif"/>
          <w:b w:val="false"/>
          <w:i w:val="false"/>
          <w:caps w:val="false"/>
          <w:smallCaps w:val="false"/>
          <w:sz w:val="20"/>
        </w:rPr>
        <w:t>7.52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April 2023, </w:t>
      </w:r>
      <w:r>
        <w:rPr>
          <w:rFonts w:ascii="Times New Roman;Times;Serif" w:hAnsi="Times New Roman;Times;Serif"/>
          <w:b w:val="false"/>
          <w:i w:val="false"/>
          <w:caps w:val="false"/>
          <w:smallCaps w:val="false"/>
          <w:sz w:val="20"/>
          <w:shd w:fill="FFFFFF" w:val="clear"/>
        </w:rPr>
        <w:t xml:space="preserve">the Company granted </w:t>
      </w:r>
      <w:bookmarkStart w:id="859" w:name="xdx_90E_eus-gaap--ShareBasedCompensation"/>
      <w:bookmarkEnd w:id="859"/>
      <w:r>
        <w:rPr>
          <w:rFonts w:ascii="Times New Roman;Times;Serif" w:hAnsi="Times New Roman;Times;Serif"/>
          <w:b w:val="false"/>
          <w:i w:val="false"/>
          <w:caps w:val="false"/>
          <w:smallCaps w:val="false"/>
          <w:sz w:val="20"/>
          <w:shd w:fill="FFFFFF" w:val="clear"/>
        </w:rPr>
        <w:t>1,567,913 performance stock units to members of its senior management including Mark L. Baum, Chief Executive Officer, Andrew R. Boll, Chief Financial Officer, and John P. Saharek, Chief Commercial Officer, which are subject to the satisfaction of certain market-based and continued service conditions (the “2023 PSUs”). The vesting of the 2023 PSUs require (i) a minimum of a two-year service period, and (ii) during a five-year term, the achievement and maintenance of Company common stock price targets ranging between $</w:t>
      </w:r>
      <w:bookmarkStart w:id="860" w:name="xdx_906_eus-gaap--SharePrice_iI_pid_c202"/>
      <w:bookmarkEnd w:id="860"/>
      <w:r>
        <w:rPr>
          <w:rFonts w:ascii="Times New Roman;Times;Serif" w:hAnsi="Times New Roman;Times;Serif"/>
          <w:b w:val="false"/>
          <w:i w:val="false"/>
          <w:caps w:val="false"/>
          <w:smallCaps w:val="false"/>
          <w:sz w:val="20"/>
          <w:shd w:fill="FFFFFF" w:val="clear"/>
        </w:rPr>
        <w:t>25 to $</w:t>
      </w:r>
      <w:bookmarkStart w:id="861" w:name="xdx_905_eus-gaap--SharePrice_iI_pid_c202"/>
      <w:bookmarkEnd w:id="861"/>
      <w:r>
        <w:rPr>
          <w:rFonts w:ascii="Times New Roman;Times;Serif" w:hAnsi="Times New Roman;Times;Serif"/>
          <w:b w:val="false"/>
          <w:i w:val="false"/>
          <w:caps w:val="false"/>
          <w:smallCaps w:val="false"/>
          <w:sz w:val="20"/>
          <w:shd w:fill="FFFFFF" w:val="clear"/>
        </w:rPr>
        <w:t xml:space="preserve">50, broken out into four separate tranches as described further in the table below. </w:t>
      </w:r>
    </w:p>
    <w:p>
      <w:pPr>
        <w:pStyle w:val="TextBody"/>
        <w:bidi w:val="0"/>
        <w:spacing w:before="0" w:after="0"/>
        <w:ind w:left="0" w:right="0" w:hanging="0"/>
        <w:jc w:val="both"/>
        <w:rPr>
          <w:caps w:val="false"/>
          <w:smallCaps w:val="false"/>
        </w:rPr>
      </w:pPr>
      <w:bookmarkStart w:id="862" w:name="xdx_89F_eus-gaap--DisclosureOfShareBased"/>
      <w:bookmarkEnd w:id="862"/>
      <w:r>
        <w:rPr>
          <w:caps w:val="false"/>
          <w:smallCaps w:val="false"/>
        </w:rPr>
        <w:t> </w:t>
      </w:r>
      <w:bookmarkStart w:id="863" w:name="xdx_8B4_zlNYqB9fbWpb"/>
      <w:bookmarkEnd w:id="863"/>
      <w:r>
        <w:rPr>
          <w:rFonts w:ascii="Times New Roman;Times;Serif" w:hAnsi="Times New Roman;Times;Serif"/>
          <w:b w:val="false"/>
          <w:i w:val="false"/>
          <w:caps w:val="false"/>
          <w:smallCaps w:val="false"/>
          <w:sz w:val="20"/>
        </w:rPr>
        <w:t>SCHEDULE OF SHARE BASED COMPENSATION</w:t>
      </w:r>
    </w:p>
    <w:tbl>
      <w:tblPr>
        <w:tblW w:w="4155" w:type="dxa"/>
        <w:jc w:val="left"/>
        <w:tblInd w:w="0" w:type="dxa"/>
        <w:tblLayout w:type="fixed"/>
        <w:tblCellMar>
          <w:top w:w="0" w:type="dxa"/>
          <w:left w:w="0" w:type="dxa"/>
          <w:bottom w:w="28" w:type="dxa"/>
          <w:right w:w="0" w:type="dxa"/>
        </w:tblCellMar>
      </w:tblPr>
      <w:tblGrid>
        <w:gridCol w:w="845"/>
        <w:gridCol w:w="60"/>
        <w:gridCol w:w="1535"/>
        <w:gridCol w:w="60"/>
        <w:gridCol w:w="1655"/>
      </w:tblGrid>
      <w:tr>
        <w:trPr/>
        <w:tc>
          <w:tcPr>
            <w:tcW w:w="845" w:type="dxa"/>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Tranche</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Number of Shares</w:t>
            </w:r>
          </w:p>
        </w:tc>
        <w:tc>
          <w:tcPr>
            <w:tcW w:w="60" w:type="dxa"/>
            <w:tcBorders/>
            <w:tcMar>
              <w:bottom w:w="0" w:type="dxa"/>
            </w:tcMar>
            <w:vAlign w:val="center"/>
          </w:tcPr>
          <w:p>
            <w:pPr>
              <w:pStyle w:val="TableContents"/>
              <w:bidi w:val="0"/>
              <w:spacing w:before="0" w:after="283"/>
              <w:jc w:val="left"/>
              <w:rPr/>
            </w:pPr>
            <w:r>
              <w:rPr/>
              <w:t> </w:t>
            </w:r>
          </w:p>
        </w:tc>
        <w:tc>
          <w:tcPr>
            <w:tcW w:w="1655" w:type="dxa"/>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Target Share Price</w:t>
            </w:r>
          </w:p>
        </w:tc>
      </w:tr>
      <w:tr>
        <w:trPr/>
        <w:tc>
          <w:tcPr>
            <w:tcW w:w="84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Tranche 1</w:t>
            </w:r>
          </w:p>
        </w:tc>
        <w:tc>
          <w:tcPr>
            <w:tcW w:w="60" w:type="dxa"/>
            <w:tcBorders/>
            <w:tcMar>
              <w:bottom w:w="0" w:type="dxa"/>
            </w:tcMar>
            <w:vAlign w:val="center"/>
          </w:tcPr>
          <w:p>
            <w:pPr>
              <w:pStyle w:val="TableContents"/>
              <w:bidi w:val="0"/>
              <w:spacing w:before="0" w:after="283"/>
              <w:jc w:val="left"/>
              <w:rPr/>
            </w:pPr>
            <w:r>
              <w:rPr/>
              <w:t> </w:t>
            </w:r>
            <w:bookmarkStart w:id="864" w:name="xdx_985_eus-gaap--ShareBasedCompensation"/>
            <w:bookmarkEnd w:id="864"/>
          </w:p>
        </w:tc>
        <w:tc>
          <w:tcPr>
            <w:tcW w:w="153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223,988</w:t>
            </w:r>
          </w:p>
        </w:tc>
        <w:tc>
          <w:tcPr>
            <w:tcW w:w="60" w:type="dxa"/>
            <w:tcBorders/>
            <w:tcMar>
              <w:bottom w:w="0" w:type="dxa"/>
            </w:tcMar>
            <w:vAlign w:val="center"/>
          </w:tcPr>
          <w:p>
            <w:pPr>
              <w:pStyle w:val="TableContents"/>
              <w:bidi w:val="0"/>
              <w:spacing w:before="0" w:after="283"/>
              <w:jc w:val="left"/>
              <w:rPr/>
            </w:pPr>
            <w:r>
              <w:rPr/>
              <w:t> </w:t>
            </w:r>
            <w:bookmarkStart w:id="865" w:name="xdx_98B_eus-gaap--SharePrice_iI_pid_c202"/>
            <w:bookmarkEnd w:id="865"/>
          </w:p>
        </w:tc>
        <w:tc>
          <w:tcPr>
            <w:tcW w:w="165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$25</w:t>
            </w:r>
          </w:p>
        </w:tc>
      </w:tr>
      <w:tr>
        <w:trPr/>
        <w:tc>
          <w:tcPr>
            <w:tcW w:w="84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Tranche 2</w:t>
            </w:r>
          </w:p>
        </w:tc>
        <w:tc>
          <w:tcPr>
            <w:tcW w:w="60" w:type="dxa"/>
            <w:tcBorders/>
            <w:tcMar>
              <w:bottom w:w="0" w:type="dxa"/>
            </w:tcMar>
            <w:vAlign w:val="center"/>
          </w:tcPr>
          <w:p>
            <w:pPr>
              <w:pStyle w:val="TableContents"/>
              <w:bidi w:val="0"/>
              <w:spacing w:before="0" w:after="283"/>
              <w:jc w:val="left"/>
              <w:rPr/>
            </w:pPr>
            <w:r>
              <w:rPr/>
              <w:t> </w:t>
            </w:r>
            <w:bookmarkStart w:id="866" w:name="xdx_98D_eus-gaap--ShareBasedCompensation"/>
            <w:bookmarkEnd w:id="866"/>
          </w:p>
        </w:tc>
        <w:tc>
          <w:tcPr>
            <w:tcW w:w="153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335,981</w:t>
            </w:r>
          </w:p>
        </w:tc>
        <w:tc>
          <w:tcPr>
            <w:tcW w:w="60" w:type="dxa"/>
            <w:tcBorders/>
            <w:tcMar>
              <w:bottom w:w="0" w:type="dxa"/>
            </w:tcMar>
            <w:vAlign w:val="center"/>
          </w:tcPr>
          <w:p>
            <w:pPr>
              <w:pStyle w:val="TableContents"/>
              <w:bidi w:val="0"/>
              <w:spacing w:before="0" w:after="283"/>
              <w:jc w:val="left"/>
              <w:rPr/>
            </w:pPr>
            <w:r>
              <w:rPr/>
              <w:t> </w:t>
            </w:r>
            <w:bookmarkStart w:id="867" w:name="xdx_980_eus-gaap--SharePrice_iI_pid_c202"/>
            <w:bookmarkEnd w:id="867"/>
          </w:p>
        </w:tc>
        <w:tc>
          <w:tcPr>
            <w:tcW w:w="165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$35</w:t>
            </w:r>
          </w:p>
        </w:tc>
      </w:tr>
      <w:tr>
        <w:trPr/>
        <w:tc>
          <w:tcPr>
            <w:tcW w:w="84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Tranche 3</w:t>
            </w:r>
          </w:p>
        </w:tc>
        <w:tc>
          <w:tcPr>
            <w:tcW w:w="60" w:type="dxa"/>
            <w:tcBorders/>
            <w:tcMar>
              <w:bottom w:w="0" w:type="dxa"/>
            </w:tcMar>
            <w:vAlign w:val="center"/>
          </w:tcPr>
          <w:p>
            <w:pPr>
              <w:pStyle w:val="TableContents"/>
              <w:bidi w:val="0"/>
              <w:spacing w:before="0" w:after="283"/>
              <w:jc w:val="left"/>
              <w:rPr/>
            </w:pPr>
            <w:r>
              <w:rPr/>
              <w:t> </w:t>
            </w:r>
            <w:bookmarkStart w:id="868" w:name="xdx_98E_eus-gaap--ShareBasedCompensation"/>
            <w:bookmarkEnd w:id="868"/>
          </w:p>
        </w:tc>
        <w:tc>
          <w:tcPr>
            <w:tcW w:w="153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447,975</w:t>
            </w:r>
          </w:p>
        </w:tc>
        <w:tc>
          <w:tcPr>
            <w:tcW w:w="60" w:type="dxa"/>
            <w:tcBorders/>
            <w:tcMar>
              <w:bottom w:w="0" w:type="dxa"/>
            </w:tcMar>
            <w:vAlign w:val="center"/>
          </w:tcPr>
          <w:p>
            <w:pPr>
              <w:pStyle w:val="TableContents"/>
              <w:bidi w:val="0"/>
              <w:spacing w:before="0" w:after="283"/>
              <w:jc w:val="left"/>
              <w:rPr/>
            </w:pPr>
            <w:r>
              <w:rPr/>
              <w:t> </w:t>
            </w:r>
            <w:bookmarkStart w:id="869" w:name="xdx_98A_eus-gaap--SharePrice_iI_pid_c202"/>
            <w:bookmarkEnd w:id="869"/>
          </w:p>
        </w:tc>
        <w:tc>
          <w:tcPr>
            <w:tcW w:w="165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$45</w:t>
            </w:r>
          </w:p>
        </w:tc>
      </w:tr>
      <w:tr>
        <w:trPr/>
        <w:tc>
          <w:tcPr>
            <w:tcW w:w="84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Tranche 4</w:t>
            </w:r>
          </w:p>
        </w:tc>
        <w:tc>
          <w:tcPr>
            <w:tcW w:w="60" w:type="dxa"/>
            <w:tcBorders/>
            <w:tcMar>
              <w:bottom w:w="0" w:type="dxa"/>
            </w:tcMar>
            <w:vAlign w:val="center"/>
          </w:tcPr>
          <w:p>
            <w:pPr>
              <w:pStyle w:val="TableContents"/>
              <w:bidi w:val="0"/>
              <w:spacing w:before="0" w:after="283"/>
              <w:jc w:val="left"/>
              <w:rPr/>
            </w:pPr>
            <w:r>
              <w:rPr/>
              <w:t> </w:t>
            </w:r>
            <w:bookmarkStart w:id="870" w:name="xdx_987_eus-gaap--ShareBasedCompensation"/>
            <w:bookmarkEnd w:id="870"/>
          </w:p>
        </w:tc>
        <w:tc>
          <w:tcPr>
            <w:tcW w:w="153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559,969</w:t>
            </w:r>
          </w:p>
        </w:tc>
        <w:tc>
          <w:tcPr>
            <w:tcW w:w="60" w:type="dxa"/>
            <w:tcBorders/>
            <w:tcMar>
              <w:bottom w:w="0" w:type="dxa"/>
            </w:tcMar>
            <w:vAlign w:val="center"/>
          </w:tcPr>
          <w:p>
            <w:pPr>
              <w:pStyle w:val="TableContents"/>
              <w:bidi w:val="0"/>
              <w:spacing w:before="0" w:after="283"/>
              <w:jc w:val="left"/>
              <w:rPr/>
            </w:pPr>
            <w:r>
              <w:rPr/>
              <w:t> </w:t>
            </w:r>
            <w:bookmarkStart w:id="871" w:name="xdx_986_eus-gaap--SharePrice_iI_pid_c202"/>
            <w:bookmarkEnd w:id="871"/>
          </w:p>
        </w:tc>
        <w:tc>
          <w:tcPr>
            <w:tcW w:w="165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$50</w:t>
            </w:r>
          </w:p>
        </w:tc>
      </w:tr>
    </w:tbl>
    <w:p>
      <w:pPr>
        <w:pStyle w:val="TextBody"/>
        <w:bidi w:val="0"/>
        <w:spacing w:before="0" w:after="0"/>
        <w:ind w:left="0" w:right="0" w:hanging="0"/>
        <w:jc w:val="both"/>
        <w:rPr>
          <w:caps w:val="false"/>
          <w:smallCaps w:val="false"/>
        </w:rPr>
      </w:pPr>
      <w:bookmarkStart w:id="872" w:name="xdx_8A4_z8JxbryORMi5"/>
      <w:bookmarkEnd w:id="872"/>
      <w:r>
        <w:rPr>
          <w:caps w:val="false"/>
          <w:smallCaps w:val="false"/>
        </w:rPr>
        <w:t> </w:t>
      </w:r>
    </w:p>
    <w:p>
      <w:pPr>
        <w:pStyle w:val="TextBody"/>
        <w:bidi w:val="0"/>
        <w:spacing w:before="0" w:after="0"/>
        <w:ind w:left="0" w:right="0" w:hanging="0"/>
        <w:jc w:val="both"/>
        <w:rPr>
          <w:caps w:val="false"/>
          <w:smallCaps w:val="false"/>
        </w:rPr>
      </w:pPr>
      <w:bookmarkStart w:id="873" w:name="xdx_813_zpqGKHOZqJJ9"/>
      <w:bookmarkEnd w:id="873"/>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74" w:name="ap_003"/>
      <w:bookmarkEnd w:id="874"/>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 xml:space="preserve">The following discussion and analysis of our financial condition and results of operations should be read in conjunction with our unaudited condensed consolidated financial statements and the related notes thereto contained in Part I, Item 1 of this Quarterly Report on Form 10-Q (this “Quarterly Report”). Our condensed consolidated financial statements have been prepared and, unless otherwise stated, the information derived therefrom as presented in this discussion and analysis is presented, in accordance with accounting principles generally accepted in the United States of America (“GAAP”).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 xml:space="preserve">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U.S. Securities and Exchange Commission (the “SEC”), including our Annual Report on Form 10-K for the fiscal year ended December 31, 2022 and subsequent reports, which discuss our business in greater detail. As used in this discussion and analysis, unless the context indicates otherwise, the terms the “Company,” “Harrow,” “we,” “us” and “our” refer to Harrow Health, Inc. and its consolidated subsidiaries, consisting of ImprimisRx, LLC, ImprimisRx NJ, LLC dba ImprimisRx, Imprimis NJOF, LLC, and Harrow Eye, LLC. In this discussion and analysis, we refer to our consolidated subsidiaries ImprimisRx, LLC, ImprimisRx NJ, LLC and Imprimis NJOF, LLC collectively as “ImprimisRx.”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In addition to historical information, the following discussion contains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All statements made in this Quarterly Report other than statements of historical fact are forward-looking statements.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liquidity or results of operations; our ability to successfully implement our business plan, develop and commercialize our products, product candidates and proprietary formulations in a timely manner or at all, identify and acquire additional products,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including inflation and supply chain challenges; regulatory and legal risks and uncertainties related to our pharmacy operations and the pharmacy and pharmaceutical business in general; physician interest in and market acceptance of our current and any future formulations and compounding pharmacies generally; and the other risks and uncertainties described under the heading “Risk Factors” in Part II, Item 1A of this Quarterly Report and in our other filings with the SEC. You should not place undue reliance on forward-looking statements. Forward-looking statements speak only as of the date they are made and, except as required by law, we undertake no obligation to revise or publicly update any forward-looking statement for any reason.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are an ophthalmic-focused pharmaceutical company. Our business specializes in the development, production, sale, and distribution of innovative prescription medications that offer unique competitive advantages and serve unmet needs in the marketplace through our subsidiaries and deconsolidated companies. We serve ophthalmologists and optometrists by providing FDA-approved branded ophthalmic pharmaceuticals and innovative compounded prescription medicines that are accessible and affordable. We own the U.S. commercial rights to ten branded ophthalmic pharmaceutical products, including IHEEZO™, IOPIDINE® (both approved concentrations), MAXITROL® eye drops, MOXEZA®, ILEVRO®, NEVANAC®, VIGAMOX®, MAXIDEX®, and TRIESENCE®. We own and operate ImprimisRx, one of the nation’s leading ophthalmology-focused pharmaceutical-compounding businesses, and our branded drugs are marketed under our Harrow name. In addition, we also have non-controlling equity positions in Surface Ophthalmics, Inc. (“Surface”) and Melt Pharmaceuticals, Inc. (“Melt”), both companies that began as subsidiaries of Harrow and were subsequently carved-out of our corporate structure and deconsolidated from our financial statements. We also own royalty rights in certain drug candidates being developed by Surface and Melt.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Factors Affecting Our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believe the primary factors affecting our performance are our ability to increase revenues of our branded pharmaceutical products, proprietary compounded formulations and certain non-proprietary products, grow and gain operating efficiencies in our operations, potential regulatory-related restrictions, optimize pricing and obtain reimbursement options for our drug products, and continue to pursue development and commercialization opportunities for certain of our ophthalmology and other assets that we have not yet made commercially available. We believe we have built a tangible and intangible infrastructure that will allow us to scale revenues efficiently in the near and long-term. All of these activities will require significant costs and other resources, which we may not have or be able to obtain from operations or other sources. See “Liquidity and Capital Resources”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Recent Developments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describes certain developments in 2023 to date that are important to understand our financial condition and results of operations. See the notes to our condensed consolidated financial statements included in this Quarterly Report for additional information about each of these developments.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IHEEZO Reimbursement and Launch</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In February 2023, we announced that the Centers for Medicare &amp; Medicaid Services (“CMS”) had issued a permanent, product specific J-code for IHEEZO (J2403) which became effective under the Healthcare Procedure Coding System (HCPCS) on April 1, 2023, which physicians can use for reimbursement purposes of that product. New drugs approved by the FDA that are used in surgeries performed in hospital outpatient departments or ambulatory surgical centers may receive a transitional pass-through reimbursement under Medicare, provided they meet certain criteria, including a “not insignificant” cost criterion. Pass-through status allows for separate payment (i.e., outside the packaged payment rate for the surgical procedure) under Medicare Part B, which consists of Medicare reimbursement for a drug based on a defined formula for calculating the minimum fee that a manufacturer may charge for the drug. Under current regulations of CMS, pass-through status applies for a period of three years; which is measured from the date Medicare makes its first pass-through payment for the product. Following the three-year period, the product would be incorporated into the cataract bundled payment system, which could significantly reduce the pricing for that product. Temporary pass-through reimbursement for IHEEZO was awarded by CMS and made effective in April 2023.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beginning of April 2023, we initiated a regional and targeted launch of IHEEZO (chloroprocaine HCL ophthalmic gel) 3%. In early May 2023, our full commercial launch of IHEEZO occurred, with the product being highlighted by our commercial team at the ASCRS (American Society of Cataract and Refractive Surgery) Annual Meeting during May 5 – 8, 2023.</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Acquisition of Ilevro, Nevanac, Vigamox, Maxidex and Triesence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2022, we entered into an Asset Purchase Agreement (the “Purchase Agreement”) with Novartis Technology, LLC and Novartis Innovative Therapies AG (together, “Novartis”), pursuant to which the Company agreed to purchase from Novartis the exclusive commercial rights to assets associated with the following ophthalmic products (collectively the “Fab 5 Products”) in the U.S. (the “Fab 5 Acquisition”):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ILEVRO (nepafenac ophthalmic suspension) 0.3%, a non-steroidal, anti-inflammatory eye drop indicated for pain and inflammation associated with cataract surgery.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NEVANAC (nepafenac ophthalmic suspension) 0.1%, a non-steroidal, anti-inflammatory eye drop indicated for pain and inflammation associated with cataract surgery.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VIGAMOX (moxifloxacin hydrochloride ophthalmic solution) 0.5%, a fluoroquinolone antibiotic eye drop for the treatment of bacterial conjunctivitis caused by susceptible strains of organisms.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MAXIDEX (dexamethasone ophthalmic suspension) 0.1%, a steroid eye drop for steroid-responsive inflammatory conditions of the palpebral and bulbar conjunctiva, cornea, and anterior segment of the globe.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TRIESENCE (triamcinolone acetonide injectable suspension) 40 mg/ml, a steroid injection for the treatment of certain ophthalmic diseases and for visualization during vitrectomy.</w:t>
            </w:r>
          </w:p>
        </w:tc>
      </w:tr>
    </w:tbl>
    <w:p>
      <w:pPr>
        <w:pStyle w:val="TextBody"/>
        <w:shd w:fill="FFFFFF" w:val="clear"/>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closed the Fab 5 Acquisition on January 20, 2023. Under the terms of the Purchase Agreement, we made a one-time payment of $130,000,000 at closing, with up to another $45,000,000 due in a milestone payment related to the timing of the commercial availability of TRIESENCE. Pursuant to the Purchase Agreement and various ancillary agreements, immediately following the closing and subject to certain conditions, for a period that we expect to last approximately six months, and prior to the transfer of the Fab 5 Products new drug applications (the “NDAs”) to us, Novartis will continue to sell the Products on our behalf and transfer the net profit from the sale of the Products to us. Novartis has agreed to supply certain Products to the Company for a period of time after the NDAs are transferred to us and to assist with technology transfer of the Products manufacturing to other third-party manufacturers, if needed.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2023, we transferred the NDAs for ILEVRO, NEVANAC and MAXIDEX. We expect to transfer the NDA for VIGAMOX in the second half of 2023, and the NDA for TRIESENCE around the timing of its commercial availability.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Oaktree Credit and Guaranty Agreement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27, 2023, we entered into a Credit and Guaranty Agreement (the “Oaktree Loan”) with Oaktree Fund Administration, LLC, as administrative agent for the lenders (together, “Oaktree”), providing for a loan to us with a principal amount of up to $100,000,000. Upon entering into the Oaktree Loan, we drew a principal amount of $65,000,000 from the Oaktree Loan and used the net proceeds to repay all amounts owed by us pursuant to the BR Loan (see below). No remaining amounts are due under the BR Loan, and no exit or prepayment fees were paid as a result of the payoff of the BR Loan. The additional principal loan amount of up to $35,000,000 available under the Oaktree Loan (the “Tranche B”) will be made available to the Company upon the commercialization of TRIESENCE.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Oaktree Loan is secured by nearly all of the assets, including intellectual property, of the Company and its material subsidiaries. The Oaktree Loan has a maturity date of January 19, 2026 and carries an interest rate equal to the Secured Overnight Financing Rate (SOFR) plus 6.5% per annum. The Oaktree Loan requires interest-only payments through its term (there is no amortization of the principal amount or excess cash flow sweeps during the term of the Oaktree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HROWM – Senior Notes Offering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2022, the Company entered into an underwriting agreement with B. Riley Securities, Inc., as representative of the several underwriters named therein, pursuant to which we agreed to sell $35,000,000 aggregate principal amount of 11.875% Senior Notes due 2027 (the “2027 Notes”) plus up to an additional $5,250,000 aggregate principal amount of 11.875% Senior Notes due 2027 pursuant to the option to purchase additional 2027 Notes. In January 2023, the underwriters exercised their option to purchase the additional $5,250,000 aggregate principal amount 2027 Notes.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 Riley Loan and Security Agreement – Paid in Full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2022 (the “Effective Date”), we entered into a Loan and Security Agreement (the “BR Loan”) with B. Riley Commercial Capital, LLC, as Administrative Agent for the Lenders from time to time party thereto. The proceeds of the BR Loan were used to finance the Fab 5 Acquisition.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BR Loan provided for a loan facility of up to $100,000,000 to the Company with a maturity date of December 14, 2025, at an interest rate of 10.875% per annum. The BR Loan was secured by an intellectual property security agreement and by all assets of the Company and its material subsidiaries. </w:t>
      </w:r>
      <w:r>
        <w:rPr>
          <w:rFonts w:ascii="Times New Roman;Times;Serif" w:hAnsi="Times New Roman;Times;Serif"/>
          <w:b w:val="false"/>
          <w:i w:val="false"/>
          <w:caps w:val="false"/>
          <w:smallCaps w:val="false"/>
          <w:sz w:val="20"/>
          <w:shd w:fill="FFFFFF" w:val="clear"/>
        </w:rPr>
        <w:t xml:space="preserve">The Company drew $59,750,000 of the BR Loan in January 2023, and subsequently paid back the BR Loan in March 2023 at the time of closing the Oaktree Loan. No remaining amounts are due under the BR Loan, and no exit or prepayment fees were paid as a result of the payoff of the BR Loan.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Common Stock Offering</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2022, we entered into an underwriting agreement (the “Common Stock Underwriting Agreement”) with B. Riley Securities, Inc. related to a registered direct offering of shares of the Company’s common stock to certain accredited investors, at an offering price of $10.52. Under the terms of the Common Stock Underwriting Agreement we sold 2,376,426 shares of our common stock for gross proceeds of $25,000,002.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period-to-period comparisons of our financial results for the three months ended March 31, 2023 and 2022 are not necessarily indicative of results for any future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Revenues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include amounts recorded from sales of proprietary compounded formulations, sales of branded products to wholesalers through a third-party logistics facility, commissions from third parties and revenues received from royalty payments owed to us pursuant to out-license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presents our revenues for the three months ended March 31, 2023 and 2022:</w:t>
      </w:r>
    </w:p>
    <w:p>
      <w:pPr>
        <w:pStyle w:val="TextBody"/>
        <w:bidi w:val="0"/>
        <w:spacing w:before="0" w:after="0"/>
        <w:ind w:left="0" w:right="0" w:firstLine="720"/>
        <w:jc w:val="both"/>
        <w:rPr>
          <w:caps w:val="false"/>
          <w:smallCaps w:val="false"/>
        </w:rPr>
      </w:pPr>
      <w:r>
        <w:rPr>
          <w:caps w:val="false"/>
          <w:smallCaps w:val="false"/>
        </w:rPr>
        <w:t> </w:t>
      </w:r>
    </w:p>
    <w:tbl>
      <w:tblPr>
        <w:tblW w:w="6741" w:type="dxa"/>
        <w:jc w:val="left"/>
        <w:tblInd w:w="0" w:type="dxa"/>
        <w:tblLayout w:type="fixed"/>
        <w:tblCellMar>
          <w:top w:w="0" w:type="dxa"/>
          <w:left w:w="0" w:type="dxa"/>
          <w:bottom w:w="0" w:type="dxa"/>
          <w:right w:w="0" w:type="dxa"/>
        </w:tblCellMar>
      </w:tblPr>
      <w:tblGrid>
        <w:gridCol w:w="2240"/>
        <w:gridCol w:w="60"/>
        <w:gridCol w:w="162"/>
        <w:gridCol w:w="1277"/>
        <w:gridCol w:w="69"/>
        <w:gridCol w:w="69"/>
        <w:gridCol w:w="162"/>
        <w:gridCol w:w="1277"/>
        <w:gridCol w:w="60"/>
        <w:gridCol w:w="60"/>
        <w:gridCol w:w="140"/>
        <w:gridCol w:w="1055"/>
        <w:gridCol w:w="110"/>
      </w:tblGrid>
      <w:tr>
        <w:trPr/>
        <w:tc>
          <w:tcPr>
            <w:tcW w:w="2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6" w:type="dxa"/>
            <w:gridSpan w:val="6"/>
            <w:tcBorders/>
            <w:vAlign w:val="center"/>
          </w:tcPr>
          <w:p>
            <w:pPr>
              <w:pStyle w:val="TableContents"/>
              <w:bidi w:val="0"/>
              <w:spacing w:before="0" w:after="283"/>
              <w:jc w:val="center"/>
              <w:rPr>
                <w:b/>
              </w:rPr>
            </w:pPr>
            <w:r>
              <w:rPr>
                <w:b/>
              </w:rPr>
              <w:t>For the 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Variance</w:t>
            </w:r>
          </w:p>
        </w:tc>
        <w:tc>
          <w:tcPr>
            <w:tcW w:w="110" w:type="dxa"/>
            <w:tcBorders/>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left"/>
              <w:rPr>
                <w:b/>
              </w:rPr>
            </w:pPr>
            <w:r>
              <w:rPr>
                <w:b/>
              </w:rPr>
              <w:t>Product sales, net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1277" w:type="dxa"/>
            <w:tcBorders/>
            <w:shd w:fill="CCEEFF" w:val="clear"/>
            <w:vAlign w:val="center"/>
          </w:tcPr>
          <w:p>
            <w:pPr>
              <w:pStyle w:val="TableContents"/>
              <w:bidi w:val="0"/>
              <w:spacing w:before="0" w:after="283"/>
              <w:jc w:val="right"/>
              <w:rPr/>
            </w:pPr>
            <w:r>
              <w:rPr/>
              <w:t>20,453,000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1277" w:type="dxa"/>
            <w:tcBorders/>
            <w:shd w:fill="CCEEFF" w:val="clear"/>
            <w:vAlign w:val="center"/>
          </w:tcPr>
          <w:p>
            <w:pPr>
              <w:pStyle w:val="TableContents"/>
              <w:bidi w:val="0"/>
              <w:spacing w:before="0" w:after="283"/>
              <w:jc w:val="right"/>
              <w:rPr/>
            </w:pPr>
            <w:r>
              <w:rPr/>
              <w:t>20,340,000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113,000</w:t>
            </w:r>
          </w:p>
        </w:tc>
        <w:tc>
          <w:tcPr>
            <w:tcW w:w="110" w:type="dxa"/>
            <w:tcBorders/>
            <w:shd w:fill="CCEE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283"/>
              <w:jc w:val="left"/>
              <w:rPr>
                <w:b/>
              </w:rPr>
            </w:pPr>
            <w:r>
              <w:rPr>
                <w:b/>
              </w:rPr>
              <w:t>Commission revenues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1,320,000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(1,320,000</w:t>
            </w:r>
          </w:p>
        </w:tc>
        <w:tc>
          <w:tcPr>
            <w:tcW w:w="110" w:type="dxa"/>
            <w:tcBorders/>
            <w:shd w:fill="FFFFFF" w:val="clear"/>
            <w:vAlign w:val="center"/>
          </w:tcPr>
          <w:p>
            <w:pPr>
              <w:pStyle w:val="TableContents"/>
              <w:bidi w:val="0"/>
              <w:spacing w:before="0" w:after="283"/>
              <w:jc w:val="left"/>
              <w:rPr/>
            </w:pPr>
            <w:r>
              <w:rPr/>
              <w:t>)</w:t>
            </w:r>
          </w:p>
        </w:tc>
      </w:tr>
      <w:tr>
        <w:trPr/>
        <w:tc>
          <w:tcPr>
            <w:tcW w:w="2240" w:type="dxa"/>
            <w:tcBorders/>
            <w:shd w:fill="CCEEFF" w:val="clear"/>
            <w:vAlign w:val="center"/>
          </w:tcPr>
          <w:p>
            <w:pPr>
              <w:pStyle w:val="TableContents"/>
              <w:bidi w:val="0"/>
              <w:spacing w:before="0" w:after="283"/>
              <w:jc w:val="left"/>
              <w:rPr>
                <w:b/>
              </w:rPr>
            </w:pPr>
            <w:r>
              <w:rPr>
                <w:b/>
              </w:rPr>
              <w:t>Transfer of profits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12" w:space="0" w:color="000000"/>
            </w:tcBorders>
            <w:shd w:fill="CCEEFF" w:val="clear"/>
            <w:tcMar>
              <w:bottom w:w="28" w:type="dxa"/>
            </w:tcMar>
            <w:vAlign w:val="center"/>
          </w:tcPr>
          <w:p>
            <w:pPr>
              <w:pStyle w:val="TableContents"/>
              <w:bidi w:val="0"/>
              <w:spacing w:before="0" w:after="283"/>
              <w:jc w:val="right"/>
              <w:rPr/>
            </w:pPr>
            <w:r>
              <w:rPr/>
              <w:t>5,650,000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12" w:space="0" w:color="000000"/>
            </w:tcBorders>
            <w:shd w:fill="CCEEFF" w:val="clear"/>
            <w:tcMar>
              <w:bottom w:w="28" w:type="dxa"/>
            </w:tcMar>
            <w:vAlign w:val="center"/>
          </w:tcPr>
          <w:p>
            <w:pPr>
              <w:pStyle w:val="TableContents"/>
              <w:bidi w:val="0"/>
              <w:spacing w:before="0" w:after="283"/>
              <w:jc w:val="right"/>
              <w:rPr/>
            </w:pPr>
            <w:r>
              <w:rPr/>
              <w:t>460,000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5,190,000</w:t>
            </w:r>
          </w:p>
        </w:tc>
        <w:tc>
          <w:tcPr>
            <w:tcW w:w="110" w:type="dxa"/>
            <w:tcBorders/>
            <w:shd w:fill="CCEE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283"/>
              <w:jc w:val="left"/>
              <w:rPr>
                <w:b/>
              </w:rPr>
            </w:pPr>
            <w:r>
              <w:rPr>
                <w:b/>
              </w:rPr>
              <w:t>Total revenues</w:t>
            </w:r>
          </w:p>
        </w:tc>
        <w:tc>
          <w:tcPr>
            <w:tcW w:w="60" w:type="dxa"/>
            <w:tcBorders/>
            <w:shd w:fill="FFFFFF" w:val="cle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77" w:type="dxa"/>
            <w:tcBorders>
              <w:bottom w:val="double" w:sz="6" w:space="0" w:color="000000"/>
            </w:tcBorders>
            <w:shd w:fill="FFFFFF" w:val="clear"/>
            <w:tcMar>
              <w:bottom w:w="28" w:type="dxa"/>
            </w:tcMar>
            <w:vAlign w:val="center"/>
          </w:tcPr>
          <w:p>
            <w:pPr>
              <w:pStyle w:val="TableContents"/>
              <w:bidi w:val="0"/>
              <w:spacing w:before="0" w:after="283"/>
              <w:jc w:val="right"/>
              <w:rPr/>
            </w:pPr>
            <w:r>
              <w:rPr/>
              <w:t>26,103,000</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77" w:type="dxa"/>
            <w:tcBorders>
              <w:bottom w:val="double" w:sz="6" w:space="0" w:color="000000"/>
            </w:tcBorders>
            <w:shd w:fill="FFFFFF" w:val="clear"/>
            <w:tcMar>
              <w:bottom w:w="28" w:type="dxa"/>
            </w:tcMar>
            <w:vAlign w:val="center"/>
          </w:tcPr>
          <w:p>
            <w:pPr>
              <w:pStyle w:val="TableContents"/>
              <w:bidi w:val="0"/>
              <w:spacing w:before="0" w:after="283"/>
              <w:jc w:val="right"/>
              <w:rPr/>
            </w:pPr>
            <w:r>
              <w:rPr/>
              <w:t>22,120,000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3,983,000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revenues between periods was related to an increase in sales volumes of our ophthalmology products, as well as an increase in the transfer of profits related to the Fab 5 Acquisition. This increase in 2023 was offset slightly by a decrease in commissions attributable to sales of Dexycu® pursuant to a Commercial Alliance Agreement between the Coompany and Eyepoint Pharmaceuticals which terminated effective January 1, 2023 and decrease in sales from our non-ophthalmology compounded products due to the divestment of those assets in the fourth quarter of 2022.</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Sales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sales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amortization of acquired product NDAs, and other related expenses.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presents our cost of sales for the three months ended March 31, 2023 and 2022:</w:t>
      </w:r>
    </w:p>
    <w:p>
      <w:pPr>
        <w:pStyle w:val="TextBody"/>
        <w:bidi w:val="0"/>
        <w:spacing w:before="0" w:after="0"/>
        <w:ind w:left="0" w:right="0" w:firstLine="720"/>
        <w:jc w:val="left"/>
        <w:rPr>
          <w:caps w:val="false"/>
          <w:smallCaps w:val="false"/>
        </w:rPr>
      </w:pPr>
      <w:r>
        <w:rPr>
          <w:caps w:val="false"/>
          <w:smallCaps w:val="false"/>
        </w:rPr>
        <w:t> </w:t>
      </w:r>
    </w:p>
    <w:tbl>
      <w:tblPr>
        <w:tblW w:w="5673" w:type="dxa"/>
        <w:jc w:val="left"/>
        <w:tblInd w:w="0" w:type="dxa"/>
        <w:tblLayout w:type="fixed"/>
        <w:tblCellMar>
          <w:top w:w="0" w:type="dxa"/>
          <w:left w:w="0" w:type="dxa"/>
          <w:bottom w:w="0" w:type="dxa"/>
          <w:right w:w="0" w:type="dxa"/>
        </w:tblCellMar>
      </w:tblPr>
      <w:tblGrid>
        <w:gridCol w:w="1280"/>
        <w:gridCol w:w="60"/>
        <w:gridCol w:w="179"/>
        <w:gridCol w:w="1254"/>
        <w:gridCol w:w="76"/>
        <w:gridCol w:w="76"/>
        <w:gridCol w:w="179"/>
        <w:gridCol w:w="1254"/>
        <w:gridCol w:w="60"/>
        <w:gridCol w:w="60"/>
        <w:gridCol w:w="140"/>
        <w:gridCol w:w="980"/>
        <w:gridCol w:w="75"/>
      </w:tblGrid>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8" w:type="dxa"/>
            <w:gridSpan w:val="6"/>
            <w:tcBorders/>
            <w:vAlign w:val="center"/>
          </w:tcPr>
          <w:p>
            <w:pPr>
              <w:pStyle w:val="TableContents"/>
              <w:bidi w:val="0"/>
              <w:spacing w:before="0" w:after="283"/>
              <w:jc w:val="center"/>
              <w:rPr>
                <w:b/>
              </w:rPr>
            </w:pPr>
            <w:r>
              <w:rPr>
                <w:b/>
              </w:rPr>
              <w:t>For the 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43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Variance</w:t>
            </w:r>
          </w:p>
        </w:tc>
        <w:tc>
          <w:tcPr>
            <w:tcW w:w="75"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b/>
              </w:rPr>
            </w:pPr>
            <w:r>
              <w:rPr>
                <w:b/>
              </w:rPr>
              <w:t>Cost of sales</w:t>
            </w:r>
          </w:p>
        </w:tc>
        <w:tc>
          <w:tcPr>
            <w:tcW w:w="60"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4" w:type="dxa"/>
            <w:tcBorders>
              <w:bottom w:val="double" w:sz="6" w:space="0" w:color="000000"/>
            </w:tcBorders>
            <w:shd w:fill="CCEEFF" w:val="clear"/>
            <w:tcMar>
              <w:bottom w:w="28" w:type="dxa"/>
            </w:tcMar>
            <w:vAlign w:val="center"/>
          </w:tcPr>
          <w:p>
            <w:pPr>
              <w:pStyle w:val="TableContents"/>
              <w:bidi w:val="0"/>
              <w:spacing w:before="0" w:after="283"/>
              <w:jc w:val="right"/>
              <w:rPr/>
            </w:pPr>
            <w:r>
              <w:rPr/>
              <w:t>8,271,000</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4" w:type="dxa"/>
            <w:tcBorders>
              <w:bottom w:val="double" w:sz="6" w:space="0" w:color="000000"/>
            </w:tcBorders>
            <w:shd w:fill="CCEEFF" w:val="clear"/>
            <w:tcMar>
              <w:bottom w:w="28" w:type="dxa"/>
            </w:tcMar>
            <w:vAlign w:val="center"/>
          </w:tcPr>
          <w:p>
            <w:pPr>
              <w:pStyle w:val="TableContents"/>
              <w:bidi w:val="0"/>
              <w:spacing w:before="0" w:after="283"/>
              <w:jc w:val="right"/>
              <w:rPr/>
            </w:pPr>
            <w:r>
              <w:rPr/>
              <w:t>5,963,000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2,308,000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our cost of sales between periods was largely attributable to an increase in unit volumes sold, increased direct and indirect costs associated with production of our products and amortization of acquired product NDAs.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Profit and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presents our gross profit and gross margin for the three months ended March 31, 2023 and 2022:</w:t>
      </w:r>
    </w:p>
    <w:p>
      <w:pPr>
        <w:pStyle w:val="TextBody"/>
        <w:bidi w:val="0"/>
        <w:spacing w:before="0" w:after="0"/>
        <w:ind w:left="0" w:right="0" w:hanging="0"/>
        <w:jc w:val="both"/>
        <w:rPr>
          <w:caps w:val="false"/>
          <w:smallCaps w:val="false"/>
        </w:rPr>
      </w:pPr>
      <w:r>
        <w:rPr>
          <w:caps w:val="false"/>
          <w:smallCaps w:val="false"/>
        </w:rPr>
        <w:t> </w:t>
      </w:r>
    </w:p>
    <w:tbl>
      <w:tblPr>
        <w:tblW w:w="6146" w:type="dxa"/>
        <w:jc w:val="left"/>
        <w:tblInd w:w="0" w:type="dxa"/>
        <w:tblLayout w:type="fixed"/>
        <w:tblCellMar>
          <w:top w:w="0" w:type="dxa"/>
          <w:left w:w="0" w:type="dxa"/>
          <w:bottom w:w="0" w:type="dxa"/>
          <w:right w:w="0" w:type="dxa"/>
        </w:tblCellMar>
      </w:tblPr>
      <w:tblGrid>
        <w:gridCol w:w="1445"/>
        <w:gridCol w:w="60"/>
        <w:gridCol w:w="153"/>
        <w:gridCol w:w="1205"/>
        <w:gridCol w:w="235"/>
        <w:gridCol w:w="65"/>
        <w:gridCol w:w="153"/>
        <w:gridCol w:w="1205"/>
        <w:gridCol w:w="215"/>
        <w:gridCol w:w="60"/>
        <w:gridCol w:w="140"/>
        <w:gridCol w:w="980"/>
        <w:gridCol w:w="230"/>
      </w:tblGrid>
      <w:tr>
        <w:trPr/>
        <w:tc>
          <w:tcPr>
            <w:tcW w:w="1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6" w:type="dxa"/>
            <w:gridSpan w:val="6"/>
            <w:tcBorders/>
            <w:vAlign w:val="center"/>
          </w:tcPr>
          <w:p>
            <w:pPr>
              <w:pStyle w:val="TableContents"/>
              <w:bidi w:val="0"/>
              <w:spacing w:before="0" w:after="283"/>
              <w:jc w:val="center"/>
              <w:rPr>
                <w:b/>
              </w:rPr>
            </w:pPr>
            <w:r>
              <w:rPr>
                <w:b/>
              </w:rPr>
              <w:t>For the Three Months Ended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March 31,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3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Variance</w:t>
            </w:r>
          </w:p>
        </w:tc>
        <w:tc>
          <w:tcPr>
            <w:tcW w:w="230"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pPr>
            <w:r>
              <w:rPr/>
              <w:t>17,832,000</w:t>
            </w:r>
          </w:p>
        </w:tc>
        <w:tc>
          <w:tcPr>
            <w:tcW w:w="23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pPr>
            <w:r>
              <w:rPr/>
              <w:t>16,157,000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1,675,000</w:t>
            </w:r>
          </w:p>
        </w:tc>
        <w:tc>
          <w:tcPr>
            <w:tcW w:w="230" w:type="dxa"/>
            <w:tcBorders/>
            <w:shd w:fill="CCEE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b/>
              </w:rPr>
            </w:pPr>
            <w:r>
              <w:rPr>
                <w:b/>
              </w:rPr>
              <w:t>Gross Margin</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pPr>
            <w:r>
              <w:rPr/>
              <w:t>68.3</w:t>
            </w:r>
          </w:p>
        </w:tc>
        <w:tc>
          <w:tcPr>
            <w:tcW w:w="235"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pPr>
            <w:r>
              <w:rPr/>
              <w:t>73.0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-4.7</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gross margin between the three months ended March 31, 2023 and 2022 was primarily attributable to amortization of acquired NDAs from the Fab 5 Acquisition, beginning in January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General and Administrative Expenses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selling, general and administrative expenses include personnel costs, including wages and stock-based compensation, corporate facility expenses, and investor relations, consulting, insurance, filing, legal and accounting fees and expenses as well as costs associated with our marketing activities and sales of our proprietary compounded formulations and other non-proprietary pharmacy products and formulations.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presents our selling, general and administrative expenses for the three months ended March 31, 2023 and 2022:</w:t>
      </w:r>
    </w:p>
    <w:p>
      <w:pPr>
        <w:pStyle w:val="TextBody"/>
        <w:bidi w:val="0"/>
        <w:spacing w:before="0" w:after="0"/>
        <w:ind w:left="0" w:right="0" w:firstLine="720"/>
        <w:jc w:val="left"/>
        <w:rPr>
          <w:caps w:val="false"/>
          <w:smallCaps w:val="false"/>
        </w:rPr>
      </w:pPr>
      <w:r>
        <w:rPr>
          <w:caps w:val="false"/>
          <w:smallCaps w:val="false"/>
        </w:rPr>
        <w:t> </w:t>
      </w:r>
    </w:p>
    <w:tbl>
      <w:tblPr>
        <w:tblW w:w="7936" w:type="dxa"/>
        <w:jc w:val="left"/>
        <w:tblInd w:w="0" w:type="dxa"/>
        <w:tblLayout w:type="fixed"/>
        <w:tblCellMar>
          <w:top w:w="0" w:type="dxa"/>
          <w:left w:w="0" w:type="dxa"/>
          <w:bottom w:w="0" w:type="dxa"/>
          <w:right w:w="0" w:type="dxa"/>
        </w:tblCellMar>
      </w:tblPr>
      <w:tblGrid>
        <w:gridCol w:w="3545"/>
        <w:gridCol w:w="60"/>
        <w:gridCol w:w="162"/>
        <w:gridCol w:w="1277"/>
        <w:gridCol w:w="69"/>
        <w:gridCol w:w="69"/>
        <w:gridCol w:w="162"/>
        <w:gridCol w:w="1277"/>
        <w:gridCol w:w="60"/>
        <w:gridCol w:w="60"/>
        <w:gridCol w:w="140"/>
        <w:gridCol w:w="980"/>
        <w:gridCol w:w="75"/>
      </w:tblGrid>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6" w:type="dxa"/>
            <w:gridSpan w:val="6"/>
            <w:tcBorders/>
            <w:vAlign w:val="center"/>
          </w:tcPr>
          <w:p>
            <w:pPr>
              <w:pStyle w:val="TableContents"/>
              <w:bidi w:val="0"/>
              <w:spacing w:before="0" w:after="283"/>
              <w:jc w:val="center"/>
              <w:rPr>
                <w:b/>
              </w:rPr>
            </w:pPr>
            <w:r>
              <w:rPr>
                <w:b/>
              </w:rPr>
              <w:t>For the 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Variance</w:t>
            </w:r>
          </w:p>
        </w:tc>
        <w:tc>
          <w:tcPr>
            <w:tcW w:w="75" w:type="dxa"/>
            <w:tcBorders/>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b/>
              </w:rPr>
            </w:pPr>
            <w:r>
              <w:rPr>
                <w:b/>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77" w:type="dxa"/>
            <w:tcBorders>
              <w:bottom w:val="double" w:sz="6" w:space="0" w:color="000000"/>
            </w:tcBorders>
            <w:shd w:fill="CCEEFF" w:val="clear"/>
            <w:tcMar>
              <w:bottom w:w="28" w:type="dxa"/>
            </w:tcMar>
            <w:vAlign w:val="center"/>
          </w:tcPr>
          <w:p>
            <w:pPr>
              <w:pStyle w:val="TableContents"/>
              <w:bidi w:val="0"/>
              <w:spacing w:before="0" w:after="283"/>
              <w:jc w:val="right"/>
              <w:rPr/>
            </w:pPr>
            <w:r>
              <w:rPr/>
              <w:t>15,888,000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77" w:type="dxa"/>
            <w:tcBorders>
              <w:bottom w:val="double" w:sz="6" w:space="0" w:color="000000"/>
            </w:tcBorders>
            <w:shd w:fill="CCEEFF" w:val="clear"/>
            <w:tcMar>
              <w:bottom w:w="28" w:type="dxa"/>
            </w:tcMar>
            <w:vAlign w:val="center"/>
          </w:tcPr>
          <w:p>
            <w:pPr>
              <w:pStyle w:val="TableContents"/>
              <w:bidi w:val="0"/>
              <w:spacing w:before="0" w:after="283"/>
              <w:jc w:val="right"/>
              <w:rPr/>
            </w:pPr>
            <w:r>
              <w:rPr/>
              <w:t>13,398,000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2,490,000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selling, general and administrative expenses between periods was primarily attributable to an increase in expenses associated with regulatory enhancements, costs to support the transition of recent product acquisitions, and an increase in expenses related to the addition of new employees in sales, marketing and other departments to support current and expected growth, including the commercial launch of IHEEZO in April 2023.</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Research and Development Expenses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(“R&amp;D”) expenses primarily include personnel costs, including wages and stock-based compensation, expenses related to the development of intellectual property, investigator-initiated research and evaluations, formulation development, acquired in-process R&amp;D and other costs related to the clinical development of our assets.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presents our R&amp;D expenses for the three months ended March 31, 2023 and 2022:</w:t>
      </w:r>
    </w:p>
    <w:p>
      <w:pPr>
        <w:pStyle w:val="TextBody"/>
        <w:bidi w:val="0"/>
        <w:spacing w:before="0" w:after="0"/>
        <w:ind w:left="0" w:right="0" w:firstLine="720"/>
        <w:jc w:val="left"/>
        <w:rPr>
          <w:caps w:val="false"/>
          <w:smallCaps w:val="false"/>
        </w:rPr>
      </w:pPr>
      <w:r>
        <w:rPr>
          <w:caps w:val="false"/>
          <w:smallCaps w:val="false"/>
        </w:rPr>
        <w:t> </w:t>
      </w:r>
    </w:p>
    <w:tbl>
      <w:tblPr>
        <w:tblW w:w="7003" w:type="dxa"/>
        <w:jc w:val="left"/>
        <w:tblInd w:w="0" w:type="dxa"/>
        <w:tblLayout w:type="fixed"/>
        <w:tblCellMar>
          <w:top w:w="0" w:type="dxa"/>
          <w:left w:w="0" w:type="dxa"/>
          <w:bottom w:w="0" w:type="dxa"/>
          <w:right w:w="0" w:type="dxa"/>
        </w:tblCellMar>
      </w:tblPr>
      <w:tblGrid>
        <w:gridCol w:w="2780"/>
        <w:gridCol w:w="60"/>
        <w:gridCol w:w="211"/>
        <w:gridCol w:w="1208"/>
        <w:gridCol w:w="90"/>
        <w:gridCol w:w="90"/>
        <w:gridCol w:w="211"/>
        <w:gridCol w:w="1208"/>
        <w:gridCol w:w="60"/>
        <w:gridCol w:w="60"/>
        <w:gridCol w:w="162"/>
        <w:gridCol w:w="788"/>
        <w:gridCol w:w="75"/>
      </w:tblGrid>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8" w:type="dxa"/>
            <w:gridSpan w:val="6"/>
            <w:tcBorders/>
            <w:vAlign w:val="center"/>
          </w:tcPr>
          <w:p>
            <w:pPr>
              <w:pStyle w:val="TableContents"/>
              <w:bidi w:val="0"/>
              <w:spacing w:before="0" w:after="283"/>
              <w:jc w:val="center"/>
              <w:rPr>
                <w:b/>
              </w:rPr>
            </w:pPr>
            <w:r>
              <w:rPr>
                <w:b/>
              </w:rPr>
              <w:t>For the 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Variance</w:t>
            </w:r>
          </w:p>
        </w:tc>
        <w:tc>
          <w:tcPr>
            <w:tcW w:w="75"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b/>
              </w:rPr>
            </w:pPr>
            <w:r>
              <w:rPr>
                <w:b/>
              </w:rPr>
              <w:t>Research and development</w:t>
            </w:r>
          </w:p>
        </w:tc>
        <w:tc>
          <w:tcPr>
            <w:tcW w:w="60"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8" w:type="dxa"/>
            <w:tcBorders>
              <w:bottom w:val="double" w:sz="6" w:space="0" w:color="000000"/>
            </w:tcBorders>
            <w:shd w:fill="CCEEFF" w:val="clear"/>
            <w:tcMar>
              <w:bottom w:w="28" w:type="dxa"/>
            </w:tcMar>
            <w:vAlign w:val="center"/>
          </w:tcPr>
          <w:p>
            <w:pPr>
              <w:pStyle w:val="TableContents"/>
              <w:bidi w:val="0"/>
              <w:spacing w:before="0" w:after="283"/>
              <w:jc w:val="right"/>
              <w:rPr/>
            </w:pPr>
            <w:r>
              <w:rPr/>
              <w:t>734,000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8" w:type="dxa"/>
            <w:tcBorders>
              <w:bottom w:val="double" w:sz="6" w:space="0" w:color="000000"/>
            </w:tcBorders>
            <w:shd w:fill="CCEEFF" w:val="clear"/>
            <w:tcMar>
              <w:bottom w:w="28" w:type="dxa"/>
            </w:tcMar>
            <w:vAlign w:val="center"/>
          </w:tcPr>
          <w:p>
            <w:pPr>
              <w:pStyle w:val="TableContents"/>
              <w:bidi w:val="0"/>
              <w:spacing w:before="0" w:after="283"/>
              <w:jc w:val="right"/>
              <w:rPr/>
            </w:pPr>
            <w:r>
              <w:rPr/>
              <w:t>658,000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88" w:type="dxa"/>
            <w:tcBorders>
              <w:bottom w:val="double" w:sz="6" w:space="0" w:color="000000"/>
            </w:tcBorders>
            <w:shd w:fill="CCEEFF" w:val="clear"/>
            <w:tcMar>
              <w:bottom w:w="28" w:type="dxa"/>
            </w:tcMar>
            <w:vAlign w:val="center"/>
          </w:tcPr>
          <w:p>
            <w:pPr>
              <w:pStyle w:val="TableContents"/>
              <w:bidi w:val="0"/>
              <w:spacing w:before="0" w:after="283"/>
              <w:jc w:val="right"/>
              <w:rPr/>
            </w:pPr>
            <w:r>
              <w:rPr/>
              <w:t>76,000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R&amp;D expenses between the periods was primarily attributable to an increase in expenses associated with regulatory enhancements, and an increase in expenses related to the addition of new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Interest Expense, Net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 was $4,747,000 for the three months ended March 31, 2023 compared to $1,792,000 for the same periods in 2022, respectively. The increase during the period ended March 31, 2023 compared to the same period in 2022 was primarily due to an increase in the outstanding principal amount of our debt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Equity in Losses of Unconsolidated Entities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2023, we recorded a loss of $0 related to our share of losses in Melt, compared to $2,886,000 for the same period last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Investment Gain from Eton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2023, we recorded a gain of $2,042,000, related to the change in fair market value of Eton’s common stock, compared to $139,000 for the same period last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on Extinguishment of Debt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2023, we recorded a loss on extinguishment of debt of $5,465,000, related to the payoff of the BR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our net loss and per share net loss for the three months ended March 31, 2023 and 2022:</w:t>
      </w:r>
    </w:p>
    <w:p>
      <w:pPr>
        <w:pStyle w:val="TextBody"/>
        <w:bidi w:val="0"/>
        <w:spacing w:before="0" w:after="0"/>
        <w:ind w:left="0" w:right="0" w:firstLine="720"/>
        <w:jc w:val="left"/>
        <w:rPr>
          <w:caps w:val="false"/>
          <w:smallCaps w:val="false"/>
        </w:rPr>
      </w:pPr>
      <w:r>
        <w:rPr>
          <w:caps w:val="false"/>
          <w:smallCaps w:val="false"/>
        </w:rPr>
        <w:t> </w:t>
      </w:r>
    </w:p>
    <w:tbl>
      <w:tblPr>
        <w:tblW w:w="10160" w:type="dxa"/>
        <w:jc w:val="left"/>
        <w:tblInd w:w="0" w:type="dxa"/>
        <w:tblLayout w:type="fixed"/>
        <w:tblCellMar>
          <w:top w:w="0" w:type="dxa"/>
          <w:left w:w="0" w:type="dxa"/>
          <w:bottom w:w="0" w:type="dxa"/>
          <w:right w:w="0" w:type="dxa"/>
        </w:tblCellMar>
      </w:tblPr>
      <w:tblGrid>
        <w:gridCol w:w="7445"/>
        <w:gridCol w:w="60"/>
        <w:gridCol w:w="140"/>
        <w:gridCol w:w="1055"/>
        <w:gridCol w:w="95"/>
        <w:gridCol w:w="60"/>
        <w:gridCol w:w="140"/>
        <w:gridCol w:w="1055"/>
        <w:gridCol w:w="110"/>
      </w:tblGrid>
      <w:tr>
        <w:trPr/>
        <w:tc>
          <w:tcPr>
            <w:tcW w:w="7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110" w:type="dxa"/>
            <w:tcBorders/>
            <w:vAlign w:val="center"/>
          </w:tcPr>
          <w:p>
            <w:pPr>
              <w:pStyle w:val="TableContents"/>
              <w:bidi w:val="0"/>
              <w:spacing w:before="0" w:after="283"/>
              <w:jc w:val="left"/>
              <w:rPr/>
            </w:pPr>
            <w:r>
              <w:rPr/>
              <w:t> </w:t>
            </w:r>
          </w:p>
        </w:tc>
      </w:tr>
      <w:tr>
        <w:trPr/>
        <w:tc>
          <w:tcPr>
            <w:tcW w:w="7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vAlign w:val="center"/>
          </w:tcPr>
          <w:p>
            <w:pPr>
              <w:pStyle w:val="TableContents"/>
              <w:bidi w:val="0"/>
              <w:spacing w:before="0" w:after="283"/>
              <w:jc w:val="center"/>
              <w:rPr>
                <w:b/>
              </w:rPr>
            </w:pPr>
            <w:r>
              <w:rPr>
                <w:b/>
              </w:rPr>
              <w:t>March 31,</w:t>
            </w:r>
          </w:p>
        </w:tc>
        <w:tc>
          <w:tcPr>
            <w:tcW w:w="110" w:type="dxa"/>
            <w:tcBorders/>
            <w:vAlign w:val="center"/>
          </w:tcPr>
          <w:p>
            <w:pPr>
              <w:pStyle w:val="TableContents"/>
              <w:bidi w:val="0"/>
              <w:spacing w:before="0" w:after="283"/>
              <w:jc w:val="left"/>
              <w:rPr/>
            </w:pPr>
            <w:r>
              <w:rPr/>
              <w:t> </w:t>
            </w:r>
          </w:p>
        </w:tc>
      </w:tr>
      <w:tr>
        <w:trPr/>
        <w:tc>
          <w:tcPr>
            <w:tcW w:w="7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283"/>
              <w:jc w:val="left"/>
              <w:rPr/>
            </w:pPr>
            <w:r>
              <w:rPr/>
              <w:t>Numerator – net loss attributable to Harrow Health, Inc.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(6,643,000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(2,438,000</w:t>
            </w:r>
          </w:p>
        </w:tc>
        <w:tc>
          <w:tcPr>
            <w:tcW w:w="110" w:type="dxa"/>
            <w:tcBorders/>
            <w:shd w:fill="CCEEFF" w:val="clear"/>
            <w:vAlign w:val="center"/>
          </w:tcPr>
          <w:p>
            <w:pPr>
              <w:pStyle w:val="TableContents"/>
              <w:bidi w:val="0"/>
              <w:spacing w:before="0" w:after="283"/>
              <w:jc w:val="left"/>
              <w:rPr/>
            </w:pPr>
            <w:r>
              <w:rPr/>
              <w:t>)</w:t>
            </w:r>
          </w:p>
        </w:tc>
      </w:tr>
      <w:tr>
        <w:trPr/>
        <w:tc>
          <w:tcPr>
            <w:tcW w:w="7445" w:type="dxa"/>
            <w:tcBorders/>
            <w:shd w:fill="FFFFFF" w:val="clear"/>
            <w:vAlign w:val="center"/>
          </w:tcPr>
          <w:p>
            <w:pPr>
              <w:pStyle w:val="TableContents"/>
              <w:bidi w:val="0"/>
              <w:spacing w:before="0" w:after="283"/>
              <w:jc w:val="left"/>
              <w:rPr/>
            </w:pPr>
            <w:r>
              <w:rPr/>
              <w:t>Net loss per share,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(0.22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(0.09</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on hand at March 31, 2023 was $19,248,000, compared to $96,270,000 at December 31, 2022.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Quarterly Report, we believe that cash and cash equivalents of $19,248,000 at March 31, 2023 will be sufficient to sustain our planned level of operations and capital expenditures for at least the next 12 months. In addition, we may consider the sale of certain assets including, but not limited to, part of, or all of, our investments in Eton, Surface, Melt, and/or any of our consolidated subsidiaries. However, we may pursue acquisitions of revenue generating products, drug candidates or other strategic transactions that involve large expenditures or we may experience growth more quickly or on a larger scale than we expect, any of which could result in the depletion of capital resources more rapidly than anticipated and could require us to seek additional financing to support our operations.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use our current cash position and funds generated from our operations and any financing to pursue our business plan, which includes developing and commercializing drug candidates, compounded formulations and technologies, integrating and developing our operations, pursuing potential future strategic transactions as opportunities arise, including potential acquisitions of additional pharmacy, outsourcing facilities, drug company and manufacturers, drug products, drug candidates, and/or assets or technologies, and otherwise fund our operations. We may also use our resources to conduct clinical trials or other studies in support of our formulations or any drug candidate for which we pursue FDA approval, to pursue additional development programs or to explore other development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Cash Flows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provides detailed information about our net cash flows:</w:t>
      </w:r>
    </w:p>
    <w:p>
      <w:pPr>
        <w:pStyle w:val="TextBody"/>
        <w:bidi w:val="0"/>
        <w:spacing w:before="0" w:after="0"/>
        <w:ind w:left="0" w:right="0" w:firstLine="720"/>
        <w:jc w:val="both"/>
        <w:rPr>
          <w:caps w:val="false"/>
          <w:smallCaps w:val="false"/>
        </w:rPr>
      </w:pPr>
      <w:r>
        <w:rPr>
          <w:caps w:val="false"/>
          <w:smallCaps w:val="false"/>
        </w:rPr>
        <w:t> </w:t>
      </w:r>
    </w:p>
    <w:tbl>
      <w:tblPr>
        <w:tblW w:w="8202" w:type="dxa"/>
        <w:jc w:val="left"/>
        <w:tblInd w:w="0" w:type="dxa"/>
        <w:tblLayout w:type="fixed"/>
        <w:tblCellMar>
          <w:top w:w="0" w:type="dxa"/>
          <w:left w:w="0" w:type="dxa"/>
          <w:bottom w:w="0" w:type="dxa"/>
          <w:right w:w="0" w:type="dxa"/>
        </w:tblCellMar>
      </w:tblPr>
      <w:tblGrid>
        <w:gridCol w:w="5015"/>
        <w:gridCol w:w="60"/>
        <w:gridCol w:w="149"/>
        <w:gridCol w:w="1381"/>
        <w:gridCol w:w="101"/>
        <w:gridCol w:w="64"/>
        <w:gridCol w:w="149"/>
        <w:gridCol w:w="1173"/>
        <w:gridCol w:w="110"/>
      </w:tblGrid>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7" w:type="dxa"/>
            <w:gridSpan w:val="6"/>
            <w:tcBorders/>
            <w:vAlign w:val="center"/>
          </w:tcPr>
          <w:p>
            <w:pPr>
              <w:pStyle w:val="TableContents"/>
              <w:bidi w:val="0"/>
              <w:spacing w:before="0" w:after="283"/>
              <w:jc w:val="center"/>
              <w:rPr>
                <w:b/>
              </w:rPr>
            </w:pPr>
            <w:r>
              <w:rPr>
                <w:b/>
              </w:rPr>
              <w:t>For the Three Months Ended</w:t>
            </w:r>
          </w:p>
        </w:tc>
        <w:tc>
          <w:tcPr>
            <w:tcW w:w="110"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7" w:type="dxa"/>
            <w:gridSpan w:val="6"/>
            <w:tcBorders/>
            <w:vAlign w:val="center"/>
          </w:tcPr>
          <w:p>
            <w:pPr>
              <w:pStyle w:val="TableContents"/>
              <w:bidi w:val="0"/>
              <w:spacing w:before="0" w:after="283"/>
              <w:jc w:val="center"/>
              <w:rPr>
                <w:b/>
              </w:rPr>
            </w:pPr>
            <w:r>
              <w:rPr>
                <w:b/>
              </w:rPr>
              <w:t>March 31,</w:t>
            </w:r>
          </w:p>
        </w:tc>
        <w:tc>
          <w:tcPr>
            <w:tcW w:w="110"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0" w:type="dxa"/>
            <w:gridSpan w:val="2"/>
            <w:tcBorders/>
            <w:vAlign w:val="center"/>
          </w:tcPr>
          <w:p>
            <w:pPr>
              <w:pStyle w:val="TableContents"/>
              <w:bidi w:val="0"/>
              <w:spacing w:before="0" w:after="283"/>
              <w:jc w:val="center"/>
              <w:rPr>
                <w:b/>
              </w:rPr>
            </w:pPr>
            <w:r>
              <w:rPr>
                <w:b/>
              </w:rPr>
              <w:t>March 31,</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22" w:type="dxa"/>
            <w:gridSpan w:val="2"/>
            <w:tcBorders/>
            <w:vAlign w:val="center"/>
          </w:tcPr>
          <w:p>
            <w:pPr>
              <w:pStyle w:val="TableContents"/>
              <w:bidi w:val="0"/>
              <w:spacing w:before="0" w:after="283"/>
              <w:jc w:val="center"/>
              <w:rPr>
                <w:b/>
              </w:rPr>
            </w:pPr>
            <w:r>
              <w:rPr>
                <w:b/>
              </w:rPr>
              <w:t>March 31,</w:t>
            </w:r>
          </w:p>
        </w:tc>
        <w:tc>
          <w:tcPr>
            <w:tcW w:w="110"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Net cash (used in) provided by:</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Operating activities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w:t>
            </w:r>
          </w:p>
        </w:tc>
        <w:tc>
          <w:tcPr>
            <w:tcW w:w="1381" w:type="dxa"/>
            <w:tcBorders/>
            <w:shd w:fill="FFFFFF" w:val="clear"/>
            <w:vAlign w:val="center"/>
          </w:tcPr>
          <w:p>
            <w:pPr>
              <w:pStyle w:val="TableContents"/>
              <w:bidi w:val="0"/>
              <w:spacing w:before="0" w:after="283"/>
              <w:jc w:val="right"/>
              <w:rPr/>
            </w:pPr>
            <w:r>
              <w:rPr/>
              <w:t>(8,214,000</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w:t>
            </w:r>
          </w:p>
        </w:tc>
        <w:tc>
          <w:tcPr>
            <w:tcW w:w="1173" w:type="dxa"/>
            <w:tcBorders/>
            <w:shd w:fill="FFFFFF" w:val="clear"/>
            <w:vAlign w:val="center"/>
          </w:tcPr>
          <w:p>
            <w:pPr>
              <w:pStyle w:val="TableContents"/>
              <w:bidi w:val="0"/>
              <w:spacing w:before="0" w:after="283"/>
              <w:jc w:val="right"/>
              <w:rPr/>
            </w:pPr>
            <w:r>
              <w:rPr/>
              <w:t>967,000</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Investing activities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(130,970,000</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(410,000</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Financing activities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81" w:type="dxa"/>
            <w:tcBorders>
              <w:bottom w:val="single" w:sz="12" w:space="0" w:color="000000"/>
            </w:tcBorders>
            <w:shd w:fill="FFFFFF" w:val="clear"/>
            <w:tcMar>
              <w:bottom w:w="28" w:type="dxa"/>
            </w:tcMar>
            <w:vAlign w:val="center"/>
          </w:tcPr>
          <w:p>
            <w:pPr>
              <w:pStyle w:val="TableContents"/>
              <w:bidi w:val="0"/>
              <w:spacing w:before="0" w:after="283"/>
              <w:jc w:val="right"/>
              <w:rPr/>
            </w:pPr>
            <w:r>
              <w:rPr/>
              <w:t>62,162,000</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(776,000</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pPr>
            <w:r>
              <w:rPr/>
              <w:t>Net change in cash and cash equivalents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(77,022,000</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(219,000</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Cash and cash equivalents at beginning of the period</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81" w:type="dxa"/>
            <w:tcBorders>
              <w:bottom w:val="single" w:sz="12" w:space="0" w:color="000000"/>
            </w:tcBorders>
            <w:shd w:fill="FFFFFF" w:val="clear"/>
            <w:tcMar>
              <w:bottom w:w="28" w:type="dxa"/>
            </w:tcMar>
            <w:vAlign w:val="center"/>
          </w:tcPr>
          <w:p>
            <w:pPr>
              <w:pStyle w:val="TableContents"/>
              <w:bidi w:val="0"/>
              <w:spacing w:before="0" w:after="283"/>
              <w:jc w:val="right"/>
              <w:rPr/>
            </w:pPr>
            <w:r>
              <w:rPr/>
              <w:t>96,270,000</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42,167,000</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Cash and cash equivalents at end of the period</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81" w:type="dxa"/>
            <w:tcBorders>
              <w:bottom w:val="double" w:sz="6" w:space="0" w:color="000000"/>
            </w:tcBorders>
            <w:shd w:fill="CCEEFF" w:val="clear"/>
            <w:tcMar>
              <w:bottom w:w="28" w:type="dxa"/>
            </w:tcMar>
            <w:vAlign w:val="center"/>
          </w:tcPr>
          <w:p>
            <w:pPr>
              <w:pStyle w:val="TableContents"/>
              <w:bidi w:val="0"/>
              <w:spacing w:before="0" w:after="283"/>
              <w:jc w:val="right"/>
              <w:rPr/>
            </w:pPr>
            <w:r>
              <w:rPr/>
              <w:t>19,248,000</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6" w:space="0" w:color="000000"/>
            </w:tcBorders>
            <w:shd w:fill="CCEEFF" w:val="clear"/>
            <w:tcMar>
              <w:bottom w:w="28" w:type="dxa"/>
            </w:tcMar>
            <w:vAlign w:val="center"/>
          </w:tcPr>
          <w:p>
            <w:pPr>
              <w:pStyle w:val="TableContents"/>
              <w:bidi w:val="0"/>
              <w:spacing w:before="0" w:after="283"/>
              <w:jc w:val="right"/>
              <w:rPr/>
            </w:pPr>
            <w:r>
              <w:rPr/>
              <w:t>41,948,000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during the three months ended March 31, 2023 was $(8,214,000) compared to cash provided by of $967,000 during the same period in the prior year. The increase in net cash used in operating activities between the periods was mainly attributed to the increase in accounts receivable related to payment terms for the profit transfer associated with the Fab 5 Acquisition, increase in inventory levels, and operating expenses associated with planned 2023 commercial launch of IHEEZO and increased costs of goods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during the three months ended March 31, 2023 was $(130,970,000) compared to $(410,000) during the same period in the prior year. Cash used in investing activities in 2023 was primarily associated with the Fab 5 Acquisition. Cash used in investing activities in 2022 was primarily associated with equipment and software purchases.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(used in) financing activities during the three months ended March 31, 2023 and 2022 was $62,162,000 and $(776,000), respectively. Cash provided by financing activities during the three months ended March 31, 2023 was primarily related to proceeds received from the issuance of senior notes and the Oaktree Loan. Cash used in financing activities during the three months ended March 31, 2022 was primarily related to payment of payroll taxes upon vesting of RSUs in exchange for shares withheld from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Sources of Capital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sources of cash consist of cash provided by operating activities from our ImprimisRx and branded pharmaceutical businesses, and in 2022 and 2023, proceeds from the sale of senior notes and the Oaktree Loan. We may also sell some or all of our ownership interests in Surface, Melt or our other subsidiaries, along with the sale of some or all of our remaining Eton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acquire new products, product candidates and/or businesses and, as a result, we may need significant additional capital to support our business plan and fund our proposed business operations. We may receive additional proceeds from the exercise of stock purchase warrants that are currently outstanding. We may also seek additional financing from a variety of sources, including other equity or debt financings, funding from corporate partnerships or licensing arrangements, sales of assets or any other financing transaction.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or licensing arrangements or sales of assets, we may be required to relinquish potentially valuable rights to our product candidates or proprietary technologies or formulations,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they would be available, would increase our liabilities and future cash commitments and may impose restrictions on our activities, such as the financial and operating covenants.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obtain financing when necessary as a result of, among other things, our performance, general economic conditions, conditions in the pharmaceuticals and pharmacy industries, or our operating history, including our past bankruptcy proceedings. In addition, the fact that we have a limited history of profitability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when needed, we may need to forego pursuit of potentially valuable development or acquisition opportunities, we may not be able to continue to operate our business pursuant to our business plan, which would require us to modify our operations to reduce spending to a sustainable level by, among other things, delaying, scaling back or eliminating some or all of our ongoing or planned investments in corporate infrastructure, business development, sales and marketing and other activities, or we may be forced to discontinue our operations entirely.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and Adopted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2 to our condensed consolidated financial statements included in this Quarterly Report.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75" w:name="ap_004"/>
      <w:bookmarkEnd w:id="875"/>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76" w:name="ap_005"/>
      <w:bookmarkEnd w:id="876"/>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Evaluation of Disclosure Controls and Procedures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that are designed to ensure that information required to be disclosed in our reports filed or submitted pursuant to the Securities Exchange Act of 1934, as amended (the “Exchange Act”), is recorded, processed, summarized and reported within the time periods specified in the rules and forms of the SEC, and that such information is accumulated and communicated to our management, including our principal executive officer and principal financial officer, as appropriate, to allow for timely decisions regarding required disclosure.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supervision and with the participation of our principal executive officer and principal financial officer, our management conducted an evaluation of our disclosure controls and procedures, as such term is defined under Rule 13a-15(e) promulgated under the Exchange Act, as they existed on March 31, 2023. Based on this evaluation, our principal executive officer and principal financial officer have concluded that our disclosure controls and procedures were effective to achieve their stated purpose as of March 31, 2023, the end of the period covered by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Changes in Internal Controls over Financial Reporting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no change in our internal control over financial reporting (as defined in Rule 13a-15(f) under the Exchange Act) during the quarter ended March 31, 2023 that has materially affected, or is reasonably likely to materially affect, our internal control over financial reporting.</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77" w:name="ap_006"/>
      <w:bookmarkEnd w:id="877"/>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78" w:name="ap_007"/>
      <w:bookmarkEnd w:id="878"/>
      <w:r>
        <w:rPr>
          <w:rFonts w:ascii="Times New Roman;Times;Serif" w:hAnsi="Times New Roman;Times;Serif"/>
          <w:b/>
          <w:i w:val="false"/>
          <w:caps w:val="false"/>
          <w:smallCaps w:val="false"/>
          <w:sz w:val="20"/>
        </w:rPr>
        <w:t xml:space="preserve">Item 1. Legal Proceedings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See Note 16 to our condensed consolidated financial statements included in this Quarterly Report for information on various legal proceedings, which is incorporated into this Item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79" w:name="ap_008"/>
      <w:bookmarkEnd w:id="879"/>
      <w:r>
        <w:rPr>
          <w:rFonts w:ascii="Times New Roman;Times;Serif" w:hAnsi="Times New Roman;Times;Serif"/>
          <w:b/>
          <w:i w:val="false"/>
          <w:caps w:val="false"/>
          <w:smallCaps w:val="false"/>
          <w:sz w:val="20"/>
        </w:rPr>
        <w:t>Item 1A. Risk Factors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addition to the other information contained in this Quarterly Report you should consider the risk factors and the other information in our Annual Report on Form 10-K for the year ended December 31, 2022, including our audited financial statements and the related notes and “Management’s Discussion and Analysis of Financial Condition and Results of Operations.” If any such risks actually occur, our business, financial condition, results of operations and future growth prospects would likely be materially and adversely affected. In these circumstances, the market price of our common stock would likely decline and you may lose all or part of your investment. Additional risks and uncertainties not presently known to us or that we currently deem immaterial also may impair our business operations.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80" w:name="ap_009"/>
      <w:bookmarkEnd w:id="880"/>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81" w:name="ap_010"/>
      <w:bookmarkEnd w:id="881"/>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82" w:name="ap_011"/>
      <w:bookmarkEnd w:id="882"/>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83" w:name="ap_012"/>
      <w:bookmarkEnd w:id="883"/>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84" w:name="ap_013"/>
      <w:bookmarkEnd w:id="884"/>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04"/>
        <w:gridCol w:w="60"/>
        <w:gridCol w:w="9341"/>
      </w:tblGrid>
      <w:tr>
        <w:trPr/>
        <w:tc>
          <w:tcPr>
            <w:tcW w:w="804" w:type="dxa"/>
            <w:tcBorders>
              <w:bottom w:val="single" w:sz="12"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bottom w:val="single" w:sz="12" w:space="0" w:color="000000"/>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Loan and Security Agreement dated December 14, 2022, between the Company and B. Riley Commercial Capital, LLC</w:t>
              </w:r>
            </w:hyperlink>
            <w:r>
              <w:rPr>
                <w:rFonts w:ascii="Times New Roman;Times;Serif" w:hAnsi="Times New Roman;Times;Serif"/>
                <w:b w:val="false"/>
                <w:i w:val="false"/>
                <w:caps w:val="false"/>
                <w:smallCaps w:val="false"/>
                <w:sz w:val="20"/>
              </w:rPr>
              <w:t xml:space="preserve"> </w:t>
            </w:r>
          </w:p>
        </w:tc>
      </w:tr>
      <w:tr>
        <w:trPr/>
        <w:tc>
          <w:tcPr>
            <w:tcW w:w="8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pPr>
            <w:hyperlink w:anchor="ex10-2.htm">
              <w:r>
                <w:rPr>
                  <w:rStyle w:val="InternetLink"/>
                  <w:rFonts w:ascii="Times New Roman;Times;Serif" w:hAnsi="Times New Roman;Times;Serif"/>
                  <w:b w:val="false"/>
                  <w:i w:val="false"/>
                  <w:caps w:val="false"/>
                  <w:smallCaps w:val="false"/>
                  <w:sz w:val="20"/>
                  <w:shd w:fill="FFFFFF" w:val="clear"/>
                </w:rPr>
                <w:t>Credit and Guaranty Agreement, dated March 27, 2023, between the Company and Oaktree Fund Administration, LLC</w:t>
              </w:r>
            </w:hyperlink>
          </w:p>
        </w:tc>
      </w:tr>
      <w:tr>
        <w:trPr/>
        <w:tc>
          <w:tcPr>
            <w:tcW w:w="8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Mark L. Baum, principal executive officer, pursuant to Rule 13a-14(a) or 15d-14(a) of the Securities and Exchange Act of 1934, as adopted pursuant to Section 302 of the Sarbanes- Oxley Act of 2002.</w:t>
              </w:r>
            </w:hyperlink>
          </w:p>
        </w:tc>
      </w:tr>
      <w:tr>
        <w:trPr/>
        <w:tc>
          <w:tcPr>
            <w:tcW w:w="8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Andrew R. Boll, principal financial and accounting officer, pursuant to Rule 13a-14(a) or 15d-14(a) of the Securities and Exchange Act of 1934, as adopted pursuant to Section 302 of the Sarbanes- Oxley Act of 2002.</w:t>
              </w:r>
            </w:hyperlink>
          </w:p>
        </w:tc>
      </w:tr>
      <w:tr>
        <w:trPr/>
        <w:tc>
          <w:tcPr>
            <w:tcW w:w="8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pursuant to 18 U.S.C. Section 1350, as adopted pursuant to Section 906 of the Sarbanes-Oxley Act of 2002, executed by Mark L. Baum, principal executive officer, and Andrew R. Boll, principal financial and accounting officer.</w:t>
              </w:r>
            </w:hyperlink>
          </w:p>
        </w:tc>
      </w:tr>
      <w:tr>
        <w:trPr/>
        <w:tc>
          <w:tcPr>
            <w:tcW w:w="8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101.INS*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 - the instance document does not appear in the Interactive Data File because its XBRL tags are embedded within the Inline XBRL document.</w:t>
            </w:r>
          </w:p>
        </w:tc>
      </w:tr>
      <w:tr>
        <w:trPr/>
        <w:tc>
          <w:tcPr>
            <w:tcW w:w="8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101.SCH*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8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101.CAL*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8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101.DEF*</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8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101.LAB*</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8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101.PRE*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8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cover page from the Company’s Quarterly Report on Form 10-Q for the quarter ended March 31, 2023, has been formatted in Inline XBRL.</w:t>
            </w:r>
          </w:p>
        </w:tc>
      </w:tr>
    </w:tbl>
    <w:p>
      <w:pPr>
        <w:pStyle w:val="TextBody"/>
        <w:bidi w:val="0"/>
        <w:spacing w:before="0" w:after="0"/>
        <w:ind w:left="0" w:right="0" w:hanging="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245"/>
        <w:gridCol w:w="7370"/>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 herewith.</w:t>
            </w:r>
          </w:p>
        </w:tc>
      </w:tr>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Portions of this exhibit have been omitted in compliance with Item 601 of Regulation S-K.</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85" w:name="ap_014"/>
      <w:bookmarkEnd w:id="885"/>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7635" w:type="dxa"/>
        <w:jc w:val="left"/>
        <w:tblInd w:w="0" w:type="dxa"/>
        <w:tblLayout w:type="fixed"/>
        <w:tblCellMar>
          <w:top w:w="0" w:type="dxa"/>
          <w:left w:w="0" w:type="dxa"/>
          <w:bottom w:w="0" w:type="dxa"/>
          <w:right w:w="0" w:type="dxa"/>
        </w:tblCellMar>
      </w:tblPr>
      <w:tblGrid>
        <w:gridCol w:w="1760"/>
        <w:gridCol w:w="320"/>
        <w:gridCol w:w="5555"/>
      </w:tblGrid>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87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Health, Inc.</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5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11, 2023</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5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L. Baum</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L. Baum</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5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5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R. Boll</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Boll</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right"/>
        <w:rPr>
          <w:caps w:val="false"/>
          <w:smallCaps w:val="false"/>
        </w:rPr>
      </w:pPr>
      <w:bookmarkStart w:id="886" w:name="ex10-1.htm"/>
      <w:bookmarkStart w:id="887" w:name="ksex101"/>
      <w:bookmarkEnd w:id="886"/>
      <w:bookmarkEnd w:id="88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Version</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 AND SECURITY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LOAN AND SECURITY AGREEMENT</w:t>
      </w:r>
      <w:r>
        <w:rPr>
          <w:rFonts w:ascii="Times New Roman;Times;Serif" w:hAnsi="Times New Roman;Times;Serif"/>
          <w:b w:val="false"/>
          <w:i w:val="false"/>
          <w:caps w:val="false"/>
          <w:smallCaps w:val="false"/>
          <w:sz w:val="20"/>
        </w:rPr>
        <w:t xml:space="preserve"> (as the same may be amended, restated, supplemented, or otherwise modified from time to time,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as of December 14, 2022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xml:space="preserve">”) among </w:t>
      </w:r>
      <w:r>
        <w:rPr>
          <w:rFonts w:ascii="Times New Roman;Times;Serif" w:hAnsi="Times New Roman;Times;Serif"/>
          <w:b/>
          <w:i w:val="false"/>
          <w:caps w:val="false"/>
          <w:smallCaps w:val="false"/>
          <w:sz w:val="20"/>
        </w:rPr>
        <w:t>HARROW HEALTH, INC.</w:t>
      </w:r>
      <w:r>
        <w:rPr>
          <w:rFonts w:ascii="Times New Roman;Times;Serif" w:hAnsi="Times New Roman;Times;Serif"/>
          <w:b w:val="false"/>
          <w:i w:val="false"/>
          <w:caps w:val="false"/>
          <w:smallCaps w:val="false"/>
          <w:sz w:val="20"/>
        </w:rPr>
        <w:t>, a Delaware corporation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HARROW EYE, LLC</w:t>
      </w:r>
      <w:r>
        <w:rPr>
          <w:rFonts w:ascii="Times New Roman;Times;Serif" w:hAnsi="Times New Roman;Times;Serif"/>
          <w:b w:val="false"/>
          <w:i w:val="false"/>
          <w:caps w:val="false"/>
          <w:smallCaps w:val="false"/>
          <w:sz w:val="20"/>
        </w:rPr>
        <w:t>, a Delaware limited liability company (“</w:t>
      </w:r>
      <w:r>
        <w:rPr>
          <w:rFonts w:ascii="Times New Roman;Times;Serif" w:hAnsi="Times New Roman;Times;Serif"/>
          <w:b/>
          <w:i w:val="false"/>
          <w:caps w:val="false"/>
          <w:smallCaps w:val="false"/>
          <w:sz w:val="20"/>
        </w:rPr>
        <w:t>Harrow Eye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HARROW IP, LLC</w:t>
      </w:r>
      <w:r>
        <w:rPr>
          <w:rFonts w:ascii="Times New Roman;Times;Serif" w:hAnsi="Times New Roman;Times;Serif"/>
          <w:b w:val="false"/>
          <w:i w:val="false"/>
          <w:caps w:val="false"/>
          <w:smallCaps w:val="false"/>
          <w:sz w:val="20"/>
        </w:rPr>
        <w:t>, a Delaware limited liability company (“</w:t>
      </w:r>
      <w:r>
        <w:rPr>
          <w:rFonts w:ascii="Times New Roman;Times;Serif" w:hAnsi="Times New Roman;Times;Serif"/>
          <w:b/>
          <w:i w:val="false"/>
          <w:caps w:val="false"/>
          <w:smallCaps w:val="false"/>
          <w:sz w:val="20"/>
        </w:rPr>
        <w:t>Harrow IP</w:t>
      </w:r>
      <w:r>
        <w:rPr>
          <w:rFonts w:ascii="Times New Roman;Times;Serif" w:hAnsi="Times New Roman;Times;Serif"/>
          <w:b w:val="false"/>
          <w:i w:val="false"/>
          <w:caps w:val="false"/>
          <w:smallCaps w:val="false"/>
          <w:sz w:val="20"/>
        </w:rPr>
        <w:t>” and, together with Parent and Harrow Eye, individually and collectively, “</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xml:space="preserve">”), each entity from time to time identified as a “Guarantor” hereto, including, each entity identified on the signature pages hereof as of the Effective Date or that joins this Agreement pursuant to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as a “Guarantor” from time to time thereafter (each such entity, individually a “</w:t>
      </w:r>
      <w:r>
        <w:rPr>
          <w:rFonts w:ascii="Times New Roman;Times;Serif" w:hAnsi="Times New Roman;Times;Serif"/>
          <w:b/>
          <w:i w:val="false"/>
          <w:caps w:val="false"/>
          <w:smallCaps w:val="false"/>
          <w:sz w:val="20"/>
        </w:rPr>
        <w:t>Guarantor</w:t>
      </w:r>
      <w:r>
        <w:rPr>
          <w:rFonts w:ascii="Times New Roman;Times;Serif" w:hAnsi="Times New Roman;Times;Serif"/>
          <w:b w:val="false"/>
          <w:i w:val="false"/>
          <w:caps w:val="false"/>
          <w:smallCaps w:val="false"/>
          <w:sz w:val="20"/>
        </w:rPr>
        <w:t>” and, collectively, “</w:t>
      </w:r>
      <w:r>
        <w:rPr>
          <w:rFonts w:ascii="Times New Roman;Times;Serif" w:hAnsi="Times New Roman;Times;Serif"/>
          <w:b/>
          <w:i w:val="false"/>
          <w:caps w:val="false"/>
          <w:smallCaps w:val="false"/>
          <w:sz w:val="20"/>
        </w:rPr>
        <w:t>Guarantors</w:t>
      </w:r>
      <w:r>
        <w:rPr>
          <w:rFonts w:ascii="Times New Roman;Times;Serif" w:hAnsi="Times New Roman;Times;Serif"/>
          <w:b w:val="false"/>
          <w:i w:val="false"/>
          <w:caps w:val="false"/>
          <w:smallCaps w:val="false"/>
          <w:sz w:val="20"/>
        </w:rPr>
        <w:t xml:space="preserve">”), the financial institutions listed on </w:t>
      </w:r>
      <w:r>
        <w:rPr>
          <w:rFonts w:ascii="Times New Roman;Times;Serif" w:hAnsi="Times New Roman;Times;Serif"/>
          <w:b w:val="false"/>
          <w:i w:val="false"/>
          <w:caps w:val="false"/>
          <w:smallCaps w:val="false"/>
          <w:sz w:val="20"/>
          <w:u w:val="single"/>
        </w:rPr>
        <w:t>Schedule 1.1</w:t>
      </w:r>
      <w:r>
        <w:rPr>
          <w:rFonts w:ascii="Times New Roman;Times;Serif" w:hAnsi="Times New Roman;Times;Serif"/>
          <w:b w:val="false"/>
          <w:i w:val="false"/>
          <w:caps w:val="false"/>
          <w:smallCaps w:val="false"/>
          <w:sz w:val="20"/>
        </w:rPr>
        <w:t xml:space="preserve"> hereof or otherwise party hereto from time to time pursuant to </w:t>
      </w:r>
      <w:r>
        <w:rPr>
          <w:rFonts w:ascii="Times New Roman;Times;Serif" w:hAnsi="Times New Roman;Times;Serif"/>
          <w:b w:val="false"/>
          <w:i w:val="false"/>
          <w:caps w:val="false"/>
          <w:smallCaps w:val="false"/>
          <w:sz w:val="20"/>
          <w:u w:val="single"/>
        </w:rPr>
        <w:t xml:space="preserve">Section 13.1 </w:t>
      </w:r>
      <w:r>
        <w:rPr>
          <w:rFonts w:ascii="Times New Roman;Times;Serif" w:hAnsi="Times New Roman;Times;Serif"/>
          <w:b w:val="false"/>
          <w:i w:val="false"/>
          <w:caps w:val="false"/>
          <w:smallCaps w:val="false"/>
          <w:sz w:val="20"/>
        </w:rPr>
        <w:t>(collectively, the “</w:t>
      </w:r>
      <w:r>
        <w:rPr>
          <w:rFonts w:ascii="Times New Roman;Times;Serif" w:hAnsi="Times New Roman;Times;Serif"/>
          <w:b/>
          <w:i w:val="false"/>
          <w:caps w:val="false"/>
          <w:smallCaps w:val="false"/>
          <w:sz w:val="20"/>
        </w:rPr>
        <w:t>Lenders</w:t>
      </w:r>
      <w:r>
        <w:rPr>
          <w:rFonts w:ascii="Times New Roman;Times;Serif" w:hAnsi="Times New Roman;Times;Serif"/>
          <w:b w:val="false"/>
          <w:i w:val="false"/>
          <w:caps w:val="false"/>
          <w:smallCaps w:val="false"/>
          <w:sz w:val="20"/>
        </w:rPr>
        <w:t>” and, each individually, a “</w:t>
      </w:r>
      <w:r>
        <w:rPr>
          <w:rFonts w:ascii="Times New Roman;Times;Serif" w:hAnsi="Times New Roman;Times;Serif"/>
          <w:b/>
          <w:i w:val="false"/>
          <w:caps w:val="false"/>
          <w:smallCaps w:val="false"/>
          <w:sz w:val="20"/>
        </w:rPr>
        <w:t>Lender</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B. RILEY COMMERCIAL CAPITAL, LLC</w:t>
      </w:r>
      <w:r>
        <w:rPr>
          <w:rFonts w:ascii="Times New Roman;Times;Serif" w:hAnsi="Times New Roman;Times;Serif"/>
          <w:b w:val="false"/>
          <w:i w:val="false"/>
          <w:caps w:val="false"/>
          <w:smallCaps w:val="false"/>
          <w:sz w:val="20"/>
        </w:rPr>
        <w:t>, in its capacity as administrative agent for the Lenders (in such capacity, together with its successors and assigns, the “</w:t>
      </w:r>
      <w:r>
        <w:rPr>
          <w:rFonts w:ascii="Times New Roman;Times;Serif" w:hAnsi="Times New Roman;Times;Serif"/>
          <w:b/>
          <w:i w:val="false"/>
          <w:caps w:val="false"/>
          <w:smallCaps w:val="false"/>
          <w:sz w:val="20"/>
        </w:rPr>
        <w:t>Administrative Agent</w:t>
      </w:r>
      <w:r>
        <w:rPr>
          <w:rFonts w:ascii="Times New Roman;Times;Serif" w:hAnsi="Times New Roman;Times;Serif"/>
          <w:b w:val="false"/>
          <w:i w:val="false"/>
          <w:caps w:val="false"/>
          <w:smallCaps w:val="false"/>
          <w:sz w:val="20"/>
        </w:rPr>
        <w:t>”), provides the terms on which the Lenders shall lend to Borrower and Borrower shall repay the Lenders. The parties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color w:val="010000"/>
          <w:sz w:val="20"/>
        </w:rPr>
        <w:t xml:space="preserve">1. </w:t>
      </w:r>
      <w:r>
        <w:rPr>
          <w:rFonts w:ascii="Times New Roman;Times;Serif" w:hAnsi="Times New Roman;Times;Serif"/>
          <w:b/>
          <w:i w:val="false"/>
          <w:caps w:val="false"/>
          <w:smallCaps w:val="false"/>
          <w:sz w:val="20"/>
          <w:u w:val="single"/>
        </w:rPr>
        <w:t>DEFINITIONS AND OTHER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1.1 </w:t>
      </w:r>
      <w:r>
        <w:rPr>
          <w:rFonts w:ascii="Times New Roman;Times;Serif" w:hAnsi="Times New Roman;Times;Serif"/>
          <w:b/>
          <w:i w:val="false"/>
          <w:caps w:val="false"/>
          <w:smallCaps w:val="false"/>
          <w:sz w:val="20"/>
        </w:rPr>
        <w:t>Terms</w:t>
      </w:r>
      <w:r>
        <w:rPr>
          <w:rFonts w:ascii="Times New Roman;Times;Serif" w:hAnsi="Times New Roman;Times;Serif"/>
          <w:b w:val="false"/>
          <w:i w:val="false"/>
          <w:caps w:val="false"/>
          <w:smallCaps w:val="false"/>
          <w:sz w:val="20"/>
        </w:rPr>
        <w:t xml:space="preserve">. Capitalized terms used herein shall have the meanings set forth in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to the extent defined therein. All other capitalized terms used but not defined herein shall have the meanings given to such terms in the Code. Any accounting term used but not defined herein shall be construed in accordance with GAAP (unless otherwise provided herein) and all calculations shall be made in accordance with GAAP. The term “financial statements” shall include the accompanying notes and schedules.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1.2 </w:t>
      </w:r>
      <w:r>
        <w:rPr>
          <w:rFonts w:ascii="Times New Roman;Times;Serif" w:hAnsi="Times New Roman;Times;Serif"/>
          <w:b/>
          <w:i w:val="false"/>
          <w:caps w:val="false"/>
          <w:smallCaps w:val="false"/>
          <w:sz w:val="20"/>
        </w:rPr>
        <w:t>Section References</w:t>
      </w:r>
      <w:r>
        <w:rPr>
          <w:rFonts w:ascii="Times New Roman;Times;Serif" w:hAnsi="Times New Roman;Times;Serif"/>
          <w:b w:val="false"/>
          <w:i w:val="false"/>
          <w:caps w:val="false"/>
          <w:smallCaps w:val="false"/>
          <w:sz w:val="20"/>
        </w:rPr>
        <w:t>. Any section, subsection, schedule or exhibit references are to this Agreement unless otherwise specified.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1.3 </w:t>
      </w:r>
      <w:r>
        <w:rPr>
          <w:rFonts w:ascii="Times New Roman;Times;Serif" w:hAnsi="Times New Roman;Times;Serif"/>
          <w:b/>
          <w:i w:val="false"/>
          <w:caps w:val="false"/>
          <w:smallCaps w:val="false"/>
          <w:sz w:val="20"/>
        </w:rPr>
        <w:t>Definitions</w:t>
      </w:r>
      <w:r>
        <w:rPr>
          <w:rFonts w:ascii="Times New Roman;Times;Serif" w:hAnsi="Times New Roman;Times;Serif"/>
          <w:b w:val="false"/>
          <w:i w:val="false"/>
          <w:caps w:val="false"/>
          <w:smallCaps w:val="false"/>
          <w:sz w:val="20"/>
        </w:rPr>
        <w:t>. The following terms are defined in the Sections or subsections referenced opposite such terms:</w:t>
      </w:r>
    </w:p>
    <w:p>
      <w:pPr>
        <w:pStyle w:val="TextBody"/>
        <w:bidi w:val="0"/>
        <w:spacing w:before="0" w:after="0"/>
        <w:ind w:left="0" w:right="0" w:firstLine="720"/>
        <w:jc w:val="both"/>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4295"/>
        <w:gridCol w:w="1955"/>
      </w:tblGrid>
      <w:tr>
        <w:trPr/>
        <w:tc>
          <w:tcPr>
            <w:tcW w:w="4295" w:type="dxa"/>
            <w:tcBorders/>
            <w:vAlign w:val="center"/>
          </w:tcPr>
          <w:p>
            <w:pPr>
              <w:pStyle w:val="TableContents"/>
              <w:bidi w:val="0"/>
              <w:spacing w:before="0" w:after="283"/>
              <w:jc w:val="left"/>
              <w:rPr/>
            </w:pPr>
            <w:r>
              <w:rPr/>
              <w:t>“</w:t>
            </w:r>
            <w:r>
              <w:rPr>
                <w:rFonts w:ascii="Times New Roman;Times;Serif" w:hAnsi="Times New Roman;Times;Serif"/>
                <w:b/>
              </w:rPr>
              <w:t>Administrative Agent</w:t>
            </w:r>
            <w:r>
              <w:rPr>
                <w:rFonts w:ascii="Times New Roman;Times;Serif" w:hAnsi="Times New Roman;Times;Serif"/>
              </w:rPr>
              <w:t>”</w:t>
            </w:r>
          </w:p>
        </w:tc>
        <w:tc>
          <w:tcPr>
            <w:tcW w:w="19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Preamble</w:t>
            </w:r>
          </w:p>
        </w:tc>
      </w:tr>
      <w:tr>
        <w:trPr/>
        <w:tc>
          <w:tcPr>
            <w:tcW w:w="4295" w:type="dxa"/>
            <w:tcBorders/>
            <w:vAlign w:val="center"/>
          </w:tcPr>
          <w:p>
            <w:pPr>
              <w:pStyle w:val="TableContents"/>
              <w:bidi w:val="0"/>
              <w:spacing w:before="0" w:after="283"/>
              <w:jc w:val="left"/>
              <w:rPr/>
            </w:pPr>
            <w:r>
              <w:rPr/>
              <w:t>“</w:t>
            </w:r>
            <w:r>
              <w:rPr>
                <w:rFonts w:ascii="Times New Roman;Times;Serif" w:hAnsi="Times New Roman;Times;Serif"/>
                <w:b/>
              </w:rPr>
              <w:t>Administrative Agent Collateral Report”</w:t>
            </w:r>
          </w:p>
        </w:tc>
        <w:tc>
          <w:tcPr>
            <w:tcW w:w="19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Exhibit B, Section 5</w:t>
            </w:r>
          </w:p>
        </w:tc>
      </w:tr>
      <w:tr>
        <w:trPr/>
        <w:tc>
          <w:tcPr>
            <w:tcW w:w="4295" w:type="dxa"/>
            <w:tcBorders/>
            <w:vAlign w:val="center"/>
          </w:tcPr>
          <w:p>
            <w:pPr>
              <w:pStyle w:val="TableContents"/>
              <w:bidi w:val="0"/>
              <w:spacing w:before="0" w:after="283"/>
              <w:jc w:val="left"/>
              <w:rPr/>
            </w:pPr>
            <w:r>
              <w:rPr/>
              <w:t>“</w:t>
            </w:r>
            <w:r>
              <w:rPr>
                <w:rFonts w:ascii="Times New Roman;Times;Serif" w:hAnsi="Times New Roman;Times;Serif"/>
                <w:b/>
              </w:rPr>
              <w:t>Agreement</w:t>
            </w:r>
            <w:r>
              <w:rPr>
                <w:rFonts w:ascii="Times New Roman;Times;Serif" w:hAnsi="Times New Roman;Times;Serif"/>
              </w:rPr>
              <w:t>”</w:t>
            </w:r>
          </w:p>
        </w:tc>
        <w:tc>
          <w:tcPr>
            <w:tcW w:w="19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Preamble</w:t>
            </w:r>
          </w:p>
        </w:tc>
      </w:tr>
      <w:tr>
        <w:trPr/>
        <w:tc>
          <w:tcPr>
            <w:tcW w:w="4295" w:type="dxa"/>
            <w:tcBorders/>
            <w:vAlign w:val="center"/>
          </w:tcPr>
          <w:p>
            <w:pPr>
              <w:pStyle w:val="TableContents"/>
              <w:bidi w:val="0"/>
              <w:spacing w:before="0" w:after="283"/>
              <w:jc w:val="left"/>
              <w:rPr/>
            </w:pPr>
            <w:r>
              <w:rPr/>
              <w:t>“</w:t>
            </w:r>
            <w:r>
              <w:rPr>
                <w:rFonts w:ascii="Times New Roman;Times;Serif" w:hAnsi="Times New Roman;Times;Serif"/>
                <w:b/>
              </w:rPr>
              <w:t>Borrower</w:t>
            </w:r>
            <w:r>
              <w:rPr>
                <w:rFonts w:ascii="Times New Roman;Times;Serif" w:hAnsi="Times New Roman;Times;Serif"/>
              </w:rPr>
              <w:t>”</w:t>
            </w:r>
          </w:p>
        </w:tc>
        <w:tc>
          <w:tcPr>
            <w:tcW w:w="19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Preamble</w:t>
            </w:r>
          </w:p>
        </w:tc>
      </w:tr>
      <w:tr>
        <w:trPr/>
        <w:tc>
          <w:tcPr>
            <w:tcW w:w="4295" w:type="dxa"/>
            <w:tcBorders/>
            <w:vAlign w:val="center"/>
          </w:tcPr>
          <w:p>
            <w:pPr>
              <w:pStyle w:val="TableContents"/>
              <w:bidi w:val="0"/>
              <w:spacing w:before="0" w:after="283"/>
              <w:jc w:val="left"/>
              <w:rPr/>
            </w:pPr>
            <w:r>
              <w:rPr/>
              <w:t>“</w:t>
            </w:r>
            <w:r>
              <w:rPr>
                <w:rFonts w:ascii="Times New Roman;Times;Serif" w:hAnsi="Times New Roman;Times;Serif"/>
                <w:b/>
              </w:rPr>
              <w:t>Claims</w:t>
            </w:r>
            <w:r>
              <w:rPr>
                <w:rFonts w:ascii="Times New Roman;Times;Serif" w:hAnsi="Times New Roman;Times;Serif"/>
              </w:rPr>
              <w:t>”</w:t>
            </w:r>
          </w:p>
        </w:tc>
        <w:tc>
          <w:tcPr>
            <w:tcW w:w="19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13.2</w:t>
            </w:r>
          </w:p>
        </w:tc>
      </w:tr>
      <w:tr>
        <w:trPr/>
        <w:tc>
          <w:tcPr>
            <w:tcW w:w="4295" w:type="dxa"/>
            <w:tcBorders/>
            <w:vAlign w:val="center"/>
          </w:tcPr>
          <w:p>
            <w:pPr>
              <w:pStyle w:val="TableContents"/>
              <w:bidi w:val="0"/>
              <w:spacing w:before="0" w:after="283"/>
              <w:jc w:val="left"/>
              <w:rPr/>
            </w:pPr>
            <w:r>
              <w:rPr/>
              <w:t>“</w:t>
            </w:r>
            <w:r>
              <w:rPr>
                <w:rFonts w:ascii="Times New Roman;Times;Serif" w:hAnsi="Times New Roman;Times;Serif"/>
                <w:b/>
              </w:rPr>
              <w:t>Communication</w:t>
            </w:r>
            <w:r>
              <w:rPr>
                <w:rFonts w:ascii="Times New Roman;Times;Serif" w:hAnsi="Times New Roman;Times;Serif"/>
              </w:rPr>
              <w:t>”</w:t>
            </w:r>
          </w:p>
        </w:tc>
        <w:tc>
          <w:tcPr>
            <w:tcW w:w="19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10</w:t>
            </w:r>
          </w:p>
        </w:tc>
      </w:tr>
      <w:tr>
        <w:trPr/>
        <w:tc>
          <w:tcPr>
            <w:tcW w:w="4295" w:type="dxa"/>
            <w:tcBorders/>
            <w:vAlign w:val="center"/>
          </w:tcPr>
          <w:p>
            <w:pPr>
              <w:pStyle w:val="TableContents"/>
              <w:bidi w:val="0"/>
              <w:spacing w:before="0" w:after="283"/>
              <w:jc w:val="left"/>
              <w:rPr/>
            </w:pPr>
            <w:r>
              <w:rPr/>
              <w:t>“</w:t>
            </w:r>
            <w:r>
              <w:rPr>
                <w:rFonts w:ascii="Times New Roman;Times;Serif" w:hAnsi="Times New Roman;Times;Serif"/>
                <w:b/>
              </w:rPr>
              <w:t>Default Rate</w:t>
            </w:r>
            <w:r>
              <w:rPr>
                <w:rFonts w:ascii="Times New Roman;Times;Serif" w:hAnsi="Times New Roman;Times;Serif"/>
              </w:rPr>
              <w:t>”</w:t>
            </w:r>
          </w:p>
        </w:tc>
        <w:tc>
          <w:tcPr>
            <w:tcW w:w="19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2.3(b)</w:t>
            </w:r>
          </w:p>
        </w:tc>
      </w:tr>
      <w:tr>
        <w:trPr/>
        <w:tc>
          <w:tcPr>
            <w:tcW w:w="4295" w:type="dxa"/>
            <w:tcBorders/>
            <w:vAlign w:val="center"/>
          </w:tcPr>
          <w:p>
            <w:pPr>
              <w:pStyle w:val="TableContents"/>
              <w:bidi w:val="0"/>
              <w:spacing w:before="0" w:after="283"/>
              <w:jc w:val="left"/>
              <w:rPr/>
            </w:pPr>
            <w:r>
              <w:rPr/>
              <w:t>“</w:t>
            </w:r>
            <w:r>
              <w:rPr>
                <w:rFonts w:ascii="Times New Roman;Times;Serif" w:hAnsi="Times New Roman;Times;Serif"/>
                <w:b/>
              </w:rPr>
              <w:t>Effective Date</w:t>
            </w:r>
            <w:r>
              <w:rPr>
                <w:rFonts w:ascii="Times New Roman;Times;Serif" w:hAnsi="Times New Roman;Times;Serif"/>
              </w:rPr>
              <w:t>”</w:t>
            </w:r>
          </w:p>
        </w:tc>
        <w:tc>
          <w:tcPr>
            <w:tcW w:w="19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Preamble</w:t>
            </w:r>
          </w:p>
        </w:tc>
      </w:tr>
      <w:tr>
        <w:trPr/>
        <w:tc>
          <w:tcPr>
            <w:tcW w:w="4295" w:type="dxa"/>
            <w:tcBorders/>
            <w:vAlign w:val="center"/>
          </w:tcPr>
          <w:p>
            <w:pPr>
              <w:pStyle w:val="TableContents"/>
              <w:bidi w:val="0"/>
              <w:spacing w:before="0" w:after="283"/>
              <w:jc w:val="left"/>
              <w:rPr/>
            </w:pPr>
            <w:r>
              <w:rPr/>
              <w:t>“</w:t>
            </w:r>
            <w:r>
              <w:rPr>
                <w:rFonts w:ascii="Times New Roman;Times;Serif" w:hAnsi="Times New Roman;Times;Serif"/>
                <w:b/>
              </w:rPr>
              <w:t>Eligible Assignee”</w:t>
            </w:r>
          </w:p>
        </w:tc>
        <w:tc>
          <w:tcPr>
            <w:tcW w:w="19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13.1</w:t>
            </w:r>
          </w:p>
        </w:tc>
      </w:tr>
      <w:tr>
        <w:trPr/>
        <w:tc>
          <w:tcPr>
            <w:tcW w:w="4295" w:type="dxa"/>
            <w:tcBorders/>
            <w:vAlign w:val="center"/>
          </w:tcPr>
          <w:p>
            <w:pPr>
              <w:pStyle w:val="TableContents"/>
              <w:bidi w:val="0"/>
              <w:spacing w:before="0" w:after="283"/>
              <w:jc w:val="left"/>
              <w:rPr/>
            </w:pPr>
            <w:r>
              <w:rPr/>
              <w:t>“</w:t>
            </w:r>
            <w:r>
              <w:rPr>
                <w:rFonts w:ascii="Times New Roman;Times;Serif" w:hAnsi="Times New Roman;Times;Serif"/>
                <w:b/>
              </w:rPr>
              <w:t>Event of Default</w:t>
            </w:r>
            <w:r>
              <w:rPr>
                <w:rFonts w:ascii="Times New Roman;Times;Serif" w:hAnsi="Times New Roman;Times;Serif"/>
              </w:rPr>
              <w:t>”</w:t>
            </w:r>
          </w:p>
        </w:tc>
        <w:tc>
          <w:tcPr>
            <w:tcW w:w="19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8</w:t>
            </w:r>
          </w:p>
        </w:tc>
      </w:tr>
      <w:tr>
        <w:trPr/>
        <w:tc>
          <w:tcPr>
            <w:tcW w:w="4295" w:type="dxa"/>
            <w:tcBorders/>
            <w:vAlign w:val="center"/>
          </w:tcPr>
          <w:p>
            <w:pPr>
              <w:pStyle w:val="TableContents"/>
              <w:bidi w:val="0"/>
              <w:spacing w:before="0" w:after="283"/>
              <w:jc w:val="left"/>
              <w:rPr/>
            </w:pPr>
            <w:r>
              <w:rPr/>
              <w:t>“</w:t>
            </w:r>
            <w:r>
              <w:rPr>
                <w:rFonts w:ascii="Times New Roman;Times;Serif" w:hAnsi="Times New Roman;Times;Serif"/>
                <w:b/>
              </w:rPr>
              <w:t>Guarantor</w:t>
            </w:r>
            <w:r>
              <w:rPr>
                <w:rFonts w:ascii="Times New Roman;Times;Serif" w:hAnsi="Times New Roman;Times;Serif"/>
              </w:rPr>
              <w:t>” and “</w:t>
            </w:r>
            <w:r>
              <w:rPr>
                <w:rFonts w:ascii="Times New Roman;Times;Serif" w:hAnsi="Times New Roman;Times;Serif"/>
                <w:b/>
              </w:rPr>
              <w:t>Guarantors</w:t>
            </w:r>
            <w:r>
              <w:rPr>
                <w:rFonts w:ascii="Times New Roman;Times;Serif" w:hAnsi="Times New Roman;Times;Serif"/>
              </w:rPr>
              <w:t>”</w:t>
            </w:r>
          </w:p>
        </w:tc>
        <w:tc>
          <w:tcPr>
            <w:tcW w:w="19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Preamble</w:t>
            </w:r>
          </w:p>
        </w:tc>
      </w:tr>
    </w:tbl>
    <w:p>
      <w:pPr>
        <w:pStyle w:val="TextBody"/>
        <w:bidi w:val="0"/>
        <w:spacing w:before="0" w:after="0"/>
        <w:ind w:left="0" w:right="0" w:firstLine="720"/>
        <w:jc w:val="both"/>
        <w:rPr>
          <w:caps w:val="false"/>
          <w:smallCaps w:val="false"/>
        </w:rPr>
      </w:pPr>
      <w:r>
        <w:rPr>
          <w:caps w:val="false"/>
          <w:smallCaps w:val="false"/>
        </w:rPr>
        <w:t> </w:t>
      </w:r>
    </w:p>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righ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4505"/>
        <w:gridCol w:w="2240"/>
      </w:tblGrid>
      <w:tr>
        <w:trPr/>
        <w:tc>
          <w:tcPr>
            <w:tcW w:w="4505" w:type="dxa"/>
            <w:tcBorders/>
            <w:vAlign w:val="center"/>
          </w:tcPr>
          <w:p>
            <w:pPr>
              <w:pStyle w:val="TableContents"/>
              <w:bidi w:val="0"/>
              <w:spacing w:before="0" w:after="283"/>
              <w:jc w:val="left"/>
              <w:rPr/>
            </w:pPr>
            <w:r>
              <w:rPr/>
              <w:t>“</w:t>
            </w:r>
            <w:r>
              <w:rPr>
                <w:rFonts w:ascii="Times New Roman;Times;Serif" w:hAnsi="Times New Roman;Times;Serif"/>
                <w:b/>
                <w:sz w:val="20"/>
              </w:rPr>
              <w:t>Harrow Eye</w:t>
            </w:r>
            <w:r>
              <w:rPr>
                <w:rFonts w:ascii="Times New Roman;Times;Serif" w:hAnsi="Times New Roman;Times;Serif"/>
                <w:sz w:val="20"/>
              </w:rPr>
              <w:t>”</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Preamble</w:t>
            </w:r>
          </w:p>
        </w:tc>
      </w:tr>
      <w:tr>
        <w:trPr/>
        <w:tc>
          <w:tcPr>
            <w:tcW w:w="4505" w:type="dxa"/>
            <w:tcBorders/>
            <w:vAlign w:val="center"/>
          </w:tcPr>
          <w:p>
            <w:pPr>
              <w:pStyle w:val="TableContents"/>
              <w:bidi w:val="0"/>
              <w:spacing w:before="0" w:after="283"/>
              <w:jc w:val="left"/>
              <w:rPr/>
            </w:pPr>
            <w:r>
              <w:rPr/>
              <w:t>“</w:t>
            </w:r>
            <w:r>
              <w:rPr>
                <w:rFonts w:ascii="Times New Roman;Times;Serif" w:hAnsi="Times New Roman;Times;Serif"/>
                <w:b/>
                <w:sz w:val="20"/>
              </w:rPr>
              <w:t>Harrow IP</w:t>
            </w:r>
            <w:r>
              <w:rPr>
                <w:rFonts w:ascii="Times New Roman;Times;Serif" w:hAnsi="Times New Roman;Times;Serif"/>
                <w:sz w:val="20"/>
              </w:rPr>
              <w:t>”</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Preamble</w:t>
            </w:r>
          </w:p>
        </w:tc>
      </w:tr>
      <w:tr>
        <w:trPr/>
        <w:tc>
          <w:tcPr>
            <w:tcW w:w="4505" w:type="dxa"/>
            <w:tcBorders/>
            <w:vAlign w:val="center"/>
          </w:tcPr>
          <w:p>
            <w:pPr>
              <w:pStyle w:val="TableContents"/>
              <w:bidi w:val="0"/>
              <w:spacing w:before="0" w:after="283"/>
              <w:jc w:val="left"/>
              <w:rPr/>
            </w:pPr>
            <w:r>
              <w:rPr/>
              <w:t>“</w:t>
            </w:r>
            <w:r>
              <w:rPr>
                <w:rFonts w:ascii="Times New Roman;Times;Serif" w:hAnsi="Times New Roman;Times;Serif"/>
                <w:b/>
                <w:sz w:val="20"/>
              </w:rPr>
              <w:t>Indemnified Person</w:t>
            </w:r>
            <w:r>
              <w:rPr>
                <w:rFonts w:ascii="Times New Roman;Times;Serif" w:hAnsi="Times New Roman;Times;Serif"/>
                <w:sz w:val="20"/>
              </w:rPr>
              <w:t>”</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13.2</w:t>
            </w:r>
          </w:p>
        </w:tc>
      </w:tr>
      <w:tr>
        <w:trPr/>
        <w:tc>
          <w:tcPr>
            <w:tcW w:w="4505" w:type="dxa"/>
            <w:tcBorders/>
            <w:vAlign w:val="center"/>
          </w:tcPr>
          <w:p>
            <w:pPr>
              <w:pStyle w:val="TableContents"/>
              <w:bidi w:val="0"/>
              <w:spacing w:before="0" w:after="283"/>
              <w:jc w:val="left"/>
              <w:rPr/>
            </w:pPr>
            <w:r>
              <w:rPr/>
              <w:t>“</w:t>
            </w:r>
            <w:r>
              <w:rPr>
                <w:rFonts w:ascii="Times New Roman;Times;Serif" w:hAnsi="Times New Roman;Times;Serif"/>
                <w:b/>
                <w:sz w:val="20"/>
              </w:rPr>
              <w:t>Interest Rate</w:t>
            </w:r>
            <w:r>
              <w:rPr>
                <w:rFonts w:ascii="Times New Roman;Times;Serif" w:hAnsi="Times New Roman;Times;Serif"/>
                <w:sz w:val="20"/>
              </w:rPr>
              <w:t>”</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2.3(a)</w:t>
            </w:r>
          </w:p>
        </w:tc>
      </w:tr>
      <w:tr>
        <w:trPr/>
        <w:tc>
          <w:tcPr>
            <w:tcW w:w="4505" w:type="dxa"/>
            <w:tcBorders/>
            <w:vAlign w:val="center"/>
          </w:tcPr>
          <w:p>
            <w:pPr>
              <w:pStyle w:val="TableContents"/>
              <w:bidi w:val="0"/>
              <w:spacing w:before="0" w:after="283"/>
              <w:jc w:val="left"/>
              <w:rPr/>
            </w:pPr>
            <w:r>
              <w:rPr/>
              <w:t>“</w:t>
            </w:r>
            <w:r>
              <w:rPr>
                <w:rFonts w:ascii="Times New Roman;Times;Serif" w:hAnsi="Times New Roman;Times;Serif"/>
                <w:b/>
                <w:sz w:val="20"/>
              </w:rPr>
              <w:t>Lender</w:t>
            </w:r>
            <w:r>
              <w:rPr>
                <w:rFonts w:ascii="Times New Roman;Times;Serif" w:hAnsi="Times New Roman;Times;Serif"/>
                <w:sz w:val="20"/>
              </w:rPr>
              <w:t>” and “</w:t>
            </w:r>
            <w:r>
              <w:rPr>
                <w:rFonts w:ascii="Times New Roman;Times;Serif" w:hAnsi="Times New Roman;Times;Serif"/>
                <w:b/>
                <w:sz w:val="20"/>
              </w:rPr>
              <w:t>Lenders</w:t>
            </w:r>
            <w:r>
              <w:rPr>
                <w:rFonts w:ascii="Times New Roman;Times;Serif" w:hAnsi="Times New Roman;Times;Serif"/>
                <w:sz w:val="20"/>
              </w:rPr>
              <w:t>”</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Preamble</w:t>
            </w:r>
          </w:p>
        </w:tc>
      </w:tr>
      <w:tr>
        <w:trPr/>
        <w:tc>
          <w:tcPr>
            <w:tcW w:w="4505" w:type="dxa"/>
            <w:tcBorders/>
            <w:vAlign w:val="center"/>
          </w:tcPr>
          <w:p>
            <w:pPr>
              <w:pStyle w:val="TableContents"/>
              <w:bidi w:val="0"/>
              <w:spacing w:before="0" w:after="283"/>
              <w:jc w:val="left"/>
              <w:rPr/>
            </w:pPr>
            <w:r>
              <w:rPr/>
              <w:t>“</w:t>
            </w:r>
            <w:r>
              <w:rPr>
                <w:rFonts w:ascii="Times New Roman;Times;Serif" w:hAnsi="Times New Roman;Times;Serif"/>
                <w:b/>
                <w:sz w:val="20"/>
              </w:rPr>
              <w:t>Lender Transfer</w:t>
            </w:r>
            <w:r>
              <w:rPr>
                <w:rFonts w:ascii="Times New Roman;Times;Serif" w:hAnsi="Times New Roman;Times;Serif"/>
                <w:sz w:val="20"/>
              </w:rPr>
              <w:t>”</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13.1</w:t>
            </w:r>
          </w:p>
        </w:tc>
      </w:tr>
      <w:tr>
        <w:trPr/>
        <w:tc>
          <w:tcPr>
            <w:tcW w:w="4505" w:type="dxa"/>
            <w:tcBorders/>
            <w:vAlign w:val="center"/>
          </w:tcPr>
          <w:p>
            <w:pPr>
              <w:pStyle w:val="TableContents"/>
              <w:bidi w:val="0"/>
              <w:spacing w:before="0" w:after="283"/>
              <w:jc w:val="left"/>
              <w:rPr/>
            </w:pPr>
            <w:r>
              <w:rPr/>
              <w:t>“</w:t>
            </w:r>
            <w:r>
              <w:rPr>
                <w:rFonts w:ascii="Times New Roman;Times;Serif" w:hAnsi="Times New Roman;Times;Serif"/>
                <w:b/>
                <w:sz w:val="20"/>
              </w:rPr>
              <w:t>Make-Whole Amount</w:t>
            </w:r>
            <w:r>
              <w:rPr>
                <w:rFonts w:ascii="Times New Roman;Times;Serif" w:hAnsi="Times New Roman;Times;Serif"/>
                <w:sz w:val="20"/>
              </w:rPr>
              <w:t>”</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2.4(b)</w:t>
            </w:r>
          </w:p>
        </w:tc>
      </w:tr>
      <w:tr>
        <w:trPr/>
        <w:tc>
          <w:tcPr>
            <w:tcW w:w="4505" w:type="dxa"/>
            <w:tcBorders/>
            <w:vAlign w:val="center"/>
          </w:tcPr>
          <w:p>
            <w:pPr>
              <w:pStyle w:val="TableContents"/>
              <w:bidi w:val="0"/>
              <w:spacing w:before="0" w:after="283"/>
              <w:jc w:val="left"/>
              <w:rPr/>
            </w:pPr>
            <w:r>
              <w:rPr/>
              <w:t>“</w:t>
            </w:r>
            <w:r>
              <w:rPr>
                <w:rFonts w:ascii="Times New Roman;Times;Serif" w:hAnsi="Times New Roman;Times;Serif"/>
                <w:b/>
                <w:sz w:val="20"/>
              </w:rPr>
              <w:t>New Subsidiary</w:t>
            </w:r>
            <w:r>
              <w:rPr>
                <w:rFonts w:ascii="Times New Roman;Times;Serif" w:hAnsi="Times New Roman;Times;Serif"/>
                <w:sz w:val="20"/>
              </w:rPr>
              <w:t>”</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6.10</w:t>
            </w:r>
          </w:p>
        </w:tc>
      </w:tr>
      <w:tr>
        <w:trPr/>
        <w:tc>
          <w:tcPr>
            <w:tcW w:w="4505" w:type="dxa"/>
            <w:tcBorders/>
            <w:vAlign w:val="center"/>
          </w:tcPr>
          <w:p>
            <w:pPr>
              <w:pStyle w:val="TableContents"/>
              <w:bidi w:val="0"/>
              <w:spacing w:before="0" w:after="283"/>
              <w:jc w:val="left"/>
              <w:rPr/>
            </w:pPr>
            <w:r>
              <w:rPr/>
              <w:t>“</w:t>
            </w:r>
            <w:r>
              <w:rPr>
                <w:rFonts w:ascii="Times New Roman;Times;Serif" w:hAnsi="Times New Roman;Times;Serif"/>
                <w:b/>
                <w:sz w:val="20"/>
              </w:rPr>
              <w:t>Non-Funding Lender</w:t>
            </w:r>
            <w:r>
              <w:rPr>
                <w:rFonts w:ascii="Times New Roman;Times;Serif" w:hAnsi="Times New Roman;Times;Serif"/>
                <w:sz w:val="20"/>
              </w:rPr>
              <w:t>”</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B, Section 10(c)(ii)</w:t>
            </w:r>
          </w:p>
        </w:tc>
      </w:tr>
      <w:tr>
        <w:trPr/>
        <w:tc>
          <w:tcPr>
            <w:tcW w:w="4505" w:type="dxa"/>
            <w:tcBorders/>
            <w:vAlign w:val="center"/>
          </w:tcPr>
          <w:p>
            <w:pPr>
              <w:pStyle w:val="TableContents"/>
              <w:bidi w:val="0"/>
              <w:spacing w:before="0" w:after="283"/>
              <w:jc w:val="left"/>
              <w:rPr/>
            </w:pPr>
            <w:r>
              <w:rPr/>
              <w:t>“</w:t>
            </w:r>
            <w:r>
              <w:rPr>
                <w:rFonts w:ascii="Times New Roman;Times;Serif" w:hAnsi="Times New Roman;Times;Serif"/>
                <w:b/>
                <w:sz w:val="20"/>
              </w:rPr>
              <w:t>Other Lender</w:t>
            </w:r>
            <w:r>
              <w:rPr>
                <w:rFonts w:ascii="Times New Roman;Times;Serif" w:hAnsi="Times New Roman;Times;Serif"/>
                <w:sz w:val="20"/>
              </w:rPr>
              <w:t>”</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B, Section 10(c)(ii)</w:t>
            </w:r>
          </w:p>
        </w:tc>
      </w:tr>
      <w:tr>
        <w:trPr/>
        <w:tc>
          <w:tcPr>
            <w:tcW w:w="4505" w:type="dxa"/>
            <w:tcBorders/>
            <w:vAlign w:val="center"/>
          </w:tcPr>
          <w:p>
            <w:pPr>
              <w:pStyle w:val="TableContents"/>
              <w:bidi w:val="0"/>
              <w:spacing w:before="0" w:after="283"/>
              <w:jc w:val="left"/>
              <w:rPr/>
            </w:pPr>
            <w:r>
              <w:rPr/>
              <w:t>“</w:t>
            </w:r>
            <w:r>
              <w:rPr>
                <w:rFonts w:ascii="Times New Roman;Times;Serif" w:hAnsi="Times New Roman;Times;Serif"/>
                <w:b/>
                <w:sz w:val="20"/>
              </w:rPr>
              <w:t>Parent</w:t>
            </w:r>
            <w:r>
              <w:rPr>
                <w:rFonts w:ascii="Times New Roman;Times;Serif" w:hAnsi="Times New Roman;Times;Serif"/>
                <w:sz w:val="20"/>
              </w:rPr>
              <w:t>”</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Preamble</w:t>
            </w:r>
          </w:p>
        </w:tc>
      </w:tr>
      <w:tr>
        <w:trPr/>
        <w:tc>
          <w:tcPr>
            <w:tcW w:w="4505" w:type="dxa"/>
            <w:tcBorders/>
            <w:vAlign w:val="center"/>
          </w:tcPr>
          <w:p>
            <w:pPr>
              <w:pStyle w:val="TableContents"/>
              <w:bidi w:val="0"/>
              <w:spacing w:before="0" w:after="283"/>
              <w:jc w:val="left"/>
              <w:rPr/>
            </w:pPr>
            <w:r>
              <w:rPr/>
              <w:t>“</w:t>
            </w:r>
            <w:r>
              <w:rPr>
                <w:rFonts w:ascii="Times New Roman;Times;Serif" w:hAnsi="Times New Roman;Times;Serif"/>
                <w:b/>
                <w:sz w:val="20"/>
              </w:rPr>
              <w:t>Patriot Act</w:t>
            </w:r>
            <w:r>
              <w:rPr>
                <w:rFonts w:ascii="Times New Roman;Times;Serif" w:hAnsi="Times New Roman;Times;Serif"/>
                <w:sz w:val="20"/>
              </w:rPr>
              <w:t>”</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13.15</w:t>
            </w:r>
          </w:p>
        </w:tc>
      </w:tr>
      <w:tr>
        <w:trPr/>
        <w:tc>
          <w:tcPr>
            <w:tcW w:w="4505" w:type="dxa"/>
            <w:tcBorders/>
            <w:vAlign w:val="center"/>
          </w:tcPr>
          <w:p>
            <w:pPr>
              <w:pStyle w:val="TableContents"/>
              <w:bidi w:val="0"/>
              <w:spacing w:before="0" w:after="283"/>
              <w:jc w:val="left"/>
              <w:rPr/>
            </w:pPr>
            <w:r>
              <w:rPr/>
              <w:t>“</w:t>
            </w:r>
            <w:r>
              <w:rPr>
                <w:rFonts w:ascii="Times New Roman;Times;Serif" w:hAnsi="Times New Roman;Times;Serif"/>
                <w:b/>
                <w:sz w:val="20"/>
              </w:rPr>
              <w:t>Perfection Certificate</w:t>
            </w:r>
            <w:r>
              <w:rPr>
                <w:rFonts w:ascii="Times New Roman;Times;Serif" w:hAnsi="Times New Roman;Times;Serif"/>
                <w:sz w:val="20"/>
              </w:rPr>
              <w:t>” and “</w:t>
            </w:r>
            <w:r>
              <w:rPr>
                <w:rFonts w:ascii="Times New Roman;Times;Serif" w:hAnsi="Times New Roman;Times;Serif"/>
                <w:b/>
                <w:sz w:val="20"/>
              </w:rPr>
              <w:t>Perfection Certificates</w:t>
            </w:r>
            <w:r>
              <w:rPr>
                <w:rFonts w:ascii="Times New Roman;Times;Serif" w:hAnsi="Times New Roman;Times;Serif"/>
                <w:sz w:val="20"/>
              </w:rPr>
              <w:t>”</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w:t>
            </w:r>
          </w:p>
        </w:tc>
      </w:tr>
      <w:tr>
        <w:trPr/>
        <w:tc>
          <w:tcPr>
            <w:tcW w:w="4505" w:type="dxa"/>
            <w:tcBorders/>
            <w:vAlign w:val="center"/>
          </w:tcPr>
          <w:p>
            <w:pPr>
              <w:pStyle w:val="TableContents"/>
              <w:bidi w:val="0"/>
              <w:spacing w:before="0" w:after="283"/>
              <w:jc w:val="left"/>
              <w:rPr/>
            </w:pPr>
            <w:r>
              <w:rPr/>
              <w:t>“</w:t>
            </w:r>
            <w:r>
              <w:rPr>
                <w:rFonts w:ascii="Times New Roman;Times;Serif" w:hAnsi="Times New Roman;Times;Serif"/>
                <w:b/>
                <w:sz w:val="20"/>
              </w:rPr>
              <w:t>Term Loan</w:t>
            </w:r>
            <w:r>
              <w:rPr>
                <w:rFonts w:ascii="Times New Roman;Times;Serif" w:hAnsi="Times New Roman;Times;Serif"/>
                <w:sz w:val="20"/>
              </w:rPr>
              <w:t>”</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2.2(a)</w:t>
            </w:r>
          </w:p>
        </w:tc>
      </w:tr>
      <w:tr>
        <w:trPr/>
        <w:tc>
          <w:tcPr>
            <w:tcW w:w="4505" w:type="dxa"/>
            <w:tcBorders/>
            <w:vAlign w:val="center"/>
          </w:tcPr>
          <w:p>
            <w:pPr>
              <w:pStyle w:val="TableContents"/>
              <w:bidi w:val="0"/>
              <w:spacing w:before="0" w:after="283"/>
              <w:jc w:val="left"/>
              <w:rPr/>
            </w:pPr>
            <w:r>
              <w:rPr/>
              <w:t>“</w:t>
            </w:r>
            <w:r>
              <w:rPr>
                <w:rFonts w:ascii="Times New Roman;Times;Serif" w:hAnsi="Times New Roman;Times;Serif"/>
                <w:b/>
                <w:sz w:val="20"/>
              </w:rPr>
              <w:t>Termination Date</w:t>
            </w:r>
            <w:r>
              <w:rPr>
                <w:rFonts w:ascii="Times New Roman;Times;Serif" w:hAnsi="Times New Roman;Times;Serif"/>
                <w:sz w:val="20"/>
              </w:rPr>
              <w:t>”</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B, Section 8</w:t>
            </w:r>
          </w:p>
        </w:tc>
      </w:tr>
      <w:tr>
        <w:trPr/>
        <w:tc>
          <w:tcPr>
            <w:tcW w:w="4505" w:type="dxa"/>
            <w:tcBorders/>
            <w:vAlign w:val="center"/>
          </w:tcPr>
          <w:p>
            <w:pPr>
              <w:pStyle w:val="TableContents"/>
              <w:bidi w:val="0"/>
              <w:spacing w:before="0" w:after="283"/>
              <w:jc w:val="left"/>
              <w:rPr/>
            </w:pPr>
            <w:r>
              <w:rPr/>
              <w:t>“</w:t>
            </w:r>
            <w:r>
              <w:rPr>
                <w:rFonts w:ascii="Times New Roman;Times;Serif" w:hAnsi="Times New Roman;Times;Serif"/>
                <w:b/>
                <w:sz w:val="20"/>
              </w:rPr>
              <w:t>Transfer</w:t>
            </w:r>
            <w:r>
              <w:rPr>
                <w:rFonts w:ascii="Times New Roman;Times;Serif" w:hAnsi="Times New Roman;Times;Serif"/>
                <w:sz w:val="20"/>
              </w:rPr>
              <w:t>”</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terms defined elsewhere in this Agreement, the following terms have the following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2021 Indenture</w:t>
      </w:r>
      <w:r>
        <w:rPr>
          <w:rFonts w:ascii="Times New Roman;Times;Serif" w:hAnsi="Times New Roman;Times;Serif"/>
          <w:b w:val="false"/>
          <w:i w:val="false"/>
          <w:caps w:val="false"/>
          <w:smallCaps w:val="false"/>
          <w:sz w:val="20"/>
        </w:rPr>
        <w:t>” refers to that certain Indenture, dated as of April 20, 2021, between the Parent and U.S. Bank, National Association, as trustee, as supplemented by that certain First Supplemental Indenture, dated as of April 20, 2021 (as amended, restated, supplemented, or otherwise modified from time to time in accordance with the terms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Account</w:t>
      </w:r>
      <w:r>
        <w:rPr>
          <w:rFonts w:ascii="Times New Roman;Times;Serif" w:hAnsi="Times New Roman;Times;Serif"/>
          <w:b w:val="false"/>
          <w:i w:val="false"/>
          <w:caps w:val="false"/>
          <w:smallCaps w:val="false"/>
          <w:sz w:val="20"/>
        </w:rPr>
        <w:t>” is any “account” as defined in the Code with such additions to such term as may hereafter be made under the Code, and includes, without limitation, all accounts receivable and other sums owing to a Loan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Account Debtor</w:t>
      </w:r>
      <w:r>
        <w:rPr>
          <w:rFonts w:ascii="Times New Roman;Times;Serif" w:hAnsi="Times New Roman;Times;Serif"/>
          <w:b w:val="false"/>
          <w:i w:val="false"/>
          <w:caps w:val="false"/>
          <w:smallCaps w:val="false"/>
          <w:sz w:val="20"/>
        </w:rPr>
        <w:t>” is any “account debtor” as defined in the Code with such additions to such term as may hereafter be made under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Affected Financial Institution</w:t>
      </w:r>
      <w:r>
        <w:rPr>
          <w:rFonts w:ascii="Times New Roman;Times;Serif" w:hAnsi="Times New Roman;Times;Serif"/>
          <w:b w:val="false"/>
          <w:i w:val="false"/>
          <w:caps w:val="false"/>
          <w:smallCaps w:val="false"/>
          <w:sz w:val="20"/>
        </w:rPr>
        <w:t>” means (a) any EEA Financial Institution, or (b) any UK Financial Institution.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of any Person is a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controlling members.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Anti-Terrorism Laws</w:t>
      </w:r>
      <w:r>
        <w:rPr>
          <w:rFonts w:ascii="Times New Roman;Times;Serif" w:hAnsi="Times New Roman;Times;Serif"/>
          <w:b w:val="false"/>
          <w:i w:val="false"/>
          <w:caps w:val="false"/>
          <w:smallCaps w:val="false"/>
          <w:sz w:val="20"/>
        </w:rPr>
        <w:t>” are any laws relating to terrorism or money laundering, including without limitation Executive Order No. 13224 (effective September 24, 2001), the USA PATRIOT Act, the laws comprising or implementing the Bank Secrecy Act, and the laws administered by OFAC.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Attributable Indebtedness</w:t>
      </w:r>
      <w:r>
        <w:rPr>
          <w:rFonts w:ascii="Times New Roman;Times;Serif" w:hAnsi="Times New Roman;Times;Serif"/>
          <w:b w:val="false"/>
          <w:i w:val="false"/>
          <w:caps w:val="false"/>
          <w:smallCaps w:val="false"/>
          <w:sz w:val="20"/>
        </w:rPr>
        <w:t>” means, with respect to any Person on any date, (a) in respect of any capital lease,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 </w:t>
            </w:r>
            <w:r>
              <w:rPr/>
              <w:t>2</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Bail-In Action</w:t>
      </w:r>
      <w:r>
        <w:rPr>
          <w:rFonts w:ascii="Times New Roman;Times;Serif" w:hAnsi="Times New Roman;Times;Serif"/>
          <w:b w:val="false"/>
          <w:i w:val="false"/>
          <w:caps w:val="false"/>
          <w:smallCaps w:val="false"/>
          <w:sz w:val="20"/>
        </w:rPr>
        <w:t>” means the exercise of any Write-Down and Conversion Powers by the applicable Resolution Authority in respect of any liability of an Affected Financial Institution.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Bail-In Legislation</w:t>
      </w:r>
      <w:r>
        <w:rPr>
          <w:rFonts w:ascii="Times New Roman;Times;Serif" w:hAnsi="Times New Roman;Times;Serif"/>
          <w:b w:val="false"/>
          <w:i w:val="false"/>
          <w:caps w:val="false"/>
          <w:smallCaps w:val="false"/>
          <w:sz w:val="20"/>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Bankruptcy Code</w:t>
      </w:r>
      <w:r>
        <w:rPr>
          <w:rFonts w:ascii="Times New Roman;Times;Serif" w:hAnsi="Times New Roman;Times;Serif"/>
          <w:b w:val="false"/>
          <w:i w:val="false"/>
          <w:caps w:val="false"/>
          <w:smallCaps w:val="false"/>
          <w:sz w:val="20"/>
        </w:rPr>
        <w:t>” means Title 11 of the United States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Blocked Person</w:t>
      </w:r>
      <w:r>
        <w:rPr>
          <w:rFonts w:ascii="Times New Roman;Times;Serif" w:hAnsi="Times New Roman;Times;Serif"/>
          <w:b w:val="false"/>
          <w:i w:val="false"/>
          <w:caps w:val="false"/>
          <w:smallCaps w:val="false"/>
          <w:sz w:val="20"/>
        </w:rPr>
        <w:t>” is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which any Lender is prohibited from dealing or otherwise engaging in any transaction by any Anti-Terrorism Law, (d) a Person that commits, threatens or conspires to commit or supports “terrorism” as defined in Executive Order No. 13224, or (e) a Person that is named a “specially designated national” or “blocked person” on the most current list published by OFAC or other similar list.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 day other than a Saturday, Sunday or other day on which commercial banks in New York City are authorized or required by law to close.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Businesses</w:t>
      </w:r>
      <w:r>
        <w:rPr>
          <w:rFonts w:ascii="Times New Roman;Times;Serif" w:hAnsi="Times New Roman;Times;Serif"/>
          <w:b w:val="false"/>
          <w:i w:val="false"/>
          <w:caps w:val="false"/>
          <w:smallCaps w:val="false"/>
          <w:sz w:val="20"/>
        </w:rPr>
        <w:t>” means, at any time, a collective reference to the businesses operated by Parent and its Subsidiaries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Cash Equivalents</w:t>
      </w:r>
      <w:r>
        <w:rPr>
          <w:rFonts w:ascii="Times New Roman;Times;Serif" w:hAnsi="Times New Roman;Times;Serif"/>
          <w:b w:val="false"/>
          <w:i w:val="false"/>
          <w:caps w:val="false"/>
          <w:smallCaps w:val="false"/>
          <w:sz w:val="20"/>
        </w:rPr>
        <w:t>” are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certificates of deposit maturing no more than one (1) year after issue, and (d) money market funds at least 90% of the investments of which consist of securities identified in clause (a), (b) or (c).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Change of Control</w:t>
      </w:r>
      <w:r>
        <w:rPr>
          <w:rFonts w:ascii="Times New Roman;Times;Serif" w:hAnsi="Times New Roman;Times;Serif"/>
          <w:b w:val="false"/>
          <w:i w:val="false"/>
          <w:caps w:val="false"/>
          <w:smallCaps w:val="false"/>
          <w:sz w:val="20"/>
        </w:rPr>
        <w:t>” means (a) any person or group of persons within the meaning of § 13(d) of the Securities Exchange Act of 1934 (excluding any employee benefit plan of such person, and any person or entity acting in its capacity as trustee, agent or fiduciary or administrator of any such plan) becomes the beneficial owner, directly or indirectly, of 50% or more of the outstanding Equity Interests of Parent; or (b) during the term of this Agreement, a majority of the members of the board of directors of Borrower ceases to be composed of individuals (i) who were members of such board on the Effective Date, (ii) whose election or nomination to such board was approved by individuals referred to in clause (i) above constituting at the time of such election or nomination at least a majority of such board or (iii) whose election or nomination to such board was approved by individuals referred to in clauses (i) and (ii) above constituting at the time of such election or nomination at least a majority of such board; or (c) Parent shall cease to, directly or indirectly, own and control 100% of each class of the outstanding Equity Interests of each of its Subsidiaries (other than Visionology); or (d) Parent shall cease to, directly or indirectly, own and control 64% of each class of the outstanding Equity Interests of Visionology; (e) Visionology, Inc. ceases to directly own and control 100% of each class of the outstanding Equity Interests of each of its Subsidiaries; or (f) a “Change of Control” shall occur under any document governing Subordinated Debt; or (g) a “Change of Control” shall occur under any document in respect of any preferred Equity Interests or any Disqualified Equity Interests.</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 </w:t>
            </w:r>
            <w:r>
              <w:rPr/>
              <w:t>3</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means the date on which the Term Loan is funded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Date Acquisition</w:t>
      </w:r>
      <w:r>
        <w:rPr>
          <w:rFonts w:ascii="Times New Roman;Times;Serif" w:hAnsi="Times New Roman;Times;Serif"/>
          <w:b w:val="false"/>
          <w:i w:val="false"/>
          <w:caps w:val="false"/>
          <w:smallCaps w:val="false"/>
          <w:sz w:val="20"/>
        </w:rPr>
        <w:t>” means the acquisition by Borrower of the Transferred Assets (defined and identified in the Closing Date Acquisition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Date Acquisition Agreement</w:t>
      </w:r>
      <w:r>
        <w:rPr>
          <w:rFonts w:ascii="Times New Roman;Times;Serif" w:hAnsi="Times New Roman;Times;Serif"/>
          <w:b w:val="false"/>
          <w:i w:val="false"/>
          <w:caps w:val="false"/>
          <w:smallCaps w:val="false"/>
          <w:sz w:val="20"/>
        </w:rPr>
        <w:t>” means that certain Asset Purchase Agreement, dated as of December 13, 2022, among Parent, Harrow Eye, Harrow IP, Novartis Technology LLC and Novartis Innovative Therapies AG, as amended, restated, supplemented, or otherwise modified from time to time in accordance with the terms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Date Acquisition Collateral Assignment Agreement</w:t>
      </w:r>
      <w:r>
        <w:rPr>
          <w:rFonts w:ascii="Times New Roman;Times;Serif" w:hAnsi="Times New Roman;Times;Serif"/>
          <w:b w:val="false"/>
          <w:i w:val="false"/>
          <w:caps w:val="false"/>
          <w:smallCaps w:val="false"/>
          <w:sz w:val="20"/>
        </w:rPr>
        <w:t>” means that certain Collateral Assignment Agreement, dated as of the Effective Date, among Parent, Harrow Eye, Harrow IP and Administrative Agent, as amended, restated, supplemented,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Date Acquisition Documents</w:t>
      </w:r>
      <w:r>
        <w:rPr>
          <w:rFonts w:ascii="Times New Roman;Times;Serif" w:hAnsi="Times New Roman;Times;Serif"/>
          <w:b w:val="false"/>
          <w:i w:val="false"/>
          <w:caps w:val="false"/>
          <w:smallCaps w:val="false"/>
          <w:sz w:val="20"/>
        </w:rPr>
        <w:t>” means, individually and collectively, the Closing Date Acquisition Agreement, each of the agreements executed and delivered from time to time in connection therewith, including, without limitation, the Transition Distribution and Supply Agreement, the License Agreement, the Patent Assignment Agreement and the other documents identified as being executed thereunder and referred to therein, each as amended, restated, supplemented, or otherwise modified from time to time in accordance with the terms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Date Acquisition Intellectual Property</w:t>
      </w:r>
      <w:r>
        <w:rPr>
          <w:rFonts w:ascii="Times New Roman;Times;Serif" w:hAnsi="Times New Roman;Times;Serif"/>
          <w:b w:val="false"/>
          <w:i w:val="false"/>
          <w:caps w:val="false"/>
          <w:smallCaps w:val="false"/>
          <w:sz w:val="20"/>
        </w:rPr>
        <w:t>” means all rights in and to “Product IP,” including all “Transferred IP” and all licenses to “Licensed IP” (as such terms are defined in the Closing Date Acquisition Agreement), acquired by Borrower under the Closing Date Acquisition Agreement and any and all other Intellectual Property acquired by Borrower in connection with the Closing Date Acquisition, whether before or after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is the Uniform Commercial Code, as the same may, from time to time, be enacted and in effect in the State of New York;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Administrative Agent’s Lien on any Collateral is governed by the Uniform Commercial Code in effect in a jurisdiction other than the State of New York,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 </w:t>
            </w:r>
            <w:r>
              <w:rPr/>
              <w:t>4</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Collateral</w:t>
      </w:r>
      <w:r>
        <w:rPr>
          <w:rFonts w:ascii="Times New Roman;Times;Serif" w:hAnsi="Times New Roman;Times;Serif"/>
          <w:b w:val="false"/>
          <w:i w:val="false"/>
          <w:caps w:val="false"/>
          <w:smallCaps w:val="false"/>
          <w:sz w:val="20"/>
        </w:rPr>
        <w:t xml:space="preserve">” is any and all properties, rights and assets of a Loan Party described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Collateral Account</w:t>
      </w:r>
      <w:r>
        <w:rPr>
          <w:rFonts w:ascii="Times New Roman;Times;Serif" w:hAnsi="Times New Roman;Times;Serif"/>
          <w:b w:val="false"/>
          <w:i w:val="false"/>
          <w:caps w:val="false"/>
          <w:smallCaps w:val="false"/>
          <w:sz w:val="20"/>
        </w:rPr>
        <w:t>” is any Deposit Account, Securities Account, or Commodity Account, or any other bank account maintained by any Loan Party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Commitment Percentage</w:t>
      </w:r>
      <w:r>
        <w:rPr>
          <w:rFonts w:ascii="Times New Roman;Times;Serif" w:hAnsi="Times New Roman;Times;Serif"/>
          <w:b w:val="false"/>
          <w:i w:val="false"/>
          <w:caps w:val="false"/>
          <w:smallCaps w:val="false"/>
          <w:sz w:val="20"/>
        </w:rPr>
        <w:t xml:space="preserve">” is set forth in </w:t>
      </w:r>
      <w:r>
        <w:rPr>
          <w:rFonts w:ascii="Times New Roman;Times;Serif" w:hAnsi="Times New Roman;Times;Serif"/>
          <w:b w:val="false"/>
          <w:i w:val="false"/>
          <w:caps w:val="false"/>
          <w:smallCaps w:val="false"/>
          <w:sz w:val="20"/>
          <w:u w:val="single"/>
        </w:rPr>
        <w:t>Schedule 1.1</w:t>
      </w:r>
      <w:r>
        <w:rPr>
          <w:rFonts w:ascii="Times New Roman;Times;Serif" w:hAnsi="Times New Roman;Times;Serif"/>
          <w:b w:val="false"/>
          <w:i w:val="false"/>
          <w:caps w:val="false"/>
          <w:smallCaps w:val="false"/>
          <w:sz w:val="20"/>
        </w:rPr>
        <w:t xml:space="preserve"> hereto,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Commodity Account</w:t>
      </w:r>
      <w:r>
        <w:rPr>
          <w:rFonts w:ascii="Times New Roman;Times;Serif" w:hAnsi="Times New Roman;Times;Serif"/>
          <w:b w:val="false"/>
          <w:i w:val="false"/>
          <w:caps w:val="false"/>
          <w:smallCaps w:val="false"/>
          <w:sz w:val="20"/>
        </w:rPr>
        <w:t>” is any “commodity account” as defined in the Code with such additions to such term as may hereafter be made under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Commodity Exchange Act</w:t>
      </w:r>
      <w:r>
        <w:rPr>
          <w:rFonts w:ascii="Times New Roman;Times;Serif" w:hAnsi="Times New Roman;Times;Serif"/>
          <w:b w:val="false"/>
          <w:i w:val="false"/>
          <w:caps w:val="false"/>
          <w:smallCaps w:val="false"/>
          <w:sz w:val="20"/>
        </w:rPr>
        <w:t>” means the Commodity Exchange Act (7 U.S.C. § 1 et seq.).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Stock Offering</w:t>
      </w:r>
      <w:r>
        <w:rPr>
          <w:rFonts w:ascii="Times New Roman;Times;Serif" w:hAnsi="Times New Roman;Times;Serif"/>
          <w:b w:val="false"/>
          <w:i w:val="false"/>
          <w:caps w:val="false"/>
          <w:smallCaps w:val="false"/>
          <w:sz w:val="20"/>
        </w:rPr>
        <w:t>” means the issuance of common stock of Parent resulting in aggregate gross proceeds of not less than Twenty-Five Million Dollars ($25,000,000) pursuant to an effective registration statement on Form S-3 with the SEC on terms and conditions reasonably acceptable to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Compliance Certificate</w:t>
      </w:r>
      <w:r>
        <w:rPr>
          <w:rFonts w:ascii="Times New Roman;Times;Serif" w:hAnsi="Times New Roman;Times;Serif"/>
          <w:b w:val="false"/>
          <w:i w:val="false"/>
          <w:caps w:val="false"/>
          <w:smallCaps w:val="false"/>
          <w:sz w:val="20"/>
        </w:rPr>
        <w:t xml:space="preserve">” is that certain certificate in substantially the form attached hereto as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Computation Period</w:t>
      </w:r>
      <w:r>
        <w:rPr>
          <w:rFonts w:ascii="Times New Roman;Times;Serif" w:hAnsi="Times New Roman;Times;Serif"/>
          <w:b w:val="false"/>
          <w:i w:val="false"/>
          <w:caps w:val="false"/>
          <w:smallCaps w:val="false"/>
          <w:sz w:val="20"/>
        </w:rPr>
        <w:t>” means each period of four consecutive fiscal quarters ending on the last day of such fiscal quarter.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Consolidated Capital Expenditures</w:t>
      </w:r>
      <w:r>
        <w:rPr>
          <w:rFonts w:ascii="Times New Roman;Times;Serif" w:hAnsi="Times New Roman;Times;Serif"/>
          <w:b w:val="false"/>
          <w:i w:val="false"/>
          <w:caps w:val="false"/>
          <w:smallCaps w:val="false"/>
          <w:sz w:val="20"/>
        </w:rPr>
        <w:t>” means, for any period, for Parent and its Subsidiaries on a consolidated basis, all expenditures that are (or would be required to be) set forth in the investing activities section of their consolidated statement of cash flows for such period, prepared in accordance with GAAP, and expenditures in connection with the acquisition of in-process research and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Consolidated EBITDA</w:t>
      </w:r>
      <w:r>
        <w:rPr>
          <w:rFonts w:ascii="Times New Roman;Times;Serif" w:hAnsi="Times New Roman;Times;Serif"/>
          <w:b w:val="false"/>
          <w:i w:val="false"/>
          <w:caps w:val="false"/>
          <w:smallCaps w:val="false"/>
          <w:sz w:val="20"/>
        </w:rPr>
        <w:t xml:space="preserve">” means, for any period, for Parent and its Subsidiaries on a consolidated basis, an amount equal to (a) Consolidated Net Income for such period,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(b) the following (without duplication) to the extent deducted in calculating Consolidated Net Income, (i) Consolidated Interest Expense, (ii) federal, state and local taxes payable for such period, (iii) depreciation and amortization expense for such period, (iv) stock-based compensation and expenses, (v) cash expenses recorded in respect of acquired in-process research and development, and (vi) other losses recorded in the non-operating section of the statement of operations of Parent and its Subsidiaries consistent with past practices and the Management Model,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(c) to the extent included in determining Consolidated Net Income, (i) interest income, (ii) income tax credits and refunds, and (iii) other gains recorded in the non-operating section of the statement of operations of Parent and its Subsidiaries consistent with past practices and the Management Model. Notwithstanding anything to the contrary set forth in this Agreement, for each calendar quarter ending on the date set forth in the table below, Consolidated EBITDA for such calendar quarter shall be deemed to be the amount set forth opposite such date:</w:t>
      </w:r>
    </w:p>
    <w:p>
      <w:pPr>
        <w:pStyle w:val="TextBody"/>
        <w:bidi w:val="0"/>
        <w:spacing w:before="0" w:after="283"/>
        <w:jc w:val="left"/>
        <w:rPr/>
      </w:pPr>
      <w:r>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 </w:t>
            </w:r>
            <w:r>
              <w:rPr/>
              <w:t>5</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4330" w:type="dxa"/>
        <w:jc w:val="left"/>
        <w:tblInd w:w="-10" w:type="dxa"/>
        <w:tblLayout w:type="fixed"/>
        <w:tblCellMar>
          <w:top w:w="28" w:type="dxa"/>
          <w:left w:w="108" w:type="dxa"/>
          <w:bottom w:w="28" w:type="dxa"/>
          <w:right w:w="108" w:type="dxa"/>
        </w:tblCellMar>
      </w:tblPr>
      <w:tblGrid>
        <w:gridCol w:w="2390"/>
        <w:gridCol w:w="1940"/>
      </w:tblGrid>
      <w:tr>
        <w:trPr/>
        <w:tc>
          <w:tcPr>
            <w:tcW w:w="239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Calendar Quarter End Date</w:t>
            </w:r>
          </w:p>
        </w:tc>
        <w:tc>
          <w:tcPr>
            <w:tcW w:w="194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EBITDA</w:t>
            </w:r>
          </w:p>
        </w:tc>
      </w:tr>
      <w:tr>
        <w:trPr/>
        <w:tc>
          <w:tcPr>
            <w:tcW w:w="23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30, 2022</w:t>
            </w:r>
          </w:p>
        </w:tc>
        <w:tc>
          <w:tcPr>
            <w:tcW w:w="194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2022</w:t>
            </w:r>
          </w:p>
        </w:tc>
        <w:tc>
          <w:tcPr>
            <w:tcW w:w="194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2022</w:t>
            </w:r>
          </w:p>
        </w:tc>
        <w:tc>
          <w:tcPr>
            <w:tcW w:w="194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2021</w:t>
            </w:r>
          </w:p>
        </w:tc>
        <w:tc>
          <w:tcPr>
            <w:tcW w:w="19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for the calendar quarter ending December 31, 2022 and each calendar quarter ending thereafter and prior to the Closing Date, Consolidated EBITDA shall be determined based on Parent and its Subsidiaries Consolidated EBITDA for the period then ended, adjusted to give credit to the earnings before interest, taxes, depreciation and amortization derived from the assets to be acquired under the Closing Date Acquisition Agreement, determined in a manner consistent with the adjustments made to determine the above noted deemed Consolidated EBITDA numbers, which shall be acceptable to Administrative Agent in its reasonable discretion. Parent shall deliver to Administrative Agent a reasonably detailed calculation of such Consolidated EBITDA and proposed adjustments at least five (5) Business Days (or such shorter period as agreed to by Administrative Agent in writing) prior to the date of any delivery of the Compliance Certificate or other certificate in which Consolidated EBITDA is used for any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Consolidated Excess Cash Flow</w:t>
      </w:r>
      <w:r>
        <w:rPr>
          <w:rFonts w:ascii="Times New Roman;Times;Serif" w:hAnsi="Times New Roman;Times;Serif"/>
          <w:b w:val="false"/>
          <w:i w:val="false"/>
          <w:caps w:val="false"/>
          <w:smallCaps w:val="false"/>
          <w:sz w:val="20"/>
        </w:rPr>
        <w:t xml:space="preserve">” means, for any period, for Parent and its Subsidiaries on a consolidated basis, an amount equal to the sum of (a) Consolidated EBITDA for such period,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(b) Consolidated Capital Expenditures for such period (other than those financed with non-revolving Indebtedness) or reasonably expected in good faith by Parent to be made during the period of four consecutive fiscal quarters of Parent following the end of such period;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Borrower shall deliver to Administrative Agent in writing a reasonably detailed description of and timing for such anticipated expenditures and amounts therefor and such additional information as Administrative Agent may reasonably request, (ii) with respect to any anticipated acquisition of Equity Interests, strategic assets or a line of business of a Person, Borrower shall have entered into a letter of intent, term sheet or similar agreement with an unaffiliated third party and (iii) to the extent the aggregate amount of cash actually utilized to finance such anticipated expenditures during such period is less than the amount so subtracted for such expense, the amount of such shortfall shall be added to the calculation of Consolidated Excess Cash Flow at the end of such period of four consecutive fiscal quarters,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(c) the cash portion of Consolidated Interest Expense for such period,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(d) cash taxes paid during such period,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(e) Consolidated Scheduled Funded Debt Payments during such period,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(f) the sum of (i) voluntary prepayments made under the Term Loan pursuant to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hereof during such period and (ii) mandatory repayments made under the Term Loan pursuant to </w:t>
      </w:r>
      <w:r>
        <w:rPr>
          <w:rFonts w:ascii="Times New Roman;Times;Serif" w:hAnsi="Times New Roman;Times;Serif"/>
          <w:b w:val="false"/>
          <w:i w:val="false"/>
          <w:caps w:val="false"/>
          <w:smallCaps w:val="false"/>
          <w:sz w:val="20"/>
          <w:u w:val="single"/>
        </w:rPr>
        <w:t>Section 2.7(c)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hereof during such period,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(g) to the extent included in determining Consolidated EBITDA for such period and without duplication, non-cash gains during such period,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(h) to the extent added to Consolidated Net Income in determining Consolidated EBITDA for such period and without duplication, extraordinary losses for such period,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(i) to the extent included in determining Consolidated EBITDA for such period pursuant to clause (b)(v) of the definition thereof, cash expenses recorded in respect of acquired in-process research and development during such period,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(j) to the extent included in determining Consolidated EBITDA pursuant to clause (b)(vi) of the definition thereof during such period and without duplication, other cash losses recorded in the non-operating section of the statement of operations of Parent and its Subsidiaries during such period,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(k) increases in Net Working Capital for such period,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(l) decreases in Net Working Capital for such period,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(m) to the extent included in determining Consolidated EBITDA as a deduct during such period under clause (c)(iii) of the definition thereof, cash gains recorded in the non-operating section of the statement of operations of Parent and its Subsidiaries during such period.</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 </w:t>
            </w:r>
            <w:r>
              <w:rPr/>
              <w:t>6</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Consolidated Fixed Charge Coverage Ratio</w:t>
      </w:r>
      <w:r>
        <w:rPr>
          <w:rFonts w:ascii="Times New Roman;Times;Serif" w:hAnsi="Times New Roman;Times;Serif"/>
          <w:b w:val="false"/>
          <w:i w:val="false"/>
          <w:caps w:val="false"/>
          <w:smallCaps w:val="false"/>
          <w:sz w:val="20"/>
        </w:rPr>
        <w:t>” means, as of any date of determination, the ratio of (a) Consolidated EBITDA for the most recently completed Computation Period, to (b) Consolidated Fixed Charges for the most recently completed Computation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Consolidated Fixed Charges</w:t>
      </w:r>
      <w:r>
        <w:rPr>
          <w:rFonts w:ascii="Times New Roman;Times;Serif" w:hAnsi="Times New Roman;Times;Serif"/>
          <w:b w:val="false"/>
          <w:i w:val="false"/>
          <w:caps w:val="false"/>
          <w:smallCaps w:val="false"/>
          <w:sz w:val="20"/>
        </w:rPr>
        <w:t xml:space="preserve">” means, for any period, for Parent and its Subsidiaries on a consolidated basis, an amount equal to the sum of (a) the cash portion of Consolidated Interest Expense for such period,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(b) Consolidated Scheduled Funded Debt Payments for such period. For purposes of determining compliance with the Consolidated Fixed Charge Coverage Ratio prior to the first anniversary of the Closing Date, the Term Loans will be deemed funded on the first day of the applicable Computation Period and all interest will be deemed paid in cash on the applicable dates set forth herein and all scheduled amortization payments will be deemed paid on the applicable dates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Consolidated Funded Indebtedness</w:t>
      </w:r>
      <w:r>
        <w:rPr>
          <w:rFonts w:ascii="Times New Roman;Times;Serif" w:hAnsi="Times New Roman;Times;Serif"/>
          <w:b w:val="false"/>
          <w:i w:val="false"/>
          <w:caps w:val="false"/>
          <w:smallCaps w:val="false"/>
          <w:sz w:val="20"/>
        </w:rPr>
        <w:t>” means, as of any date of determination with respect to Parent and its Subsidiaries on a consolidated basis, without duplication, the sum of: (a) the outstanding principal amount of all obligations for borrowed money (including Obligations) and all obligations evidenced by bonds, debentures, notes, loan agreements or other similar instruments; (b) non-contingent obligations under issued and outstanding letters of credit (including standby and commercial), and bankers’ acceptances, bank guaranties, surety bonds and similar instruments; (c) all obligations in respect of the deferred purchase price of property or services (other than trade accounts payable in the ordinary course of business which are not more than 90 days past the stated due date); (d) all purchase money Indebtedness; (e) all Attributable Indebtedness; (f) all obligations to purchase, redeem, retire, defease or otherwise make any payment prior to the date that is ninety-one (91) days following the Stated Maturity Date in respect of any Equity Interests or any warrant, right or option to acquire such Equity Interest, valued, in the case of a redeemable preferred interest, at the greater of its voluntary or involuntary liquidation preference plus accrued and unpaid dividends; (g) all Guarantees with respect to Indebtedness of the types specified in clauses (a) through (f) above of another Person; and (h) all Indebtedness of the types referred to in clauses (a) through (g) above of any partnership or joint venture (other than a joint venture that is itself a corporation or limited liability company) in which any Loan Party or any Subsidiary is a general partner or joint venturer, except to the extent that Indebtedness is expressly made non-recourse to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Consolidated Interest Expense</w:t>
      </w:r>
      <w:r>
        <w:rPr>
          <w:rFonts w:ascii="Times New Roman;Times;Serif" w:hAnsi="Times New Roman;Times;Serif"/>
          <w:b w:val="false"/>
          <w:i w:val="false"/>
          <w:caps w:val="false"/>
          <w:smallCaps w:val="false"/>
          <w:sz w:val="20"/>
        </w:rPr>
        <w:t xml:space="preserve">” means, for any period, for Parent and its Subsidiaries on a consolidated basis, the sum of (a) all interest, premium payments, debt discount, fees, charges and related expenses in connection with borrowed money (including capitalized interest) or in connection with the deferred purchase price of assets, in each case to the extent treated as interest in accordance with GAAP,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(b) the implied interest component of Synthetic Lease Obligations with respect to such period.</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 </w:t>
            </w:r>
            <w:r>
              <w:rPr/>
              <w:t>7</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Consolidated Net Income</w:t>
      </w:r>
      <w:r>
        <w:rPr>
          <w:rFonts w:ascii="Times New Roman;Times;Serif" w:hAnsi="Times New Roman;Times;Serif"/>
          <w:b w:val="false"/>
          <w:i w:val="false"/>
          <w:caps w:val="false"/>
          <w:smallCaps w:val="false"/>
          <w:sz w:val="20"/>
        </w:rPr>
        <w:t>” means, for any period, for Parent and its Subsidiaries on a consolidated basis, net income (or loss) for such period; provided that Consolidated Net Income shall exclude (a) extraordinary gains and extraordinary losses for such period, (b) the net income of any Subsidiary during such period to the extent that the declaration or payment of dividends or similar distributions by such Subsidiary of such income is not permitted by operation of the terms of its Organization Documents or any agreement, instrument or Law applicable to such Subsidiary during such period, and (c) any income (or loss) for such period of any Person if such Person is not a Subsidiary, except that Parent’s equity in the net income of any such Person for such period shall be included in Consolidated Net Income up to the aggregate amount of cash actually distributed by such Person during such period to such Loan Party or a Subsidiary as a dividend or other distribution (and in the case of a dividend or other distribution to a Subsidiary, such Subsidiary is not precluded from further distributing such amount to the Loan Parties as described in clause (b) of this proviso).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Consolidated Scheduled Funded Debt Payments</w:t>
      </w:r>
      <w:r>
        <w:rPr>
          <w:rFonts w:ascii="Times New Roman;Times;Serif" w:hAnsi="Times New Roman;Times;Serif"/>
          <w:b w:val="false"/>
          <w:i w:val="false"/>
          <w:caps w:val="false"/>
          <w:smallCaps w:val="false"/>
          <w:sz w:val="20"/>
        </w:rPr>
        <w:t xml:space="preserve">” means, for any period, for Parent and its Subsidiaries on a consolidated basis, the sum of all scheduled payments of principal on Consolidated Funded Indebtedness. For purposes of this definition, “scheduled payments of principal” (a) shall be determined without giving effect to any reduction of such scheduled payments resulting from the application of any voluntary or mandatory prepayments made during the applicable period, (b) shall be deemed to include the Attributable Indebtedness, and (c) shall not include any voluntary prepayments or mandatory prepayments required pursuant to </w:t>
      </w:r>
      <w:r>
        <w:rPr>
          <w:rFonts w:ascii="Times New Roman;Times;Serif" w:hAnsi="Times New Roman;Times;Serif"/>
          <w:b w:val="false"/>
          <w:i w:val="false"/>
          <w:caps w:val="false"/>
          <w:smallCaps w:val="false"/>
          <w:sz w:val="20"/>
          <w:u w:val="single"/>
        </w:rPr>
        <w:t>Sections 2.6</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Contract</w:t>
      </w:r>
      <w:r>
        <w:rPr>
          <w:rFonts w:ascii="Times New Roman;Times;Serif" w:hAnsi="Times New Roman;Times;Serif"/>
          <w:b w:val="false"/>
          <w:i w:val="false"/>
          <w:caps w:val="false"/>
          <w:smallCaps w:val="false"/>
          <w:sz w:val="20"/>
        </w:rPr>
        <w:t>” means any loan or credit agreement, note, bond, mortgage, indenture, lease, sublease, purchase order or other agreement or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Control Agreement</w:t>
      </w:r>
      <w:r>
        <w:rPr>
          <w:rFonts w:ascii="Times New Roman;Times;Serif" w:hAnsi="Times New Roman;Times;Serif"/>
          <w:b w:val="false"/>
          <w:i w:val="false"/>
          <w:caps w:val="false"/>
          <w:smallCaps w:val="false"/>
          <w:sz w:val="20"/>
        </w:rPr>
        <w:t>” is any control agreement entered into among the depository institution at which any Loan Party maintains a Deposit Account (other than an Excluded Account) or the securities intermediary or commodity intermediary at which any Loan Party maintains a Securities Account or a Commodity Account (other than an Excluded Account), such Loan Party, and Administrative Agent pursuant to which Administrative Agent, for the benefit of the Lenders, obtains “control” (within the meaning of the Code) over such Deposit Account, Securities Account, or Commodity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Copyrights</w:t>
      </w:r>
      <w:r>
        <w:rPr>
          <w:rFonts w:ascii="Times New Roman;Times;Serif" w:hAnsi="Times New Roman;Times;Serif"/>
          <w:b w:val="false"/>
          <w:i w:val="false"/>
          <w:caps w:val="false"/>
          <w:smallCaps w:val="false"/>
          <w:sz w:val="20"/>
        </w:rPr>
        <w:t>” are any and all copyright rights, copyright applications, copyright registrations and like protections in each work of authorship and derivative work thereof, whether published or unpublished and whether or not the same also constitutes a trade secret.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Debtor Relief Laws</w:t>
      </w:r>
      <w:r>
        <w:rPr>
          <w:rFonts w:ascii="Times New Roman;Times;Serif" w:hAnsi="Times New Roman;Times;Serif"/>
          <w:b w:val="false"/>
          <w:i w:val="false"/>
          <w:caps w:val="false"/>
          <w:smallCaps w:val="false"/>
          <w:sz w:val="20"/>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means any event or condition that constitutes an Event of Default or that, with the giving of any notice, the passage of time, or both, would be an Event of Default.</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 </w:t>
            </w:r>
            <w:r>
              <w:rPr/>
              <w:t>8</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Deposit Account</w:t>
      </w:r>
      <w:r>
        <w:rPr>
          <w:rFonts w:ascii="Times New Roman;Times;Serif" w:hAnsi="Times New Roman;Times;Serif"/>
          <w:b w:val="false"/>
          <w:i w:val="false"/>
          <w:caps w:val="false"/>
          <w:smallCaps w:val="false"/>
          <w:sz w:val="20"/>
        </w:rPr>
        <w:t>” is any “deposit account” as defined in the Code with such additions to such term as may hereafter be made under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Disqualified Equity Interests</w:t>
      </w:r>
      <w:r>
        <w:rPr>
          <w:rFonts w:ascii="Times New Roman;Times;Serif" w:hAnsi="Times New Roman;Times;Serif"/>
          <w:b w:val="false"/>
          <w:i w:val="false"/>
          <w:caps w:val="false"/>
          <w:smallCaps w:val="false"/>
          <w:sz w:val="20"/>
        </w:rPr>
        <w:t xml:space="preserve">” means any Equity Interests requiring Parent or its Subsidiaries to, directly or indirectly, pay any dividends or distributions on, or purchase, redeem or retire, such Equity Interests (other than solely for Equity Interests that are not Disqualified Equity Interests), in each case, prior to the date that is ninety-one (91) days after Stated Maturity Date, or make any payment on account of or set apart assets for a sinking or other analogous fund for, the purchase, redemption, defeasance, retirement or other acquisition of such Equity Interests, or make any other distribution in respect thereof, either directly or indirectly, whether in cash or property or in obligations of Parent or any of its Subsidiaries (but excluding Equity Interests that are not Disqualified Equity Interests), in each case, prior to the date that is ninety-one (91) days after the Stated Maturity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the maturity or mandatory redemption of Equity Interests as a result of a change of control or asset sale shall not cause such Equity Interests to be Disqualified Equity Interests so long as any rights of the holders thereof upon the occurrence of a change of control or asset sale event shall be subject to the Payment in Full of the Obligations, and (b) if, such Equity Interests are issued pursuant to a plan for the benefit of employees of Parent or its Subsidiaries or by any such plan to such employees, such Equity Interests shall not constitute Disqualified Equity Interests solely because they may be required to be repurchased by the Parent or its Subsidiaries in order to satisfy applicable statutory or regulatory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DOJ</w:t>
      </w:r>
      <w:r>
        <w:rPr>
          <w:rFonts w:ascii="Times New Roman;Times;Serif" w:hAnsi="Times New Roman;Times;Serif"/>
          <w:b w:val="false"/>
          <w:i w:val="false"/>
          <w:caps w:val="false"/>
          <w:smallCaps w:val="false"/>
          <w:sz w:val="20"/>
        </w:rPr>
        <w:t>” means the U.S. Department of Justice or any successor thereto or any other comparable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Dollars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dollars</w:t>
      </w:r>
      <w:r>
        <w:rPr>
          <w:rFonts w:ascii="Times New Roman;Times;Serif" w:hAnsi="Times New Roman;Times;Serif"/>
          <w:b w:val="false"/>
          <w:i w:val="false"/>
          <w:caps w:val="false"/>
          <w:smallCaps w:val="false"/>
          <w:sz w:val="20"/>
        </w:rPr>
        <w:t>” and “$” each mean lawful money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EEA Financial Institution</w:t>
      </w:r>
      <w:r>
        <w:rPr>
          <w:rFonts w:ascii="Times New Roman;Times;Serif" w:hAnsi="Times New Roman;Times;Serif"/>
          <w:b w:val="false"/>
          <w:i w:val="false"/>
          <w:caps w:val="false"/>
          <w:smallCaps w:val="false"/>
          <w:sz w:val="20"/>
        </w:rPr>
        <w:t>” means(a)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EEA Member Country</w:t>
      </w:r>
      <w:r>
        <w:rPr>
          <w:rFonts w:ascii="Times New Roman;Times;Serif" w:hAnsi="Times New Roman;Times;Serif"/>
          <w:b w:val="false"/>
          <w:i w:val="false"/>
          <w:caps w:val="false"/>
          <w:smallCaps w:val="false"/>
          <w:sz w:val="20"/>
        </w:rPr>
        <w:t>” means any of the member states of the European Union, Iceland, Liechtenstein, and Norway.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EEA Resolution Authority</w:t>
      </w:r>
      <w:r>
        <w:rPr>
          <w:rFonts w:ascii="Times New Roman;Times;Serif" w:hAnsi="Times New Roman;Times;Serif"/>
          <w:b w:val="false"/>
          <w:i w:val="false"/>
          <w:caps w:val="false"/>
          <w:smallCaps w:val="false"/>
          <w:sz w:val="20"/>
        </w:rPr>
        <w:t>” 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Engagement Letter</w:t>
      </w:r>
      <w:r>
        <w:rPr>
          <w:rFonts w:ascii="Times New Roman;Times;Serif" w:hAnsi="Times New Roman;Times;Serif"/>
          <w:b w:val="false"/>
          <w:i w:val="false"/>
          <w:caps w:val="false"/>
          <w:smallCaps w:val="false"/>
          <w:sz w:val="20"/>
        </w:rPr>
        <w:t>” means that certain Engagement Letter between Parent and B. Riley Securities, Inc., dated as of December 1, 2022, as amended, restated, supplemented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Health and Safety Laws</w:t>
      </w:r>
      <w:r>
        <w:rPr>
          <w:rFonts w:ascii="Times New Roman;Times;Serif" w:hAnsi="Times New Roman;Times;Serif"/>
          <w:b w:val="false"/>
          <w:i w:val="false"/>
          <w:caps w:val="false"/>
          <w:smallCaps w:val="false"/>
          <w:sz w:val="20"/>
        </w:rPr>
        <w:t>” means all Laws, Permits and Contracts with Governmental Authorities relating to or addressing pollution or protection of the environment, public health and safety, or employee health and safety, including the Solid Waste Disposal Act, as amended, 42 U.S.C. §6901, et seq., the Clean Air Act, as amended, 42 U.S.C. §7401 et seq., the Federal Water Pollution Control Act, as amended, 33 U.S.C. §1251 et seq., the Emergency Planning and Community Right-to-Know Act, as amended, 42 U.S.C. §11001 et seq., the Comprehensive Environmental Response, Compensation, and Liability Act (“CERCLA”), as amended, 42 U.S.C. §9601 et seq., the Hazardous Materials Transportation Uniform Safety Act, as amended, 49 U.S.C. §1804 et seq., the Occupational Safety and Health Act of 1970, as amended, the regulations promulgated thereunder, and any similar Law and other requirements having the force or effect of a Law, and all Orders issued or promulgated thereunder, and all related common law theories.</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 </w:t>
            </w:r>
            <w:r>
              <w:rPr/>
              <w:t>9</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Equipment</w:t>
      </w:r>
      <w:r>
        <w:rPr>
          <w:rFonts w:ascii="Times New Roman;Times;Serif" w:hAnsi="Times New Roman;Times;Serif"/>
          <w:b w:val="false"/>
          <w:i w:val="false"/>
          <w:caps w:val="false"/>
          <w:smallCaps w:val="false"/>
          <w:sz w:val="20"/>
        </w:rPr>
        <w:t>” is all “equipment” as defined in the Code with such additions to such term as may hereafter be made under the Code, and includes without limitation all machinery, fixtures, goods, vehicles (including motor vehicles and trailers), and any interest in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Equity Interests</w:t>
      </w:r>
      <w:r>
        <w:rPr>
          <w:rFonts w:ascii="Times New Roman;Times;Serif" w:hAnsi="Times New Roman;Times;Serif"/>
          <w:b w:val="false"/>
          <w:i w:val="false"/>
          <w:caps w:val="false"/>
          <w:smallCaps w:val="false"/>
          <w:sz w:val="20"/>
        </w:rPr>
        <w:t>” means, with respect to any Person, its equity ownership interests, its common stock and any other capital stock or other equity ownership units of such Person authorized from time to time, and any marketable security or other shares, options, interests, participations or other equivalents (however designated) of or in such Person, whether voting or nonvoting, including, without limitation, common stock, options, warrants, preferred stock, phantom stock, membership units (common or preferred), stock appreciation rights, membership unit appreciation rights, convertible notes or debentures, stock purchase rights, membership unit purchase rights and all securities convertible, exercisable or exchangeable, in whole or in part, into any one or more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is the Employee Retirement Income Security Act of 1974, as amended, and its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EU Bail-In Legislation Schedule</w:t>
      </w:r>
      <w:r>
        <w:rPr>
          <w:rFonts w:ascii="Times New Roman;Times;Serif" w:hAnsi="Times New Roman;Times;Serif"/>
          <w:b w:val="false"/>
          <w:i w:val="false"/>
          <w:caps w:val="false"/>
          <w:smallCaps w:val="false"/>
          <w:sz w:val="20"/>
        </w:rPr>
        <w:t>” means the EU Bail-In Legislation Schedule published by the Loan Market Association (or any successor person), as in effect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Excluded Account</w:t>
      </w:r>
      <w:r>
        <w:rPr>
          <w:rFonts w:ascii="Times New Roman;Times;Serif" w:hAnsi="Times New Roman;Times;Serif"/>
          <w:b w:val="false"/>
          <w:i w:val="false"/>
          <w:caps w:val="false"/>
          <w:smallCaps w:val="false"/>
          <w:sz w:val="20"/>
        </w:rPr>
        <w:t xml:space="preserve">” means (a) Collateral Accounts of any Loan Party or any of its Subsidiaries used exclusively for payroll, payroll taxes and other employee wage and benefit payments, and (b) Collateral Accounts containing not more than Five Hundred Thousand Dollars ($500,000) individually and One Million Dollars ($1,000,000) in the aggregate at any time, which Excluded Accounts are identified to Administrative Agent by Borrower as such in on </w:t>
      </w:r>
      <w:r>
        <w:rPr>
          <w:rFonts w:ascii="Times New Roman;Times;Serif" w:hAnsi="Times New Roman;Times;Serif"/>
          <w:b w:val="false"/>
          <w:i w:val="false"/>
          <w:caps w:val="false"/>
          <w:smallCaps w:val="false"/>
          <w:sz w:val="20"/>
          <w:u w:val="single"/>
        </w:rPr>
        <w:t>Schedule 1.2</w:t>
      </w:r>
      <w:r>
        <w:rPr>
          <w:rFonts w:ascii="Times New Roman;Times;Serif" w:hAnsi="Times New Roman;Times;Serif"/>
          <w:b w:val="false"/>
          <w:i w:val="false"/>
          <w:caps w:val="false"/>
          <w:smallCaps w:val="false"/>
          <w:sz w:val="20"/>
        </w:rPr>
        <w:t xml:space="preserve"> hereto or on any Compliance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Excluded Subsidiary</w:t>
      </w:r>
      <w:r>
        <w:rPr>
          <w:rFonts w:ascii="Times New Roman;Times;Serif" w:hAnsi="Times New Roman;Times;Serif"/>
          <w:b w:val="false"/>
          <w:i w:val="false"/>
          <w:caps w:val="false"/>
          <w:smallCaps w:val="false"/>
          <w:sz w:val="20"/>
        </w:rPr>
        <w:t xml:space="preserve">” shall mean (a) any Subsidiary of Parent that, as of the date of the financial statements most recently delivered pursuant to Section 6.2(a)(i) or (a)(ii) hereof, (a) (i) for the trailing twelve month period ended on the date of fiscal quarter or fiscal year then ended does not generate revenue in excess of 5% of the consolidated revenue of the Loan Parties or (ii) does not owns assets (other than intercompany accounts receivables) the fair market value of which is in excess than 5% of the fair market value of the total assets of the Loan Parties; provided, that a Subsidiary shall not constitute an “Excluded Subsidiary” if the revenue or assets of such Subsidiary, taken together with the consolidated total revenue or consolidated total assets of all other Excluded Subsidiaries, pursuant to this clause (a), would exceed 5% of the consolidated total revenue or consolidated total assets of the Loan Parties; (b) any Subsidiary that is prohibited by applicable Law or contractual obligations existing on the Effective Date (or, in the case of any newly acquired Subsidiary, in existence at the time of acquisition but not entered into in contemplation thereof) from Guaranteeing the Obligations or if Guaranteeing the Obligations would require governmental (including regulatory) or third party consent, unless such consent has been obtained after using commercially reasonable best efforts to so obtain, and (c) any other Subsidiary with respect to which, (i) Guaranteeing the Obligations would result in any material adverse tax consequences (as reasonably determined by the Borrower and the Administrative Agent) or (ii) the cost of providing a Guarantee of the Obligations shall be excessive in view of the practical benefits to be obtained by the Lenders therefrom (as reasonably determined by the Borrower and the Administrative Agent). Notwithstanding the foregoing, (i) no Borrower may be designated as an Excluded Subsidiary, (ii) no Guarantor party to this Agreement as of the Effective Date may be designated as an Excluded Subsidiary, (iii) no other Guarantor shall be designated as an Excluded Subsidiary until such time as Borrower designates in writing to the Administrative Agent to the Administrative Agent’s reasonable satisfaction that such Guarantor is an “Excluded Subsidiary”, (iv) no newly formed Subsidiary or newly acquired Subsidiary shall be designated as an Excluded Subsidiary until such time as Borrower designates in writing to the Administrative Agent to the Administrative Agent’s reasonable satisfaction that such Guarantor is an “Excluded Subsidiary”, (v) no Excluded Subsidiary may own any of the Equity Interests of a Loan Party, and (vi) no Excluded Subsidiary may own any Intellectual Property material to the businesses of the Loan Parties or the Businesses. As of the Effective Date and as of the Closing Date there shall be no Excluded Subsidiaries other than Mayfield Pharmaceuticals, Inc., Park Compounding, Inc., Radley Pharmaceuticals, Inc., Stowe Pharmaceuticals, Inc., Radley Pharma Equity, LLC, Mayfield Pharma Equity, LLC, Stowe Pharma Equity, LLC, Surface Pharma Equity, LLC, Melt Pharma Equity, LLC and Eton Pharma Equity, LLC, each of which satisfies the conditions set forth above in clause (a) as a “Excluded Subsidiary” as of the Effective Date and shall be included therein for all purposes of the calculations made under clause (a) so long as such entities constitute an “Excluded Subsidiary”. An Excluded Subsidiary (including those Excluded Subsidiaries identified in the immediately preceding sentence) shall automatically cease to be an Excluded Subsidiary if such Subsidiary ceases to satisfy the definition hereof, and the Loan Parties shall take all steps required under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in the Pledge Agreement and elsewhere in this Agreement as if such Subsidiary is a New Subsidiary.</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10</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Excluded Swap Obligation</w:t>
      </w:r>
      <w:r>
        <w:rPr>
          <w:rFonts w:ascii="Times New Roman;Times;Serif" w:hAnsi="Times New Roman;Times;Serif"/>
          <w:b w:val="false"/>
          <w:i w:val="false"/>
          <w:caps w:val="false"/>
          <w:smallCaps w:val="false"/>
          <w:sz w:val="20"/>
        </w:rPr>
        <w:t xml:space="preserve">” means, with respect to any Guarantor, any Swap Obligation incurred after the Effective Date, if, and to the extent that, all or a portion of the Guaranty of such Guarantor of, or the grant under a Loan Document by such Guarantor of a security interest to secure, such Swap Obligation (or any Guarantee thereof) is or becomes illegal under the Commodity Exchange Act (or the application or official interpretation thereof) by virtue of such Guarantor’s failure for any reason to constitute an “eligible contract participant” as defined in the Commodity Exchange Act (determined after giving effect to </w:t>
      </w:r>
      <w:r>
        <w:rPr>
          <w:rFonts w:ascii="Times New Roman;Times;Serif" w:hAnsi="Times New Roman;Times;Serif"/>
          <w:b w:val="false"/>
          <w:i w:val="false"/>
          <w:caps w:val="false"/>
          <w:smallCaps w:val="false"/>
          <w:sz w:val="20"/>
          <w:u w:val="single"/>
        </w:rPr>
        <w:t>Section 12.8</w:t>
      </w:r>
      <w:r>
        <w:rPr>
          <w:rFonts w:ascii="Times New Roman;Times;Serif" w:hAnsi="Times New Roman;Times;Serif"/>
          <w:b w:val="false"/>
          <w:i w:val="false"/>
          <w:caps w:val="false"/>
          <w:smallCaps w:val="false"/>
          <w:sz w:val="20"/>
        </w:rPr>
        <w:t xml:space="preserve"> and any and all guarantees of such Guarantor’s Swap Obligations by other Loan Parties) at the time the Guaranty of such Guarantor, or grant by such Guarantor of a security interest, becomes effective with respect to such Swap Obligation. If a Swap Obligation arises under a Master Agreement governing more than one Swap Contract, such exclusion shall apply only to the portion of such Swap Obligation that is attributable to Swap Contracts for which such Guaranty or security interest becomes illegal.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Exigent Circumstance</w:t>
      </w:r>
      <w:r>
        <w:rPr>
          <w:rFonts w:ascii="Times New Roman;Times;Serif" w:hAnsi="Times New Roman;Times;Serif"/>
          <w:b w:val="false"/>
          <w:i w:val="false"/>
          <w:caps w:val="false"/>
          <w:smallCaps w:val="false"/>
          <w:sz w:val="20"/>
        </w:rPr>
        <w:t>” means any event or circumstance that, in the reasonable judgment of Administrative Agent, imminently threatens the ability of Administrative Agent to realize upon any material portion of the Collateral, such as, without limitation, fraudulent removal, concealment, or abscondment thereof, destruction or material waste thereof, or failure of Borrower or any of its Subsidiaries after reasonable demand to maintain or reinstate adequate casualty insurance coverage, or which, in the judgment of Administrative Agent, could reasonably be expected to result in a material diminution in value of the Collateral.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FATCA</w:t>
      </w:r>
      <w:r>
        <w:rPr>
          <w:rFonts w:ascii="Times New Roman;Times;Serif" w:hAnsi="Times New Roman;Times;Serif"/>
          <w:b w:val="false"/>
          <w:i w:val="false"/>
          <w:caps w:val="false"/>
          <w:smallCaps w:val="false"/>
          <w:sz w:val="20"/>
        </w:rPr>
        <w:t>” means Sections 1471 through 1474 of the Internal Revenue Code, as of the Closing Date (or any amended or successor version that is substantively comparable and not materially more onerous to comply with), any current or future regulations or official interpretations thereof, any agreements entered into pursuant to Section 1471(b)(1) of the Internal Revenue Code and any fiscal or regulatory legislation, rules or practices adopted pursuant to any intergovernmental agreement, treaty or convention among Governmental Authorities and implementing Sections 1471 through 1474 of the Internal Revenue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FDA</w:t>
      </w:r>
      <w:r>
        <w:rPr>
          <w:rFonts w:ascii="Times New Roman;Times;Serif" w:hAnsi="Times New Roman;Times;Serif"/>
          <w:b w:val="false"/>
          <w:i w:val="false"/>
          <w:caps w:val="false"/>
          <w:smallCaps w:val="false"/>
          <w:sz w:val="20"/>
        </w:rPr>
        <w:t>” means the U.S. Food and Drug Administration or any successor thereto or any other comparable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FDCA</w:t>
      </w:r>
      <w:r>
        <w:rPr>
          <w:rFonts w:ascii="Times New Roman;Times;Serif" w:hAnsi="Times New Roman;Times;Serif"/>
          <w:b w:val="false"/>
          <w:i w:val="false"/>
          <w:caps w:val="false"/>
          <w:smallCaps w:val="false"/>
          <w:sz w:val="20"/>
        </w:rPr>
        <w:t>” means the United States Food Drug and Cosmetic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Federal Health Care Program”</w:t>
      </w:r>
      <w:r>
        <w:rPr>
          <w:rFonts w:ascii="Times New Roman;Times;Serif" w:hAnsi="Times New Roman;Times;Serif"/>
          <w:b w:val="false"/>
          <w:i w:val="false"/>
          <w:caps w:val="false"/>
          <w:smallCaps w:val="false"/>
          <w:sz w:val="20"/>
        </w:rPr>
        <w:t xml:space="preserve"> means any “federal health care program” as defined in 42 U.S.C. §1320a-7b(f), including Medicare, Medicare Advantage, state Medicaid programs, state Medicaid waiver programs, state CHIP programs, managed Medicaid, TRICARE and state and local social services programs.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Foreign Lender</w:t>
      </w:r>
      <w:r>
        <w:rPr>
          <w:rFonts w:ascii="Times New Roman;Times;Serif" w:hAnsi="Times New Roman;Times;Serif"/>
          <w:b w:val="false"/>
          <w:i w:val="false"/>
          <w:caps w:val="false"/>
          <w:smallCaps w:val="false"/>
          <w:sz w:val="20"/>
        </w:rPr>
        <w:t>” means any Lender that is not a U.S.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Foreign Subsidiary</w:t>
      </w:r>
      <w:r>
        <w:rPr>
          <w:rFonts w:ascii="Times New Roman;Times;Serif" w:hAnsi="Times New Roman;Times;Serif"/>
          <w:b w:val="false"/>
          <w:i w:val="false"/>
          <w:caps w:val="false"/>
          <w:smallCaps w:val="false"/>
          <w:sz w:val="20"/>
        </w:rPr>
        <w:t>” is a Subsidiary that is not an entity organized under the laws of the United States or any state thereof or the District of Columbia.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Funding Date</w:t>
      </w:r>
      <w:r>
        <w:rPr>
          <w:rFonts w:ascii="Times New Roman;Times;Serif" w:hAnsi="Times New Roman;Times;Serif"/>
          <w:b w:val="false"/>
          <w:i w:val="false"/>
          <w:caps w:val="false"/>
          <w:smallCaps w:val="false"/>
          <w:sz w:val="20"/>
        </w:rPr>
        <w:t>” is any date on which a Term Loan is made to or on account of Borrower, which shall be a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is accounting principles generally accepted in the United States of America as set forth in the opinions and pronouncements of the American Institute of Certified Public Accountants and statements and pronouncements of the Financial Accounting Standards Board or in such other statements by such other Person as may be approved by a significant segment of the accounting profession in the United States, which are applicable to the circumstances as of the date of determination, consistently applied.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General Intangibles</w:t>
      </w:r>
      <w:r>
        <w:rPr>
          <w:rFonts w:ascii="Times New Roman;Times;Serif" w:hAnsi="Times New Roman;Times;Serif"/>
          <w:b w:val="false"/>
          <w:i w:val="false"/>
          <w:caps w:val="false"/>
          <w:smallCaps w:val="false"/>
          <w:sz w:val="20"/>
        </w:rPr>
        <w:t>” are all “general intangibles” as defined in the Code in effect on the date hereof with such additions to such term as may hereafter be made under the Code, and includes without limitation, all copyright rights, copyright applications, copyright registrations and like protections in each work of authorship and derivative work, whether published or unpublished, any patents, trademarks, service marks and, to the extent permitted under applicable law, any applications therefor, whether registered or not, any trade secret rights, including any rights to unpatented inventions, payment intangibles, royalties, contract rights, goodwill, franchise agreements, purchase orders, customer lists, route lists, telephone numbers, domain names, claims, income and other tax refunds, security and other deposits,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11</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Approval</w:t>
      </w:r>
      <w:r>
        <w:rPr>
          <w:rFonts w:ascii="Times New Roman;Times;Serif" w:hAnsi="Times New Roman;Times;Serif"/>
          <w:b w:val="false"/>
          <w:i w:val="false"/>
          <w:caps w:val="false"/>
          <w:smallCaps w:val="false"/>
          <w:sz w:val="20"/>
        </w:rPr>
        <w:t>” is any consent, authorization, approval, order, license, franchise, permit, certificate, accreditation, registration, filing or notice, of, issued by, from or to, or other act by or in respect of, any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is any nation or government, any state or other political subdivision thereof, any agency, authority, instrumentality, regulatory body (including, without limitation, the FDA and any state board of pharmacy or state pharmacy licensing authority), court, central bank or other entity exercising executive, legislative, judicial, taxing, regulatory or administrative functions of or pertaining to government, any securities exchange and any self-regulatory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Guarantee</w:t>
      </w:r>
      <w:r>
        <w:rPr>
          <w:rFonts w:ascii="Times New Roman;Times;Serif" w:hAnsi="Times New Roman;Times;Serif"/>
          <w:b w:val="false"/>
          <w:i w:val="false"/>
          <w:caps w:val="false"/>
          <w:smallCaps w:val="false"/>
          <w:sz w:val="20"/>
        </w:rPr>
        <w:t>”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if a fixed and determined amount, the amount of the obligation so guaranteed or otherwise supported, or, if not a fixed and determined amount, the maximum reasonably anticipated liability in respect thereof, as determined by a Responsible Officer of the guaranteeing Person in good faith in accordance with GAAP. The term “Guarantee” as a verb has a corresponding meaning.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Guarantor</w:t>
      </w:r>
      <w:r>
        <w:rPr>
          <w:rFonts w:ascii="Times New Roman;Times;Serif" w:hAnsi="Times New Roman;Times;Serif"/>
          <w:b w:val="false"/>
          <w:i w:val="false"/>
          <w:caps w:val="false"/>
          <w:smallCaps w:val="false"/>
          <w:sz w:val="20"/>
        </w:rPr>
        <w:t>” is any Person providing a Guaranty in favor of Administrative Agent for the benefit of the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Guaranty</w:t>
      </w:r>
      <w:r>
        <w:rPr>
          <w:rFonts w:ascii="Times New Roman;Times;Serif" w:hAnsi="Times New Roman;Times;Serif"/>
          <w:b w:val="false"/>
          <w:i w:val="false"/>
          <w:caps w:val="false"/>
          <w:smallCaps w:val="false"/>
          <w:sz w:val="20"/>
        </w:rPr>
        <w:t xml:space="preserve">” is any guarantee of all or any part of the Obligations and includes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hereof, as the same may from time to time be amended, restated, supplemented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12</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means, as to any Person at a particular time, without duplication, all of the following: (a) all obligations for borrowed money and all obligations of such Person evidenced by bonds, debentures, notes, loan agreements or other similar instruments; (b) the maximum amount of all direct or contingent obligations arising under letters of credit (including standby and commercial), bankers’ acceptances, bank guaranties, surety bonds and similar instruments; (c) all obligations in respect of any interest rate swaps, currency exchange agreements, commodity swaps, caps, collar agreements, or similar arrangements entered into by such Person providing for protection against fluctuations in interest rates, currency exchange rates, or commodity prices, or the exchange of nominal interest obligations, either generally or under specific contingencies; (d) all obligations to pay the deferred purchase price of property or services (other than trade accounts payable in the ordinary course of business which are not more than 90 days past the stated due date); (e) 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 (f) all Attributable Indebtedness; (g) all obligations to purchase, redeem, retire, defease or otherwise make any payment prior to the date that is ninety-one (91) days after the Stated Maturity Date in respect of any Equity Interests or any warrant, right or option to acquire such Equity Interest, valued, in the case of a redeemable preferred interest, at the greater of its voluntary or involuntary liquidation preference plus accrued and unpaid dividends; (h) all Guarantees of such Person in respect of any of the foregoing; and (i) all Indebtedness of the types referred to in clauses (a) through (g) above of any partnership or joint venture (other than a joint venture that is itself a corporation or limited liability company) in which such Person is a general partner or joint venturer, unless such Indebtedness expressly provides such Indebtedness is non-recourse to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Insolvency Proceeding</w:t>
      </w:r>
      <w:r>
        <w:rPr>
          <w:rFonts w:ascii="Times New Roman;Times;Serif" w:hAnsi="Times New Roman;Times;Serif"/>
          <w:b w:val="false"/>
          <w:i w:val="false"/>
          <w:caps w:val="false"/>
          <w:smallCaps w:val="false"/>
          <w:sz w:val="20"/>
        </w:rPr>
        <w:t>” is any proceeding by or against any Person under any Debtor Relief Law, including assignments for the benefit of creditors, compositions or proceedings seeking reorganization, arrangement, or other relief.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means all right, title and interest in and to all intellectual property of every kind and nature however denominated, throughout the world, including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Copyrights, Trademarks and Patents;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and all confidential and/or proprietary information, trade secrets and trade secret rights, including, without limitation, any rights to (i) any and all unpatented inventions, know-how, and operating manuals; (ii) any and all commercial information, including, without limitation, any rights to marketing, advertising, and promotional and similar information, including sales and customer information; (iii) any and all information relating to drug substances and pharmaceutical products, including, without limitation, any rights to clinical and technical matters, such as therapeutic uses for approved indications, drug-disease information, and other product characteristics; (iv) any and all books, record, files, and other documentation related to drug substances and pharmaceutical products; and (v) any and all dossiers containing the know-how used to obtain and maintain new drug applications or other regulatory approvals for drug substances and pharmaceutical products (and any and all intellectual property rights in and to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and all rights in and to websites, software, including source code, and database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and all design rights, publicity rights, and moral rights;</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13</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and all claims for damages by way of past, present and future infringement, misuse, misappropriation, dilution, or other violation of any of the foregoing, with the right, but not the obligation, to sue for and collect such damages;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amendments, renewals and extensions of any of the Copyrights, Trademarks or Patents;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licenses, sublicenses or other contracts under which rights in any of the foregoing are granted.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Interest Payment Date</w:t>
      </w:r>
      <w:r>
        <w:rPr>
          <w:rFonts w:ascii="Times New Roman;Times;Serif" w:hAnsi="Times New Roman;Times;Serif"/>
          <w:b w:val="false"/>
          <w:i w:val="false"/>
          <w:caps w:val="false"/>
          <w:smallCaps w:val="false"/>
          <w:sz w:val="20"/>
        </w:rPr>
        <w:t>” means the last day of each calendar quarter and the Maturity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Internal Revenue Code</w:t>
      </w:r>
      <w:r>
        <w:rPr>
          <w:rFonts w:ascii="Times New Roman;Times;Serif" w:hAnsi="Times New Roman;Times;Serif"/>
          <w:b w:val="false"/>
          <w:i w:val="false"/>
          <w:caps w:val="false"/>
          <w:smallCaps w:val="false"/>
          <w:sz w:val="20"/>
        </w:rPr>
        <w:t>” means the Internal Revenue Code of 1986.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Inventory</w:t>
      </w:r>
      <w:r>
        <w:rPr>
          <w:rFonts w:ascii="Times New Roman;Times;Serif" w:hAnsi="Times New Roman;Times;Serif"/>
          <w:b w:val="false"/>
          <w:i w:val="false"/>
          <w:caps w:val="false"/>
          <w:smallCaps w:val="false"/>
          <w:sz w:val="20"/>
        </w:rPr>
        <w:t>” is all “inventory” as defined in the Code in effect on the date hereof with such additions to such term as may hereafter be made under the Code, and includes without limitation all merchandise, raw materials, parts, supplies, packing and shipping materials, work in process and finished products, including without limitation such inventory as is temporarily out of any Person’s custody or possession or in transit and including any returned goods and any documents of title representing any of the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Investment</w:t>
      </w:r>
      <w:r>
        <w:rPr>
          <w:rFonts w:ascii="Times New Roman;Times;Serif" w:hAnsi="Times New Roman;Times;Serif"/>
          <w:b w:val="false"/>
          <w:i w:val="false"/>
          <w:caps w:val="false"/>
          <w:smallCaps w:val="false"/>
          <w:sz w:val="20"/>
        </w:rPr>
        <w:t>” is any beneficial ownership interest in any Person (including stock, partnership interest or other securities), and any loan, advance or capital contribution to any Person. For purposes of covenant compliance, the amount of any Investment shall be determined as of the date such Investment is made and shall be the amount actually invested (without adjustment for subsequent increases or decreases in the value of the underlying Investment) and shall be reduced by the amount of any cash dividend, distribution, interest payment, return of capital, repayment or other amount (which such other amount shall not constitute Indebtedness) actually received, in any of the foregoing cases, in cash by Parent or a Subsidiary in respect of such Investment. Notwithstanding the foregoing, if Parent or any Subsidiary makes a subsequent Investment in any Person following any reduction noted above, such subsequent Investment shall constitute an Investment in the amount thereof for covenant compliance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IP Security Agreement</w:t>
      </w:r>
      <w:r>
        <w:rPr>
          <w:rFonts w:ascii="Times New Roman;Times;Serif" w:hAnsi="Times New Roman;Times;Serif"/>
          <w:b w:val="false"/>
          <w:i w:val="false"/>
          <w:caps w:val="false"/>
          <w:smallCaps w:val="false"/>
          <w:sz w:val="20"/>
        </w:rPr>
        <w:t>” means (a) that certain Intellectual Property Security Agreement executed and delivered by each Loan Party to Administrative Agent and dated as of the Effective Date, (b) that certain Intellectual Property Security Agreement executed and delivered by each Loan Party to Administrative Agent and dated as of the Closing Date, and (c) any other intellectual property security agreement entered into under this Agreement; each as may be amended, restated, supplemented,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Key Person</w:t>
      </w:r>
      <w:r>
        <w:rPr>
          <w:rFonts w:ascii="Times New Roman;Times;Serif" w:hAnsi="Times New Roman;Times;Serif"/>
          <w:b w:val="false"/>
          <w:i w:val="false"/>
          <w:caps w:val="false"/>
          <w:smallCaps w:val="false"/>
          <w:sz w:val="20"/>
        </w:rPr>
        <w:t>” is (a) the Chief Executive Officer of Parent and Borrower, who is Mark L. Baum as of the Effective Date, and (b) the Chief Financial Officer of Parent and Borrower, who is Andrew R. Boll as of the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Knowledge</w:t>
      </w:r>
      <w:r>
        <w:rPr>
          <w:rFonts w:ascii="Times New Roman;Times;Serif" w:hAnsi="Times New Roman;Times;Serif"/>
          <w:b w:val="false"/>
          <w:i w:val="false"/>
          <w:caps w:val="false"/>
          <w:smallCaps w:val="false"/>
          <w:sz w:val="20"/>
        </w:rPr>
        <w:t>” means to the “best of” the applicable Loan Party’s knowledge, or with a similar qualification, knowledge or awareness means the actual knowledge, after reasonable investigation, of the Responsible Officers.</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14</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Laws</w:t>
      </w:r>
      <w:r>
        <w:rPr>
          <w:rFonts w:ascii="Times New Roman;Times;Serif" w:hAnsi="Times New Roman;Times;Serif"/>
          <w:b w:val="false"/>
          <w:i w:val="false"/>
          <w:caps w:val="false"/>
          <w:smallCaps w:val="false"/>
          <w:sz w:val="20"/>
        </w:rPr>
        <w:t>” means, collectively,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Lenders’ Expenses</w:t>
      </w:r>
      <w:r>
        <w:rPr>
          <w:rFonts w:ascii="Times New Roman;Times;Serif" w:hAnsi="Times New Roman;Times;Serif"/>
          <w:b w:val="false"/>
          <w:i w:val="false"/>
          <w:caps w:val="false"/>
          <w:smallCaps w:val="false"/>
          <w:sz w:val="20"/>
        </w:rPr>
        <w:t>” are (a) all reasonable audit fees and expenses, and all other reasonable costs, and expenses (including reasonable attorneys’ fees and expenses, as well as appraisal fees, fees incurred on account of lien searches, inspection fees, and filing fees), incurred by Administrative Agent or its Related Persons in connection with the preparation, negotiation, administration or amendment of or, subject to clause (b) hereof, enforcement of this Agreement and the other Loan Documents, and (b) all fees, costs and expenses (including attorney’s fees and expenses) of the Administrative Agent, its Related Persons, each Lender and its Related Persons, in each case, incurred following an Event of Default in connection with the collection of the Obligations and the enforcement this Agreement and the other Loan Documents (including, without limitation, those incurred in connection with appeals or Insolvency Proceedings, or the refinancing or restructuring of the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Lien</w:t>
      </w:r>
      <w:r>
        <w:rPr>
          <w:rFonts w:ascii="Times New Roman;Times;Serif" w:hAnsi="Times New Roman;Times;Serif"/>
          <w:b w:val="false"/>
          <w:i w:val="false"/>
          <w:caps w:val="false"/>
          <w:smallCaps w:val="false"/>
          <w:sz w:val="20"/>
        </w:rPr>
        <w:t>” is a claim, mortgage, deed of trust, levy, charge, pledge, security interest, or other encumbrance of any kind, whether voluntarily incurred or arising by operation of law or otherwise against any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Loan Documents</w:t>
      </w:r>
      <w:r>
        <w:rPr>
          <w:rFonts w:ascii="Times New Roman;Times;Serif" w:hAnsi="Times New Roman;Times;Serif"/>
          <w:b w:val="false"/>
          <w:i w:val="false"/>
          <w:caps w:val="false"/>
          <w:smallCaps w:val="false"/>
          <w:sz w:val="20"/>
        </w:rPr>
        <w:t>” are, collectively, this Agreement, the Notes, the Pledge Agreement, each IP Security Agreement, the Perfection Certificates, each Control Agreement, each Compliance Certificate, each Loan Payment Request Form, the Closing Date Acquisition Collateral Assignment Agreement and each other collateral assignment of acquisition documents, any subordination agreements, any note, or notes or guaranties executed by Borrower or any other Person, and any other present or future agreement entered into by Borrower, any Guarantor or any other Person for the benefit of the Lenders and Administrative Agent in connection with this Agreement; all as amended, restated, supplemented,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Loan Party</w:t>
      </w:r>
      <w:r>
        <w:rPr>
          <w:rFonts w:ascii="Times New Roman;Times;Serif" w:hAnsi="Times New Roman;Times;Serif"/>
          <w:b w:val="false"/>
          <w:i w:val="false"/>
          <w:caps w:val="false"/>
          <w:smallCaps w:val="false"/>
          <w:sz w:val="20"/>
        </w:rPr>
        <w:t>” means any one of the Borrower, each Guarantor and each other Person who is or shall become primarily or secondarily liable for any of the Obligations; and</w:t>
        <w:br/>
        <w:t>“</w:t>
      </w:r>
      <w:r>
        <w:rPr>
          <w:rFonts w:ascii="Times New Roman;Times;Serif" w:hAnsi="Times New Roman;Times;Serif"/>
          <w:b/>
          <w:i w:val="false"/>
          <w:caps w:val="false"/>
          <w:smallCaps w:val="false"/>
          <w:sz w:val="20"/>
        </w:rPr>
        <w:t>Loan Parties</w:t>
      </w:r>
      <w:r>
        <w:rPr>
          <w:rFonts w:ascii="Times New Roman;Times;Serif" w:hAnsi="Times New Roman;Times;Serif"/>
          <w:b w:val="false"/>
          <w:i w:val="false"/>
          <w:caps w:val="false"/>
          <w:smallCaps w:val="false"/>
          <w:sz w:val="20"/>
        </w:rPr>
        <w:t>” means all such Persons.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Loan Party’s Books</w:t>
      </w:r>
      <w:r>
        <w:rPr>
          <w:rFonts w:ascii="Times New Roman;Times;Serif" w:hAnsi="Times New Roman;Times;Serif"/>
          <w:b w:val="false"/>
          <w:i w:val="false"/>
          <w:caps w:val="false"/>
          <w:smallCaps w:val="false"/>
          <w:sz w:val="20"/>
        </w:rPr>
        <w:t>” are any Loan Party’s or any of its Subsidiaries’ books and records including ledgers, federal, and state tax returns, records regarding such Loan Party or its Subsidiaries’ assets or liabilities, the Collateral, business operations or financial condition, and all computer programs or storage or any equipment containing such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Loan Payment Request Form</w:t>
      </w:r>
      <w:r>
        <w:rPr>
          <w:rFonts w:ascii="Times New Roman;Times;Serif" w:hAnsi="Times New Roman;Times;Serif"/>
          <w:b w:val="false"/>
          <w:i w:val="false"/>
          <w:caps w:val="false"/>
          <w:smallCaps w:val="false"/>
          <w:sz w:val="20"/>
        </w:rPr>
        <w:t xml:space="preserve">” is that certain form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Management Model</w:t>
      </w:r>
      <w:r>
        <w:rPr>
          <w:rFonts w:ascii="Times New Roman;Times;Serif" w:hAnsi="Times New Roman;Times;Serif"/>
          <w:b w:val="false"/>
          <w:i w:val="false"/>
          <w:caps w:val="false"/>
          <w:smallCaps w:val="false"/>
          <w:sz w:val="20"/>
        </w:rPr>
        <w:t>” means the last management model delivered to the Administrative Agent on December 10, 2022.</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15</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Adverse Change</w:t>
      </w:r>
      <w:r>
        <w:rPr>
          <w:rFonts w:ascii="Times New Roman;Times;Serif" w:hAnsi="Times New Roman;Times;Serif"/>
          <w:b w:val="false"/>
          <w:i w:val="false"/>
          <w:caps w:val="false"/>
          <w:smallCaps w:val="false"/>
          <w:sz w:val="20"/>
        </w:rPr>
        <w:t>” is (a) a material adverse change in or effect on the business, operations or financial condition of the Loan Parties (taken as a whole); (b) a material impairment of (i) the ability of the Loan Parties (taken as a whole) to repay any portion of the Obligations or (ii) the legality, validity or enforceability of any Loan Document; or (c) a material adverse effect on the Collateral that is not the result of the Administrative Agent’s or the Lender’s action or inaction with respect to the Collateral; or (d) a material adverse effect on the validity, perfection or priority of Administrative Agent’s Lien on the Collateral that is not the result of Administrative Agent’s or the Lenders’ action or inaction in connection with filings made or not made with respect to the Collateral.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Agreement</w:t>
      </w:r>
      <w:r>
        <w:rPr>
          <w:rFonts w:ascii="Times New Roman;Times;Serif" w:hAnsi="Times New Roman;Times;Serif"/>
          <w:b w:val="false"/>
          <w:i w:val="false"/>
          <w:caps w:val="false"/>
          <w:smallCaps w:val="false"/>
          <w:sz w:val="20"/>
        </w:rPr>
        <w:t>” means any of (a) the Closing Date Acquisition Agreement or any other Closing Date Acquisition Document, (b) the 2021 Indenture or (c) any license, agreement or other contractual arrangement with a Person or Governmental Authority whereby any Loan Party or any of its Subsidiaries is reasonably likely to be required to pay or transfer, either in-kind or in cash, prior to the Stated Maturity Date, assets or property valued (book or market) at more than Seven Hundred Fifty Thousand Dollars ($750,000) in the aggregate, or any license, agreement or other contractual arrangement conveying rights in or to any Intellectual Property necessary to make, use or sell any Inventory, products or services of any Loan Party or any Subsidiary or is otherwise material to its Businesses, the breach or termination of which would be adverse to the business of the Loan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xml:space="preserve">” means the Stated Maturity Date or such earlier date if the Obligations are accelerated hereunder pursuant to the terms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each case, if such date is not a Business Day, the applicable Maturity Date shall be the immediately preceding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Medical Product Regulator</w:t>
      </w:r>
      <w:r>
        <w:rPr>
          <w:rFonts w:ascii="Times New Roman;Times;Serif" w:hAnsi="Times New Roman;Times;Serif"/>
          <w:b w:val="false"/>
          <w:i w:val="false"/>
          <w:caps w:val="false"/>
          <w:smallCaps w:val="false"/>
          <w:sz w:val="20"/>
        </w:rPr>
        <w:t>” means the FDA or a comparable foreign Governmental Authority that regulates medical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Medical Products</w:t>
      </w:r>
      <w:r>
        <w:rPr>
          <w:rFonts w:ascii="Times New Roman;Times;Serif" w:hAnsi="Times New Roman;Times;Serif"/>
          <w:b w:val="false"/>
          <w:i w:val="false"/>
          <w:caps w:val="false"/>
          <w:smallCaps w:val="false"/>
          <w:sz w:val="20"/>
        </w:rPr>
        <w:t>” means any products manufactured, marketed or distributed that require regulated by the FDA under the FDCA.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Net Proceeds</w:t>
      </w:r>
      <w:r>
        <w:rPr>
          <w:rFonts w:ascii="Times New Roman;Times;Serif" w:hAnsi="Times New Roman;Times;Serif"/>
          <w:b w:val="false"/>
          <w:i w:val="false"/>
          <w:caps w:val="false"/>
          <w:smallCaps w:val="false"/>
          <w:sz w:val="20"/>
        </w:rPr>
        <w:t>” means, as of the date of determination, the aggregate gross proceeds received net of (a) underwriting commissions and discounts and (b) the reasonable direct legal and accounting costs fees and expenses incurred by any Loan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Net Working Capital</w:t>
      </w:r>
      <w:r>
        <w:rPr>
          <w:rFonts w:ascii="Times New Roman;Times;Serif" w:hAnsi="Times New Roman;Times;Serif"/>
          <w:b w:val="false"/>
          <w:i w:val="false"/>
          <w:caps w:val="false"/>
          <w:smallCaps w:val="false"/>
          <w:sz w:val="20"/>
        </w:rPr>
        <w:t xml:space="preserve">” means, at any date, (a) the consolidated current assets of Parent and its Subsidiaries as of such date (excluding cash and Cash Equivalents) which may be properly classified as current assets on a consolidated balance sheet of Parent and its Subsidiaries in accordance with GAAP,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(b) the consolidated current liabilities of Parent and its Subsidiaries as of such date (excluding current liabilities in respect of Indebtedness and current and deferred Taxes) properly classified as current liabilities on a consolidated balance sheet of Parent and its Subsidiaries in accordance with GAAP. Net Working Capital at any date may be a positive or negative number. Net Working Capital increases when it becomes more positive or less negative and decreases when it becomes less positive or more negative.</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16</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xml:space="preserve">” means a term note substantially in the form of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attached hereto; and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means, collectively all such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Note Offering</w:t>
      </w:r>
      <w:r>
        <w:rPr>
          <w:rFonts w:ascii="Times New Roman;Times;Serif" w:hAnsi="Times New Roman;Times;Serif"/>
          <w:b w:val="false"/>
          <w:i w:val="false"/>
          <w:caps w:val="false"/>
          <w:smallCaps w:val="false"/>
          <w:sz w:val="20"/>
        </w:rPr>
        <w:t>” means the issuance of unsecured notes by Parent with B. Riley Securities, Inc. acting as underwriter and left lead bookrunner and pursuant to an effective registration statement on Form S-3 with the SEC on terms and conditions reasonably acceptable to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Obligations</w:t>
      </w:r>
      <w:r>
        <w:rPr>
          <w:rFonts w:ascii="Times New Roman;Times;Serif" w:hAnsi="Times New Roman;Times;Serif"/>
          <w:b w:val="false"/>
          <w:i w:val="false"/>
          <w:caps w:val="false"/>
          <w:smallCaps w:val="false"/>
          <w:sz w:val="20"/>
        </w:rPr>
        <w:t>” means any and all obligations, liabilities and indebtedness of each Loan Party to Administrative Agent or any Lender of any and every kind and nature, arising under any of the Loan Documents howsoever created, arising or evidenced and howsoever owned, held or acquired, whether now or hereafter existing, whether now due or to become due, including interest and fees that accrue after the commencement by or against Loan Party or any Affiliate thereof of any proceeding under any debtor relief laws naming such Person as the debtor in such proceeding, regardless of whether such interest and fees are allowed claims in such proceeding, whether primary, secondary, direct, indirect, absolute, contingent or otherwise, whether several, joint or joint and several. Without limiting the foregoing, the Obligations include (a) the obligation to pay principal, interest (including, the Make-Whole Amount), letter of credit commissions, charges, expenses, fees (including the Prepayment Fee), indemnities and other amounts payable by any Loan Party under any Loan Document and (b) the obligation of any Loan Party to reimburse any amount in respect of any of the foregoing that Administrative Agent or any Lender, in each case in its sole discretion, may elect to pay or advance on behalf of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Orders</w:t>
      </w:r>
      <w:r>
        <w:rPr>
          <w:rFonts w:ascii="Times New Roman;Times;Serif" w:hAnsi="Times New Roman;Times;Serif"/>
          <w:b w:val="false"/>
          <w:i w:val="false"/>
          <w:caps w:val="false"/>
          <w:smallCaps w:val="false"/>
          <w:sz w:val="20"/>
        </w:rPr>
        <w:t>” means judgments, writs, decrees, compliance agreements, injunctions or orders of any Governmental Authority or arbitrator and guidelines issued by any Governmental Authority administering any Environmental Health and Safety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is the U.S. Department of Treasury Office of Foreign Assets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OFAC Lists</w:t>
      </w:r>
      <w:r>
        <w:rPr>
          <w:rFonts w:ascii="Times New Roman;Times;Serif" w:hAnsi="Times New Roman;Times;Serif"/>
          <w:b w:val="false"/>
          <w:i w:val="false"/>
          <w:caps w:val="false"/>
          <w:smallCaps w:val="false"/>
          <w:sz w:val="20"/>
        </w:rPr>
        <w:t>” are,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Organization Documents</w:t>
      </w:r>
      <w:r>
        <w:rPr>
          <w:rFonts w:ascii="Times New Roman;Times;Serif" w:hAnsi="Times New Roman;Times;Serif"/>
          <w:b w:val="false"/>
          <w:i w:val="false"/>
          <w:caps w:val="false"/>
          <w:smallCaps w:val="false"/>
          <w:sz w:val="20"/>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or limited liability company agreement (or equivalent or comparable documents with respect to any non-U.S. jurisdiction); (c) with respect to any partnership, joint venture, trust or other form of business entity, the partnership, joint venture or other applicable agreement of formation or organization and (d) with respect to all entities, any agreement, instrument, filing or notice with respect thereto filed in connection with its formation or organization with the applicable Governmental Authority in the jurisdiction of its formation or organization.</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17</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Overnight Rate</w:t>
      </w:r>
      <w:r>
        <w:rPr>
          <w:rFonts w:ascii="Times New Roman;Times;Serif" w:hAnsi="Times New Roman;Times;Serif"/>
          <w:b w:val="false"/>
          <w:i w:val="false"/>
          <w:caps w:val="false"/>
          <w:smallCaps w:val="false"/>
          <w:sz w:val="20"/>
        </w:rPr>
        <w:t xml:space="preserve">” means, for any day, the greater of (a) the Federal Funds Rate and (b) an overnight rate determined by the Administrative Agent in accordance with banking industry rules on interbank compensation. As used herein, “Federal Funds Rate”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Federal Funds Rate as so determined would be less than zero, such rate shall be deemed to be zero for the purposes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Paid in Full</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Payment in Full</w:t>
      </w:r>
      <w:r>
        <w:rPr>
          <w:rFonts w:ascii="Times New Roman;Times;Serif" w:hAnsi="Times New Roman;Times;Serif"/>
          <w:b w:val="false"/>
          <w:i w:val="false"/>
          <w:caps w:val="false"/>
          <w:smallCaps w:val="false"/>
          <w:sz w:val="20"/>
        </w:rPr>
        <w:t>” means, with respect to the Obligations, (a) the irrevocable payment in full in cash of all such Obligations (other than contingent indemnification obligations to the extent no claim giving rise thereto has been asserted), (b) the termination or expiration of all Term Loan Commitments and (c) the termination of this Agreement and the other Loan Documents (other than with respect to any provisions that expressly survive the termination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Patents</w:t>
      </w:r>
      <w:r>
        <w:rPr>
          <w:rFonts w:ascii="Times New Roman;Times;Serif" w:hAnsi="Times New Roman;Times;Serif"/>
          <w:b w:val="false"/>
          <w:i w:val="false"/>
          <w:caps w:val="false"/>
          <w:smallCaps w:val="false"/>
          <w:sz w:val="20"/>
        </w:rPr>
        <w:t xml:space="preserve">” means all rights in and to inventions and discoveries, patents, patent applications and like protections including without limitation all national (including the United States) and multinational statutory invention registrations, industrial designs, industrial models, improvements, provisional applications, divisions, continuations, renewals, reissues, re-examination certificates, utility models, extensions and continuations-in-part, patents subjected to </w:t>
      </w:r>
      <w:r>
        <w:rPr>
          <w:rFonts w:ascii="Times New Roman;Times;Serif" w:hAnsi="Times New Roman;Times;Serif"/>
          <w:b w:val="false"/>
          <w:i/>
          <w:caps w:val="false"/>
          <w:smallCaps w:val="false"/>
          <w:sz w:val="20"/>
        </w:rPr>
        <w:t>inter partes</w:t>
      </w:r>
      <w:r>
        <w:rPr>
          <w:rFonts w:ascii="Times New Roman;Times;Serif" w:hAnsi="Times New Roman;Times;Serif"/>
          <w:b w:val="false"/>
          <w:i w:val="false"/>
          <w:caps w:val="false"/>
          <w:smallCaps w:val="false"/>
          <w:sz w:val="20"/>
        </w:rPr>
        <w:t xml:space="preserve"> review or supplemental examination, and all similar rights provided by multinational treaties or conventions.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Permits</w:t>
      </w:r>
      <w:r>
        <w:rPr>
          <w:rFonts w:ascii="Times New Roman;Times;Serif" w:hAnsi="Times New Roman;Times;Serif"/>
          <w:b w:val="false"/>
          <w:i w:val="false"/>
          <w:caps w:val="false"/>
          <w:smallCaps w:val="false"/>
          <w:sz w:val="20"/>
        </w:rPr>
        <w:t>” means all permits, including laboratory permits, licenses, authorizations, registrations, franchises, approvals, certificates, variances and similar rights obtained, or required to be obtained, from Governmental Authorities.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Indebtedness</w:t>
      </w:r>
      <w:r>
        <w:rPr>
          <w:rFonts w:ascii="Times New Roman;Times;Serif" w:hAnsi="Times New Roman;Times;Serif"/>
          <w:b w:val="false"/>
          <w:i w:val="false"/>
          <w:caps w:val="false"/>
          <w:smallCaps w:val="false"/>
          <w:sz w:val="20"/>
        </w:rPr>
        <w:t>” is: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Loan Party’s Indebtedness to the Lenders and Administrative Agent under this Agreement and the other Loan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Indebtedness existing on the Effective Date and disclosed on the </w:t>
      </w:r>
      <w:r>
        <w:rPr>
          <w:rFonts w:ascii="Times New Roman;Times;Serif" w:hAnsi="Times New Roman;Times;Serif"/>
          <w:b w:val="false"/>
          <w:i w:val="false"/>
          <w:caps w:val="false"/>
          <w:smallCaps w:val="false"/>
          <w:sz w:val="20"/>
          <w:u w:val="single"/>
        </w:rPr>
        <w:t>Schedule 1.4</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Subordinated Debt;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unsecured Indebtedness to trade creditors in the ordinary course of business that is not past due more than 90 days and unsecured Indebtedness in connection with credit cards incurred in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Indebtedness consisting of capitalized lease obligations and purchase money Indebtedness, in each case incurred by Parent or any of its Subsidiaries to finance the acquisition, repair, improvement or construction of fixed or capital assets of such person, provided that (i) the aggregate outstanding principal amount of all such Indebtedness does not exceed One Million Dollars ($1,000,000) for the capitalized lease obligations and purchase money Indebtedness at any time, and (ii) the principal amount of such Indebtedness does not exceed the lower of the cost or fair market value of the property so acquired or built or of such repairs or improvements financed with such Indebtedness (each measured at the time of such acquisition, repair, improvement or construction is made);</w:t>
      </w:r>
    </w:p>
    <w:p>
      <w:pPr>
        <w:pStyle w:val="TextBody"/>
        <w:bidi w:val="0"/>
        <w:spacing w:before="0" w:after="0"/>
        <w:ind w:left="0" w:right="0" w:firstLine="144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18</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Indebtedness incurred as a result of endorsing negotiable instruments received in the ordinary course of Borrower’s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Indebtedness related to letters of credit backstopping trade payables, real estate leases and otherwise incurred in the ordinary course of business, in an aggregate outstanding face amount not to exceed in aggregate One Million Five Hundred Thousand Dollars ($1,500,000);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(i) unsecured Indebtedness of Parent issued pursuant to one or more Note Offering(s) prior to the Closing Date, (ii) unsecured Indebtedness of Parent in an aggregate amount up to Fifty Million Dollars ($50,000,000) issued pursuant to a Note Offering after the Closing Date, the gross proceeds of which are used substantially concurrently with the receipt thereof to fund the Additional Consideration (under and as defined in the Closing Date Acquisition Agreement as in effect on the Effective Date) and (iii) additional unsecured Indebtedness of Parent issued pursuant to a Note Offering after the Closing Date, the Net Proceeds of which are immediately applied to make a mandatory prepayment of the Term Loan; in each of sub-clauses (ii) and (iii) so long as (A) the maturity date of such Indebtedness is no earlier than the date that is one hundred eighty (180) days following the Stated Maturity Date, (B) no Subsidiary of Parent shall guarantee any such Indebtedness, (C) prior to the incurrence thereof, Borrower shall have delivered evidence satisfactory to Administrative Agent demonstrating compliance with the financial covenants set forth in </w:t>
      </w:r>
      <w:r>
        <w:rPr>
          <w:rFonts w:ascii="Times New Roman;Times;Serif" w:hAnsi="Times New Roman;Times;Serif"/>
          <w:b w:val="false"/>
          <w:i w:val="false"/>
          <w:caps w:val="false"/>
          <w:smallCaps w:val="false"/>
          <w:sz w:val="20"/>
          <w:u w:val="single"/>
        </w:rPr>
        <w:t>Section 7.15</w:t>
      </w:r>
      <w:r>
        <w:rPr>
          <w:rFonts w:ascii="Times New Roman;Times;Serif" w:hAnsi="Times New Roman;Times;Serif"/>
          <w:b w:val="false"/>
          <w:i w:val="false"/>
          <w:caps w:val="false"/>
          <w:smallCaps w:val="false"/>
          <w:sz w:val="20"/>
        </w:rPr>
        <w:t xml:space="preserve"> herein on a pro forma basis, and (D) the terms and conditions of such additional unsecured Indebtedness shall be acceptable to Administrative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Indebtedness consisting of the bona fide financing of insurance premiums or self-insurance obligations (which must be commercially reasonable and consistent with insurance practices generally) that does not exceed One Million Five Hundred Thousand Dollars ($1,500,000);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Indebtedness (i) among the Loan Parties subject to the subordination terms set forth in </w:t>
      </w:r>
      <w:r>
        <w:rPr>
          <w:rFonts w:ascii="Times New Roman;Times;Serif" w:hAnsi="Times New Roman;Times;Serif"/>
          <w:b w:val="false"/>
          <w:i w:val="false"/>
          <w:caps w:val="false"/>
          <w:smallCaps w:val="false"/>
          <w:sz w:val="20"/>
          <w:u w:val="single"/>
        </w:rPr>
        <w:t>Section 13.18</w:t>
      </w:r>
      <w:r>
        <w:rPr>
          <w:rFonts w:ascii="Times New Roman;Times;Serif" w:hAnsi="Times New Roman;Times;Serif"/>
          <w:b w:val="false"/>
          <w:i w:val="false"/>
          <w:caps w:val="false"/>
          <w:smallCaps w:val="false"/>
          <w:sz w:val="20"/>
        </w:rPr>
        <w:t xml:space="preserve"> hereof, (ii) of any Subsidiary that is not a Loan Party owed to a Loan Party that is a Permitted Investment, (iii) of any Loan Party that is unsecured and owed to any Subsidiary that is not a Loan Party and (iv) of any Subsidiary that is not a Loan Party to another Subsidiary that is not a Loan Party; provided that, if any such Indebtedness exceeds Two Hundred and Fifty Thousand ($250,000) for each transaction or Seven Hundred and Fifty Thousand Dollars ($750,000) in the aggregate for all such transactions at any time, then, in the case of the foregoing (x) clause (i), not later than the Closing Date, the Loan Parties shall enter into an intercompany note to evidence such Indebtedness and deliver such intercompany note to Administrative Agent as Collateral, (y) clause (ii), any notes or other instruments evidencing such Indebtedness are pledged and delivered to Administrative Agent as Collateral and (z) clause (iii), such Indebtedness shall be subordinated to the Obligations hereunder in form and substance satisfactory to Administrative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Deposits or advances received from customers in the ordinary course of business;</w:t>
      </w:r>
    </w:p>
    <w:p>
      <w:pPr>
        <w:pStyle w:val="TextBody"/>
        <w:bidi w:val="0"/>
        <w:spacing w:before="0" w:after="0"/>
        <w:ind w:left="0" w:right="0" w:firstLine="144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19</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Indebtedness consisting of guarantees resulting from endorsement of negotiable instruments for collection by Parent or any Subsidiary in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Indebtedness consisting of the obligation to pay rent when due under real property leases entered into in the ordinary course of business so long as such Indebtedness is not overdue;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surety bonds and similar Indebtedness entered into in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Indebtedness not otherwise permitted herein in an aggregate principal amount not to exceed Five Hundred Thousand Dollars ($500,000) at any time outstanding;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extensions, refinancings, modifications, amendments and restatements of any items of Permitted Indebtedness (a) through (o) above, provided that the principal amount thereof is not increased or the terms thereof are not modified to impose materially more burdensome terms upon Borrower, Parent or any of its Subsidiaries,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Investments</w:t>
      </w:r>
      <w:r>
        <w:rPr>
          <w:rFonts w:ascii="Times New Roman;Times;Serif" w:hAnsi="Times New Roman;Times;Serif"/>
          <w:b w:val="false"/>
          <w:i w:val="false"/>
          <w:caps w:val="false"/>
          <w:smallCaps w:val="false"/>
          <w:sz w:val="20"/>
        </w:rPr>
        <w:t>” 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Investments disclosed on </w:t>
      </w:r>
      <w:r>
        <w:rPr>
          <w:rFonts w:ascii="Times New Roman;Times;Serif" w:hAnsi="Times New Roman;Times;Serif"/>
          <w:b w:val="false"/>
          <w:i w:val="false"/>
          <w:caps w:val="false"/>
          <w:smallCaps w:val="false"/>
          <w:sz w:val="20"/>
          <w:u w:val="single"/>
        </w:rPr>
        <w:t>Schedule 1.5</w:t>
      </w:r>
      <w:r>
        <w:rPr>
          <w:rFonts w:ascii="Times New Roman;Times;Serif" w:hAnsi="Times New Roman;Times;Serif"/>
          <w:b w:val="false"/>
          <w:i w:val="false"/>
          <w:caps w:val="false"/>
          <w:smallCaps w:val="false"/>
          <w:sz w:val="20"/>
        </w:rPr>
        <w:t xml:space="preserve"> hereto and existing on the Effective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Investments consisting of cash and Cash Equivalents of the Loan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Investments consisting of the endorsement of negotiable instruments for deposit or collection or similar transactions in the ordinary course of Borrower;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Investments consisting of Deposit Accounts if Administrative Agent has (or is not required to have pursuant to the terms of this Agreement) a first priority perfected security interest in each such Deposit Account;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Investments in connection with Transfers permitted by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Investments consisting of (i) travel advances and employee relocation loans and other employee loans and advances in the ordinary course of business, (ii) loans to employees, officers or directors relating to the purchase of equity securities of Parent or its Subsidiaries pursuant to employee stock purchase plans or agreements approved by Parent’s board of directors, and (iii) other loans or arrangements in the ordinary course of the Parent’s business that does not to exceed, in the aggregate for clauses (i), (ii) and (iii), Three Hundred Fifty Thousand Dollars ($350,000) in each Fiscal Year.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pStyle w:val="TextBody"/>
        <w:bidi w:val="0"/>
        <w:spacing w:before="0" w:after="0"/>
        <w:ind w:left="0" w:right="0" w:firstLine="144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20</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Investments consisting of notes receivable of, or prepaid royalties and other credit extensions, to customers and suppliers who are not Affiliates, in the ordinary course of business; provided that this paragraph (h) shall not apply to Investments of Parent or Borrower in any Subsidiary of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 Investments among Loan Parties, (x) Investments by Loan Parties in Subsidiaries that are not Loan Parties, not to exceed in the aggregate Five Hundred Thousand Dollars ($500,000) per fiscal year and not to include any Intellectual Property of any Loan Party, (y) unsecured Investments by non-Loan Party Subsidiaries in Loan Parties constituting Permitted Indebtedness, and (z) Investments by non-Loan Party Subsidiaries in other non-Loan Party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 non-cash Investments in joint ventures or strategic alliances in the ordinary course of Borrower’s business consisting of the non-exclusive licensing of technology, the development of technology or the providing of technical support, and (ii) other cash Investments in joint ventures or strategic alliances; provided that, with respect to such Investments under this sub-clause (ii), the aggregate amount of all such cash Investments made during any fiscal year shall not exceed Five Hundred Thousand Dollars ($500,000);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cash Investments not otherwise permitted herein not to exceed Five Hundred Thousand Dollars ($500,000) in the aggregate outstanding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Licenses</w:t>
      </w:r>
      <w:r>
        <w:rPr>
          <w:rFonts w:ascii="Times New Roman;Times;Serif" w:hAnsi="Times New Roman;Times;Serif"/>
          <w:b w:val="false"/>
          <w:i w:val="false"/>
          <w:caps w:val="false"/>
          <w:smallCaps w:val="false"/>
          <w:sz w:val="20"/>
        </w:rPr>
        <w:t xml:space="preserve">” are (A) licenses of over-the-counter software that is commercially available to the public, or (B) non-exclusive licenses for the use of the Intellectual Property of Parent or any of its Subsidiaries entered into in the ordinary course of business,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with respect to each such license described in clause (B), the license constitutes an arms-length transaction, the terms of which, on their face, do not provide for a sale or assignment of any Intellectual Property and do not restrict the ability of Parent or any of its Subsidiaries, as applicable, to pledge, grant a security interest in or lien on, or assign or otherwise Transfer any Intellectual Property, and Borrower has obtained the consent and acknowledgement of the counterparty to such license for the collateral assignment of such license to Administrative Agent for the benefit of the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Liens</w:t>
      </w:r>
      <w:r>
        <w:rPr>
          <w:rFonts w:ascii="Times New Roman;Times;Serif" w:hAnsi="Times New Roman;Times;Serif"/>
          <w:b w:val="false"/>
          <w:i w:val="false"/>
          <w:caps w:val="false"/>
          <w:smallCaps w:val="false"/>
          <w:sz w:val="20"/>
        </w:rPr>
        <w:t>” 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Liens existing on the Effective Date and disclosed on </w:t>
      </w:r>
      <w:r>
        <w:rPr>
          <w:rFonts w:ascii="Times New Roman;Times;Serif" w:hAnsi="Times New Roman;Times;Serif"/>
          <w:b w:val="false"/>
          <w:i w:val="false"/>
          <w:caps w:val="false"/>
          <w:smallCaps w:val="false"/>
          <w:sz w:val="20"/>
          <w:u w:val="single"/>
        </w:rPr>
        <w:t>Schedule 1.6</w:t>
      </w:r>
      <w:r>
        <w:rPr>
          <w:rFonts w:ascii="Times New Roman;Times;Serif" w:hAnsi="Times New Roman;Times;Serif"/>
          <w:b w:val="false"/>
          <w:i w:val="false"/>
          <w:caps w:val="false"/>
          <w:smallCaps w:val="false"/>
          <w:sz w:val="20"/>
        </w:rPr>
        <w:t xml:space="preserve"> hereto or arising under this Agreement and the other Loan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Liens for taxes, fees, assessments or other government charges or levies, either (i) not due and payable or (ii) being contested in good faith and for which Parent maintains adequate reserves on its books, provided that no notice of any such Lien has been filed or recorded under the Internal Revenue Code of 1986, as amended, and the Treasury Regulations adopted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Liens securing Indebtedness permitted under clause (e) of the definition of “Permitted Indebtedness,” provided that (i) such liens exist prior to the acquisition of, or attach substantially simultaneous with, or within twenty (20) days after the, acquisition, lease, repair, improvement or construction of, such property financed or leased by such Indebtedness and (ii) such liens do not extend to any property of any Loan Party other than the property (and proceeds thereof) acquired, leased or built, or the improvements or repairs, financed by such Indebtedness;</w:t>
      </w:r>
    </w:p>
    <w:p>
      <w:pPr>
        <w:pStyle w:val="TextBody"/>
        <w:bidi w:val="0"/>
        <w:spacing w:before="0" w:after="0"/>
        <w:ind w:left="0" w:right="0" w:firstLine="144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21</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Liens securing Indebtedness permitted under clause (g) of the definition of “Permitted Indebtedness”;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Liens of carriers, warehousemen, landlords, suppliers, or other Persons that are possessory in nature arising in the ordinary course of business, securing liabilities which are not delinquent or remain payable without penalty or which are being contested in good faith and by appropriate proceedings which proceedings have the effect of preventing the forfeiture or sale of the property subject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Liens to secure payment of workers’ compensation, employment insurance, old-age pensions, social security and other like obligations incurred in the ordinary course of business (other than Liens imposed by ERISA);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Liens incurred in the extension, renewal or refinancing of the indebtedness secured by Liens described in (a) through (d), </w:t>
      </w:r>
      <w:r>
        <w:rPr>
          <w:rFonts w:ascii="Times New Roman;Times;Serif" w:hAnsi="Times New Roman;Times;Serif"/>
          <w:b w:val="false"/>
          <w:i w:val="false"/>
          <w:caps w:val="false"/>
          <w:smallCaps w:val="false"/>
          <w:sz w:val="20"/>
          <w:u w:val="single"/>
        </w:rPr>
        <w:t>but</w:t>
      </w:r>
      <w:r>
        <w:rPr>
          <w:rFonts w:ascii="Times New Roman;Times;Serif" w:hAnsi="Times New Roman;Times;Serif"/>
          <w:b w:val="false"/>
          <w:i w:val="false"/>
          <w:caps w:val="false"/>
          <w:smallCaps w:val="false"/>
          <w:sz w:val="20"/>
        </w:rPr>
        <w:t xml:space="preserve"> any extension, renewal or replacement Lien must be limited to the property encumbered by the existing Lien and the principal amount of the indebtedness may not increase;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Administrative Agent or any Lender a security interest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banker’s liens, rights of setoff and Liens in favor of financial institutions incurred in the ordinary course of business arising in connection with any Loan Party’s deposit accounts or securities accounts held at such institutions solely to secure payment of fees and similar costs and expenses and provided such accounts are maintained in compliance with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Liens arising from judgments, decrees or attachments in circumstances not constituting an Event of Default under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8.7</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Permitted Licenses;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security deposits under real property leases that are made in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servitudes, easements, rights of way, restrictions and other similar encumbrances on real property imposed by applicable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encumbrances consisting of zoning or building restrictions, easements, licenses, restrictions on the use of property or minor imperfections in title thereto which, in the aggregate, are not material, and which do not in any case materially detract from the value of the property subject thereto or interfere with the ordinary conduct of the business of Parent and its Subsidiaries; and with respect to any real property, (A) such defects or encroachments as might be revealed by an up-to-date survey of such real property; (B) the reservations, limitations, provisos and conditions expressed in the original grant, deed or patent of such property by the original owner of such real property pursuant to applicable laws; and (C) rights of expropriation, access or user or any similar right conferred or reserved by or in applicable laws, which, in the aggregate for (A), (B) and (C), are not material, and which do not in any case materially detract from the value of the property subject thereto or interfere with the ordinary conduct of the business of Parent and its Subsidiaries; and</w:t>
      </w:r>
    </w:p>
    <w:p>
      <w:pPr>
        <w:pStyle w:val="TextBody"/>
        <w:bidi w:val="0"/>
        <w:spacing w:before="0" w:after="0"/>
        <w:ind w:left="0" w:right="0" w:firstLine="144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22</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Liens not otherwise permitted herein securing obligations not to exceed Five Hundred Thousand Dollars ($500,000) in the aggregate at any time outstanding and not secured by the Collateral or which Lien is not prior to the Lien of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Prior Lien</w:t>
      </w:r>
      <w:r>
        <w:rPr>
          <w:rFonts w:ascii="Times New Roman;Times;Serif" w:hAnsi="Times New Roman;Times;Serif"/>
          <w:b w:val="false"/>
          <w:i w:val="false"/>
          <w:caps w:val="false"/>
          <w:smallCaps w:val="false"/>
          <w:sz w:val="20"/>
        </w:rPr>
        <w:t>” means Liens constituting Permitted Liens under clauses (b), (c), (d), (e), (f), (i), (j) or (l) of the definition of Permitted Liens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Pledge Agreement</w:t>
      </w:r>
      <w:r>
        <w:rPr>
          <w:rFonts w:ascii="Times New Roman;Times;Serif" w:hAnsi="Times New Roman;Times;Serif"/>
          <w:b w:val="false"/>
          <w:i w:val="false"/>
          <w:caps w:val="false"/>
          <w:smallCaps w:val="false"/>
          <w:sz w:val="20"/>
        </w:rPr>
        <w:t>” means (a) that certain Pledge Agreement executed and delivered by each Loan Party to Administrative Agent and dated as of the Effective Date, and (b) any other pledge agreement executed and delivered to Administrative Agent from time to time under this Agreement; each as may be amended, restated, supplemented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Prepayment Fee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Proceedings</w:t>
      </w:r>
      <w:r>
        <w:rPr>
          <w:rFonts w:ascii="Times New Roman;Times;Serif" w:hAnsi="Times New Roman;Times;Serif"/>
          <w:b w:val="false"/>
          <w:i w:val="false"/>
          <w:caps w:val="false"/>
          <w:smallCaps w:val="false"/>
          <w:sz w:val="20"/>
        </w:rPr>
        <w:t>” means actions, suits, Claims, investigations, whether at law or in equity or before or by any Governmental Authority or arbitrator, or legal or administrative or arbitration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Product</w:t>
      </w:r>
      <w:r>
        <w:rPr>
          <w:rFonts w:ascii="Times New Roman;Times;Serif" w:hAnsi="Times New Roman;Times;Serif"/>
          <w:b w:val="false"/>
          <w:i w:val="false"/>
          <w:caps w:val="false"/>
          <w:smallCaps w:val="false"/>
          <w:sz w:val="20"/>
        </w:rPr>
        <w:t>” means any products manufactured, sold, developed, tested or marketed by Parent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Property</w:t>
      </w:r>
      <w:r>
        <w:rPr>
          <w:rFonts w:ascii="Times New Roman;Times;Serif" w:hAnsi="Times New Roman;Times;Serif"/>
          <w:b w:val="false"/>
          <w:i w:val="false"/>
          <w:caps w:val="false"/>
          <w:smallCaps w:val="false"/>
          <w:sz w:val="20"/>
        </w:rPr>
        <w:t>” means any interest in any kind of property or asset, whether real, personal or mixed, and whether tangible or intangible.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 Rata Share</w:t>
      </w:r>
      <w:r>
        <w:rPr>
          <w:rFonts w:ascii="Times New Roman;Times;Serif" w:hAnsi="Times New Roman;Times;Serif"/>
          <w:b w:val="false"/>
          <w:i w:val="false"/>
          <w:caps w:val="false"/>
          <w:smallCaps w:val="false"/>
          <w:sz w:val="20"/>
        </w:rPr>
        <w:t>” is, as of any date of determination, with respect to each Lender, a percentage (expressed as a decimal, rounded to the ninth decimal place) determined by (a) prior to the funding of the Term Loans, determined by dividing the Term Loan Commitment of such Lender by the aggregate Term Loan Commitments of all Lenders or (b) following the funding of the Term Loans, determined by dividing the outstanding principal amount of Term Loans held by such Lender by the aggregate outstanding principal amount of all Term Loans.</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23</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PTE</w:t>
      </w:r>
      <w:r>
        <w:rPr>
          <w:rFonts w:ascii="Times New Roman;Times;Serif" w:hAnsi="Times New Roman;Times;Serif"/>
          <w:b w:val="false"/>
          <w:i w:val="false"/>
          <w:caps w:val="false"/>
          <w:smallCaps w:val="false"/>
          <w:sz w:val="20"/>
        </w:rPr>
        <w:t>” means a prohibited transaction class exemption issued by the U.S. Department of Labor, as any such exemption may be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QFC</w:t>
      </w:r>
      <w:r>
        <w:rPr>
          <w:rFonts w:ascii="Times New Roman;Times;Serif" w:hAnsi="Times New Roman;Times;Serif"/>
          <w:b w:val="false"/>
          <w:i w:val="false"/>
          <w:caps w:val="false"/>
          <w:smallCaps w:val="false"/>
          <w:sz w:val="20"/>
        </w:rPr>
        <w:t>” has the meaning assigned to the term “qualified financial contract” in, and shall be interpreted in accordance with, 12 U.S.C. 5390(c)(8)(D).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Qualified ECP Guarantor</w:t>
      </w:r>
      <w:r>
        <w:rPr>
          <w:rFonts w:ascii="Times New Roman;Times;Serif" w:hAnsi="Times New Roman;Times;Serif"/>
          <w:b w:val="false"/>
          <w:i w:val="false"/>
          <w:caps w:val="false"/>
          <w:smallCaps w:val="false"/>
          <w:sz w:val="20"/>
        </w:rPr>
        <w:t>” means, at any time, each Loan Party with total assets exceeding $10,000,000 or that qualifies at such time as an “eligible contract participant” under the Commodity Exchange Act and, in each case, can cause another Person to qualify as an “eligible contract participant” at such time under Section 1a(18)(A)(v)(II) of the Commodity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Rescindable Amount</w:t>
      </w:r>
      <w:r>
        <w:rPr>
          <w:rFonts w:ascii="Times New Roman;Times;Serif" w:hAnsi="Times New Roman;Times;Serif"/>
          <w:b w:val="false"/>
          <w:i w:val="false"/>
          <w:caps w:val="false"/>
          <w:smallCaps w:val="false"/>
          <w:sz w:val="20"/>
        </w:rPr>
        <w:t>” means, with respect to any payment that the Administrative Agent makes for the account of the Lenders hereunder as to which the Administrative Agent determines (which determination shall be conclusive absent manifest error) that any of the following applies: (A) the Borrower has not in fact made such payment; (B) the Administrative Agent has made a payment in excess of the amount so paid by Borrower (whether or not then owed); or (C) the Administrative Agent has for any reason otherwise erroneously made such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Registered Organization</w:t>
      </w:r>
      <w:r>
        <w:rPr>
          <w:rFonts w:ascii="Times New Roman;Times;Serif" w:hAnsi="Times New Roman;Times;Serif"/>
          <w:b w:val="false"/>
          <w:i w:val="false"/>
          <w:caps w:val="false"/>
          <w:smallCaps w:val="false"/>
          <w:sz w:val="20"/>
        </w:rPr>
        <w:t>” is any “registered organization” as defined in the Code with such additions to such term as may hereafter be made under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Registration</w:t>
      </w:r>
      <w:r>
        <w:rPr>
          <w:rFonts w:ascii="Times New Roman;Times;Serif" w:hAnsi="Times New Roman;Times;Serif"/>
          <w:b w:val="false"/>
          <w:i w:val="false"/>
          <w:caps w:val="false"/>
          <w:smallCaps w:val="false"/>
          <w:sz w:val="20"/>
        </w:rPr>
        <w:t>” means any registration, authorization, approval, license, permit, clearance, certificate, and exemption issued or allowed by the FDA or state pharmacy licensing authorities (including, without limitation, new drug applications, abbreviated new drug applications, biologics license applications, investigational new drug applications, over-the-counter drug monograph, device pre-market approval applications, device pre-market notifications, investigational device exemptions, product recertifications, manufacturing approvals, registrations and authorizations, CE Marks, pricing and reimbursement approvals, labeling approvals or their foreign equivalent, controlled substance registrations, and wholesale distributor permits).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Regulatory Action</w:t>
      </w:r>
      <w:r>
        <w:rPr>
          <w:rFonts w:ascii="Times New Roman;Times;Serif" w:hAnsi="Times New Roman;Times;Serif"/>
          <w:b w:val="false"/>
          <w:i w:val="false"/>
          <w:caps w:val="false"/>
          <w:smallCaps w:val="false"/>
          <w:sz w:val="20"/>
        </w:rPr>
        <w:t>” means an administrative, regulatory, or judicial enforcement action, proceeding, for cause investigation or inspection, FDA Form 483 notice of inspectional observation, warning letter, untitled letter, other notice of violation letter, recall, seizure, Section 305 notice or other similar written communication, injunction or consent decree, issued by the FDA or a federal or state court.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Related Persons</w:t>
      </w:r>
      <w:r>
        <w:rPr>
          <w:rFonts w:ascii="Times New Roman;Times;Serif" w:hAnsi="Times New Roman;Times;Serif"/>
          <w:b w:val="false"/>
          <w:i w:val="false"/>
          <w:caps w:val="false"/>
          <w:smallCaps w:val="false"/>
          <w:sz w:val="20"/>
        </w:rPr>
        <w:t>” means, with respect to any Person, each Affiliate of such Person and each director, officer, employee, agent, trustee, representative, attorney, accountant and each insurance, environmental, legal, financial and other advisor and other consultants and agents of or to such Person or any of its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Lenders</w:t>
      </w:r>
      <w:r>
        <w:rPr>
          <w:rFonts w:ascii="Times New Roman;Times;Serif" w:hAnsi="Times New Roman;Times;Serif"/>
          <w:b w:val="false"/>
          <w:i w:val="false"/>
          <w:caps w:val="false"/>
          <w:smallCaps w:val="false"/>
          <w:sz w:val="20"/>
        </w:rPr>
        <w:t>” means (a) prior to the funding of the Term Loan, Lenders holding at least fifty-one percent (51%) of the aggregate Term Loan Commitments, provided that if there are only two (2) Lenders, then Required Lenders hereunder shall mean both of such Lenders (Lenders that are Affiliates of one another being considered as one Lender for purposes of this proviso) and (b) following the funding of the Term Loan, Lenders holding at least fifty-one percent (51%) of the aggregate outstanding principal balance of the Term Loan, provided that if there are only two (2) Lenders, then Required Lenders hereunder shall mean both of such Lenders (Lenders that are Affiliates of one another being considered as one Lender for purposes of this proviso).</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24</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Resolution Authority</w:t>
      </w:r>
      <w:r>
        <w:rPr>
          <w:rFonts w:ascii="Times New Roman;Times;Serif" w:hAnsi="Times New Roman;Times;Serif"/>
          <w:b w:val="false"/>
          <w:i w:val="false"/>
          <w:caps w:val="false"/>
          <w:smallCaps w:val="false"/>
          <w:sz w:val="20"/>
        </w:rPr>
        <w:t>” means an EEA Resolution Authority or, with respect to any UK Financial Institution, a UK Resolution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Responsible Officer</w:t>
      </w:r>
      <w:r>
        <w:rPr>
          <w:rFonts w:ascii="Times New Roman;Times;Serif" w:hAnsi="Times New Roman;Times;Serif"/>
          <w:b w:val="false"/>
          <w:i w:val="false"/>
          <w:caps w:val="false"/>
          <w:smallCaps w:val="false"/>
          <w:sz w:val="20"/>
        </w:rPr>
        <w:t>” is either the Chief Executive Officer or Chief Financial Officer of Borrower acting alone.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Securities and Exchange Commission or any Governmental Authority succeeding to any of its principal functions.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Account</w:t>
      </w:r>
      <w:r>
        <w:rPr>
          <w:rFonts w:ascii="Times New Roman;Times;Serif" w:hAnsi="Times New Roman;Times;Serif"/>
          <w:b w:val="false"/>
          <w:i w:val="false"/>
          <w:caps w:val="false"/>
          <w:smallCaps w:val="false"/>
          <w:sz w:val="20"/>
        </w:rPr>
        <w:t>” is any “securities account” as defined in the Code with such additions to such term as may hereafter be made under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Solvent</w:t>
      </w:r>
      <w:r>
        <w:rPr>
          <w:rFonts w:ascii="Times New Roman;Times;Serif" w:hAnsi="Times New Roman;Times;Serif"/>
          <w:b w:val="false"/>
          <w:i w:val="false"/>
          <w:caps w:val="false"/>
          <w:smallCaps w:val="false"/>
          <w:sz w:val="20"/>
        </w:rPr>
        <w:t>” is, with respect to any Person: (a) the fair salable value of such Person’s consolidated assets (including goodwill minus disposition costs) exceeds the fair value of such Person’s consolidated liabilities; (b) such Person is not left with unreasonably small capital after the transactions in this Agreement; and (c) such Person is able to pay its debts (including trade debts) as they mature in the ordinary course (without taking into account any forbearance and extensions related thereto). For purposes of any representation of Borrower, such determination shall be made on a combined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Stated Maturity Date</w:t>
      </w:r>
      <w:r>
        <w:rPr>
          <w:rFonts w:ascii="Times New Roman;Times;Serif" w:hAnsi="Times New Roman;Times;Serif"/>
          <w:b w:val="false"/>
          <w:i w:val="false"/>
          <w:caps w:val="false"/>
          <w:smallCaps w:val="false"/>
          <w:sz w:val="20"/>
        </w:rPr>
        <w:t>” means the third anniversary of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Subordinated Debt</w:t>
      </w:r>
      <w:r>
        <w:rPr>
          <w:rFonts w:ascii="Times New Roman;Times;Serif" w:hAnsi="Times New Roman;Times;Serif"/>
          <w:b w:val="false"/>
          <w:i w:val="false"/>
          <w:caps w:val="false"/>
          <w:smallCaps w:val="false"/>
          <w:sz w:val="20"/>
        </w:rPr>
        <w:t>” is indebtedness incurred by Parent or any of its Subsidiaries subordinated to all Indebtedness of Parent and/or its Subsidiaries to the Lenders (pursuant to a subordination, intercreditor, or other similar agreement in form and substance reasonably satisfactory to Administrative Agent and the Lenders entered into between Administrative Agent, Parent, and/or any of its Subsidiaries, and the other creditor), on terms acceptable to Administrative Agent and the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is, with respect to any Person, any Person of which more than fifty percent (50%) of the voting stock or other Equity Interests (in the case of Persons other than corporations) is owned or controlled, directly or indirectly, by such Person or through one or more intermediaries. Unless otherwise specified, references herein to a Subsidiary means a Subsidiary of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Swap Contract</w:t>
      </w:r>
      <w:r>
        <w:rPr>
          <w:rFonts w:ascii="Times New Roman;Times;Serif" w:hAnsi="Times New Roman;Times;Serif"/>
          <w:b w:val="false"/>
          <w:i w:val="false"/>
          <w:caps w:val="false"/>
          <w:smallCaps w:val="false"/>
          <w:sz w:val="20"/>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Times;Serif" w:hAnsi="Times New Roman;Times;Serif"/>
          <w:b/>
          <w:i w:val="false"/>
          <w:caps w:val="false"/>
          <w:smallCaps w:val="false"/>
          <w:sz w:val="20"/>
        </w:rPr>
        <w:t>Master Agreement</w:t>
      </w:r>
      <w:r>
        <w:rPr>
          <w:rFonts w:ascii="Times New Roman;Times;Serif" w:hAnsi="Times New Roman;Times;Serif"/>
          <w:b w:val="false"/>
          <w:i w:val="false"/>
          <w:caps w:val="false"/>
          <w:smallCaps w:val="false"/>
          <w:sz w:val="20"/>
        </w:rPr>
        <w:t>”), including any such obligations or liabilities under any Master Agreement.</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25</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Synthetic Lease Obligation</w:t>
      </w:r>
      <w:r>
        <w:rPr>
          <w:rFonts w:ascii="Times New Roman;Times;Serif" w:hAnsi="Times New Roman;Times;Serif"/>
          <w:b w:val="false"/>
          <w:i w:val="false"/>
          <w:caps w:val="false"/>
          <w:smallCaps w:val="false"/>
          <w:sz w:val="20"/>
        </w:rPr>
        <w:t>” means the monetary obligation of a Person under (a) a so-called synthetic, off-balance 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Loan Commitment</w:t>
      </w:r>
      <w:r>
        <w:rPr>
          <w:rFonts w:ascii="Times New Roman;Times;Serif" w:hAnsi="Times New Roman;Times;Serif"/>
          <w:b w:val="false"/>
          <w:i w:val="false"/>
          <w:caps w:val="false"/>
          <w:smallCaps w:val="false"/>
          <w:sz w:val="20"/>
        </w:rPr>
        <w:t xml:space="preserve">” is, for any Lender, the obligation of such Lender to make a Term Loan, up to the principal amount shown on </w:t>
      </w:r>
      <w:r>
        <w:rPr>
          <w:rFonts w:ascii="Times New Roman;Times;Serif" w:hAnsi="Times New Roman;Times;Serif"/>
          <w:b w:val="false"/>
          <w:i w:val="false"/>
          <w:caps w:val="false"/>
          <w:smallCaps w:val="false"/>
          <w:sz w:val="20"/>
          <w:u w:val="single"/>
        </w:rPr>
        <w:t>Schedule 1.1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Term Loan Commitments</w:t>
      </w:r>
      <w:r>
        <w:rPr>
          <w:rFonts w:ascii="Times New Roman;Times;Serif" w:hAnsi="Times New Roman;Times;Serif"/>
          <w:b w:val="false"/>
          <w:i w:val="false"/>
          <w:caps w:val="false"/>
          <w:smallCaps w:val="false"/>
          <w:sz w:val="20"/>
        </w:rPr>
        <w:t xml:space="preserve">” means the aggregate amount of such commitments of all Lenders. The Term Loan Commitments shall equal the difference of (a) One Hundred Million Dollars ($100,000,000)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(b) the gross proceeds received under one or more Note Offerings during the period beginning on the Effective Date and ending on the Closing Date, and the allocated Term Loan Commitment of each Lender shall be determined by Administrative Agent on or prior to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Total Net Debt to Consolidated EBITDA Ratio</w:t>
      </w:r>
      <w:r>
        <w:rPr>
          <w:rFonts w:ascii="Times New Roman;Times;Serif" w:hAnsi="Times New Roman;Times;Serif"/>
          <w:b w:val="false"/>
          <w:i w:val="false"/>
          <w:caps w:val="false"/>
          <w:smallCaps w:val="false"/>
          <w:sz w:val="20"/>
        </w:rPr>
        <w:t xml:space="preserve">” means, as of the last day of any applicable Computation Period, the ratio of (a) Consolidated Funded Indebtedness as of such day,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Unrestricted Cash, to (b) Consolidated EBITDA for such Computation Period ending on such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Trademarks</w:t>
      </w:r>
      <w:r>
        <w:rPr>
          <w:rFonts w:ascii="Times New Roman;Times;Serif" w:hAnsi="Times New Roman;Times;Serif"/>
          <w:b w:val="false"/>
          <w:i w:val="false"/>
          <w:caps w:val="false"/>
          <w:smallCaps w:val="false"/>
          <w:sz w:val="20"/>
        </w:rPr>
        <w:t>” means any trademark and servicemark rights and rights in domain names social media accounts, and other indicia of source or origin, whether registered or not, applications to register and registrations of the same and like protections, and the entire goodwill connected with and symbolized by the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UK Financial Institution</w:t>
      </w:r>
      <w:r>
        <w:rPr>
          <w:rFonts w:ascii="Times New Roman;Times;Serif" w:hAnsi="Times New Roman;Times;Serif"/>
          <w:b w:val="false"/>
          <w:i w:val="false"/>
          <w:caps w:val="false"/>
          <w:smallCaps w:val="false"/>
          <w:sz w:val="20"/>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UK Resolution Authority</w:t>
      </w:r>
      <w:r>
        <w:rPr>
          <w:rFonts w:ascii="Times New Roman;Times;Serif" w:hAnsi="Times New Roman;Times;Serif"/>
          <w:b w:val="false"/>
          <w:i w:val="false"/>
          <w:caps w:val="false"/>
          <w:smallCaps w:val="false"/>
          <w:sz w:val="20"/>
        </w:rPr>
        <w:t>” means the Bank of England or any other public administrative authority having responsibility for the resolution of any UK Financial Institution.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Unrestricted Cash</w:t>
      </w:r>
      <w:r>
        <w:rPr>
          <w:rFonts w:ascii="Times New Roman;Times;Serif" w:hAnsi="Times New Roman;Times;Serif"/>
          <w:b w:val="false"/>
          <w:i w:val="false"/>
          <w:caps w:val="false"/>
          <w:smallCaps w:val="false"/>
          <w:sz w:val="20"/>
        </w:rPr>
        <w:t xml:space="preserve">” means, as at any date of determination, cash and Cash Equivalents of the Loan Parties subject to a Control Agreement in favor of Administrative Agent as herein provided (and taking into account the applicable grace periods set forth in </w:t>
      </w:r>
      <w:r>
        <w:rPr>
          <w:rFonts w:ascii="Times New Roman;Times;Serif" w:hAnsi="Times New Roman;Times;Serif"/>
          <w:b w:val="false"/>
          <w:i w:val="false"/>
          <w:caps w:val="false"/>
          <w:smallCaps w:val="false"/>
          <w:sz w:val="20"/>
          <w:u w:val="single"/>
        </w:rPr>
        <w:t xml:space="preserve">Section 6.6(a)) </w:t>
      </w:r>
      <w:r>
        <w:rPr>
          <w:rFonts w:ascii="Times New Roman;Times;Serif" w:hAnsi="Times New Roman;Times;Serif"/>
          <w:b w:val="false"/>
          <w:i w:val="false"/>
          <w:caps w:val="false"/>
          <w:smallCaps w:val="false"/>
          <w:sz w:val="20"/>
        </w:rPr>
        <w:t>and otherwise available for use for general corporate purposes and not held in any reserve account or legally or contractually restricted for any particular purposes or subject to any Lien (other than the Lien granted in favor of Administrative Agent under this Agreement and Permitted Liens pursuant to clause (i) of the definition thereof).</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26</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U.S. Person</w:t>
      </w:r>
      <w:r>
        <w:rPr>
          <w:rFonts w:ascii="Times New Roman;Times;Serif" w:hAnsi="Times New Roman;Times;Serif"/>
          <w:b w:val="false"/>
          <w:i w:val="false"/>
          <w:caps w:val="false"/>
          <w:smallCaps w:val="false"/>
          <w:sz w:val="20"/>
        </w:rPr>
        <w:t>” means any Person that is a “United States person” as defined in Section 7701(a)(30) of the Internal Revenue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Visionology</w:t>
      </w:r>
      <w:r>
        <w:rPr>
          <w:rFonts w:ascii="Times New Roman;Times;Serif" w:hAnsi="Times New Roman;Times;Serif"/>
          <w:b w:val="false"/>
          <w:i w:val="false"/>
          <w:caps w:val="false"/>
          <w:smallCaps w:val="false"/>
          <w:sz w:val="20"/>
        </w:rPr>
        <w:t>” means, collectively, Visionology, Inc. and Visionology MSO, Inc., each a Delaware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Write-Down and Conversion Powers</w:t>
      </w:r>
      <w:r>
        <w:rPr>
          <w:rFonts w:ascii="Times New Roman;Times;Serif" w:hAnsi="Times New Roman;Times;Serif"/>
          <w:b w:val="false"/>
          <w:i w:val="false"/>
          <w:caps w:val="false"/>
          <w:smallCaps w:val="false"/>
          <w:sz w:val="20"/>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color w:val="010000"/>
          <w:sz w:val="20"/>
        </w:rPr>
        <w:t xml:space="preserve">2. </w:t>
      </w:r>
      <w:r>
        <w:rPr>
          <w:rFonts w:ascii="Times New Roman;Times;Serif" w:hAnsi="Times New Roman;Times;Serif"/>
          <w:b/>
          <w:i w:val="false"/>
          <w:caps w:val="false"/>
          <w:smallCaps w:val="false"/>
          <w:sz w:val="20"/>
          <w:u w:val="single"/>
        </w:rPr>
        <w:t>LOANS AND TERMS OF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2.1 </w:t>
      </w:r>
      <w:r>
        <w:rPr>
          <w:rFonts w:ascii="Times New Roman;Times;Serif" w:hAnsi="Times New Roman;Times;Serif"/>
          <w:b/>
          <w:i w:val="false"/>
          <w:caps w:val="false"/>
          <w:smallCaps w:val="false"/>
          <w:sz w:val="20"/>
        </w:rPr>
        <w:t>Promise to Pay</w:t>
      </w:r>
      <w:r>
        <w:rPr>
          <w:rFonts w:ascii="Times New Roman;Times;Serif" w:hAnsi="Times New Roman;Times;Serif"/>
          <w:b w:val="false"/>
          <w:i w:val="false"/>
          <w:caps w:val="false"/>
          <w:smallCaps w:val="false"/>
          <w:sz w:val="20"/>
        </w:rPr>
        <w:t>. Borrower hereby unconditionally promises to pay each Lender, the outstanding principal amount of all Term Loans advanced to Borrower by such Lender and accrued and unpaid interest thereon and any other amounts due hereunder as and when due in accordance with this Agreement, including on the Maturity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2.2 </w:t>
      </w:r>
      <w:r>
        <w:rPr>
          <w:rFonts w:ascii="Times New Roman;Times;Serif" w:hAnsi="Times New Roman;Times;Serif"/>
          <w:b/>
          <w:i w:val="false"/>
          <w:caps w:val="false"/>
          <w:smallCaps w:val="false"/>
          <w:sz w:val="20"/>
        </w:rPr>
        <w:t>Term Loans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u w:val="single"/>
        </w:rPr>
        <w:t>Availability</w:t>
      </w:r>
      <w:r>
        <w:rPr>
          <w:rFonts w:ascii="Times New Roman;Times;Serif" w:hAnsi="Times New Roman;Times;Serif"/>
          <w:b w:val="false"/>
          <w:i w:val="false"/>
          <w:caps w:val="false"/>
          <w:smallCaps w:val="false"/>
          <w:sz w:val="20"/>
        </w:rPr>
        <w:t xml:space="preserve">. Subject to the terms and conditions of this Agreement, the Lenders agree, severally and not jointly, to make term loans to Borrower on the Closing Date in an aggregate original principal amount equal to the Term Loan Commitments according to each Lender’s Term Loan Commitment as set forth on </w:t>
      </w:r>
      <w:r>
        <w:rPr>
          <w:rFonts w:ascii="Times New Roman;Times;Serif" w:hAnsi="Times New Roman;Times;Serif"/>
          <w:b w:val="false"/>
          <w:i w:val="false"/>
          <w:caps w:val="false"/>
          <w:smallCaps w:val="false"/>
          <w:sz w:val="20"/>
          <w:u w:val="single"/>
        </w:rPr>
        <w:t>Schedule 1.1</w:t>
      </w:r>
      <w:r>
        <w:rPr>
          <w:rFonts w:ascii="Times New Roman;Times;Serif" w:hAnsi="Times New Roman;Times;Serif"/>
          <w:b w:val="false"/>
          <w:i w:val="false"/>
          <w:caps w:val="false"/>
          <w:smallCaps w:val="false"/>
          <w:sz w:val="20"/>
        </w:rPr>
        <w:t xml:space="preserve"> hereto (such term loans are hereinafter referred to singly as a “</w:t>
      </w:r>
      <w:r>
        <w:rPr>
          <w:rFonts w:ascii="Times New Roman;Times;Serif" w:hAnsi="Times New Roman;Times;Serif"/>
          <w:b/>
          <w:i w:val="false"/>
          <w:caps w:val="false"/>
          <w:smallCaps w:val="false"/>
          <w:sz w:val="20"/>
        </w:rPr>
        <w:t>Term Loan</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i w:val="false"/>
          <w:caps w:val="false"/>
          <w:smallCaps w:val="false"/>
          <w:sz w:val="20"/>
        </w:rPr>
        <w:t>Term Loans</w:t>
      </w:r>
      <w:r>
        <w:rPr>
          <w:rFonts w:ascii="Times New Roman;Times;Serif" w:hAnsi="Times New Roman;Times;Serif"/>
          <w:b w:val="false"/>
          <w:i w:val="false"/>
          <w:caps w:val="false"/>
          <w:smallCaps w:val="false"/>
          <w:sz w:val="20"/>
        </w:rPr>
        <w:t>”). The Term Loan of each Lender shall be net funded on the Closing Date for original issue discount (OID) of four percent (4.00%). After repayment, no Term Loan may be reborrowed. The obligations of Borrower with respect to the Term Loans and the other Obligations hereunder are joint and several.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u w:val="single"/>
        </w:rPr>
        <w:t>Interest; Amortization; Maturity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Borrower shall make quarterly payments of interest, in arrears, commencing on the first (1st) Interest Payment Date following the Closing Date, and continuing on the Interest Payment Date of each successive calendar quarter thereafter.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Borrower shall make quarterly payments of principal on each March 31, June 30, September 30 and December 31 of each year each such quarterly payment in an amount equal to two and one half percent (2.50%) of the original principal amount of the Term Loans funded on the Closing Date.</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27</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(iii)      </w:t>
      </w:r>
      <w:r>
        <w:rPr>
          <w:rFonts w:ascii="Times New Roman;Times;Serif" w:hAnsi="Times New Roman;Times;Serif"/>
          <w:b w:val="false"/>
          <w:i w:val="false"/>
          <w:caps w:val="false"/>
          <w:smallCaps w:val="false"/>
          <w:sz w:val="20"/>
        </w:rPr>
        <w:t>The balance of the unpaid principal and accrued and unpaid interest with respect to each Term Loan is due and payable in full on the Maturity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2.3 </w:t>
      </w:r>
      <w:r>
        <w:rPr>
          <w:rFonts w:ascii="Times New Roman;Times;Serif" w:hAnsi="Times New Roman;Times;Serif"/>
          <w:b/>
          <w:i w:val="false"/>
          <w:caps w:val="false"/>
          <w:smallCaps w:val="false"/>
          <w:sz w:val="20"/>
        </w:rPr>
        <w:t>Payment of Interest on the Term Loans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u w:val="single"/>
        </w:rPr>
        <w:t>Interest Rate</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2.3(b)</w:t>
      </w:r>
      <w:r>
        <w:rPr>
          <w:rFonts w:ascii="Times New Roman;Times;Serif" w:hAnsi="Times New Roman;Times;Serif"/>
          <w:b w:val="false"/>
          <w:i w:val="false"/>
          <w:caps w:val="false"/>
          <w:smallCaps w:val="false"/>
          <w:sz w:val="20"/>
        </w:rPr>
        <w:t>, the principal amount outstanding under the Term Loans shall accrue interest at a per annum rate equal to the interest rate established for the notes issued under the Note Offering prior to the Closing Date less one percent (1.00%) (such rate, the “</w:t>
      </w:r>
      <w:r>
        <w:rPr>
          <w:rFonts w:ascii="Times New Roman;Times;Serif" w:hAnsi="Times New Roman;Times;Serif"/>
          <w:b/>
          <w:i w:val="false"/>
          <w:caps w:val="false"/>
          <w:smallCaps w:val="false"/>
          <w:sz w:val="20"/>
        </w:rPr>
        <w:t>Interest Rate</w:t>
      </w:r>
      <w:r>
        <w:rPr>
          <w:rFonts w:ascii="Times New Roman;Times;Serif" w:hAnsi="Times New Roman;Times;Serif"/>
          <w:b w:val="false"/>
          <w:i w:val="false"/>
          <w:caps w:val="false"/>
          <w:smallCaps w:val="false"/>
          <w:sz w:val="20"/>
        </w:rPr>
        <w:t xml:space="preserve">”), which interest shall be payable quarterly in arrears in accordance with </w:t>
      </w:r>
      <w:r>
        <w:rPr>
          <w:rFonts w:ascii="Times New Roman;Times;Serif" w:hAnsi="Times New Roman;Times;Serif"/>
          <w:b w:val="false"/>
          <w:i w:val="false"/>
          <w:caps w:val="false"/>
          <w:smallCaps w:val="false"/>
          <w:sz w:val="20"/>
          <w:u w:val="single"/>
        </w:rPr>
        <w:t>Sections 2.2(b)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2.3(e)</w:t>
      </w:r>
      <w:r>
        <w:rPr>
          <w:rFonts w:ascii="Times New Roman;Times;Serif" w:hAnsi="Times New Roman;Times;Serif"/>
          <w:b w:val="false"/>
          <w:i w:val="false"/>
          <w:caps w:val="false"/>
          <w:smallCaps w:val="false"/>
          <w:sz w:val="20"/>
        </w:rPr>
        <w:t>. Interest shall accrue on each Term Loan commencing on, and including, the Funding Date of such Term Loan, and shall accrue on the principal amount outstanding from time to time under such Term Loan through and including the day on which such Term Loan is paid in full.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u w:val="single"/>
        </w:rPr>
        <w:t>Default Rate</w:t>
      </w:r>
      <w:r>
        <w:rPr>
          <w:rFonts w:ascii="Times New Roman;Times;Serif" w:hAnsi="Times New Roman;Times;Serif"/>
          <w:b w:val="false"/>
          <w:i w:val="false"/>
          <w:caps w:val="false"/>
          <w:smallCaps w:val="false"/>
          <w:sz w:val="20"/>
        </w:rPr>
        <w:t>. Immediately upon the occurrence and during the continuance of an Event of Default, Obligations shall accrue interest at a fixed per annum rate equal to the rate that is otherwise applicable thereto plus three percentage points (3.00%) (and in the case of the Obligations not otherwise being subject to an applicable rate, such Obligations shall accrue interest at a fixed per annum rate equal to the Interest Rate plus three percentage points (3.00%)) (the “</w:t>
      </w:r>
      <w:r>
        <w:rPr>
          <w:rFonts w:ascii="Times New Roman;Times;Serif" w:hAnsi="Times New Roman;Times;Serif"/>
          <w:b/>
          <w:i w:val="false"/>
          <w:caps w:val="false"/>
          <w:smallCaps w:val="false"/>
          <w:sz w:val="20"/>
        </w:rPr>
        <w:t>Default Rate</w:t>
      </w:r>
      <w:r>
        <w:rPr>
          <w:rFonts w:ascii="Times New Roman;Times;Serif" w:hAnsi="Times New Roman;Times;Serif"/>
          <w:b w:val="false"/>
          <w:i w:val="false"/>
          <w:caps w:val="false"/>
          <w:smallCaps w:val="false"/>
          <w:sz w:val="20"/>
        </w:rPr>
        <w:t xml:space="preserve">”). Payment or acceptance of the increased interest rate provided in this </w:t>
      </w:r>
      <w:r>
        <w:rPr>
          <w:rFonts w:ascii="Times New Roman;Times;Serif" w:hAnsi="Times New Roman;Times;Serif"/>
          <w:b w:val="false"/>
          <w:i w:val="false"/>
          <w:caps w:val="false"/>
          <w:smallCaps w:val="false"/>
          <w:sz w:val="20"/>
          <w:u w:val="single"/>
        </w:rPr>
        <w:t>Section 2.3(b)</w:t>
      </w:r>
      <w:r>
        <w:rPr>
          <w:rFonts w:ascii="Times New Roman;Times;Serif" w:hAnsi="Times New Roman;Times;Serif"/>
          <w:b w:val="false"/>
          <w:i w:val="false"/>
          <w:caps w:val="false"/>
          <w:smallCaps w:val="false"/>
          <w:sz w:val="20"/>
        </w:rPr>
        <w:t xml:space="preserve"> is not a permitted alternative to timely payment and shall not constitute a waiver of any Event of Default or otherwise prejudice or limit any rights or remedies of Administrative Agent. Interest accruing at the Default Rate shall be payable on demand.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u w:val="single"/>
        </w:rPr>
        <w:t>360-Day Year</w:t>
      </w:r>
      <w:r>
        <w:rPr>
          <w:rFonts w:ascii="Times New Roman;Times;Serif" w:hAnsi="Times New Roman;Times;Serif"/>
          <w:b w:val="false"/>
          <w:i w:val="false"/>
          <w:caps w:val="false"/>
          <w:smallCaps w:val="false"/>
          <w:sz w:val="20"/>
        </w:rPr>
        <w:t>. Interest shall be computed on the basis of a three hundred sixty (360) day year and the actual number of days elapsed.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u w:val="single"/>
        </w:rPr>
        <w:t>Debit of Accounts</w:t>
      </w:r>
      <w:r>
        <w:rPr>
          <w:rFonts w:ascii="Times New Roman;Times;Serif" w:hAnsi="Times New Roman;Times;Serif"/>
          <w:b w:val="false"/>
          <w:i w:val="false"/>
          <w:caps w:val="false"/>
          <w:smallCaps w:val="false"/>
          <w:sz w:val="20"/>
        </w:rPr>
        <w:t>. Administrative Agent and each Lender may debit (or ACH) any deposit accounts, maintained by Borrower or any of its Subsidiaries for principal and interest payments or any other amounts Borrower owes the Lenders under the Loan Documents when due. Any such debits (or ACH activity) shall not constitute a set-off.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u w:val="single"/>
        </w:rPr>
        <w:t>Payments</w:t>
      </w:r>
      <w:r>
        <w:rPr>
          <w:rFonts w:ascii="Times New Roman;Times;Serif" w:hAnsi="Times New Roman;Times;Serif"/>
          <w:b w:val="false"/>
          <w:i w:val="false"/>
          <w:caps w:val="false"/>
          <w:smallCaps w:val="false"/>
          <w:sz w:val="20"/>
        </w:rPr>
        <w:t>. Except as otherwise expressly provided herein, all payments by Borrower under the Loan Documents shall be made to Administrative Agent, for each respective Lender to which such payments are owed, at Administrative Agent’s office in immediately available funds on the date specified herein. Unless otherwise provided, interest is payable in arrears for each calendar quarter then ended on each Interest Payment Date. Payments of principal and/or interest received after 2:00 p.m. Eastern time are considered received at the opening of business on the next Business Day. When a payment is due on a day that is not a Business Day, the payment is due the next Business Day and additional fees or interest, as applicable, shall continue to accrue until paid. All payments to be made by Borrower hereunder or under any other Loan Document, including payments of principal and interest, and all fees, expenses, indemnities and reimbursements, shall be made without setoff, recoupment or counterclaim, in lawful money of the United States and in immediately available funds.</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28</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2.4 </w:t>
      </w:r>
      <w:r>
        <w:rPr>
          <w:rFonts w:ascii="Times New Roman;Times;Serif" w:hAnsi="Times New Roman;Times;Serif"/>
          <w:b/>
          <w:i w:val="false"/>
          <w:caps w:val="false"/>
          <w:smallCaps w:val="false"/>
          <w:sz w:val="20"/>
        </w:rPr>
        <w:t>Fees</w:t>
      </w:r>
      <w:r>
        <w:rPr>
          <w:rFonts w:ascii="Times New Roman;Times;Serif" w:hAnsi="Times New Roman;Times;Serif"/>
          <w:b w:val="false"/>
          <w:i w:val="false"/>
          <w:caps w:val="false"/>
          <w:smallCaps w:val="false"/>
          <w:sz w:val="20"/>
        </w:rPr>
        <w:t>. Borrower shall pay to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u w:val="single"/>
        </w:rPr>
        <w:t>Prepayment Fee</w:t>
      </w:r>
      <w:r>
        <w:rPr>
          <w:rFonts w:ascii="Times New Roman;Times;Serif" w:hAnsi="Times New Roman;Times;Serif"/>
          <w:b w:val="false"/>
          <w:i w:val="false"/>
          <w:caps w:val="false"/>
          <w:smallCaps w:val="false"/>
          <w:sz w:val="20"/>
        </w:rPr>
        <w:t>. Borrower agrees to pay to Administrative Agent, for the account of the Lenders, a prepayment fee (“</w:t>
      </w:r>
      <w:r>
        <w:rPr>
          <w:rFonts w:ascii="Times New Roman;Times;Serif" w:hAnsi="Times New Roman;Times;Serif"/>
          <w:b/>
          <w:i w:val="false"/>
          <w:caps w:val="false"/>
          <w:smallCaps w:val="false"/>
          <w:sz w:val="20"/>
        </w:rPr>
        <w:t>Prepayment Fee</w:t>
      </w:r>
      <w:r>
        <w:rPr>
          <w:rFonts w:ascii="Times New Roman;Times;Serif" w:hAnsi="Times New Roman;Times;Serif"/>
          <w:b w:val="false"/>
          <w:i w:val="false"/>
          <w:caps w:val="false"/>
          <w:smallCaps w:val="false"/>
          <w:sz w:val="20"/>
        </w:rPr>
        <w:t xml:space="preserve">”) if all or any portion of the Term Loans are prepaid or repaid or accelerated for any reason (including following an Event of Default but excluding prepayments expressly excepted in the next succeeding sentence). Except with respect to scheduled amortization payments made pursuant to </w:t>
      </w:r>
      <w:r>
        <w:rPr>
          <w:rFonts w:ascii="Times New Roman;Times;Serif" w:hAnsi="Times New Roman;Times;Serif"/>
          <w:b w:val="false"/>
          <w:i w:val="false"/>
          <w:caps w:val="false"/>
          <w:smallCaps w:val="false"/>
          <w:sz w:val="20"/>
          <w:u w:val="single"/>
        </w:rPr>
        <w:t>Section 2.2(b)(ii)</w:t>
      </w:r>
      <w:r>
        <w:rPr>
          <w:rFonts w:ascii="Times New Roman;Times;Serif" w:hAnsi="Times New Roman;Times;Serif"/>
          <w:b w:val="false"/>
          <w:i w:val="false"/>
          <w:caps w:val="false"/>
          <w:smallCaps w:val="false"/>
          <w:sz w:val="20"/>
        </w:rPr>
        <w:t xml:space="preserve">, mandatory repayments made from Consolidated Excess Cash Flow pursuant to </w:t>
      </w:r>
      <w:r>
        <w:rPr>
          <w:rFonts w:ascii="Times New Roman;Times;Serif" w:hAnsi="Times New Roman;Times;Serif"/>
          <w:b w:val="false"/>
          <w:i w:val="false"/>
          <w:caps w:val="false"/>
          <w:smallCaps w:val="false"/>
          <w:sz w:val="20"/>
          <w:u w:val="single"/>
        </w:rPr>
        <w:t xml:space="preserve">Section 2.7(b) </w:t>
      </w:r>
      <w:r>
        <w:rPr>
          <w:rFonts w:ascii="Times New Roman;Times;Serif" w:hAnsi="Times New Roman;Times;Serif"/>
          <w:b w:val="false"/>
          <w:i w:val="false"/>
          <w:caps w:val="false"/>
          <w:smallCaps w:val="false"/>
          <w:sz w:val="20"/>
        </w:rPr>
        <w:t xml:space="preserve">or mandatory repayments from insurance proceeds pursuant to </w:t>
      </w:r>
      <w:r>
        <w:rPr>
          <w:rFonts w:ascii="Times New Roman;Times;Serif" w:hAnsi="Times New Roman;Times;Serif"/>
          <w:b w:val="false"/>
          <w:i w:val="false"/>
          <w:caps w:val="false"/>
          <w:smallCaps w:val="false"/>
          <w:sz w:val="20"/>
          <w:u w:val="single"/>
        </w:rPr>
        <w:t>Section 2.7(d)</w:t>
      </w:r>
      <w:r>
        <w:rPr>
          <w:rFonts w:ascii="Times New Roman;Times;Serif" w:hAnsi="Times New Roman;Times;Serif"/>
          <w:b w:val="false"/>
          <w:i w:val="false"/>
          <w:caps w:val="false"/>
          <w:smallCaps w:val="false"/>
          <w:sz w:val="20"/>
        </w:rPr>
        <w:t xml:space="preserve"> (none of which shall require a Prepayment Fee), such Prepayment Fee shall equal: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sub-clause (ii)</w:t>
      </w:r>
      <w:r>
        <w:rPr>
          <w:rFonts w:ascii="Times New Roman;Times;Serif" w:hAnsi="Times New Roman;Times;Serif"/>
          <w:b w:val="false"/>
          <w:i w:val="false"/>
          <w:caps w:val="false"/>
          <w:smallCaps w:val="false"/>
          <w:sz w:val="20"/>
        </w:rPr>
        <w:t xml:space="preserve"> below, $0.00, if such prepayment or repayment occurs on or prior to the date that is ninety (90) days following the Closing Date and the Obligations hereunder are Paid in Full;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three percent (3.00%) of the amount of the Term Loans accelerated, if all or any portion of the Term Loans are accelerated on or prior to the date that is ninety (90) days following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(iii)      </w:t>
      </w:r>
      <w:r>
        <w:rPr>
          <w:rFonts w:ascii="Times New Roman;Times;Serif" w:hAnsi="Times New Roman;Times;Serif"/>
          <w:b w:val="false"/>
          <w:i w:val="false"/>
          <w:caps w:val="false"/>
          <w:smallCaps w:val="false"/>
          <w:sz w:val="20"/>
        </w:rPr>
        <w:t>three percent (3.00%) of the amount of the Term Loans prepaid, repaid or accelerated, if such prepayment, repayment or acceleration occurs after the date that is ninety (90) days following the Closing Date but on or prior to the first anniversary of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(iv)       </w:t>
      </w:r>
      <w:r>
        <w:rPr>
          <w:rFonts w:ascii="Times New Roman;Times;Serif" w:hAnsi="Times New Roman;Times;Serif"/>
          <w:b w:val="false"/>
          <w:i w:val="false"/>
          <w:caps w:val="false"/>
          <w:smallCaps w:val="false"/>
          <w:sz w:val="20"/>
        </w:rPr>
        <w:t>two percent (2.00%) of the amount of the Term Loans prepaid, repaid or accelerated, if such prepayment, repayment or acceleration occurs after the first anniversary of the Closing Date but on or prior to the second anniversary of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   </w:t>
      </w:r>
      <w:r>
        <w:rPr>
          <w:rFonts w:ascii="Times New Roman;Times;Serif" w:hAnsi="Times New Roman;Times;Serif"/>
          <w:b w:val="false"/>
          <w:i w:val="false"/>
          <w:caps w:val="false"/>
          <w:smallCaps w:val="false"/>
          <w:sz w:val="20"/>
        </w:rPr>
        <w:t>one percent (1.00%) of the amount of the Term Loans prepaid, repaid or accelerated, if such prepayment, repayment or acceleration occurs after the second anniversary of the Closing Date but on or prior to the date that is thirty (30) months after the Closing Date;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(vi)       </w:t>
      </w:r>
      <w:r>
        <w:rPr>
          <w:rFonts w:ascii="Times New Roman;Times;Serif" w:hAnsi="Times New Roman;Times;Serif"/>
          <w:b w:val="false"/>
          <w:i w:val="false"/>
          <w:caps w:val="false"/>
          <w:smallCaps w:val="false"/>
          <w:sz w:val="20"/>
        </w:rPr>
        <w:t>$0.00, if such prepayment, repayment or acceleration occurs after the date that is thirty (30) months after the Closing Date but prior to the Stated Maturity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Prepayment Fee, when due hereunder, shall be paid to Administrative Agent, for the account of each Lender in accordance with its Pro Rata Shares.</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29</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u w:val="single"/>
        </w:rPr>
        <w:t>Make-Whole Amount</w:t>
      </w:r>
      <w:r>
        <w:rPr>
          <w:rFonts w:ascii="Times New Roman;Times;Serif" w:hAnsi="Times New Roman;Times;Serif"/>
          <w:b w:val="false"/>
          <w:i w:val="false"/>
          <w:caps w:val="false"/>
          <w:smallCaps w:val="false"/>
          <w:sz w:val="20"/>
        </w:rPr>
        <w:t>. Borrower agrees to pay to Administrative Agent, for the account of the Lenders, an interest make-whole (“</w:t>
      </w:r>
      <w:r>
        <w:rPr>
          <w:rFonts w:ascii="Times New Roman;Times;Serif" w:hAnsi="Times New Roman;Times;Serif"/>
          <w:b/>
          <w:i w:val="false"/>
          <w:caps w:val="false"/>
          <w:smallCaps w:val="false"/>
          <w:sz w:val="20"/>
        </w:rPr>
        <w:t>Make-Whole Amount</w:t>
      </w:r>
      <w:r>
        <w:rPr>
          <w:rFonts w:ascii="Times New Roman;Times;Serif" w:hAnsi="Times New Roman;Times;Serif"/>
          <w:b w:val="false"/>
          <w:i w:val="false"/>
          <w:caps w:val="false"/>
          <w:smallCaps w:val="false"/>
          <w:sz w:val="20"/>
        </w:rPr>
        <w:t>”) if all or any portion of the Term Loans are prepaid, repaid or accelerated for any reason (including following an Event of Default) during the period commencing on the date that is 90 days following the Closing Date (such date, the “</w:t>
      </w:r>
      <w:r>
        <w:rPr>
          <w:rFonts w:ascii="Times New Roman;Times;Serif" w:hAnsi="Times New Roman;Times;Serif"/>
          <w:b/>
          <w:i w:val="false"/>
          <w:caps w:val="false"/>
          <w:smallCaps w:val="false"/>
          <w:sz w:val="20"/>
        </w:rPr>
        <w:t>Make-Whole Commencement Date</w:t>
      </w:r>
      <w:r>
        <w:rPr>
          <w:rFonts w:ascii="Times New Roman;Times;Serif" w:hAnsi="Times New Roman;Times;Serif"/>
          <w:b w:val="false"/>
          <w:i w:val="false"/>
          <w:caps w:val="false"/>
          <w:smallCaps w:val="false"/>
          <w:sz w:val="20"/>
        </w:rPr>
        <w:t>”) to and including the first anniversary of the Make-Whole Commencement Date (such date, the “</w:t>
      </w:r>
      <w:r>
        <w:rPr>
          <w:rFonts w:ascii="Times New Roman;Times;Serif" w:hAnsi="Times New Roman;Times;Serif"/>
          <w:b/>
          <w:i w:val="false"/>
          <w:caps w:val="false"/>
          <w:smallCaps w:val="false"/>
          <w:sz w:val="20"/>
        </w:rPr>
        <w:t>Make-Whole Final Date</w:t>
      </w:r>
      <w:r>
        <w:rPr>
          <w:rFonts w:ascii="Times New Roman;Times;Serif" w:hAnsi="Times New Roman;Times;Serif"/>
          <w:b w:val="false"/>
          <w:i w:val="false"/>
          <w:caps w:val="false"/>
          <w:smallCaps w:val="false"/>
          <w:sz w:val="20"/>
        </w:rPr>
        <w:t>” and, the period from the Make-Whole Commencement Date to the Make-Whole Final Date, the “</w:t>
      </w:r>
      <w:r>
        <w:rPr>
          <w:rFonts w:ascii="Times New Roman;Times;Serif" w:hAnsi="Times New Roman;Times;Serif"/>
          <w:b/>
          <w:i w:val="false"/>
          <w:caps w:val="false"/>
          <w:smallCaps w:val="false"/>
          <w:sz w:val="20"/>
        </w:rPr>
        <w:t>Make-Whole Period</w:t>
      </w:r>
      <w:r>
        <w:rPr>
          <w:rFonts w:ascii="Times New Roman;Times;Serif" w:hAnsi="Times New Roman;Times;Serif"/>
          <w:b w:val="false"/>
          <w:i w:val="false"/>
          <w:caps w:val="false"/>
          <w:smallCaps w:val="false"/>
          <w:sz w:val="20"/>
        </w:rPr>
        <w:t xml:space="preserve">”). Except with respect to scheduled amortization payments made pursuant to </w:t>
      </w:r>
      <w:r>
        <w:rPr>
          <w:rFonts w:ascii="Times New Roman;Times;Serif" w:hAnsi="Times New Roman;Times;Serif"/>
          <w:b w:val="false"/>
          <w:i w:val="false"/>
          <w:caps w:val="false"/>
          <w:smallCaps w:val="false"/>
          <w:sz w:val="20"/>
          <w:u w:val="single"/>
        </w:rPr>
        <w:t>Section 2.2(b)(ii)</w:t>
      </w:r>
      <w:r>
        <w:rPr>
          <w:rFonts w:ascii="Times New Roman;Times;Serif" w:hAnsi="Times New Roman;Times;Serif"/>
          <w:b w:val="false"/>
          <w:i w:val="false"/>
          <w:caps w:val="false"/>
          <w:smallCaps w:val="false"/>
          <w:sz w:val="20"/>
        </w:rPr>
        <w:t xml:space="preserve"> and mandatory repayments made from Consolidated Excess Cash Flow pursuant to </w:t>
      </w:r>
      <w:r>
        <w:rPr>
          <w:rFonts w:ascii="Times New Roman;Times;Serif" w:hAnsi="Times New Roman;Times;Serif"/>
          <w:b w:val="false"/>
          <w:i w:val="false"/>
          <w:caps w:val="false"/>
          <w:smallCaps w:val="false"/>
          <w:sz w:val="20"/>
          <w:u w:val="single"/>
        </w:rPr>
        <w:t>Section 2.7(b)</w:t>
      </w:r>
      <w:r>
        <w:rPr>
          <w:rFonts w:ascii="Times New Roman;Times;Serif" w:hAnsi="Times New Roman;Times;Serif"/>
          <w:b w:val="false"/>
          <w:i w:val="false"/>
          <w:caps w:val="false"/>
          <w:smallCaps w:val="false"/>
          <w:sz w:val="20"/>
        </w:rPr>
        <w:t xml:space="preserve"> and from insurance proceeds pursuant to </w:t>
      </w:r>
      <w:r>
        <w:rPr>
          <w:rFonts w:ascii="Times New Roman;Times;Serif" w:hAnsi="Times New Roman;Times;Serif"/>
          <w:b w:val="false"/>
          <w:i w:val="false"/>
          <w:caps w:val="false"/>
          <w:smallCaps w:val="false"/>
          <w:sz w:val="20"/>
          <w:u w:val="single"/>
        </w:rPr>
        <w:t>Section 2.7(d)</w:t>
      </w:r>
      <w:r>
        <w:rPr>
          <w:rFonts w:ascii="Times New Roman;Times;Serif" w:hAnsi="Times New Roman;Times;Serif"/>
          <w:b w:val="false"/>
          <w:i w:val="false"/>
          <w:caps w:val="false"/>
          <w:smallCaps w:val="false"/>
          <w:sz w:val="20"/>
        </w:rPr>
        <w:t>, such Make-Whole Amount for each prepayment or repayment of the Term Loans shall equal the present value of the amount of all future interest payments that would otherwise accrue on the principal amount of the Term Loans prepaid or repaid from the date of prepayment or repayment, as applicable, to the Make-Whole Final Date, discounted, quarterly on a 90/360 day basis at the Make-Whole Discount Rate (as hereinafter defined). The Administrative Agent shall determine the Make-Whole Amount. As used herein, “</w:t>
      </w:r>
      <w:r>
        <w:rPr>
          <w:rFonts w:ascii="Times New Roman;Times;Serif" w:hAnsi="Times New Roman;Times;Serif"/>
          <w:b/>
          <w:i w:val="false"/>
          <w:caps w:val="false"/>
          <w:smallCaps w:val="false"/>
          <w:sz w:val="20"/>
        </w:rPr>
        <w:t>Make-Whole Discount Rate</w:t>
      </w:r>
      <w:r>
        <w:rPr>
          <w:rFonts w:ascii="Times New Roman;Times;Serif" w:hAnsi="Times New Roman;Times;Serif"/>
          <w:b w:val="false"/>
          <w:i w:val="false"/>
          <w:caps w:val="false"/>
          <w:smallCaps w:val="false"/>
          <w:sz w:val="20"/>
        </w:rPr>
        <w:t>” means a discount rate equal to the Treasury Rate plus 0.50%; and “</w:t>
      </w:r>
      <w:r>
        <w:rPr>
          <w:rFonts w:ascii="Times New Roman;Times;Serif" w:hAnsi="Times New Roman;Times;Serif"/>
          <w:b/>
          <w:i w:val="false"/>
          <w:caps w:val="false"/>
          <w:smallCaps w:val="false"/>
          <w:sz w:val="20"/>
        </w:rPr>
        <w:t>Treasury Rate</w:t>
      </w:r>
      <w:r>
        <w:rPr>
          <w:rFonts w:ascii="Times New Roman;Times;Serif" w:hAnsi="Times New Roman;Times;Serif"/>
          <w:b w:val="false"/>
          <w:i w:val="false"/>
          <w:caps w:val="false"/>
          <w:smallCaps w:val="false"/>
          <w:sz w:val="20"/>
        </w:rPr>
        <w:t xml:space="preserve">” means, at any prepayment or repayment date, the yield to maturity as of such prepayment or repayment date of constant maturity United States Treasury securities (as compiled and published in the most recent Federal Reserve Statistical Release H. 15 (519) that has become publicly available at least two Business Days prior to such prepayment or repayment date (or, if such statistical release is no longer published, any publicly available source of similar market data)) most nearly equal to the period from such date to the Make-Whole Final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no published maturity exactly corresponds with such date, then the Treasury Rate shall be interpolated or extrapolated on a straight-line basis from the arithmetic mean of the yields for the next shortest and next longest published maturities;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period from such redemption date to the Make-Whole Final Date, is less than one year, the weekly average yield on actually traded United States Treasury securities adjusted to a constant maturity of one year will be used.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u w:val="single"/>
        </w:rPr>
        <w:t>Lenders’ Expenses</w:t>
      </w:r>
      <w:r>
        <w:rPr>
          <w:rFonts w:ascii="Times New Roman;Times;Serif" w:hAnsi="Times New Roman;Times;Serif"/>
          <w:b w:val="false"/>
          <w:i w:val="false"/>
          <w:caps w:val="false"/>
          <w:smallCaps w:val="false"/>
          <w:sz w:val="20"/>
        </w:rPr>
        <w:t>. Borrower shall pay upon demand all Lenders’ Expenses (including attorneys’ fees and expenses for due diligence, investigation, documentation and negotiation of this Agreement) incurred through and after the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2.5 </w:t>
      </w:r>
      <w:r>
        <w:rPr>
          <w:rFonts w:ascii="Times New Roman;Times;Serif" w:hAnsi="Times New Roman;Times;Serif"/>
          <w:b/>
          <w:i w:val="false"/>
          <w:caps w:val="false"/>
          <w:smallCaps w:val="false"/>
          <w:sz w:val="20"/>
        </w:rPr>
        <w:t>Withholding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Payments received by Administrative Agent or the Lenders from any Loan Party hereunder will be made free and clear of and without deduction for any and all present or future taxes, levies, imposts, duties, deductions, withholdings, assessments, fees or other charges imposed by any governmental authority (including any interest, additions to tax or penalties applicable thereto). Specifically, however, if at any time any Governmental Authority, applicable law, regulation or international agreement requires a Loan Party to make any withholding or deduction from any such payment or other sum payable hereunder to Administrative Agent or the Lenders, such Loan Party hereby covenants and agrees that the amount due from such Loan Party with respect to such payment or other sum payable hereunder will be increased to the extent necessary to ensure that, after the making of such required withholding or deduction, Administrative Agent or, as applicable, each Lender receives a net sum equal to the sum which it would have received had no withholding or deduction been required and such Loan Party shall pay the full amount withheld or deducted to the relevant Governmental Authority; provided, that a Lender that shall have become a Lender pursuant to a Lender Transfer shall be entitled to receive only such additional amounts as such Lender’s assignor would have been entitled to receive pursuant to this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Each Loan Party will, upon request, furnish to Administrative Agent proof reasonably satisfactory to Administrative Agent indicating that such Loan Party has made such withholding payment; provided, however, that such Loan Party need not make any withholding payment if the amount or validity of such withholding payment is contested in good faith by appropriate and timely proceedings and as to which payment in full is bonded or reserved against by Parent on terms and conditions reasonably satisfactory to Administrative Agent. The agreements and obligations of each Loan party contained in this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shall survive the termination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Lender is a Foreign Lender, such Foreign Lender shall, to the extent it is legally entitled to do so, deliver to Borrower and Administrative Agent (in such number of copies as shall be requested by the recipient) on or prior to the date on which such Foreign Lender becomes a Lender under this Agreement (and from time to time thereafter upon the reasonable request of Borrower or Administrative Agent), executed originals of any form prescribed by any applicable Law as a basis for claiming exemption from or a reduction in U.S. federal withholding Tax, duly completed, together with such supplementary documentation as may be prescribed by any applicable Law to permit Borrower or Administrative Agent to determine the withholding or deduction required to be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Borrower and the Administrative Agent at the time or times prescribed by law and at such time or times reasonably requested by Borrower or the Administrative Agent such documentation prescribed by applicable Law (including as prescribed by Section 1471(b)(3)(C)(i) of the Internal Revenue Code) and such additional documentation reasonably requested by Borrower or Administrative Agent as may be necessary for Borrower and Administrative Agent to comply with their obligations under FATCA and to determine that such Lender has complied with such Lender’s obligations under FATCA or to determine the amount to deduct and withhold from such payment. Solely for purposes of this clause (c), “FATCA” shall include any amendments made to FATCA after the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2.6 </w:t>
      </w:r>
      <w:r>
        <w:rPr>
          <w:rFonts w:ascii="Times New Roman;Times;Serif" w:hAnsi="Times New Roman;Times;Serif"/>
          <w:b/>
          <w:i w:val="false"/>
          <w:caps w:val="false"/>
          <w:smallCaps w:val="false"/>
          <w:sz w:val="20"/>
        </w:rPr>
        <w:t>Voluntary Prepayment of Term Loans</w:t>
      </w:r>
      <w:r>
        <w:rPr>
          <w:rFonts w:ascii="Times New Roman;Times;Serif" w:hAnsi="Times New Roman;Times;Serif"/>
          <w:b w:val="false"/>
          <w:i w:val="false"/>
          <w:caps w:val="false"/>
          <w:smallCaps w:val="false"/>
          <w:sz w:val="20"/>
        </w:rPr>
        <w:t>. Borrower may prepay the Term Loans under this Agreement, in whole or in part, subject to the payment of any applicable Prepayment Fee and Make-Whole Amount, from time to time by (i) providing written notice to Administrative Agent of its election to prepay the Term Loans at least three (3) Business Days prior to proposed prepayment date, and (ii) paying to Administrative Agent, for the account of the Lenders, on the date of such proposed prepayment date, an amount equal to the sum of (A) the principal amount of the Term Loans identified in such written notice, together with accrued and unpaid interest thereon to the prepayment date and any applicable Make-Whole Amount, plus (B) any applicable Prepayment Fee in respect of the principal amount of the Term Loans prepaid, plus (C) all other Obligations that are then due and payable, including, without limitation, Lenders’ Expenses and interest at the Default Rate with respect to any past due amounts.</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30</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2.7 </w:t>
      </w:r>
      <w:r>
        <w:rPr>
          <w:rFonts w:ascii="Times New Roman;Times;Serif" w:hAnsi="Times New Roman;Times;Serif"/>
          <w:b/>
          <w:i w:val="false"/>
          <w:caps w:val="false"/>
          <w:smallCaps w:val="false"/>
          <w:sz w:val="20"/>
        </w:rPr>
        <w:t>Mandatory Repayments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u w:val="single"/>
        </w:rPr>
        <w:t>Acceleration of Term Loan</w:t>
      </w:r>
      <w:r>
        <w:rPr>
          <w:rFonts w:ascii="Times New Roman;Times;Serif" w:hAnsi="Times New Roman;Times;Serif"/>
          <w:b w:val="false"/>
          <w:i w:val="false"/>
          <w:caps w:val="false"/>
          <w:smallCaps w:val="false"/>
          <w:sz w:val="20"/>
        </w:rPr>
        <w:t>. Upon acceleration of the Term Loan on or following the occurrence of an Event of Default, Borrower shall immediately pay to Administrative Agent, for the account of each Lender, an amount equal to the sum of: (i) all outstanding principal of the Term Loans plus accrued and unpaid interest thereon through the payment date and any applicable Make-Whole Amount, (ii) any applicable Prepayment Fee, plus (iii) all other Obligations (other than inchoate indemnification obligations), including, without limitation, Lenders’ Expenses and interest at the Default Rate with respect to any past due amounts.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u w:val="single"/>
        </w:rPr>
        <w:t>Consolidated Excess Cash Flow</w:t>
      </w:r>
      <w:r>
        <w:rPr>
          <w:rFonts w:ascii="Times New Roman;Times;Serif" w:hAnsi="Times New Roman;Times;Serif"/>
          <w:b w:val="false"/>
          <w:i w:val="false"/>
          <w:caps w:val="false"/>
          <w:smallCaps w:val="false"/>
          <w:sz w:val="20"/>
        </w:rPr>
        <w:t>. Within one hundred (100) days after the end of each fiscal year of Parent, commencing with the fiscal year ending December 31, 2023, Borrower shall prepay the Term Loans in an aggregate amount equal to fifty percent (50%) of the Consolidated Excess Cash Flow for such fiscal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u w:val="single"/>
        </w:rPr>
        <w:t>Indebtedness Issuances</w:t>
      </w:r>
      <w:r>
        <w:rPr>
          <w:rFonts w:ascii="Times New Roman;Times;Serif" w:hAnsi="Times New Roman;Times;Serif"/>
          <w:b w:val="false"/>
          <w:i w:val="false"/>
          <w:caps w:val="false"/>
          <w:smallCaps w:val="false"/>
          <w:sz w:val="20"/>
        </w:rPr>
        <w:t>. Within one (1) Business Day of the receipt by any Loan Party of proceeds from any incurrence of Indebtedness under clause (h) of the definition of “Permitted Indebtedness”, Borrower shall prepay the Term Loans in an aggregate amount equal to one hundred percent (100%) of the Net Proceeds received therefrom, together with all accrued and unpaid interest thereon through the payment date and any applicable Make-Whole Amount and any applicable Prepayment Fee.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u w:val="single"/>
        </w:rPr>
        <w:t>Insurance Proceeds</w:t>
      </w:r>
      <w:r>
        <w:rPr>
          <w:rFonts w:ascii="Times New Roman;Times;Serif" w:hAnsi="Times New Roman;Times;Serif"/>
          <w:b w:val="false"/>
          <w:i w:val="false"/>
          <w:caps w:val="false"/>
          <w:smallCaps w:val="false"/>
          <w:sz w:val="20"/>
        </w:rPr>
        <w:t xml:space="preserve">. To the extent required under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Borrower shall prepay the Term Loans as therein provided, together with any accrued and unpaid interest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Each Mandatory Repayment will be applied in the following priority: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FIRST, to the payment of all Lenders’ Expenses, fees, costs, expenses and indemnities due and owing to Administrative Agent pursuant to the Loan Documents, and any other Obligations owing to Administrative Agent in respect of sums advanced by Administrative Agent to preserve or protect the Collateral or to preserve or protect its security interest in the Collateral;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SECOND, to the payment of all Lenders’ Expenses, fees, costs, expenses and indemnities due and owing to Lenders in respect of the Term Loans and Term Loan Commitments pursuant to the Loan Documents, pro rata based on each Lender’s respective Pro Rata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(iii)      </w:t>
      </w:r>
      <w:r>
        <w:rPr>
          <w:rFonts w:ascii="Times New Roman;Times;Serif" w:hAnsi="Times New Roman;Times;Serif"/>
          <w:b w:val="false"/>
          <w:i w:val="false"/>
          <w:caps w:val="false"/>
          <w:smallCaps w:val="false"/>
          <w:sz w:val="20"/>
        </w:rPr>
        <w:t>THIRD, to the payment of all accrued but unpaid interest and any applicable Make-Whole Amount in respect of the Term Loans, pro rata based on each Lender’s Pro Rata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(iv)       </w:t>
      </w:r>
      <w:r>
        <w:rPr>
          <w:rFonts w:ascii="Times New Roman;Times;Serif" w:hAnsi="Times New Roman;Times;Serif"/>
          <w:b w:val="false"/>
          <w:i w:val="false"/>
          <w:caps w:val="false"/>
          <w:smallCaps w:val="false"/>
          <w:sz w:val="20"/>
        </w:rPr>
        <w:t>FOURTH, to the payment of any applicable Prepayment Fee and principal of the Term Loans, pro rata based on each Lender’s Pro Rata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   </w:t>
      </w:r>
      <w:r>
        <w:rPr>
          <w:rFonts w:ascii="Times New Roman;Times;Serif" w:hAnsi="Times New Roman;Times;Serif"/>
          <w:b w:val="false"/>
          <w:i w:val="false"/>
          <w:caps w:val="false"/>
          <w:smallCaps w:val="false"/>
          <w:sz w:val="20"/>
        </w:rPr>
        <w:t>FIFTH, to the payment of all other Obligations then due and owing under the Loan Documents;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(vi)       </w:t>
      </w:r>
      <w:r>
        <w:rPr>
          <w:rFonts w:ascii="Times New Roman;Times;Serif" w:hAnsi="Times New Roman;Times;Serif"/>
          <w:b w:val="false"/>
          <w:i w:val="false"/>
          <w:caps w:val="false"/>
          <w:smallCaps w:val="false"/>
          <w:sz w:val="20"/>
        </w:rPr>
        <w:t>SIXTH, all remaining amounts shall be retained by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2.8 </w:t>
      </w:r>
      <w:r>
        <w:rPr>
          <w:rFonts w:ascii="Times New Roman;Times;Serif" w:hAnsi="Times New Roman;Times;Serif"/>
          <w:b/>
          <w:i w:val="false"/>
          <w:caps w:val="false"/>
          <w:smallCaps w:val="false"/>
          <w:sz w:val="20"/>
        </w:rPr>
        <w:t>Application of Payments</w:t>
      </w:r>
      <w:r>
        <w:rPr>
          <w:rFonts w:ascii="Times New Roman;Times;Serif" w:hAnsi="Times New Roman;Times;Serif"/>
          <w:b w:val="false"/>
          <w:i w:val="false"/>
          <w:caps w:val="false"/>
          <w:smallCaps w:val="false"/>
          <w:sz w:val="20"/>
        </w:rPr>
        <w:t xml:space="preserve">. Except in respect of scheduled amortization payments under </w:t>
      </w:r>
      <w:r>
        <w:rPr>
          <w:rFonts w:ascii="Times New Roman;Times;Serif" w:hAnsi="Times New Roman;Times;Serif"/>
          <w:b w:val="false"/>
          <w:i w:val="false"/>
          <w:caps w:val="false"/>
          <w:smallCaps w:val="false"/>
          <w:sz w:val="20"/>
          <w:u w:val="single"/>
        </w:rPr>
        <w:t>Section 2.2(b)(ii)</w:t>
      </w:r>
      <w:r>
        <w:rPr>
          <w:rFonts w:ascii="Times New Roman;Times;Serif" w:hAnsi="Times New Roman;Times;Serif"/>
          <w:b w:val="false"/>
          <w:i w:val="false"/>
          <w:caps w:val="false"/>
          <w:smallCaps w:val="false"/>
          <w:sz w:val="20"/>
        </w:rPr>
        <w:t xml:space="preserve"> hereof, all amounts required to be paid to principal under the Term Loans (a) shall be applied to the remaining principal amortization payments thereof in inverse order of maturity, (b) shall be subject to the Prepayment Fee, if applicable, and the Make-Whole Amount, if applicable, and (c) shall be accompanied by interest on the principal amount prepaid or repaid through the date of prepayment or payment.</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31</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color w:val="010000"/>
          <w:sz w:val="20"/>
        </w:rPr>
        <w:t xml:space="preserve">3. </w:t>
      </w:r>
      <w:r>
        <w:rPr>
          <w:rFonts w:ascii="Times New Roman;Times;Serif" w:hAnsi="Times New Roman;Times;Serif"/>
          <w:b/>
          <w:i w:val="false"/>
          <w:caps w:val="false"/>
          <w:smallCaps w:val="false"/>
          <w:sz w:val="20"/>
          <w:u w:val="single"/>
        </w:rPr>
        <w:t>CONDITIONS TO EFFECTIVE DATE AND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3.1 </w:t>
      </w:r>
      <w:r>
        <w:rPr>
          <w:rFonts w:ascii="Times New Roman;Times;Serif" w:hAnsi="Times New Roman;Times;Serif"/>
          <w:b/>
          <w:i w:val="false"/>
          <w:caps w:val="false"/>
          <w:smallCaps w:val="false"/>
          <w:sz w:val="20"/>
        </w:rPr>
        <w:t>Conditions Precedent to Effective Date.</w:t>
      </w:r>
      <w:r>
        <w:rPr>
          <w:rFonts w:ascii="Times New Roman;Times;Serif" w:hAnsi="Times New Roman;Times;Serif"/>
          <w:b w:val="false"/>
          <w:i w:val="false"/>
          <w:caps w:val="false"/>
          <w:smallCaps w:val="false"/>
          <w:sz w:val="20"/>
        </w:rPr>
        <w:t xml:space="preserve"> Each Lender’s obligation to commit to make (but not fund) a Term Loan is subject to the conditions precedent that Administrative Agent and each Lender shall have received (or shall have consented to in writing waive), in form and substance reasonably satisfactory to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this Agreement, the Pledge Agreement, the IP Security Agreement, the Closing Date Acquisition Collateral Assignment Agreement and such other Loan Documents as requested by Administrative Agent prior to the Effective Date, each duly executed by each applicable Loan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a completed Perfection Certificate for each of the Loan Parties (including Borrower and assuming the Closing Date Acquisition has been consummated in accordance with the terms of the Closing Date Acquisition Documents as of the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certified copies, dated as of date no earlier than thirty (30) days prior to the Effective Date, of financing statement searches, as Administrative Agent shall request, accompanied by written evidence (including any UCC termination statements) that the Liens indicated in any such financing statements either constitute Permitted Liens or have been or will be terminated or released on or prior to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UCC financing statements for each appropriate jurisdiction as is necessary, in Administrative Agent’s discretion, to prefect Administrative Agent’s Lien in the Collateral;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rPr>
        <w:t>[reserved];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(g) </w:t>
      </w:r>
      <w:r>
        <w:rPr>
          <w:rFonts w:ascii="Times New Roman;Times;Serif" w:hAnsi="Times New Roman;Times;Serif"/>
          <w:b w:val="false"/>
          <w:i w:val="false"/>
          <w:caps w:val="false"/>
          <w:smallCaps w:val="false"/>
          <w:sz w:val="20"/>
        </w:rPr>
        <w:t>[reserved];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(h) </w:t>
      </w:r>
      <w:r>
        <w:rPr>
          <w:rFonts w:ascii="Times New Roman;Times;Serif" w:hAnsi="Times New Roman;Times;Serif"/>
          <w:b w:val="false"/>
          <w:i w:val="false"/>
          <w:caps w:val="false"/>
          <w:smallCaps w:val="false"/>
          <w:sz w:val="20"/>
        </w:rPr>
        <w:t>a duly executed legal opinion of counsel to each Loan Party dated as of the Effective Date in form and substance reasonably satisfactory to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a payoff letter executed by each applicable financing source requested by Administrative Agent and required to be repaid on the Effective Date pursuant to the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(j) </w:t>
      </w:r>
      <w:r>
        <w:rPr>
          <w:rFonts w:ascii="Times New Roman;Times;Serif" w:hAnsi="Times New Roman;Times;Serif"/>
          <w:b w:val="false"/>
          <w:i w:val="false"/>
          <w:caps w:val="false"/>
          <w:smallCaps w:val="false"/>
          <w:sz w:val="20"/>
        </w:rPr>
        <w:t>a subordination agreement with each applicable financing source or holder of Indebtedness of any of the Loan Parties requested by Administrative Agent that is required to be subordinated to the Obligations pursuant to the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(k) </w:t>
      </w:r>
      <w:r>
        <w:rPr>
          <w:rFonts w:ascii="Times New Roman;Times;Serif" w:hAnsi="Times New Roman;Times;Serif"/>
          <w:b w:val="false"/>
          <w:i w:val="false"/>
          <w:caps w:val="false"/>
          <w:smallCaps w:val="false"/>
          <w:sz w:val="20"/>
        </w:rPr>
        <w:t>[reserved];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(l) </w:t>
      </w:r>
      <w:r>
        <w:rPr>
          <w:rFonts w:ascii="Times New Roman;Times;Serif" w:hAnsi="Times New Roman;Times;Serif"/>
          <w:b w:val="false"/>
          <w:i w:val="false"/>
          <w:caps w:val="false"/>
          <w:smallCaps w:val="false"/>
          <w:sz w:val="20"/>
        </w:rPr>
        <w:t>the Organization Documents and good standing certificates of each Loan Party certified by the Secretary of State (or equivalent agency) of such Loan Party’s jurisdiction of organization or formation, each as of a date no earlier than thirty (30) days prior to the Effective Date</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(m) </w:t>
      </w:r>
      <w:r>
        <w:rPr>
          <w:rFonts w:ascii="Times New Roman;Times;Serif" w:hAnsi="Times New Roman;Times;Serif"/>
          <w:b w:val="false"/>
          <w:i w:val="false"/>
          <w:caps w:val="false"/>
          <w:smallCaps w:val="false"/>
          <w:sz w:val="20"/>
        </w:rPr>
        <w:t>a copy of resolutions of the governing body for each Loan Party evidencing approval of the Term Loans and other transactions evidenced by the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(n) </w:t>
      </w:r>
      <w:r>
        <w:rPr>
          <w:rFonts w:ascii="Times New Roman;Times;Serif" w:hAnsi="Times New Roman;Times;Serif"/>
          <w:b w:val="false"/>
          <w:i w:val="false"/>
          <w:caps w:val="false"/>
          <w:smallCaps w:val="false"/>
          <w:sz w:val="20"/>
        </w:rPr>
        <w:t xml:space="preserve">duly executed officer’s certificates for each Loan Party certifying as to (i) the incumbency of each Responsible Officer executing each Loan Document and (ii) the documents delivered pursuant to </w:t>
      </w:r>
      <w:r>
        <w:rPr>
          <w:rFonts w:ascii="Times New Roman;Times;Serif" w:hAnsi="Times New Roman;Times;Serif"/>
          <w:b w:val="false"/>
          <w:i w:val="false"/>
          <w:caps w:val="false"/>
          <w:smallCaps w:val="false"/>
          <w:sz w:val="20"/>
          <w:u w:val="single"/>
        </w:rPr>
        <w:t>Section 3.1(l)</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3.1(m)</w:t>
      </w:r>
      <w:r>
        <w:rPr>
          <w:rFonts w:ascii="Times New Roman;Times;Serif" w:hAnsi="Times New Roman;Times;Serif"/>
          <w:b w:val="false"/>
          <w:i w:val="false"/>
          <w:caps w:val="false"/>
          <w:smallCaps w:val="false"/>
          <w:sz w:val="20"/>
        </w:rPr>
        <w:t>, in a form reasonably acceptable to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(o) </w:t>
      </w:r>
      <w:r>
        <w:rPr>
          <w:rFonts w:ascii="Times New Roman;Times;Serif" w:hAnsi="Times New Roman;Times;Serif"/>
          <w:b w:val="false"/>
          <w:i w:val="false"/>
          <w:caps w:val="false"/>
          <w:smallCaps w:val="false"/>
          <w:sz w:val="20"/>
        </w:rPr>
        <w:t xml:space="preserve">the representations and warranties set forth in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(other than </w:t>
      </w:r>
      <w:r>
        <w:rPr>
          <w:rFonts w:ascii="Times New Roman;Times;Serif" w:hAnsi="Times New Roman;Times;Serif"/>
          <w:b w:val="false"/>
          <w:i w:val="false"/>
          <w:caps w:val="false"/>
          <w:smallCaps w:val="false"/>
          <w:sz w:val="20"/>
          <w:u w:val="single"/>
        </w:rPr>
        <w:t>Section 5.13</w:t>
      </w:r>
      <w:r>
        <w:rPr>
          <w:rFonts w:ascii="Times New Roman;Times;Serif" w:hAnsi="Times New Roman;Times;Serif"/>
          <w:b w:val="false"/>
          <w:i w:val="false"/>
          <w:caps w:val="false"/>
          <w:smallCaps w:val="false"/>
          <w:sz w:val="20"/>
        </w:rPr>
        <w:t>) shall be true, accurate and complete in all material respects (except for representations and warranties that are already qualified by materiality, which representations and warranties shall be true and correct in all respect after giving effect to such materiality qualification) as of the Effective Date provided, that those representations and warranties expressly referring to a specific date shall be true, accurate and complete in all material respects as of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(p) </w:t>
      </w:r>
      <w:r>
        <w:rPr>
          <w:rFonts w:ascii="Times New Roman;Times;Serif" w:hAnsi="Times New Roman;Times;Serif"/>
          <w:b w:val="false"/>
          <w:i w:val="false"/>
          <w:caps w:val="false"/>
          <w:smallCaps w:val="false"/>
          <w:sz w:val="20"/>
        </w:rPr>
        <w:t>no Default or Event of Default shall exist;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(q) </w:t>
      </w:r>
      <w:r>
        <w:rPr>
          <w:rFonts w:ascii="Times New Roman;Times;Serif" w:hAnsi="Times New Roman;Times;Serif"/>
          <w:b w:val="false"/>
          <w:i w:val="false"/>
          <w:caps w:val="false"/>
          <w:smallCaps w:val="false"/>
          <w:sz w:val="20"/>
        </w:rPr>
        <w:t>evidence reasonably satisfactory to Administrative Agent that all members, board of directors, governmental, shareholder, material third party consents and other approvals necessary in connection with entering into this Agreement and consummating each of the transactions contemplated hereby to be consummated on the Effective Date have been obtained or waived;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(r) </w:t>
      </w:r>
      <w:r>
        <w:rPr>
          <w:rFonts w:ascii="Times New Roman;Times;Serif" w:hAnsi="Times New Roman;Times;Serif"/>
          <w:b w:val="false"/>
          <w:i w:val="false"/>
          <w:caps w:val="false"/>
          <w:smallCaps w:val="false"/>
          <w:sz w:val="20"/>
        </w:rPr>
        <w:t xml:space="preserve">delivery of a duly authorized officer’s certificate, executed by each Loan Party, (i) certifying to matters set forth in clauses </w:t>
      </w:r>
      <w:r>
        <w:rPr>
          <w:rFonts w:ascii="Times New Roman;Times;Serif" w:hAnsi="Times New Roman;Times;Serif"/>
          <w:b w:val="false"/>
          <w:i w:val="false"/>
          <w:caps w:val="false"/>
          <w:smallCaps w:val="false"/>
          <w:sz w:val="20"/>
          <w:u w:val="single"/>
        </w:rPr>
        <w:t>(o)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(q)</w:t>
      </w:r>
      <w:r>
        <w:rPr>
          <w:rFonts w:ascii="Times New Roman;Times;Serif" w:hAnsi="Times New Roman;Times;Serif"/>
          <w:b w:val="false"/>
          <w:i w:val="false"/>
          <w:caps w:val="false"/>
          <w:smallCaps w:val="false"/>
          <w:sz w:val="20"/>
        </w:rPr>
        <w:t xml:space="preserve"> above and (ii) certifying and attaching as to delivery to Administrative Agent of true, correct and complete copies of the Closing Date Acquisition Agreement and each other Closing Date Acquisition Document executed prior to or as of the Effective Date (the Closing Date Acquisition Agreement and all exhibits thereto and each other Closing Date Acquisition Document shall be in form, scope and substance reasonably satisfactory to Administrative Agent)(it being acknowledged that Borrower may deliver the fully executed copies of the Closing Date Acquisition Agreement and each other Closing Date Acquisition Document to be executed on or prior to the Effective Date and the forms of each of the exhibits thereto and other documents identified therein for which forms have been negotiated within five (5) Business Days of the Effective Date and Borrower hereby directs Administrative Agent to append such documents to the officer’s certificate identified in this clause (r));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    </w:t>
      </w:r>
      <w:r>
        <w:rPr>
          <w:rFonts w:ascii="Times New Roman;Times;Serif" w:hAnsi="Times New Roman;Times;Serif"/>
          <w:b w:val="false"/>
          <w:i w:val="false"/>
          <w:caps w:val="false"/>
          <w:smallCaps w:val="false"/>
          <w:sz w:val="20"/>
        </w:rPr>
        <w:t>Administrative Agent and the Lenders shall have received all documentation and other information required by regulatory authorities with respect to Parent and its Subsidiaries under applicable “know your customer” and anti-money laundering rules and regulations and requested by Administrative Agent and Lenders at least five (5) Business Days prior to the Effective Date;</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32</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(t)     </w:t>
      </w:r>
      <w:r>
        <w:rPr>
          <w:rFonts w:ascii="Times New Roman;Times;Serif" w:hAnsi="Times New Roman;Times;Serif"/>
          <w:b w:val="false"/>
          <w:i w:val="false"/>
          <w:caps w:val="false"/>
          <w:smallCaps w:val="false"/>
          <w:sz w:val="20"/>
        </w:rPr>
        <w:t>such other documents, certificates, instruments, and affidavits as Administrative Agent requested prior to the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(u)   </w:t>
      </w:r>
      <w:r>
        <w:rPr>
          <w:rFonts w:ascii="Times New Roman;Times;Serif" w:hAnsi="Times New Roman;Times;Serif"/>
          <w:b w:val="false"/>
          <w:i w:val="false"/>
          <w:caps w:val="false"/>
          <w:smallCaps w:val="false"/>
          <w:sz w:val="20"/>
        </w:rPr>
        <w:t>receipt of confirmation by Administrative Agent that all costs, fees and expenses due to any affiliate of Administrative Agent under the Engagement Letter shall have been paid prior to the Effective Date hereof;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   </w:t>
      </w:r>
      <w:r>
        <w:rPr>
          <w:rFonts w:ascii="Times New Roman;Times;Serif" w:hAnsi="Times New Roman;Times;Serif"/>
          <w:b w:val="false"/>
          <w:i w:val="false"/>
          <w:caps w:val="false"/>
          <w:smallCaps w:val="false"/>
          <w:sz w:val="20"/>
        </w:rPr>
        <w:t xml:space="preserve">payment to Administrative Agent, for the account of Administrative Agent and the Lenders, of Lenders’ Expenses as specified in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color w:val="010000"/>
          <w:sz w:val="20"/>
        </w:rPr>
        <w:t xml:space="preserve">3.2 </w:t>
      </w:r>
      <w:r>
        <w:rPr>
          <w:rFonts w:ascii="Times New Roman;Times;Serif" w:hAnsi="Times New Roman;Times;Serif"/>
          <w:b/>
          <w:i w:val="false"/>
          <w:caps w:val="false"/>
          <w:smallCaps w:val="false"/>
          <w:sz w:val="20"/>
        </w:rPr>
        <w:t xml:space="preserve">Conditions Precedent to Closing Date. </w:t>
      </w:r>
      <w:r>
        <w:rPr>
          <w:rFonts w:ascii="Times New Roman;Times;Serif" w:hAnsi="Times New Roman;Times;Serif"/>
          <w:b w:val="false"/>
          <w:i w:val="false"/>
          <w:caps w:val="false"/>
          <w:smallCaps w:val="false"/>
          <w:sz w:val="20"/>
        </w:rPr>
        <w:t>Each Lender’s obligation to make a Term Loan on the Closing Date is subject to the condition precedent that Administrative Agent and each Lender shall have received (or shall have consented to waive), in form and substance reasonably satisfactory to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 xml:space="preserve">(i) the Term Notes, an IP Security Agreement (to the extent any Loan Party has acquired Intellectual Property since the Effective Date required to be included thereon in accordance with the terms of this Agreement), to the extent required hereunder or under the Pledge Agreement, all other Loan Documents, each duly executed by each Loan Party required to be party thereto, as applicable and (ii) an amendment to this Agreement substantially in the form attached hereto as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xml:space="preserve"> to set forth, among other terms, the Term Loan Commitments of the Lenders on </w:t>
      </w:r>
      <w:r>
        <w:rPr>
          <w:rFonts w:ascii="Times New Roman;Times;Serif" w:hAnsi="Times New Roman;Times;Serif"/>
          <w:b w:val="false"/>
          <w:i w:val="false"/>
          <w:caps w:val="false"/>
          <w:smallCaps w:val="false"/>
          <w:sz w:val="20"/>
          <w:u w:val="single"/>
        </w:rPr>
        <w:t>Schedule 1.1</w:t>
      </w:r>
      <w:r>
        <w:rPr>
          <w:rFonts w:ascii="Times New Roman;Times;Serif" w:hAnsi="Times New Roman;Times;Serif"/>
          <w:b w:val="false"/>
          <w:i w:val="false"/>
          <w:caps w:val="false"/>
          <w:smallCaps w:val="false"/>
          <w:sz w:val="20"/>
        </w:rPr>
        <w:t xml:space="preserve">, the Interest Rate in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 xml:space="preserve"> hereof, the amortization schedule set forth in </w:t>
      </w:r>
      <w:r>
        <w:rPr>
          <w:rFonts w:ascii="Times New Roman;Times;Serif" w:hAnsi="Times New Roman;Times;Serif"/>
          <w:b w:val="false"/>
          <w:i w:val="false"/>
          <w:caps w:val="false"/>
          <w:smallCaps w:val="false"/>
          <w:sz w:val="20"/>
          <w:u w:val="single"/>
        </w:rPr>
        <w:t>Section 2.3(b)</w:t>
      </w:r>
      <w:r>
        <w:rPr>
          <w:rFonts w:ascii="Times New Roman;Times;Serif" w:hAnsi="Times New Roman;Times;Serif"/>
          <w:b w:val="false"/>
          <w:i w:val="false"/>
          <w:caps w:val="false"/>
          <w:smallCaps w:val="false"/>
          <w:sz w:val="20"/>
        </w:rPr>
        <w:t xml:space="preserve"> hereof, the Stated Maturity Date and the covenant levels for the Total Net Debt to Consolidated EBITDA Ratio and Consolidated Fixed Charge Coverage Ratio set forth in </w:t>
      </w:r>
      <w:r>
        <w:rPr>
          <w:rFonts w:ascii="Times New Roman;Times;Serif" w:hAnsi="Times New Roman;Times;Serif"/>
          <w:b w:val="false"/>
          <w:i w:val="false"/>
          <w:caps w:val="false"/>
          <w:smallCaps w:val="false"/>
          <w:sz w:val="20"/>
          <w:u w:val="single"/>
        </w:rPr>
        <w:t>Section 7.15</w:t>
      </w:r>
      <w:r>
        <w:rPr>
          <w:rFonts w:ascii="Times New Roman;Times;Serif" w:hAnsi="Times New Roman;Times;Serif"/>
          <w:b w:val="false"/>
          <w:i w:val="false"/>
          <w:caps w:val="false"/>
          <w:smallCaps w:val="false"/>
          <w:sz w:val="20"/>
        </w:rPr>
        <w:t>, each as reasonably determined by Administrative Agent in accordance with the terms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updated </w:t>
      </w:r>
      <w:r>
        <w:rPr>
          <w:rFonts w:ascii="Times New Roman;Times;Serif" w:hAnsi="Times New Roman;Times;Serif"/>
          <w:b w:val="false"/>
          <w:i w:val="false"/>
          <w:caps w:val="false"/>
          <w:smallCaps w:val="false"/>
          <w:sz w:val="20"/>
          <w:u w:val="single"/>
        </w:rPr>
        <w:t>Schedule 5.2</w:t>
      </w:r>
      <w:r>
        <w:rPr>
          <w:rFonts w:ascii="Times New Roman;Times;Serif" w:hAnsi="Times New Roman;Times;Serif"/>
          <w:b w:val="false"/>
          <w:i w:val="false"/>
          <w:caps w:val="false"/>
          <w:smallCaps w:val="false"/>
          <w:sz w:val="20"/>
        </w:rPr>
        <w:t xml:space="preserve"> solely to add the Closing Date Acquisition Intellectual Property as owned Intellectual Property, which shall be in form, scope and substance satisfactory to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a completed Perfection Certificate for each of the Loan Parties (and assuming the Closing Date Acquisition has been consummated in accordance with the terms of the Closing Date Acquisition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certified copies, dated as of date no earlier than thirty (30) days prior to the Closing Date, of financing statement searches, as Administrative Agent shall request, accompanied by written evidence (including any UCC termination statements) that the Liens indicated in any such financing statements either constitute Permitted Liens or have been or, in connection with the Closing Date, will be terminated or released;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certification that the Borrower is Solvent and Parent and its Subsidiaries, when taken as a whole, are Solvent.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rPr>
        <w:t>delivery of an intercompany note evidencing Indebtedness among the Loan Parties, in form and substance reasonably satisfactory to Administrative Agent;</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33</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(g)   </w:t>
      </w:r>
      <w:r>
        <w:rPr>
          <w:rFonts w:ascii="Times New Roman;Times;Serif" w:hAnsi="Times New Roman;Times;Serif"/>
          <w:b w:val="false"/>
          <w:i w:val="false"/>
          <w:caps w:val="false"/>
          <w:smallCaps w:val="false"/>
          <w:sz w:val="20"/>
        </w:rPr>
        <w:t>a payoff letter executed by each applicable financing source requested by Administrative Agent and required to be repaid on the Closing Date pursuant to the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(h)   </w:t>
      </w:r>
      <w:r>
        <w:rPr>
          <w:rFonts w:ascii="Times New Roman;Times;Serif" w:hAnsi="Times New Roman;Times;Serif"/>
          <w:b w:val="false"/>
          <w:i w:val="false"/>
          <w:caps w:val="false"/>
          <w:smallCaps w:val="false"/>
          <w:sz w:val="20"/>
        </w:rPr>
        <w:t>a subordination agreement with each applicable financing source requested by Administrative Agent and required to be subordinated to the Obligations pursuant to the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 xml:space="preserve">evidence reasonably satisfactory to Administrative Agent that the insurance policies required by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hereof are in full force and effect, together with appropriate evidence showing lender’s loss payable and/or additional insured clauses or endorsements in favor of Administrative Agent, for the ratable benefit of the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(j)     </w:t>
      </w:r>
      <w:r>
        <w:rPr>
          <w:rFonts w:ascii="Times New Roman;Times;Serif" w:hAnsi="Times New Roman;Times;Serif"/>
          <w:b w:val="false"/>
          <w:i w:val="false"/>
          <w:caps w:val="false"/>
          <w:smallCaps w:val="false"/>
          <w:sz w:val="20"/>
        </w:rPr>
        <w:t>the Organization Documents (or certificates of no change) and good standing certificates of each Loan Party certified by the Secretary of State (or equivalent agency) of such Loan Party’s jurisdiction of organization or formation, each as of a date no earlier than thirty (30) days prior to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(k)   </w:t>
      </w:r>
      <w:r>
        <w:rPr>
          <w:rFonts w:ascii="Times New Roman;Times;Serif" w:hAnsi="Times New Roman;Times;Serif"/>
          <w:b w:val="false"/>
          <w:i w:val="false"/>
          <w:caps w:val="false"/>
          <w:smallCaps w:val="false"/>
          <w:sz w:val="20"/>
        </w:rPr>
        <w:t>a copy of resolutions of the governing body for each Loan Party evidencing approval of the Term Loans and other transactions evidenced by the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(l)     </w:t>
      </w:r>
      <w:r>
        <w:rPr>
          <w:rFonts w:ascii="Times New Roman;Times;Serif" w:hAnsi="Times New Roman;Times;Serif"/>
          <w:b w:val="false"/>
          <w:i w:val="false"/>
          <w:caps w:val="false"/>
          <w:smallCaps w:val="false"/>
          <w:sz w:val="20"/>
        </w:rPr>
        <w:t xml:space="preserve">duly executed original officer’s certificates for each Loan Party certifying as to (i) the incumbency of each Responsible Officer executing each Loan Document and (ii) the documents delivered pursuant to </w:t>
      </w:r>
      <w:r>
        <w:rPr>
          <w:rFonts w:ascii="Times New Roman;Times;Serif" w:hAnsi="Times New Roman;Times;Serif"/>
          <w:b w:val="false"/>
          <w:i w:val="false"/>
          <w:caps w:val="false"/>
          <w:smallCaps w:val="false"/>
          <w:sz w:val="20"/>
          <w:u w:val="single"/>
        </w:rPr>
        <w:t>Section 3.2(j)</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3.2(k)</w:t>
      </w:r>
      <w:r>
        <w:rPr>
          <w:rFonts w:ascii="Times New Roman;Times;Serif" w:hAnsi="Times New Roman;Times;Serif"/>
          <w:b w:val="false"/>
          <w:i w:val="false"/>
          <w:caps w:val="false"/>
          <w:smallCaps w:val="false"/>
          <w:sz w:val="20"/>
        </w:rPr>
        <w:t>, in a form reasonably acceptable to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(m)       </w:t>
      </w:r>
      <w:r>
        <w:rPr>
          <w:rFonts w:ascii="Times New Roman;Times;Serif" w:hAnsi="Times New Roman;Times;Serif"/>
          <w:b w:val="false"/>
          <w:i w:val="false"/>
          <w:caps w:val="false"/>
          <w:smallCaps w:val="false"/>
          <w:sz w:val="20"/>
        </w:rPr>
        <w:t>duly executed legal opinions of counsel to each Loan Party dated as of the Closing Date in form and substance reasonably satisfactory to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(n)   </w:t>
      </w:r>
      <w:r>
        <w:rPr>
          <w:rFonts w:ascii="Times New Roman;Times;Serif" w:hAnsi="Times New Roman;Times;Serif"/>
          <w:b w:val="false"/>
          <w:i w:val="false"/>
          <w:caps w:val="false"/>
          <w:smallCaps w:val="false"/>
          <w:sz w:val="20"/>
        </w:rPr>
        <w:t xml:space="preserve">delivery of a duly authorized original officer’s certificate, executed by each Loan Party, (i) certifying to the satisfaction of the conditions set forth in </w:t>
      </w:r>
      <w:r>
        <w:rPr>
          <w:rFonts w:ascii="Times New Roman;Times;Serif" w:hAnsi="Times New Roman;Times;Serif"/>
          <w:b w:val="false"/>
          <w:i w:val="false"/>
          <w:caps w:val="false"/>
          <w:smallCaps w:val="false"/>
          <w:sz w:val="20"/>
          <w:u w:val="single"/>
        </w:rPr>
        <w:t>Section 3.2(e)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3.2(r)</w:t>
      </w:r>
      <w:r>
        <w:rPr>
          <w:rFonts w:ascii="Times New Roman;Times;Serif" w:hAnsi="Times New Roman;Times;Serif"/>
          <w:b w:val="false"/>
          <w:i w:val="false"/>
          <w:caps w:val="false"/>
          <w:smallCaps w:val="false"/>
          <w:sz w:val="20"/>
        </w:rPr>
        <w:t xml:space="preserve">, (ii) certifying to conditions set forth in </w:t>
      </w:r>
      <w:r>
        <w:rPr>
          <w:rFonts w:ascii="Times New Roman;Times;Serif" w:hAnsi="Times New Roman;Times;Serif"/>
          <w:b w:val="false"/>
          <w:i w:val="false"/>
          <w:caps w:val="false"/>
          <w:smallCaps w:val="false"/>
          <w:sz w:val="20"/>
          <w:u w:val="single"/>
        </w:rPr>
        <w:t>Section 3.3(b)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hereof and (iii) certifying and attaching true, correct and complete copies of the executed Closing Date Acquisition Agreement (as in effect on the Effective Date, together with all amendments, supplements or other modifications thereto) and each other executed Closing Date Acquisition Document (as in effect on the Effective Date or in the form in effect on the Effective Date, together with all amendments, supplements or other modifications thereto) (each such document shall be in form, scope and substance satisfactory to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(o)   </w:t>
      </w:r>
      <w:r>
        <w:rPr>
          <w:rFonts w:ascii="Times New Roman;Times;Serif" w:hAnsi="Times New Roman;Times;Serif"/>
          <w:b w:val="false"/>
          <w:i w:val="false"/>
          <w:caps w:val="false"/>
          <w:smallCaps w:val="false"/>
          <w:sz w:val="20"/>
        </w:rPr>
        <w:t>receipt of confirmation by Administrative Agent that all costs, fees and expenses due to any affiliate of Administrative Agent under the Engagement Letter shall have been paid prior to the Closing Date or substantially contemporaneously with the funding of the Term Loan;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(p)   </w:t>
      </w:r>
      <w:r>
        <w:rPr>
          <w:rFonts w:ascii="Times New Roman;Times;Serif" w:hAnsi="Times New Roman;Times;Serif"/>
          <w:b w:val="false"/>
          <w:i w:val="false"/>
          <w:caps w:val="false"/>
          <w:smallCaps w:val="false"/>
          <w:sz w:val="20"/>
        </w:rPr>
        <w:t xml:space="preserve">payment to Administrative Agent, for the account of Administrative Agent and the Lenders, of Lenders’ Expenses as specified in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34</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(q)   </w:t>
      </w:r>
      <w:r>
        <w:rPr>
          <w:rFonts w:ascii="Times New Roman;Times;Serif" w:hAnsi="Times New Roman;Times;Serif"/>
          <w:b w:val="false"/>
          <w:i w:val="false"/>
          <w:caps w:val="false"/>
          <w:smallCaps w:val="false"/>
          <w:sz w:val="20"/>
        </w:rPr>
        <w:t>delivery of (i) all certificates (if any) evidencing any certified Equity Interests pledged to Administrative Agent pursuant to the Pledge Agreement, together with duly executed in blank, undated transfer powers attached thereto, and, for Pledged Uncertificated Stock (as defined in the Pledge Agreement), entry into an agreement to grant the Administrative Agent a perfected, first-priority Lien by “control” as defined in Section 8-106 of the UCC; and (ii) to the extent required by the Pledge Agreement, all Pledged Debt, together with duly executed in blank, undated allonges attached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(r)    </w:t>
      </w:r>
      <w:r>
        <w:rPr>
          <w:rFonts w:ascii="Times New Roman;Times;Serif" w:hAnsi="Times New Roman;Times;Serif"/>
          <w:b w:val="false"/>
          <w:i w:val="false"/>
          <w:caps w:val="false"/>
          <w:smallCaps w:val="false"/>
          <w:sz w:val="20"/>
        </w:rPr>
        <w:t>evidence that the Closing Date Acquisition shall be consummated, and such Closing Date Acquisition shall only be consummated, substantially contemporaneously with the funding of the Term Loan on the Closing Date in accordance with the terms of the Closing Date Acquisition Agreement (as in effect on the Effective Date or as otherwise amended, supplemented or otherwise modified with the written consent of the Administrative Agent) and each other Closing Date Acquisition Document (as in effect on the Effective Date or in form in effect as of the Effective Date or as otherwise amended, supplemented or otherwise modified with the written consent of the Administrative Agent);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    </w:t>
      </w:r>
      <w:r>
        <w:rPr>
          <w:rFonts w:ascii="Times New Roman;Times;Serif" w:hAnsi="Times New Roman;Times;Serif"/>
          <w:b w:val="false"/>
          <w:i w:val="false"/>
          <w:caps w:val="false"/>
          <w:smallCaps w:val="false"/>
          <w:sz w:val="20"/>
        </w:rPr>
        <w:t>evidence that the Common Stock Offering shall have been consummated.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3.3 </w:t>
      </w:r>
      <w:r>
        <w:rPr>
          <w:rFonts w:ascii="Times New Roman;Times;Serif" w:hAnsi="Times New Roman;Times;Serif"/>
          <w:b/>
          <w:i w:val="false"/>
          <w:caps w:val="false"/>
          <w:smallCaps w:val="false"/>
          <w:sz w:val="20"/>
        </w:rPr>
        <w:t>Conditions Precedent to all Term Loans</w:t>
      </w:r>
      <w:r>
        <w:rPr>
          <w:rFonts w:ascii="Times New Roman;Times;Serif" w:hAnsi="Times New Roman;Times;Serif"/>
          <w:b w:val="false"/>
          <w:i w:val="false"/>
          <w:caps w:val="false"/>
          <w:smallCaps w:val="false"/>
          <w:sz w:val="20"/>
        </w:rPr>
        <w:t>. The obligation of each Lender to extend each Term Loan, including the initial Term Loan, is subject to the following conditions precedent: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 xml:space="preserve">receipt by Administrative Agent of an executed Loan Payment Request Form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the representations and warranties in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hereof shall be true, accurate and complete in all material respects (except for representations and warranties that are already qualified by materiality, which representations and warranties shall be true and correct in all respect after giving effect to such materiality qualification) on the Funding Date of each Term Loan (as if made on such date); provided, that those representations and warranties expressly referring to a specific date shall be true, accurate and complete in all material respects as of such date; provided, however, on the Closing Date, the representations and warranties set forth in </w:t>
      </w:r>
      <w:r>
        <w:rPr>
          <w:rFonts w:ascii="Times New Roman;Times;Serif" w:hAnsi="Times New Roman;Times;Serif"/>
          <w:b w:val="false"/>
          <w:i w:val="false"/>
          <w:caps w:val="false"/>
          <w:smallCaps w:val="false"/>
          <w:sz w:val="20"/>
          <w:u w:val="single"/>
        </w:rPr>
        <w:t>Section 5.13</w:t>
      </w:r>
      <w:r>
        <w:rPr>
          <w:rFonts w:ascii="Times New Roman;Times;Serif" w:hAnsi="Times New Roman;Times;Serif"/>
          <w:b w:val="false"/>
          <w:i w:val="false"/>
          <w:caps w:val="false"/>
          <w:smallCaps w:val="false"/>
          <w:sz w:val="20"/>
        </w:rPr>
        <w:t xml:space="preserve"> shall be true and correct as therein provided;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(i) there has not been any Material Adverse Change; and (ii) there has not been any Material Adverse Effect (under and as defined in the Closing Date Acquisition Agreement as in effect on the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no Default or Event of Default shall exist or result from the funding of such Term Loan;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 xml:space="preserve">payment to Administrative Agent, for the account of Administrative Agent and the Lenders, of Lenders’ Expenses as specified in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3.4 </w:t>
      </w:r>
      <w:r>
        <w:rPr>
          <w:rFonts w:ascii="Times New Roman;Times;Serif" w:hAnsi="Times New Roman;Times;Serif"/>
          <w:b/>
          <w:i w:val="false"/>
          <w:caps w:val="false"/>
          <w:smallCaps w:val="false"/>
          <w:sz w:val="20"/>
        </w:rPr>
        <w:t>Covenant to Deliver</w:t>
      </w:r>
      <w:r>
        <w:rPr>
          <w:rFonts w:ascii="Times New Roman;Times;Serif" w:hAnsi="Times New Roman;Times;Serif"/>
          <w:b w:val="false"/>
          <w:i w:val="false"/>
          <w:caps w:val="false"/>
          <w:smallCaps w:val="false"/>
          <w:sz w:val="20"/>
        </w:rPr>
        <w:t>. Each Loan Party agrees to deliver to Administrative Agent and the Lenders each item required to be delivered to Administrative Agent under this Agreement as a condition precedent to the Closing Date and the funding of any Term Loan. Each Loan Party expressly agrees that a Term Loan made prior to the receipt by Administrative Agent or any Lender of any such item shall not constitute a waiver by Administrative Agent or any Lender of such Loan Party’s obligation to deliver such item, and any such Term Loan in the absence of a required item shall be made in each Lender’s sole discretion.</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35</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3.5 </w:t>
      </w:r>
      <w:r>
        <w:rPr>
          <w:rFonts w:ascii="Times New Roman;Times;Serif" w:hAnsi="Times New Roman;Times;Serif"/>
          <w:b/>
          <w:i w:val="false"/>
          <w:caps w:val="false"/>
          <w:smallCaps w:val="false"/>
          <w:sz w:val="20"/>
        </w:rPr>
        <w:t>Procedures for Borrowing</w:t>
      </w:r>
      <w:r>
        <w:rPr>
          <w:rFonts w:ascii="Times New Roman;Times;Serif" w:hAnsi="Times New Roman;Times;Serif"/>
          <w:b w:val="false"/>
          <w:i w:val="false"/>
          <w:caps w:val="false"/>
          <w:smallCaps w:val="false"/>
          <w:sz w:val="20"/>
        </w:rPr>
        <w:t>. Subject to the prior satisfaction of all other applicable conditions to the making of a Term Loan set forth in this Agreement, to obtain the Term Loans, Borrower shall notify the Lenders (which notice shall be irrevocable) by electronic mail, facsimile, or telephone by 12:00 noon New York City time five (5) Business Days prior to the date the Term Loan is to be made. Together with any such electronic, facsimile or telephonic notification, Borrower shall deliver to Administrative Agent by electronic mail or facsimile a completed Loan Payment Request Form executed by a Responsible Officer or his or her designee. Administrative Agent may rely on any telephone notice given by a person whom Administrative Agent reasonably believes is a Responsible Officer or designee.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3.6 </w:t>
      </w:r>
      <w:r>
        <w:rPr>
          <w:rFonts w:ascii="Times New Roman;Times;Serif" w:hAnsi="Times New Roman;Times;Serif"/>
          <w:b/>
          <w:i w:val="false"/>
          <w:caps w:val="false"/>
          <w:smallCaps w:val="false"/>
          <w:sz w:val="20"/>
        </w:rPr>
        <w:t>Termination of Lenders Term Loan Commitments</w:t>
      </w:r>
      <w:r>
        <w:rPr>
          <w:rFonts w:ascii="Times New Roman;Times;Serif" w:hAnsi="Times New Roman;Times;Serif"/>
          <w:b w:val="false"/>
          <w:i w:val="false"/>
          <w:caps w:val="false"/>
          <w:smallCaps w:val="false"/>
          <w:sz w:val="20"/>
        </w:rPr>
        <w:t>. Upon the earliest of the following events to occur, the Term Loan Commitments of the Lenders shall terminate: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the closing of Closing Date Acquisition and the acquisition of the Transferred Assets referred to thereunder is not consummated in accordance with the terms of the Closing Date Acquisition Documents delivered to Administrative Agent on the Effective Date, as may be amended, supplemented or otherwise modified with the written consent of the Administrative Agent;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the earlier of (i) the occurrence of a Mandatory Redemption Event (as defined in the Indenture evidencing the Note Offering prior to the Closing Date) or (ii) the Closing Date has not occurred prior to the date that is one hundred eighty-five (185) days following the Effective Date;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the Closing Date Acquisition Agreement is terminated prior to the Closing Date;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One Hundred Million Dollars ($100,000,000) of gross proceeds is raised under one or more Note Offerings during the period beginning on the Effective Date and ending on or prior to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color w:val="010000"/>
          <w:sz w:val="20"/>
        </w:rPr>
        <w:t xml:space="preserve">3.7 </w:t>
      </w:r>
      <w:r>
        <w:rPr>
          <w:rFonts w:ascii="Times New Roman;Times;Serif" w:hAnsi="Times New Roman;Times;Serif"/>
          <w:b/>
          <w:i w:val="false"/>
          <w:caps w:val="false"/>
          <w:smallCaps w:val="false"/>
          <w:sz w:val="20"/>
        </w:rPr>
        <w:t>Lender Authorization</w:t>
      </w:r>
      <w:r>
        <w:rPr>
          <w:rFonts w:ascii="Times New Roman;Times;Serif" w:hAnsi="Times New Roman;Times;Serif"/>
          <w:b w:val="false"/>
          <w:i w:val="false"/>
          <w:caps w:val="false"/>
          <w:smallCaps w:val="false"/>
          <w:sz w:val="20"/>
        </w:rPr>
        <w:t xml:space="preserve">. Each Lender hereby authorizes and directs Administrative Agent, on its behalf, to execute the amendment in substantially the form attached hereto as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color w:val="010000"/>
          <w:sz w:val="20"/>
        </w:rPr>
        <w:t xml:space="preserve">4. </w:t>
      </w:r>
      <w:r>
        <w:rPr>
          <w:rFonts w:ascii="Times New Roman;Times;Serif" w:hAnsi="Times New Roman;Times;Serif"/>
          <w:b/>
          <w:i w:val="false"/>
          <w:caps w:val="false"/>
          <w:smallCaps w:val="false"/>
          <w:sz w:val="20"/>
          <w:u w:val="single"/>
        </w:rPr>
        <w:t>CREATION OF SECURITY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4.1 </w:t>
      </w:r>
      <w:r>
        <w:rPr>
          <w:rFonts w:ascii="Times New Roman;Times;Serif" w:hAnsi="Times New Roman;Times;Serif"/>
          <w:b/>
          <w:i w:val="false"/>
          <w:caps w:val="false"/>
          <w:smallCaps w:val="false"/>
          <w:sz w:val="20"/>
        </w:rPr>
        <w:t>Grant of Security Interest</w:t>
      </w:r>
      <w:r>
        <w:rPr>
          <w:rFonts w:ascii="Times New Roman;Times;Serif" w:hAnsi="Times New Roman;Times;Serif"/>
          <w:b w:val="false"/>
          <w:i w:val="false"/>
          <w:caps w:val="false"/>
          <w:smallCaps w:val="false"/>
          <w:sz w:val="20"/>
        </w:rPr>
        <w:t xml:space="preserve">. Each Loan Party hereby grants Administrative Agent, for the ratable benefit of the Lenders, to secure the payment and performance in full of all of the Obligations, a continuing security interest in, and pledges to Administrative Agent, for the ratable benefit of the Lenders, the Collateral, wherever located, whether now owned or hereafter acquired or arising, and all proceeds and products thereof. If any Loan Party shall acquire a commercial tort claim (as defined in the Code) in an amount greater than Two Hundred Fifty Thousand Dollars ($250,000) or commercial tort claims in an aggregate amount greater than Five Hundred Thousand Dollars ($500,000)(each such commercial tort claim is identified on </w:t>
      </w:r>
      <w:r>
        <w:rPr>
          <w:rFonts w:ascii="Times New Roman;Times;Serif" w:hAnsi="Times New Roman;Times;Serif"/>
          <w:b w:val="false"/>
          <w:i w:val="false"/>
          <w:caps w:val="false"/>
          <w:smallCaps w:val="false"/>
          <w:sz w:val="20"/>
          <w:u w:val="single"/>
        </w:rPr>
        <w:t>Schedule 4.1</w:t>
      </w:r>
      <w:r>
        <w:rPr>
          <w:rFonts w:ascii="Times New Roman;Times;Serif" w:hAnsi="Times New Roman;Times;Serif"/>
          <w:b w:val="false"/>
          <w:i w:val="false"/>
          <w:caps w:val="false"/>
          <w:smallCaps w:val="false"/>
          <w:sz w:val="20"/>
        </w:rPr>
        <w:t xml:space="preserve"> hereof (which such Schedule shall be updated from time to time by Parent and Administrative Agent promptly upon the commencement of any such commercial tort claim to include future commercial tort claims), such Loan Party shall promptly notify Administrative Agent thereof and grant to Administrative Agent, for the ratable benefit of the Lenders, a security interest therein and in the proceeds thereof, all upon the terms of this Agreement, with such writing to be in form and substance reasonably satisfactory to Administrative Agent.</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36</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Agreement is terminated, Administrative Agent’s Lien in the Collateral shall continue until the Obligations (other than inchoate contingent indemnification obligations) are repaid in full in cash. Upon payment in full in cash of the Obligations (other than inchoate contingent indemnification obligations), Administrative Agent shall, at the sole cost and expense of Borrower, release its Liens in the Collateral and all rights therein shall revert to the applicable Loan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4.2 </w:t>
      </w:r>
      <w:r>
        <w:rPr>
          <w:rFonts w:ascii="Times New Roman;Times;Serif" w:hAnsi="Times New Roman;Times;Serif"/>
          <w:b/>
          <w:i w:val="false"/>
          <w:caps w:val="false"/>
          <w:smallCaps w:val="false"/>
          <w:sz w:val="20"/>
        </w:rPr>
        <w:t>Authorization to File Financing Statements.</w:t>
      </w:r>
      <w:r>
        <w:rPr>
          <w:rFonts w:ascii="Times New Roman;Times;Serif" w:hAnsi="Times New Roman;Times;Serif"/>
          <w:b w:val="false"/>
          <w:i w:val="false"/>
          <w:caps w:val="false"/>
          <w:smallCaps w:val="false"/>
          <w:sz w:val="20"/>
        </w:rPr>
        <w:t xml:space="preserve"> Each Loan Party hereby authorizes Administrative Agent to file financing statements, intellectual property security agreements or this Agreement or take any other action required to perfect Administrative Agent’s security interests in the Collateral, without notice to any Loan Party, with all appropriate jurisdictions and in the United States Patent and Trademark Office or United States Copyright Office to perfect or protect Administrative Agent’s interest or rights under the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color w:val="010000"/>
          <w:sz w:val="20"/>
        </w:rPr>
        <w:t xml:space="preserve">5. </w:t>
      </w:r>
      <w:r>
        <w:rPr>
          <w:rFonts w:ascii="Times New Roman;Times;Serif" w:hAnsi="Times New Roman;Times;Serif"/>
          <w:b/>
          <w:i w:val="false"/>
          <w:caps w:val="false"/>
          <w:smallCaps w:val="false"/>
          <w:sz w:val="20"/>
          <w:u w:val="single"/>
        </w:rPr>
        <w:t>REPRESENTATIONS AND WARRANTIES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Loan Party represents and warrants to Administrative Agent and the Lenders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5.1 </w:t>
      </w:r>
      <w:r>
        <w:rPr>
          <w:rFonts w:ascii="Times New Roman;Times;Serif" w:hAnsi="Times New Roman;Times;Serif"/>
          <w:b/>
          <w:i w:val="false"/>
          <w:caps w:val="false"/>
          <w:smallCaps w:val="false"/>
          <w:sz w:val="20"/>
        </w:rPr>
        <w:t>Due Organization, Authorization: Power and Authority</w:t>
      </w:r>
      <w:r>
        <w:rPr>
          <w:rFonts w:ascii="Times New Roman;Times;Serif" w:hAnsi="Times New Roman;Times;Serif"/>
          <w:b w:val="false"/>
          <w:i w:val="false"/>
          <w:caps w:val="false"/>
          <w:smallCaps w:val="false"/>
          <w:sz w:val="20"/>
        </w:rPr>
        <w:t>. Such Loan Party and each of its Subsidiaries is duly existing and in good standing as a Registered Organization in its jurisdictions of organization or formation and such Loan Party and each of its Subsidiaries is qualified and licensed to do business and is in good standing in any jurisdiction in which the conduct of its businesses or its ownership of property requires that it be so qualified except where the failure to do so could not reasonably be expected to have a Material Adverse Change. In connection with this Agreement, such Loan Party and each of its Subsidiaries has delivered to Administrative Agent a completed perfection certificate and any updates or supplements thereto on or before the Effective Date and on or before the Closing Date (each a “</w:t>
      </w:r>
      <w:r>
        <w:rPr>
          <w:rFonts w:ascii="Times New Roman;Times;Serif" w:hAnsi="Times New Roman;Times;Serif"/>
          <w:b/>
          <w:i w:val="false"/>
          <w:caps w:val="false"/>
          <w:smallCaps w:val="false"/>
          <w:sz w:val="20"/>
        </w:rPr>
        <w:t>Perfection Certificate</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Perfection Certificates</w:t>
      </w:r>
      <w:r>
        <w:rPr>
          <w:rFonts w:ascii="Times New Roman;Times;Serif" w:hAnsi="Times New Roman;Times;Serif"/>
          <w:b w:val="false"/>
          <w:i w:val="false"/>
          <w:caps w:val="false"/>
          <w:smallCaps w:val="false"/>
          <w:sz w:val="20"/>
        </w:rPr>
        <w:t>”). Such Loan Party represents and warrants that all the information set forth on the Perfection Certificates pertaining to such Loan Party and each of its Subsidiaries is accurate and complete in all material respects as of the date of delivery of the applicable Perfection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execution, delivery and performance by each Loan Party and each of its Subsidiaries of the Loan Documents to which it is a party have been duly authorized, and do not (i) conflict with any of such Loan Party’s or such Subsidiary’s Organization Documents, (ii) contravene, conflict with, constitute a default under or violate any material Law applicable thereto, (iii) contravene, conflict or violate any applicable order, writ, judgment, injunction, decree, determination or award of any Governmental Authority by which such Loan Party or such Subsidiary,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are being obtained pursuant to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or (v) constitute an event of default under any Material Agreement by which such Loan Party or any of such Subsidiaries, or their respective properties, is bound. Neither any Loan Party nor any of its Subsidiaries is in default under any agreement to which it is a party or by which it or any of its assets is bound in which such default would reasonably be expected to have a Material Adverse Change.</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37</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5.2 </w:t>
      </w:r>
      <w:r>
        <w:rPr>
          <w:rFonts w:ascii="Times New Roman;Times;Serif" w:hAnsi="Times New Roman;Times;Serif"/>
          <w:b/>
          <w:i w:val="false"/>
          <w:caps w:val="false"/>
          <w:smallCaps w:val="false"/>
          <w:sz w:val="20"/>
        </w:rPr>
        <w:t>Collateral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 xml:space="preserve">Each Loan Party and each of its Subsidiaries have good title to, have rights in, and the power to transfer each item of the Collateral upon which it purports to grant a Lien under the Loan Documents, free and clear of any and all Liens except Permitted Prior Liens, and each Deposit Account, Securities Account, Commodity Account or other investment account other than the Collateral Accounts or the other investment accounts, if any, of each Loan Party and its Subsidiaries (as of the Effective Date and as of the Closing Date) is set forth on </w:t>
      </w:r>
      <w:r>
        <w:rPr>
          <w:rFonts w:ascii="Times New Roman;Times;Serif" w:hAnsi="Times New Roman;Times;Serif"/>
          <w:b w:val="false"/>
          <w:i w:val="false"/>
          <w:caps w:val="false"/>
          <w:smallCaps w:val="false"/>
          <w:sz w:val="20"/>
          <w:u w:val="single"/>
        </w:rPr>
        <w:t>Schedule 5.2(a)</w:t>
      </w:r>
      <w:r>
        <w:rPr>
          <w:rFonts w:ascii="Times New Roman;Times;Serif" w:hAnsi="Times New Roman;Times;Serif"/>
          <w:b w:val="false"/>
          <w:i w:val="false"/>
          <w:caps w:val="false"/>
          <w:smallCaps w:val="false"/>
          <w:sz w:val="20"/>
        </w:rPr>
        <w:t xml:space="preserve"> hereto and such Loan Party or such Subsidiary has given Administrative Agent notice and taken such actions as are necessary to give Administrative Agent a perfected security interest therein (other than Excluded Accounts) to the extent required under this Agreement. The Accounts are bona fide, existing obligations of the Account Debtors.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The security interest granted herein is and shall at all times continue to be a first priority perfected security interest in the Collateral, subject only to Permitted Prior Liens.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 xml:space="preserve">As of the Effective Date and as of the Closing Date, except as disclosed on </w:t>
      </w:r>
      <w:r>
        <w:rPr>
          <w:rFonts w:ascii="Times New Roman;Times;Serif" w:hAnsi="Times New Roman;Times;Serif"/>
          <w:b w:val="false"/>
          <w:i w:val="false"/>
          <w:caps w:val="false"/>
          <w:smallCaps w:val="false"/>
          <w:sz w:val="20"/>
          <w:u w:val="single"/>
        </w:rPr>
        <w:t xml:space="preserve">Schedule 5.2(c) </w:t>
      </w:r>
      <w:r>
        <w:rPr>
          <w:rFonts w:ascii="Times New Roman;Times;Serif" w:hAnsi="Times New Roman;Times;Serif"/>
          <w:b w:val="false"/>
          <w:i w:val="false"/>
          <w:caps w:val="false"/>
          <w:smallCaps w:val="false"/>
          <w:sz w:val="20"/>
        </w:rPr>
        <w:t>hereto (i) the Collateral is not in the possession of any third party bailee, and (ii) no such third party bailee possesses components of the Collateral in excess of Two Hundred Fifty Thousand Dollars ($250,000.00) nor shall any such third party bailees, in aggregate possess components of Collateral in excess of Five Hundred Thousand Dollars ($500,000).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All Inventory and Equipment is in all material respects of good and marketable quality, free from material defects.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 xml:space="preserve">As of the Effective Date and as of the Closing Date, except as disclosed on </w:t>
      </w:r>
      <w:r>
        <w:rPr>
          <w:rFonts w:ascii="Times New Roman;Times;Serif" w:hAnsi="Times New Roman;Times;Serif"/>
          <w:b w:val="false"/>
          <w:i w:val="false"/>
          <w:caps w:val="false"/>
          <w:smallCaps w:val="false"/>
          <w:sz w:val="20"/>
          <w:u w:val="single"/>
        </w:rPr>
        <w:t xml:space="preserve">Schedule 5.2(e) </w:t>
      </w:r>
      <w:r>
        <w:rPr>
          <w:rFonts w:ascii="Times New Roman;Times;Serif" w:hAnsi="Times New Roman;Times;Serif"/>
          <w:b w:val="false"/>
          <w:i w:val="false"/>
          <w:caps w:val="false"/>
          <w:smallCaps w:val="false"/>
          <w:sz w:val="20"/>
        </w:rPr>
        <w:t>hereto, no Loan Party owns in fee simple or leases any real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rPr>
        <w:t>(i)</w:t>
        <w:tab/>
        <w:t xml:space="preserve">As of the Effective Date, </w:t>
      </w:r>
      <w:r>
        <w:rPr>
          <w:rFonts w:ascii="Times New Roman;Times;Serif" w:hAnsi="Times New Roman;Times;Serif"/>
          <w:b w:val="false"/>
          <w:i w:val="false"/>
          <w:caps w:val="false"/>
          <w:smallCaps w:val="false"/>
          <w:sz w:val="20"/>
          <w:u w:val="single"/>
        </w:rPr>
        <w:t xml:space="preserve">Schedule 5.2(f)(i) </w:t>
      </w:r>
      <w:r>
        <w:rPr>
          <w:rFonts w:ascii="Times New Roman;Times;Serif" w:hAnsi="Times New Roman;Times;Serif"/>
          <w:b w:val="false"/>
          <w:i w:val="false"/>
          <w:caps w:val="false"/>
          <w:smallCaps w:val="false"/>
          <w:sz w:val="20"/>
        </w:rPr>
        <w:t>sets forth a complete list and a description of (A) all federally registered Intellectual Property owned by each Loan Party and (B) all federally registered Closing Date Acquisition Intellectual Property. For purposes of this Agreement, Closing Date Acquisition Intellectual Property is deemed material owned Intellectual Property of one or more of the Loan Parties, regardless of when Closing Date Acquisition Intellectual Property is acquired by any Loan Party.</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38</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 xml:space="preserve">As of the Effective Date and as of the Closing Date, none of the Intellectual Property owned by any Loan Party is jointly owned with any other person or has been derived, in part or in whole, from the Intellectual Property of any other person, other than the Intellectual Property licensed by the Loan Parties from other parties as described in </w:t>
      </w:r>
      <w:r>
        <w:rPr>
          <w:rFonts w:ascii="Times New Roman;Times;Serif" w:hAnsi="Times New Roman;Times;Serif"/>
          <w:b w:val="false"/>
          <w:i w:val="false"/>
          <w:caps w:val="false"/>
          <w:smallCaps w:val="false"/>
          <w:sz w:val="20"/>
          <w:u w:val="single"/>
        </w:rPr>
        <w:t>Schedule 5.2(f)(ii)</w:t>
      </w:r>
      <w:r>
        <w:rPr>
          <w:rFonts w:ascii="Times New Roman;Times;Serif" w:hAnsi="Times New Roman;Times;Serif"/>
          <w:b w:val="false"/>
          <w:i w:val="false"/>
          <w:caps w:val="false"/>
          <w:smallCaps w:val="false"/>
          <w:sz w:val="20"/>
        </w:rPr>
        <w:t xml:space="preserve"> or as otherwise described in </w:t>
      </w:r>
      <w:r>
        <w:rPr>
          <w:rFonts w:ascii="Times New Roman;Times;Serif" w:hAnsi="Times New Roman;Times;Serif"/>
          <w:b w:val="false"/>
          <w:i w:val="false"/>
          <w:caps w:val="false"/>
          <w:smallCaps w:val="false"/>
          <w:sz w:val="20"/>
          <w:u w:val="single"/>
        </w:rPr>
        <w:t>Schedule 5.2(f)(ii)</w:t>
      </w:r>
      <w:r>
        <w:rPr>
          <w:rFonts w:ascii="Times New Roman;Times;Serif" w:hAnsi="Times New Roman;Times;Serif"/>
          <w:b w:val="false"/>
          <w:i w:val="false"/>
          <w:caps w:val="false"/>
          <w:smallCaps w:val="false"/>
          <w:sz w:val="20"/>
        </w:rPr>
        <w:t>. All appropriate employees of, and consultants to, each Loan Party have entered into agreements with such Loan Party pursuant to which all Intellectual Property developed by them on behalf of such Loan Party in the course of their relationships with the Loan Parties has been assigned to and belongs solely, without any restrictions or obligations whatsoever, to the Loan Parties. The Loan Parties have taken all reasonable and practical steps (including, without limitation, entering into confidentiality and non-disclosure agreements with all appropriate employees of each Loan Party or consultants, third party developers or any other persons with access to or knowledge of any Loan Party’s material owned Intellectual Property) designed to safeguard and maintain the secrecy and confidentiality of, and proprietary rights in, all material Intellectual Property in which any Loan Party has any right, title, or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(iii)      </w:t>
      </w:r>
      <w:r>
        <w:rPr>
          <w:rFonts w:ascii="Times New Roman;Times;Serif" w:hAnsi="Times New Roman;Times;Serif"/>
          <w:b w:val="false"/>
          <w:i w:val="false"/>
          <w:caps w:val="false"/>
          <w:smallCaps w:val="false"/>
          <w:sz w:val="20"/>
        </w:rPr>
        <w:t xml:space="preserve">Except as disclosed in </w:t>
      </w:r>
      <w:r>
        <w:rPr>
          <w:rFonts w:ascii="Times New Roman;Times;Serif" w:hAnsi="Times New Roman;Times;Serif"/>
          <w:b w:val="false"/>
          <w:i w:val="false"/>
          <w:caps w:val="false"/>
          <w:smallCaps w:val="false"/>
          <w:sz w:val="20"/>
          <w:u w:val="single"/>
        </w:rPr>
        <w:t>Schedule 5.2(f)(iii)</w:t>
      </w:r>
      <w:r>
        <w:rPr>
          <w:rFonts w:ascii="Times New Roman;Times;Serif" w:hAnsi="Times New Roman;Times;Serif"/>
          <w:b w:val="false"/>
          <w:i w:val="false"/>
          <w:caps w:val="false"/>
          <w:smallCaps w:val="false"/>
          <w:sz w:val="20"/>
        </w:rPr>
        <w:t xml:space="preserve"> as of the Effective Date or, after the Effective Date, as otherwise permitted by this Agreement, no third party has been granted: (A) any license under any material Intellectual Property owned by any Loan Party, other than for non-commercial research purposes, or (B) any right to (sub)license or to an assignment of (including any right of first refusal or other options to license or acquire) any material Intellectual Property owned by any Loan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(iv)       </w:t>
      </w:r>
      <w:r>
        <w:rPr>
          <w:rFonts w:ascii="Times New Roman;Times;Serif" w:hAnsi="Times New Roman;Times;Serif"/>
          <w:b w:val="false"/>
          <w:i w:val="false"/>
          <w:caps w:val="false"/>
          <w:smallCaps w:val="false"/>
          <w:sz w:val="20"/>
        </w:rPr>
        <w:t>Each Loan Party has good and valid title to all material Intellectual Property owned by such Loan Party, free and clear of any and all Liens, other than Permitted Liens. No royalty or other fee is required to be paid by any Loan Party to any other person in respect of the use of any of the owned material Intellectual Property. To the knowledge of the Loan Parties, no employee of any Loan Party is in violation of any term of any non-disclosure, proprietary rights or similar agreement between such employee and any Loan Party. To the knowledge of the Loan Parties, all material technical information developed by and belonging to, or acquired by, the Loan Parties which has not been copyrighted or patented has been kept confidential and there are no material restrictions on the ability of any Loan Party to use and exploit all rights in such Intellectual Property required in the ordinary course of such Loan Party’s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   </w:t>
      </w:r>
      <w:r>
        <w:rPr>
          <w:rFonts w:ascii="Times New Roman;Times;Serif" w:hAnsi="Times New Roman;Times;Serif"/>
          <w:b w:val="false"/>
          <w:i w:val="false"/>
          <w:caps w:val="false"/>
          <w:smallCaps w:val="false"/>
          <w:sz w:val="20"/>
        </w:rPr>
        <w:t>None of the development, manufacture, marketing, license, sale or use of any product currently sold by any Loan Party or currently under development violates any contract with any person in any material respect or infringes, misuses, misappropriates, dilutes, or otherwise violates any Intellectual Property of any person, nor has any Loan Party received notice of any allegation of the same from any third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(vi)       </w:t>
      </w:r>
      <w:r>
        <w:rPr>
          <w:rFonts w:ascii="Times New Roman;Times;Serif" w:hAnsi="Times New Roman;Times;Serif"/>
          <w:b w:val="false"/>
          <w:i w:val="false"/>
          <w:caps w:val="false"/>
          <w:smallCaps w:val="false"/>
          <w:sz w:val="20"/>
        </w:rPr>
        <w:t xml:space="preserve">As of the Effective Date, other than as set forth in </w:t>
      </w:r>
      <w:r>
        <w:rPr>
          <w:rFonts w:ascii="Times New Roman;Times;Serif" w:hAnsi="Times New Roman;Times;Serif"/>
          <w:b w:val="false"/>
          <w:i w:val="false"/>
          <w:caps w:val="false"/>
          <w:smallCaps w:val="false"/>
          <w:sz w:val="20"/>
          <w:u w:val="single"/>
        </w:rPr>
        <w:t>Schedule 5.2(f)(vi)</w:t>
      </w:r>
      <w:r>
        <w:rPr>
          <w:rFonts w:ascii="Times New Roman;Times;Serif" w:hAnsi="Times New Roman;Times;Serif"/>
          <w:b w:val="false"/>
          <w:i w:val="false"/>
          <w:caps w:val="false"/>
          <w:smallCaps w:val="false"/>
          <w:sz w:val="20"/>
        </w:rPr>
        <w:t>, no license or sub-license has been granted or other contract has been entered into with respect to any of the material Intellectual Property owned by any Loan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(vii)    </w:t>
      </w:r>
      <w:r>
        <w:rPr>
          <w:rFonts w:ascii="Times New Roman;Times;Serif" w:hAnsi="Times New Roman;Times;Serif"/>
          <w:b w:val="false"/>
          <w:i w:val="false"/>
          <w:caps w:val="false"/>
          <w:smallCaps w:val="false"/>
          <w:sz w:val="20"/>
        </w:rPr>
        <w:t>All maintenance, filing and other fees payable in respect of each Loan Party’s material owned Intellectual Property have been paid by the Loan Parties, on a timely basis, and no Loan Party has received any notice of default in payment of such fees which is currently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(g)   </w:t>
      </w:r>
      <w:r>
        <w:rPr>
          <w:rFonts w:ascii="Times New Roman;Times;Serif" w:hAnsi="Times New Roman;Times;Serif"/>
          <w:b w:val="false"/>
          <w:i w:val="false"/>
          <w:caps w:val="false"/>
          <w:smallCaps w:val="false"/>
          <w:sz w:val="20"/>
        </w:rPr>
        <w:t>(i)</w:t>
        <w:tab/>
        <w:t>The commercialization and the research and development activities of each Loan Party are conducted in compliance with all applicable Laws in each jurisdiction in which such Loan Party conducts any of such activities, including, without limitation, any requirements from the FDA and applicable prescribed good manufacturing practices. No Loan Party has received written notice of any violation of any Laws, or any unsatisfactory results of an inspection or audit of its manufacturing facilities or processes conducted by the FDA or other governmental authority, including any corresponding authority for the European Union, in each case, other than as disclosed to Administrative Agent in writing and not reasonably expected to result in a Material Adverse Change.</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39</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Each Loan Party has obtained all applicable governmental approvals, including applicable FDA regulatory clearance to conduct clinical trials for its drug candidates and approvals, to commercialize its products and products currently in development in the United States of America, including its territories and possessions, and each Loan Party complies with all such regulatory guidelines, in each case, other than as disclosed to Administrative Agent in writing and not reasonably expected to result in a Material Adverse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5.3 </w:t>
      </w:r>
      <w:r>
        <w:rPr>
          <w:rFonts w:ascii="Times New Roman;Times;Serif" w:hAnsi="Times New Roman;Times;Serif"/>
          <w:b/>
          <w:i w:val="false"/>
          <w:caps w:val="false"/>
          <w:smallCaps w:val="false"/>
          <w:sz w:val="20"/>
        </w:rPr>
        <w:t>Litigation</w:t>
      </w:r>
      <w:r>
        <w:rPr>
          <w:rFonts w:ascii="Times New Roman;Times;Serif" w:hAnsi="Times New Roman;Times;Serif"/>
          <w:b w:val="false"/>
          <w:i w:val="false"/>
          <w:caps w:val="false"/>
          <w:smallCaps w:val="false"/>
          <w:sz w:val="20"/>
        </w:rPr>
        <w:t xml:space="preserve">. As of the Effective Date and as of the Closing Date, except as disclosed on </w:t>
      </w:r>
      <w:r>
        <w:rPr>
          <w:rFonts w:ascii="Times New Roman;Times;Serif" w:hAnsi="Times New Roman;Times;Serif"/>
          <w:b w:val="false"/>
          <w:i w:val="false"/>
          <w:caps w:val="false"/>
          <w:smallCaps w:val="false"/>
          <w:sz w:val="20"/>
          <w:u w:val="single"/>
        </w:rPr>
        <w:t xml:space="preserve">Schedule 5.3 </w:t>
      </w:r>
      <w:r>
        <w:rPr>
          <w:rFonts w:ascii="Times New Roman;Times;Serif" w:hAnsi="Times New Roman;Times;Serif"/>
          <w:b w:val="false"/>
          <w:i w:val="false"/>
          <w:caps w:val="false"/>
          <w:smallCaps w:val="false"/>
          <w:sz w:val="20"/>
        </w:rPr>
        <w:t xml:space="preserve">hereto, there are no actions, suits, investigations, or proceedings pending or, to the Knowledge of the Responsible Officers, threatened in writing by or against any Loan Party or any of its Subsidiaries involving more than Two Hundred Fifty Thousand Dollars ($250,000) or a claim for infringement, misuse, misappropriation, dilution, or other violation of any Intellectual Property material to its Business and, to the Knowledge of the Responsible Officers, there are no facts, circumstances, or allegations that would support bringing any such actions, suits, investigations, proceedings, or claims. As of the Effective Date and as of the Closing Date, except as disclosed on such </w:t>
      </w:r>
      <w:r>
        <w:rPr>
          <w:rFonts w:ascii="Times New Roman;Times;Serif" w:hAnsi="Times New Roman;Times;Serif"/>
          <w:b w:val="false"/>
          <w:i w:val="false"/>
          <w:caps w:val="false"/>
          <w:smallCaps w:val="false"/>
          <w:sz w:val="20"/>
          <w:u w:val="single"/>
        </w:rPr>
        <w:t>Schedule 5.3</w:t>
      </w:r>
      <w:r>
        <w:rPr>
          <w:rFonts w:ascii="Times New Roman;Times;Serif" w:hAnsi="Times New Roman;Times;Serif"/>
          <w:b w:val="false"/>
          <w:i w:val="false"/>
          <w:caps w:val="false"/>
          <w:smallCaps w:val="false"/>
          <w:sz w:val="20"/>
        </w:rPr>
        <w:t>, there are no actions, suits, investigations or proceedings pending or, to the Knowledge of the Responsible Officers, threatened in writing by or against any Loan Party or any Subsidiaries involving challenges to the ownership, patentability, validity, or enforceability of any Intellectual Property material to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5.4 </w:t>
      </w:r>
      <w:r>
        <w:rPr>
          <w:rFonts w:ascii="Times New Roman;Times;Serif" w:hAnsi="Times New Roman;Times;Serif"/>
          <w:b/>
          <w:i w:val="false"/>
          <w:caps w:val="false"/>
          <w:smallCaps w:val="false"/>
          <w:sz w:val="20"/>
        </w:rPr>
        <w:t>No Material Adverse Change; Financial Statements</w:t>
      </w:r>
      <w:r>
        <w:rPr>
          <w:rFonts w:ascii="Times New Roman;Times;Serif" w:hAnsi="Times New Roman;Times;Serif"/>
          <w:b w:val="false"/>
          <w:i w:val="false"/>
          <w:caps w:val="false"/>
          <w:smallCaps w:val="false"/>
          <w:sz w:val="20"/>
        </w:rPr>
        <w:t>. All consolidated financial statements for Parent and its Subsidiaries, delivered to Administrative Agent fairly present, in conformity with GAAP, in all material respects the consolidated financial condition of Parent and its Subsidiaries as of the date thereof (subject in the case of unaudited financial statements to normal adjustments and the absence of footnotes), and the consolidated results of operations of Parent and its Subsidiaries. Since December 31, 2021, there has not been a Material Adverse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5.5 </w:t>
      </w:r>
      <w:r>
        <w:rPr>
          <w:rFonts w:ascii="Times New Roman;Times;Serif" w:hAnsi="Times New Roman;Times;Serif"/>
          <w:b/>
          <w:i w:val="false"/>
          <w:caps w:val="false"/>
          <w:smallCaps w:val="false"/>
          <w:sz w:val="20"/>
        </w:rPr>
        <w:t>Solvency</w:t>
      </w:r>
      <w:r>
        <w:rPr>
          <w:rFonts w:ascii="Times New Roman;Times;Serif" w:hAnsi="Times New Roman;Times;Serif"/>
          <w:b w:val="false"/>
          <w:i w:val="false"/>
          <w:caps w:val="false"/>
          <w:smallCaps w:val="false"/>
          <w:sz w:val="20"/>
        </w:rPr>
        <w:t>. Borrower is Solvent, and Parent and its Subsidiaries, when taken as a whole, are Solvent.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5.6 </w:t>
      </w:r>
      <w:r>
        <w:rPr>
          <w:rFonts w:ascii="Times New Roman;Times;Serif" w:hAnsi="Times New Roman;Times;Serif"/>
          <w:b/>
          <w:i w:val="false"/>
          <w:caps w:val="false"/>
          <w:smallCaps w:val="false"/>
          <w:sz w:val="20"/>
        </w:rPr>
        <w:t>Investment Company Act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Public Utility Holding Company Act; Laws, Etc.</w:t>
      </w:r>
      <w:r>
        <w:rPr>
          <w:rFonts w:ascii="Times New Roman;Times;Serif" w:hAnsi="Times New Roman;Times;Serif"/>
          <w:b w:val="false"/>
          <w:i w:val="false"/>
          <w:caps w:val="false"/>
          <w:smallCaps w:val="false"/>
          <w:sz w:val="20"/>
        </w:rPr>
        <w:t>. Neither any Loan Party nor any of its Subsidiaries is an “investment company” or a company “controlled” by an “investment company” under the Investment Company Act of 1940, as amended. Neither any Loan Party nor any of its Subsidiaries is engaged as one of its important activities in extending credit for margin stock (under Regulations X, T and U of the Federal Reserve Board of Governors). Each Loan Party and each of its Subsidiaries has complied in all material respects with the Federal Fair Labor Standards Act. Neither any Loan Party nor any of its Subsidiaries is a “holding company” or an “affiliate” of a “holding company” or a “subsidiary company” of a “holding company” as each term is defined and used in the Public Utility Holding Company Act of 2005. Neither any Loan Party nor any of its Subsidiaries has violated any laws, ordinances or rules, the violation of which could reasonably be expected to have a Material Adverse Change. Neither any Loan Party nor any of its Subsidiaries’ properties or assets has been used by such Loan Party or such Subsidiary or, to such Loan Party’s Knowledge, by previous Persons, in disposing, producing, storing, treating, or transporting any hazardous substance other than in material compliance with applicable laws, except where such failure to be in material compliance could not reasonably be expected to have a Material Adverse Change. Each Loan Party and each of its Subsidiaries has obtained all consents, approvals and authorizations of, made all declarations or filings with, and given all notices to, all Governmental Authorities that are necessary to continue their respective businesses as currently conducted in the ordinary course of business.</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40</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5.7 </w:t>
      </w:r>
      <w:r>
        <w:rPr>
          <w:rFonts w:ascii="Times New Roman;Times;Serif" w:hAnsi="Times New Roman;Times;Serif"/>
          <w:b/>
          <w:i w:val="false"/>
          <w:caps w:val="false"/>
          <w:smallCaps w:val="false"/>
          <w:sz w:val="20"/>
        </w:rPr>
        <w:t>Compliance Including Anti-Corruption / Anti-Terrorism Compliance; Certain Governmental Authorizations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xml:space="preserve">. Except as would not reasonably be expected to result in a Material Adverse Change, the Business is being conducted in compliance with applicable Laws, Orders and Permits, including Environmental, Health and Safety Laws and the authorizations referenced in </w:t>
      </w:r>
      <w:r>
        <w:rPr>
          <w:rFonts w:ascii="Times New Roman;Times;Serif" w:hAnsi="Times New Roman;Times;Serif"/>
          <w:b w:val="false"/>
          <w:i w:val="false"/>
          <w:caps w:val="false"/>
          <w:smallCaps w:val="false"/>
          <w:sz w:val="20"/>
          <w:u w:val="single"/>
        </w:rPr>
        <w:t>Schedule 5.7(a)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 Each Loan Party and its Subsidiaries have all Permits necessary for the conduct of the Business and those Permits are in full force and effect. No Proceeding is pending or threatened in writing, to revoke, modify, suspend or limit any of those Permits in a manner that would have a materially adverse impact on the Businesses.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u w:val="single"/>
        </w:rPr>
        <w:t>Anti-Corruption Compliance</w:t>
      </w:r>
      <w:r>
        <w:rPr>
          <w:rFonts w:ascii="Times New Roman;Times;Serif" w:hAnsi="Times New Roman;Times;Serif"/>
          <w:b w:val="false"/>
          <w:i w:val="false"/>
          <w:caps w:val="false"/>
          <w:smallCaps w:val="false"/>
          <w:sz w:val="20"/>
        </w:rPr>
        <w:t>. Neither any Loan Party nor its Subsidiaries have, directly or indirectly: (i) made, offered to make or promised to make any payment or transfer of anything of value, directly or indirectly, to (w) anyone working in an official capacity for any Governmental Authority in violation of any applicable Law, including any employee of any government-owned or controlled entity or public international organization or (x) any political party, official of a political party or candidate for political office, in order to obtain or retain business, or secure any business advantage in violation of the FCPA or any other applicable anti-corruption Laws, (ii) made any unreported political contribution in violation of applicable Law, or (iii) engaged in any conduct constituting a violation of the United States Foreign Corrupt Practices Act of 1977, as amended, or the anti-corruption law of any other Governmental Authorities applicable to the Loan Parties or their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Anti-Terrorism Law</w:t>
      </w:r>
      <w:r>
        <w:rPr>
          <w:rFonts w:ascii="Times New Roman;Times;Serif" w:hAnsi="Times New Roman;Times;Serif"/>
          <w:b w:val="false"/>
          <w:i w:val="false"/>
          <w:caps w:val="false"/>
          <w:smallCaps w:val="false"/>
          <w:sz w:val="20"/>
        </w:rPr>
        <w:t>. No Loan Party nor any of its Subsidiaries, or any of such Loan Party’s or its Subsidiaries’ Affiliates or any of their respective agents acting or benefiting in any capacity in connection with the transactions contemplated by this Agreement is (i) in violation of any Anti-Terrorism Law, (ii) engaging in or conspiring to engage in any transaction that evades, or has the purpose of evading or attempts to violate, any of the prohibitions set forth in any Anti-Terrorism Law, or (iii) is a Blocked Person. No Loan Party nor any of its Subsidiaries, or to the Knowledge of such Loan Party and any of their respective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41</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5.8 </w:t>
      </w:r>
      <w:r>
        <w:rPr>
          <w:rFonts w:ascii="Times New Roman;Times;Serif" w:hAnsi="Times New Roman;Times;Serif"/>
          <w:b/>
          <w:i w:val="false"/>
          <w:caps w:val="false"/>
          <w:smallCaps w:val="false"/>
          <w:sz w:val="20"/>
        </w:rPr>
        <w:t>Products; Compliance; Medical Regulations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Except as would not reasonably be expected to result in an Event of Default or have a material adverse effect on the Businesses, each Loan Party and its Subsidiaries are in compliance with all Laws administered or issued by the FDA or any other applicable Medical Product Regulator. Each Product, where required by Laws applicable thereto, is manufactured and marketed under a valid market authorization issued by the FDA. Each Medical Product is manufactured and marketed in accordance with current Good Manufacturing Practices applicable ISO sections, USP formularies, and, where applicable, other regulatory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No materially false information has been submitted, nor has any significant omission been made, in any products application or products-related submission to the FDA or any other Governmental Authority by or, on behalf of a Loan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All market authorizations, documents and related documents for each Medical Product are in material compliance with applicable Laws administered or promulgated by the FDA or other applicable regulator and the FDA or other applicable Medical Product.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(iii)      </w:t>
      </w:r>
      <w:r>
        <w:rPr>
          <w:rFonts w:ascii="Times New Roman;Times;Serif" w:hAnsi="Times New Roman;Times;Serif"/>
          <w:b w:val="false"/>
          <w:i w:val="false"/>
          <w:caps w:val="false"/>
          <w:smallCaps w:val="false"/>
          <w:sz w:val="20"/>
        </w:rPr>
        <w:t>As of the Effective Date and as of the Closing Date, Regulator has not indicated any intent to limit, suspend or revoke the market authorizations, approvals or clearances or materially changing the marketing classification or labeling of any Product.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(iv)       </w:t>
      </w:r>
      <w:r>
        <w:rPr>
          <w:rFonts w:ascii="Times New Roman;Times;Serif" w:hAnsi="Times New Roman;Times;Serif"/>
          <w:b w:val="false"/>
          <w:i w:val="false"/>
          <w:caps w:val="false"/>
          <w:smallCaps w:val="false"/>
          <w:sz w:val="20"/>
        </w:rPr>
        <w:t>All pre-clinical and clinical studies, if any, conducted by any Loan Party and its Subsidiaries related to each Medical Product have been in accordance with recognized good clinical and good laboratory practices and are in material compliance with applicable Laws administered or promulgated by the FDA or other applicable Regulator regarding pre-clinical and clinical studies.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   </w:t>
      </w:r>
      <w:r>
        <w:rPr>
          <w:rFonts w:ascii="Times New Roman;Times;Serif" w:hAnsi="Times New Roman;Times;Serif"/>
          <w:b w:val="false"/>
          <w:i w:val="false"/>
          <w:caps w:val="false"/>
          <w:smallCaps w:val="false"/>
          <w:sz w:val="20"/>
        </w:rPr>
        <w:t>Each Loan Party and its Subsidiaries have obtained all necessary regulatory approvals from all Governmental Authorities (whether foreign or domestic) related to each Product required in any jurisdiction where that Medical Product is manufactured, marketed, sold or used.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(vi)       </w:t>
      </w:r>
      <w:r>
        <w:rPr>
          <w:rFonts w:ascii="Times New Roman;Times;Serif" w:hAnsi="Times New Roman;Times;Serif"/>
          <w:b w:val="false"/>
          <w:i w:val="false"/>
          <w:caps w:val="false"/>
          <w:smallCaps w:val="false"/>
          <w:sz w:val="20"/>
        </w:rPr>
        <w:t>Each Loan Party and its Subsidiaries are in material compliance with applicable Laws regarding manufacturing requirements, including the testing of incoming materials, in process product, equipment validation and maintenance, complaint file requirements, complaint investigation requirements, process validation, document retention, change controls, and batch file documentation.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(vii)    </w:t>
      </w:r>
      <w:r>
        <w:rPr>
          <w:rFonts w:ascii="Times New Roman;Times;Serif" w:hAnsi="Times New Roman;Times;Serif"/>
          <w:b w:val="false"/>
          <w:i w:val="false"/>
          <w:caps w:val="false"/>
          <w:smallCaps w:val="false"/>
          <w:sz w:val="20"/>
        </w:rPr>
        <w:t>As of the Effective Date and as of the Closing Date, each Loan Party and its Subsidiaries have never received notice of a death, serious injury, or reportable adverse event for which it was required to file a report with FDA.</w:t>
      </w:r>
    </w:p>
    <w:p>
      <w:pPr>
        <w:pStyle w:val="TextBody"/>
        <w:bidi w:val="0"/>
        <w:spacing w:before="0" w:after="0"/>
        <w:ind w:left="0" w:right="0" w:firstLine="216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42</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(viii) </w:t>
      </w:r>
      <w:r>
        <w:rPr>
          <w:rFonts w:ascii="Times New Roman;Times;Serif" w:hAnsi="Times New Roman;Times;Serif"/>
          <w:b w:val="false"/>
          <w:i w:val="false"/>
          <w:caps w:val="false"/>
          <w:smallCaps w:val="false"/>
          <w:sz w:val="20"/>
        </w:rPr>
        <w:t>To the best of its knowledge, each Loan Party and its Subsidiaries are not aware of any acts that furnish a reasonable basis for an Untitled Letter, FDA Form 483, Warning Letter or Section 305 Notice (each of those terms, as used in FDA practice), or other similar communication from the FDA, other than as disclosed to Administrative Agent in writing and not reasonably be expected to result in a Material Adverse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(ix)       </w:t>
      </w:r>
      <w:r>
        <w:rPr>
          <w:rFonts w:ascii="Times New Roman;Times;Serif" w:hAnsi="Times New Roman;Times;Serif"/>
          <w:b w:val="false"/>
          <w:i w:val="false"/>
          <w:caps w:val="false"/>
          <w:smallCaps w:val="false"/>
          <w:sz w:val="20"/>
        </w:rPr>
        <w:t>No consent decree has been entered against any Loan Party or its Subsidiaries under the FDCA or similar or corresponding consent decrees in other foreign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u w:val="single"/>
        </w:rPr>
        <w:t>Absence of Product Liability Claims</w:t>
      </w:r>
      <w:r>
        <w:rPr>
          <w:rFonts w:ascii="Times New Roman;Times;Serif" w:hAnsi="Times New Roman;Times;Serif"/>
          <w:b w:val="false"/>
          <w:i w:val="false"/>
          <w:caps w:val="false"/>
          <w:smallCaps w:val="false"/>
          <w:sz w:val="20"/>
        </w:rPr>
        <w:t>. As of the Effective Date and as of the Closing Date, no written product liability claims have been received by any Loan Party or its Subsidiaries or have been threatened alleging any liability as a result of any defect or other deficiency with respect to any Product.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u w:val="single"/>
        </w:rPr>
        <w:t>Compliance with Health Care Laws</w:t>
      </w:r>
      <w:r>
        <w:rPr>
          <w:rFonts w:ascii="Times New Roman;Times;Serif" w:hAnsi="Times New Roman;Times;Serif"/>
          <w:b w:val="false"/>
          <w:i w:val="false"/>
          <w:caps w:val="false"/>
          <w:smallCaps w:val="false"/>
          <w:sz w:val="20"/>
        </w:rPr>
        <w:t>. Each Loan Party and its Subsidiaries are operating and for the past five (5) years have operated in material compliance with all applicable Health Care Laws. Neither any Loan Party nor its officers, directors and personnel are in violation of or, to the Knowledge of such Loan Party, being investigated for violation of any material Health Care Laws by which any of them is bound or to which any business activity or professional services performed by that Person is subject.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u w:val="single"/>
        </w:rPr>
        <w:t>Exclusion of the Loan Parties from Federal Health Care Programs</w:t>
      </w:r>
      <w:r>
        <w:rPr>
          <w:rFonts w:ascii="Times New Roman;Times;Serif" w:hAnsi="Times New Roman;Times;Serif"/>
          <w:b w:val="false"/>
          <w:i w:val="false"/>
          <w:caps w:val="false"/>
          <w:smallCaps w:val="false"/>
          <w:sz w:val="20"/>
        </w:rPr>
        <w:t>. Each Loan Party and its Subsidiaries are not and have not been (i) debarred, excluded or suspended from participating in any Federal Health Care Program, (ii) subject to a civil monetary penalty assessed under Section 1128A of the Social Security Act, or (iii) listed on the General Services Administration published list of parties excluded from federal procurement programs and non-procurement programs or otherwise excluded or threatened to be excluded from any of those programs or similar programs in the U.S. or other jurisdictions.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u w:val="single"/>
        </w:rPr>
        <w:t>Exclusion of Personnel from Federal Health Care Programs</w:t>
      </w:r>
      <w:r>
        <w:rPr>
          <w:rFonts w:ascii="Times New Roman;Times;Serif" w:hAnsi="Times New Roman;Times;Serif"/>
          <w:b w:val="false"/>
          <w:i w:val="false"/>
          <w:caps w:val="false"/>
          <w:smallCaps w:val="false"/>
          <w:sz w:val="20"/>
        </w:rPr>
        <w:t>. Neither any Loan Party, its Subsidiaries, nor any of its current directors and executive officers are, or ever have been, designated a Specially Designated National or Blocked Person by the Office of Foreign Asset Control of the U.S. Department of Treasury.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u w:val="single"/>
        </w:rPr>
        <w:t>Fraud and Abuse</w:t>
      </w:r>
      <w:r>
        <w:rPr>
          <w:rFonts w:ascii="Times New Roman;Times;Serif" w:hAnsi="Times New Roman;Times;Serif"/>
          <w:b w:val="false"/>
          <w:i w:val="false"/>
          <w:caps w:val="false"/>
          <w:smallCaps w:val="false"/>
          <w:sz w:val="20"/>
        </w:rPr>
        <w:t>. Each Loan Party and its Subsidiaries are operating and during the past five (5) years have operated in compliance with all applicable material Health Care Laws with respect to compensation arrangements, ownership interests or other relationships between referral sources and referral recipients. Neither any Loan Party, its Subsidiaries nor any of their current directors, officers, employees, independent contractors or authorized Representatives has, directly or indirectly, during the past five (5) years, (i) offered or paid any remuneration (in cash or in kind) to or made any financial arrangements with any past, present or potential supplier, contractor, customer or other Person in a position to refer, recommend or arrange for the referral of business (a “</w:t>
      </w:r>
      <w:r>
        <w:rPr>
          <w:rFonts w:ascii="Times New Roman;Times;Serif" w:hAnsi="Times New Roman;Times;Serif"/>
          <w:b/>
          <w:i w:val="false"/>
          <w:caps w:val="false"/>
          <w:smallCaps w:val="false"/>
          <w:sz w:val="20"/>
        </w:rPr>
        <w:t>Referral Source</w:t>
      </w:r>
      <w:r>
        <w:rPr>
          <w:rFonts w:ascii="Times New Roman;Times;Serif" w:hAnsi="Times New Roman;Times;Serif"/>
          <w:b w:val="false"/>
          <w:i w:val="false"/>
          <w:caps w:val="false"/>
          <w:smallCaps w:val="false"/>
          <w:sz w:val="20"/>
        </w:rPr>
        <w:t>”) to illegally obtain any referrals or other business or payments from that Person, (ii) given or agreed to give any illegal gift or gratuitous payment (whether in money, property or services) to that Referral Source or (iii) made or agreed to make any illegal contribution, gift or gratuitous payment (whether in money, property or services) to, or for the private use of any Governmental Authority or any governmental official, employee or agent, in each case, in violation of an applicable Health Care Law.</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43</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(g)   </w:t>
      </w:r>
      <w:r>
        <w:rPr>
          <w:rFonts w:ascii="Times New Roman;Times;Serif" w:hAnsi="Times New Roman;Times;Serif"/>
          <w:b w:val="false"/>
          <w:i w:val="false"/>
          <w:caps w:val="false"/>
          <w:smallCaps w:val="false"/>
          <w:sz w:val="20"/>
          <w:u w:val="single"/>
        </w:rPr>
        <w:t>Permits Constituting Certain Licenses</w:t>
      </w:r>
      <w:r>
        <w:rPr>
          <w:rFonts w:ascii="Times New Roman;Times;Serif" w:hAnsi="Times New Roman;Times;Serif"/>
          <w:b w:val="false"/>
          <w:i w:val="false"/>
          <w:caps w:val="false"/>
          <w:smallCaps w:val="false"/>
          <w:sz w:val="20"/>
        </w:rPr>
        <w:t>. Each individual employed by a Loan Party and its Subsidiaries who is required to be licensed by any material Health Care Law to perform the duties that individual performs for such Loan Party currently holds a valid license from each Governmental Authority that requires that individual to hold that kind of license.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5.9 </w:t>
      </w:r>
      <w:r>
        <w:rPr>
          <w:rFonts w:ascii="Times New Roman;Times;Serif" w:hAnsi="Times New Roman;Times;Serif"/>
          <w:b/>
          <w:i w:val="false"/>
          <w:caps w:val="false"/>
          <w:smallCaps w:val="false"/>
          <w:sz w:val="20"/>
        </w:rPr>
        <w:t>Investments</w:t>
      </w:r>
      <w:r>
        <w:rPr>
          <w:rFonts w:ascii="Times New Roman;Times;Serif" w:hAnsi="Times New Roman;Times;Serif"/>
          <w:b w:val="false"/>
          <w:i w:val="false"/>
          <w:caps w:val="false"/>
          <w:smallCaps w:val="false"/>
          <w:sz w:val="20"/>
        </w:rPr>
        <w:t>. No Loan Party nor any of its Subsidiaries owns any stock, shares, partnership interests or other equity securities except for Permitted Investments.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5.10    </w:t>
      </w:r>
      <w:r>
        <w:rPr>
          <w:rFonts w:ascii="Times New Roman;Times;Serif" w:hAnsi="Times New Roman;Times;Serif"/>
          <w:b/>
          <w:i w:val="false"/>
          <w:caps w:val="false"/>
          <w:smallCaps w:val="false"/>
          <w:sz w:val="20"/>
        </w:rPr>
        <w:t>Tax Returns and Payments; Pension Contributions</w:t>
      </w:r>
      <w:r>
        <w:rPr>
          <w:rFonts w:ascii="Times New Roman;Times;Serif" w:hAnsi="Times New Roman;Times;Serif"/>
          <w:b w:val="false"/>
          <w:i w:val="false"/>
          <w:caps w:val="false"/>
          <w:smallCaps w:val="false"/>
          <w:sz w:val="20"/>
        </w:rPr>
        <w:t>. Parent and each of its Subsidiaries has timely filed all required U.S. Federal and state income tax returns and other material tax returns and reports, and Parent and each of its Subsidiaries, has timely paid all foreign, federal, state, and local taxes, assessments, deposits and contributions owed by Parent and such Subsidiaries in an amount greater than Fifty Thousand Dollars ($50,000), in all jurisdictions in which Parent or any such Subsidiary is subject to taxes, including the United States, unless such taxes are being contested in accordance with the next sentence. Parent and each of its Subsidiaries, may defer payment of any contested taxes, provided that Parent or such Subsidiary (a) in good faith contests its obligation to pay the taxes by appropriate proceedings promptly and diligently instituted and conducted, (b) notifies Administrative Agent and Lenders of the commencement of, and any material development in, the proceeding; and (c) maintains adequate reserves or other appropriate provisions on the books of Parent or such Subsidiary, as applicable, in accordance with GAAP and which do not involve, in the reasonable judgment of Administrative Agent, any risk of the sale, forfeiture or loss of any of the Collateral material to its Business. No Loan Party nor any of its Subsidiaries is aware of any claims or adjustments proposed for any of such Loan Party or such Subsidiaries’, prior tax years which could result in additional taxes becoming due and payable by a Loan Party or its Subsidiaries in an amount greater than Fifty Thousand Dollars ($50,000). Parent and each of its Subsidiaries have paid all amounts necessary to fund all present pension, profit sharing and deferred compensation plans in accordance with their terms, and neither Parent nor any of its Subsidiaries have, withdrawn from participation in, and have not permitted partial or complete termination of, or permitted the occurrence of any other event with respect to, any such plan which could reasonably be expected to result in any material liability of Parent or its Subsidiaries, including any material liability to the Pension Benefit Guaranty Corporation or its successors or any other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5.11    </w:t>
      </w:r>
      <w:r>
        <w:rPr>
          <w:rFonts w:ascii="Times New Roman;Times;Serif" w:hAnsi="Times New Roman;Times;Serif"/>
          <w:b/>
          <w:i w:val="false"/>
          <w:caps w:val="false"/>
          <w:smallCaps w:val="false"/>
          <w:sz w:val="20"/>
        </w:rPr>
        <w:t>Use of Proceeds</w:t>
      </w:r>
      <w:r>
        <w:rPr>
          <w:rFonts w:ascii="Times New Roman;Times;Serif" w:hAnsi="Times New Roman;Times;Serif"/>
          <w:b w:val="false"/>
          <w:i w:val="false"/>
          <w:caps w:val="false"/>
          <w:smallCaps w:val="false"/>
          <w:sz w:val="20"/>
        </w:rPr>
        <w:t>. Borrower shall use the proceeds of the Term Loans solely to fund the Closing Date Acquisition on the Closing Date and to pay fees and expenses incurred in connection with the Closing Date Acquisition, and not for personal, family, household, or agricultural or any other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5.12    </w:t>
      </w:r>
      <w:r>
        <w:rPr>
          <w:rFonts w:ascii="Times New Roman;Times;Serif" w:hAnsi="Times New Roman;Times;Serif"/>
          <w:b/>
          <w:i w:val="false"/>
          <w:caps w:val="false"/>
          <w:smallCaps w:val="false"/>
          <w:sz w:val="20"/>
        </w:rPr>
        <w:t>Full Disclosure</w:t>
      </w:r>
      <w:r>
        <w:rPr>
          <w:rFonts w:ascii="Times New Roman;Times;Serif" w:hAnsi="Times New Roman;Times;Serif"/>
          <w:b w:val="false"/>
          <w:i w:val="false"/>
          <w:caps w:val="false"/>
          <w:smallCaps w:val="false"/>
          <w:sz w:val="20"/>
        </w:rPr>
        <w:t>. No written representation, warranty or other statement of Parent or any of its Subsidiaries in any certificate or written statement given to Administrative Agent or any Lender, as of the date such representation, warranty, or other statement was made, taken together with all such written certificates and written statements given to Administrative Agent or any Lender, contains any untrue statement of a material fact or omits to state a material fact necessary to make the statements contained in the certificates or statements not misleading (it being recognized that projections and forecasts provided by Borrower or, as applicable Parent in good faith and based upon reasonable assumptions are not viewed as facts and that actual results during the period or periods covered by such projections and forecasts may differ from the projected or forecasted results).</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44</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color w:val="010000"/>
          <w:sz w:val="20"/>
        </w:rPr>
        <w:t xml:space="preserve">5.13    </w:t>
      </w:r>
      <w:r>
        <w:rPr>
          <w:rFonts w:ascii="Times New Roman;Times;Serif" w:hAnsi="Times New Roman;Times;Serif"/>
          <w:b/>
          <w:i w:val="false"/>
          <w:caps w:val="false"/>
          <w:smallCaps w:val="false"/>
          <w:sz w:val="20"/>
        </w:rPr>
        <w:t>Closing Date Acquisition Documents and the Closing Date Acquisition</w:t>
      </w:r>
      <w:r>
        <w:rPr>
          <w:rFonts w:ascii="Times New Roman;Times;Serif" w:hAnsi="Times New Roman;Times;Serif"/>
          <w:b w:val="false"/>
          <w:i w:val="false"/>
          <w:caps w:val="false"/>
          <w:smallCaps w:val="false"/>
          <w:sz w:val="20"/>
        </w:rPr>
        <w:t>. All transactions related to the Closing Date Acquisition shall be consummated in all material respects in accordance with applicable laws and in accordance with the terms of the Closing Date Acquisition Documents. As of the Closing Date, neither any Loan Party, nor to any Loan Party’s knowledge any other party thereto, shall be in default or breach of any Closing Date Acquisition Documents and all representations and warranties set forth therein shall be true and correct in all material respects as therein stated.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color w:val="010000"/>
          <w:sz w:val="20"/>
        </w:rPr>
        <w:t xml:space="preserve">6. </w:t>
      </w:r>
      <w:r>
        <w:rPr>
          <w:rFonts w:ascii="Times New Roman;Times;Serif" w:hAnsi="Times New Roman;Times;Serif"/>
          <w:b/>
          <w:i w:val="false"/>
          <w:caps w:val="false"/>
          <w:smallCaps w:val="false"/>
          <w:sz w:val="20"/>
          <w:u w:val="single"/>
        </w:rPr>
        <w:t>AFFIRMATIVE COVENANTS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Loan Party shall, and shall cause each of its Subsidiaries to, do all of the following (provided, however, with respect to the items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below, Borrower shall do all of the following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6.1 </w:t>
      </w:r>
      <w:r>
        <w:rPr>
          <w:rFonts w:ascii="Times New Roman;Times;Serif" w:hAnsi="Times New Roman;Times;Serif"/>
          <w:b/>
          <w:i w:val="false"/>
          <w:caps w:val="false"/>
          <w:smallCaps w:val="false"/>
          <w:sz w:val="20"/>
        </w:rPr>
        <w:t>Government Compliance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Other than as expressly permitted hereunder, maintain its and all its Subsidiaries’ legal existence and good standing in their respective jurisdictions of organization and maintain qualification in each jurisdiction in which the failure to so qualify could reasonably be expected to have a Material Adverse Change. Comply with all laws, ordinances and regulations to which such Loan Party or any of its Subsidiaries is subject, the noncompliance with which could reasonably be expected to have a Material Adverse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Obtain and keep in full force and effect, all of the material Governmental Approvals necessary for the performance by such Loan Party and its Subsidiaries of their respective businesses and obligations under the Loan Documents and the grant of a security interest to Administrative Agent for the ratable benefit of the Lenders, in all of the Collateral.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6.2 </w:t>
      </w:r>
      <w:r>
        <w:rPr>
          <w:rFonts w:ascii="Times New Roman;Times;Serif" w:hAnsi="Times New Roman;Times;Serif"/>
          <w:b/>
          <w:i w:val="false"/>
          <w:caps w:val="false"/>
          <w:smallCaps w:val="false"/>
          <w:sz w:val="20"/>
        </w:rPr>
        <w:t>Financial Statements, Reports, Certificates; Notices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Deliver to Administrative Agent and each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as soon as available, but in any event (i) no later than forty-five (45) days after the last day of each quarter (or, if earlier, five (5) days after the date (if required) to be filed with the SEC (without giving effect to any extension permitted by the SEC)), a unaudited consolidated and consolidating balance sheet, income statement, shareholders’ equity and cash flow statement covering the consolidated operations of Parent and its Subsidiaries for such fiscal quarter and for the portion of Parent’s fiscal year then ended, setting forth in each case in comparative form the figures for the corresponding fiscal quarter of the previous fiscal year and the corresponding portion of the previous fiscal year, all in reasonable detail and certified by a Responsible Officer of Parent as fairly presenting the financial condition, income statement, shareholders’ equity and cash flows of Parent and its Subsidiaries in accordance with GAAP, subject only to normal year-end audit adjustments and the absence of footnotes, all in a form reasonably acceptable to Administrative Agent;</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45</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as soon as available, but in any event (i) no later than ninety (90) days after the last day of Fiscal Year of Parent most recently ended (or, if earlier, five (5) days after the date required to be filed with the SEC (without giving effect to any extension permitted by the SEC)), audited consolidated financial statements prepared under GAAP, consistently applied, together with an unqualified opinion on the financial statements from an independent certified public accounting firm acceptable to Administrative Agent in its reasonable discretion (such financial statements shall contain balance sheet, income statement, shareholders’ equity and cash flows for such Fiscal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(iii)      </w:t>
      </w:r>
      <w:r>
        <w:rPr>
          <w:rFonts w:ascii="Times New Roman;Times;Serif" w:hAnsi="Times New Roman;Times;Serif"/>
          <w:b w:val="false"/>
          <w:i w:val="false"/>
          <w:caps w:val="false"/>
          <w:smallCaps w:val="false"/>
          <w:sz w:val="20"/>
        </w:rPr>
        <w:t>as soon as available after approval thereof by Parent’s board of directors, but no later than the earlier of ten (10) days after such approval and sixty (60) days after the last day of Parent’s Fiscal Year, Parent’s annual (A) financial projections and (B) budget, in each case, for the entire current fiscal year as approved by Parent’s board of directors; provided that, any revisions to such projections and/or budget approved by Parent’s board of directors shall be delivered to Administrative Agent and the Lenders no later than seven (7) days after such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(iv)       </w:t>
      </w:r>
      <w:r>
        <w:rPr>
          <w:rFonts w:ascii="Times New Roman;Times;Serif" w:hAnsi="Times New Roman;Times;Serif"/>
          <w:b w:val="false"/>
          <w:i w:val="false"/>
          <w:caps w:val="false"/>
          <w:smallCaps w:val="false"/>
          <w:sz w:val="20"/>
        </w:rPr>
        <w:t>within five (5) days of delivery, copies of all non-ministerial statements, reports and notices made generally available to any Loan Party’s security holders or holders of Subordinated Debt; provided, however, the foregoing may be subject to such exclusions and redactions as Parent (after consultation with its external legal counsel) deems reasonably necessary, in the exercise of its good faith judgment, in order to (i) preserve the confidentiality of highly sensitive information, or (ii) protect attorney client privilege;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   </w:t>
      </w:r>
      <w:r>
        <w:rPr>
          <w:rFonts w:ascii="Times New Roman;Times;Serif" w:hAnsi="Times New Roman;Times;Serif"/>
          <w:b w:val="false"/>
          <w:i w:val="false"/>
          <w:caps w:val="false"/>
          <w:smallCaps w:val="false"/>
          <w:sz w:val="20"/>
        </w:rPr>
        <w:t>within five (5) days of filing, all reports on Form 10-K, 10-Q and 8-K filed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(vi)       </w:t>
      </w:r>
      <w:r>
        <w:rPr>
          <w:rFonts w:ascii="Times New Roman;Times;Serif" w:hAnsi="Times New Roman;Times;Serif"/>
          <w:b w:val="false"/>
          <w:i w:val="false"/>
          <w:caps w:val="false"/>
          <w:smallCaps w:val="false"/>
          <w:sz w:val="20"/>
        </w:rPr>
        <w:t>as soon as available, but no later than thirty (30) days after the last day of each month, copies of the month-end account statements for each Collateral Account maintained by Parent or its Subsidiaries (other than an Excluded Account), which statements may be provided to Administrative Agent and each Lender by Borrower or directly from the applicable institution(s);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(vii)    </w:t>
      </w:r>
      <w:r>
        <w:rPr>
          <w:rFonts w:ascii="Times New Roman;Times;Serif" w:hAnsi="Times New Roman;Times;Serif"/>
          <w:b w:val="false"/>
          <w:i w:val="false"/>
          <w:caps w:val="false"/>
          <w:smallCaps w:val="false"/>
          <w:sz w:val="20"/>
        </w:rPr>
        <w:t>prompt delivery of (and in any event within five (5) days after the same are sent or received) copies of all material correspondence, reports, documents and other filings with any Governmental Authority that could reasonably be expected to have a material adverse effect on any of the Governmental Approvals material to any Loan Party’s business or otherwise could reasonably be expected to have a Material Adverse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(viii) </w:t>
      </w:r>
      <w:r>
        <w:rPr>
          <w:rFonts w:ascii="Times New Roman;Times;Serif" w:hAnsi="Times New Roman;Times;Serif"/>
          <w:b w:val="false"/>
          <w:i w:val="false"/>
          <w:caps w:val="false"/>
          <w:smallCaps w:val="false"/>
          <w:sz w:val="20"/>
        </w:rPr>
        <w:t>prompt notice of any event that (A) could reasonably be expected to materially and adversely affect any Loan Party’s Intellectual Property and (B) could reasonably be expected to result in a Material Adverse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(ix)       </w:t>
      </w:r>
      <w:r>
        <w:rPr>
          <w:rFonts w:ascii="Times New Roman;Times;Serif" w:hAnsi="Times New Roman;Times;Serif"/>
          <w:b w:val="false"/>
          <w:i w:val="false"/>
          <w:caps w:val="false"/>
          <w:smallCaps w:val="false"/>
          <w:sz w:val="20"/>
        </w:rPr>
        <w:t xml:space="preserve">written notice within five (5) days after (A) any Loan Party’s creation of a New Subsidiary in accordance with the terms of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or (B) any Loan Party registering or filing any application or other document with a governmental or other authority regarding any Intellectual Property;</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46</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(x)   </w:t>
      </w:r>
      <w:r>
        <w:rPr>
          <w:rFonts w:ascii="Times New Roman;Times;Serif" w:hAnsi="Times New Roman;Times;Serif"/>
          <w:b w:val="false"/>
          <w:i w:val="false"/>
          <w:caps w:val="false"/>
          <w:smallCaps w:val="false"/>
          <w:sz w:val="20"/>
        </w:rPr>
        <w:t>written notice at least ten (10) days’ prior to (A) any Loan Party adding any new offices or business locations, including warehouses (unless such new offices or business locations contain less than Two Hundred Fifty Thousand Dollars ($250,000) in assets or property of Parent or any of its Subsidiaries), (B) any Loan Party changing its jurisdiction of organization, (C) any Loan Party changing its organizational structure or type, (D) any Loan Party change its legal name, or (E) changing any organizational number (if any) assigned by any Loan Party’s jurisdiction of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(xi)       </w:t>
      </w:r>
      <w:r>
        <w:rPr>
          <w:rFonts w:ascii="Times New Roman;Times;Serif" w:hAnsi="Times New Roman;Times;Serif"/>
          <w:b w:val="false"/>
          <w:i w:val="false"/>
          <w:caps w:val="false"/>
          <w:smallCaps w:val="false"/>
          <w:sz w:val="20"/>
        </w:rPr>
        <w:t>upon any Loan Party becoming aware of the existence of any Event of Default or event which, with the giving of notice or passage of time, or both, would constitute an Event of Default, prompt (and in any event within three (3) Business Days) written notice of such occurrence, which such notice shall include a reasonably detailed description of such Event of Default or event which, with the giving of notice or passage of time, or both, would constitute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(xii)    </w:t>
      </w:r>
      <w:r>
        <w:rPr>
          <w:rFonts w:ascii="Times New Roman;Times;Serif" w:hAnsi="Times New Roman;Times;Serif"/>
          <w:b w:val="false"/>
          <w:i w:val="false"/>
          <w:caps w:val="false"/>
          <w:smallCaps w:val="false"/>
          <w:sz w:val="20"/>
        </w:rPr>
        <w:t xml:space="preserve">immediate notice if Parent or such Subsidiary has Knowledge that Parent, Borrower, or any Subsidiary or Affiliate of Parent or Borrower, is listed on the OFAC Lists or (a) is convicted on, (b) pleads </w:t>
      </w:r>
      <w:r>
        <w:rPr>
          <w:rFonts w:ascii="Times New Roman;Times;Serif" w:hAnsi="Times New Roman;Times;Serif"/>
          <w:b w:val="false"/>
          <w:i/>
          <w:caps w:val="false"/>
          <w:smallCaps w:val="false"/>
          <w:sz w:val="20"/>
        </w:rPr>
        <w:t>nolo contendere</w:t>
      </w:r>
      <w:r>
        <w:rPr>
          <w:rFonts w:ascii="Times New Roman;Times;Serif" w:hAnsi="Times New Roman;Times;Serif"/>
          <w:b w:val="false"/>
          <w:i w:val="false"/>
          <w:caps w:val="false"/>
          <w:smallCaps w:val="false"/>
          <w:sz w:val="20"/>
        </w:rPr>
        <w:t xml:space="preserve"> to, (c) is indicted on, or (d) is arraigned and held over on charges involving money laundering or predicate crimes to money laundering;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(xiii) </w:t>
      </w:r>
      <w:r>
        <w:rPr>
          <w:rFonts w:ascii="Times New Roman;Times;Serif" w:hAnsi="Times New Roman;Times;Serif"/>
          <w:b w:val="false"/>
          <w:i w:val="false"/>
          <w:caps w:val="false"/>
          <w:smallCaps w:val="false"/>
          <w:sz w:val="20"/>
        </w:rPr>
        <w:t>notice of any commercial tort claim with an expected value in excess of Two Hundred Fifty Thousand Dollars ($250,000) and of the general details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(xiv)   </w:t>
      </w:r>
      <w:r>
        <w:rPr>
          <w:rFonts w:ascii="Times New Roman;Times;Serif" w:hAnsi="Times New Roman;Times;Serif"/>
          <w:b w:val="false"/>
          <w:i w:val="false"/>
          <w:caps w:val="false"/>
          <w:smallCaps w:val="false"/>
          <w:sz w:val="20"/>
        </w:rPr>
        <w:t>prompt delivery of (and in any event within two (2) Business Days) after entry in any amendments, supplements or waivers to any Closing Date Acquisition Document or any Subordinated Debt or after receipt of any non-ministerial notices or other non-ministerial material communications delivered to or received from the sellers under any Closing Date Acquisition Document or from any holder of Subordinated Debt;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(xv)     </w:t>
      </w:r>
      <w:r>
        <w:rPr>
          <w:rFonts w:ascii="Times New Roman;Times;Serif" w:hAnsi="Times New Roman;Times;Serif"/>
          <w:b w:val="false"/>
          <w:i w:val="false"/>
          <w:caps w:val="false"/>
          <w:smallCaps w:val="false"/>
          <w:sz w:val="20"/>
        </w:rPr>
        <w:t>if Parent or any of its Subsidiaries is not now a Registered Organization but later becomes one, written notice of such occurrence and information regarding such Person’s organizational identification number within seven (7) Business Days of receiving such organizational identification number;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(xvi)   </w:t>
      </w:r>
      <w:r>
        <w:rPr>
          <w:rFonts w:ascii="Times New Roman;Times;Serif" w:hAnsi="Times New Roman;Times;Serif"/>
          <w:b w:val="false"/>
          <w:i w:val="false"/>
          <w:caps w:val="false"/>
          <w:smallCaps w:val="false"/>
          <w:sz w:val="20"/>
        </w:rPr>
        <w:t>other information as reasonably requested by Administrative Agent or any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documents required to be delivered pursuant to the terms hereof (to the extent any such documents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Concurrently with the delivery of the financial statements specified in </w:t>
      </w:r>
      <w:r>
        <w:rPr>
          <w:rFonts w:ascii="Times New Roman;Times;Serif" w:hAnsi="Times New Roman;Times;Serif"/>
          <w:b w:val="false"/>
          <w:i w:val="false"/>
          <w:caps w:val="false"/>
          <w:smallCaps w:val="false"/>
          <w:sz w:val="20"/>
          <w:u w:val="single"/>
        </w:rPr>
        <w:t>Section 6.2(a)(ii)</w:t>
      </w:r>
      <w:r>
        <w:rPr>
          <w:rFonts w:ascii="Times New Roman;Times;Serif" w:hAnsi="Times New Roman;Times;Serif"/>
          <w:b w:val="false"/>
          <w:i w:val="false"/>
          <w:caps w:val="false"/>
          <w:smallCaps w:val="false"/>
          <w:sz w:val="20"/>
        </w:rPr>
        <w:t xml:space="preserve"> above but in any event no later than ninety (90) days after the last day of the Fiscal Year of Parent, deliver to the Administrative Agent and each Lender a duly completed Compliance Certificate signed by a Responsible Officer. Further, concurrently with the delivery of the financial statements specified in </w:t>
      </w:r>
      <w:r>
        <w:rPr>
          <w:rFonts w:ascii="Times New Roman;Times;Serif" w:hAnsi="Times New Roman;Times;Serif"/>
          <w:b w:val="false"/>
          <w:i w:val="false"/>
          <w:caps w:val="false"/>
          <w:smallCaps w:val="false"/>
          <w:sz w:val="20"/>
          <w:u w:val="single"/>
        </w:rPr>
        <w:t>Section 6.2(a)(i)</w:t>
      </w:r>
      <w:r>
        <w:rPr>
          <w:rFonts w:ascii="Times New Roman;Times;Serif" w:hAnsi="Times New Roman;Times;Serif"/>
          <w:b w:val="false"/>
          <w:i w:val="false"/>
          <w:caps w:val="false"/>
          <w:smallCaps w:val="false"/>
          <w:sz w:val="20"/>
        </w:rPr>
        <w:t xml:space="preserve"> above but in any event no later than forty-five (45) days after the last day of each quarter, deliver to Administrative Agent and each Lender:</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47</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a duly completed Compliance Certificate signed by a Responsible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an updated Perfection Certificate to reflect any amendments, modifications and updates to certain information in the Perfection Certificate after the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(iii)      </w:t>
      </w:r>
      <w:r>
        <w:rPr>
          <w:rFonts w:ascii="Times New Roman;Times;Serif" w:hAnsi="Times New Roman;Times;Serif"/>
          <w:b w:val="false"/>
          <w:i w:val="false"/>
          <w:caps w:val="false"/>
          <w:smallCaps w:val="false"/>
          <w:sz w:val="20"/>
        </w:rPr>
        <w:t>copies of any material Governmental Approvals obtained by Parent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(iv)       </w:t>
      </w:r>
      <w:r>
        <w:rPr>
          <w:rFonts w:ascii="Times New Roman;Times;Serif" w:hAnsi="Times New Roman;Times;Serif"/>
          <w:b w:val="false"/>
          <w:i w:val="false"/>
          <w:caps w:val="false"/>
          <w:smallCaps w:val="false"/>
          <w:sz w:val="20"/>
        </w:rPr>
        <w:t xml:space="preserve">written notice of the commencement of, and any material development in, the proceedings contemplated by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   </w:t>
      </w:r>
      <w:r>
        <w:rPr>
          <w:rFonts w:ascii="Times New Roman;Times;Serif" w:hAnsi="Times New Roman;Times;Serif"/>
          <w:b w:val="false"/>
          <w:i w:val="false"/>
          <w:caps w:val="false"/>
          <w:smallCaps w:val="false"/>
          <w:sz w:val="20"/>
        </w:rPr>
        <w:t>written notice of any litigation or governmental proceedings pending or threatened (in writing) against Parent or any of its Subsidiaries, which could reasonably be expected to result in damages or costs to Parent or any of its Subsidiaries of Two Hundred Fifty Thousand Dollars ($250,000) in aggregate;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(vi)       </w:t>
      </w:r>
      <w:r>
        <w:rPr>
          <w:rFonts w:ascii="Times New Roman;Times;Serif" w:hAnsi="Times New Roman;Times;Serif"/>
          <w:b w:val="false"/>
          <w:i w:val="false"/>
          <w:caps w:val="false"/>
          <w:smallCaps w:val="false"/>
          <w:sz w:val="20"/>
        </w:rPr>
        <w:t>written notice of all returns, recoveries, disputes and claims regarding Inventory that involve more than Two Hundred Fifty Thousand Dollars ($250,000) individually or in the aggregate in any calendar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Keep proper, complete and true books of record and account in accordance with GAAP in all material respects. Borrower shall, and shall cause Parent and each of its Subsidiaries to, allow, at the sole cost of Borrower, Administrative Agent or any Lender, during regular business hours upon reasonable prior notice (provided that no notice shall be required when an Event of Default has occurred and is continuing), to visit and inspect any of its properties, to examine and make abstracts or copies from any of its books and records, and to conduct a collateral audit and analysis of its operations and the Collateral. Such audits shall be conducted no more often than twice every year unless (and more frequently if) an Event of Default has occurred and is continuing. Notwithstanding the foregoing, upon request of Administrative Agent, Borrower agrees to permit Administrative Agent (accompanied by any Lender at Lender’s sole cost and expense unless an Event of Default has occurred and is then continuing, in which case at Borrower’s sole cost and expense) to communicate with Borrower’s accounting firm with respect to the consolidated financial statements delivered hereunder, provided that Borrower receives written notice at least three (3) Business Days in advance of such communication to the extent reasonably practicable (but in no event less than one (1) Business Day absent an Event of Default), and Borrower is given a reasonable opportunity to cause an officer of Parent to be present during any such communication (and Parent hereby directs its accounting firm to discuss such matters with Administrative Agent and Lenders in accordance with this clause (c)).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6.3 </w:t>
      </w:r>
      <w:r>
        <w:rPr>
          <w:rFonts w:ascii="Times New Roman;Times;Serif" w:hAnsi="Times New Roman;Times;Serif"/>
          <w:b/>
          <w:i w:val="false"/>
          <w:caps w:val="false"/>
          <w:smallCaps w:val="false"/>
          <w:sz w:val="20"/>
        </w:rPr>
        <w:t>Inventory; Returns</w:t>
      </w:r>
      <w:r>
        <w:rPr>
          <w:rFonts w:ascii="Times New Roman;Times;Serif" w:hAnsi="Times New Roman;Times;Serif"/>
          <w:b w:val="false"/>
          <w:i w:val="false"/>
          <w:caps w:val="false"/>
          <w:smallCaps w:val="false"/>
          <w:sz w:val="20"/>
        </w:rPr>
        <w:t>. Keep all Inventory in good and marketable condition, free from material defects. Returns and allowances between Borrower, or any of its Subsidiaries, and their respective Account Debtors shall follow Borrower’s, or such Subsidiary’s, customary practices as they exist at the Effective Date.</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48</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6.4 </w:t>
      </w:r>
      <w:r>
        <w:rPr>
          <w:rFonts w:ascii="Times New Roman;Times;Serif" w:hAnsi="Times New Roman;Times;Serif"/>
          <w:b/>
          <w:i w:val="false"/>
          <w:caps w:val="false"/>
          <w:smallCaps w:val="false"/>
          <w:sz w:val="20"/>
        </w:rPr>
        <w:t>Taxes; Pensions</w:t>
      </w:r>
      <w:r>
        <w:rPr>
          <w:rFonts w:ascii="Times New Roman;Times;Serif" w:hAnsi="Times New Roman;Times;Serif"/>
          <w:b w:val="false"/>
          <w:i w:val="false"/>
          <w:caps w:val="false"/>
          <w:smallCaps w:val="false"/>
          <w:sz w:val="20"/>
        </w:rPr>
        <w:t xml:space="preserve">. Timely file and require each of its Subsidiaries to timely file (or obtain timely extensions for) all required U.S. federal and state income tax returns and other material tax returns and reports in an aggregate amount greater than Three Hundred Fifty Thousand Dollars ($350,000) and timely pay, and require each of its Subsidiaries to timely file, all foreign, federal, state, and local taxes, assessments, deposits and contributions owed by Parent or its Subsidiaries in an aggregate amount greater than Three Hundred Fifty Thousand Dollars ($350,000), except as otherwise permitted pursuant to the terms of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xml:space="preserve"> hereof, and shall deliver to Administrative Agent and each Lender, on demand, appropriate certificates attesting to such payments, and pay all amounts necessary to fund all present pension, profit sharing and deferred compensation plans in accordance with the terms of such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6.5 </w:t>
      </w:r>
      <w:r>
        <w:rPr>
          <w:rFonts w:ascii="Times New Roman;Times;Serif" w:hAnsi="Times New Roman;Times;Serif"/>
          <w:b/>
          <w:i w:val="false"/>
          <w:caps w:val="false"/>
          <w:smallCaps w:val="false"/>
          <w:sz w:val="20"/>
        </w:rPr>
        <w:t>Insurance</w:t>
      </w:r>
      <w:r>
        <w:rPr>
          <w:rFonts w:ascii="Times New Roman;Times;Serif" w:hAnsi="Times New Roman;Times;Serif"/>
          <w:b w:val="false"/>
          <w:i w:val="false"/>
          <w:caps w:val="false"/>
          <w:smallCaps w:val="false"/>
          <w:sz w:val="20"/>
        </w:rPr>
        <w:t xml:space="preserve">. Keep Parent’s and its Subsidiaries’ business and the Collateral insured for risks and in amounts standard for companies in Parent’s and its Subsidiaries’ industry and location and as Administrative Agent may reasonably request, including, but not limited to, D&amp;O insurance and product liability insurance reasonably satisfactory to Administrative Agent. Insurance policies shall be in a form, with companies, and in amounts that are reasonably satisfactory to Administrative Agent and Lenders. All property policies shall have a lender’s loss payable endorsement showing Administrative Agent as lender loss payee and waive subrogation against Administrative Agent, and all liability policies shall show, or have endorsements showing, Administrative Agent, as additional insured. Administrative Agent shall be named as lender loss payee and/or additional insured with respect to any such insurance providing coverage in respect of any Collateral, and each provider of any such insurance shall agree, by endorsement upon the policy or policies issued by it or by independent instruments furnished to Administrative Agent, that it will give Administrative Agent thirty (30) days’ prior written notice before any such policy or policies shall be materially altered or canceled (other than cancellation for non-payment of premiums, for which ten (10) days’ prior written notice shall be required). At Administrative Agent’s request, Borrower shall deliver certified copies of policies and evidence of all premium payments. Proceeds payable under any policy shall, at Administrative Agent’s option, be payable to Administrative Agent, for the ratable benefit of the Lenders, on account of the Obligations. Notwithstanding the foregoing, (a) so long as no Event of Default has occurred and is continuing, Borrower shall have the option of applying the proceeds of any casualty policy within 180 days of receipt thereof up to Five Hundred Thousand Dollars ($500,000) with respect to any loss, but not exceeding One Million Dollars ($1,000,000), in the aggregate for all losses under all casualty policies in any one year, toward the replacement or repair of destroyed or damaged property; provided that any such replaced or repaired property (i) shall be of equal or like value as the replaced or repaired Collateral and (ii) shall be deemed Collateral in which Administrative Agent has been granted a first priority security interest, and (b) after the occurrence and during the continuance of an Event of Default, all proceeds payable under such casualty policy shall, at the option of Administrative Agent, be payable to Administrative Agent, for the ratable benefit of the Lenders, on account of the Obligations. If Parent or any of its Subsidiaries fails to obtain insurance as required under this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or to pay any amount or furnish any required proof of payment to third persons, Administrative Agent may make (but has no obligation to do so), at Borrower’s expense, all or part of such payment or obtain such insurance policies required in this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and take any action under the policies Administrative Agent or such Lender deems prudent.</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49</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6.6 </w:t>
      </w:r>
      <w:r>
        <w:rPr>
          <w:rFonts w:ascii="Times New Roman;Times;Serif" w:hAnsi="Times New Roman;Times;Serif"/>
          <w:b/>
          <w:i w:val="false"/>
          <w:caps w:val="false"/>
          <w:smallCaps w:val="false"/>
          <w:sz w:val="20"/>
        </w:rPr>
        <w:t>Operating Accounts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Borrower shall provide Administrative Agent ten (10) days’ prior written notice (or such shorter time period as agreed to by the Administrative Agent in writing) before Parent or any of its Subsidiaries establishes or acquires a Collateral Account (other than an Excluded Account). At all times after the date that is 90 days after the Closing Date (or such later date as agreed to in writing by the Administrative Agent), for each Collateral Account (other than an Excluded Account) that Parent or any of its Subsidiaries, at any time maintains (whether by acquisition or otherwise), Borrower, Parent or such Subsidiary shall cause the applicable bank or financial institution at or with which such Collateral Account is maintained to execute and deliver a Control Agreement or other appropriate instrument with respect to such Collateral Account to perfect Administrative Agent’s Lien in such Collateral Account in accordance with the terms hereunder within ten (10) Business Days (or such later date agreed to in writing by Administrative Agent) after the establishment or, as applicable, acquisition of such Collateral Account, which Control Agreement may not be terminated without prior written consent of Administrative Agent. During such ten (10) Business Day (or such later date agreed to in writing by Administrative Agent) period when a Collateral Account is not subject to a Control Agreement, amounts maintained in all Collateral Accounts (other than Excluded Accounts) not subject to a Control Agreement shall not exceed in the aggregate Five Hundred Thousand Dollars ($500,000).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Neither Parent nor any of its Subsidiaries shall maintain any Collateral Accounts except Collateral Accounts maintained in accordance with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6.7 </w:t>
      </w:r>
      <w:r>
        <w:rPr>
          <w:rFonts w:ascii="Times New Roman;Times;Serif" w:hAnsi="Times New Roman;Times;Serif"/>
          <w:b/>
          <w:i w:val="false"/>
          <w:caps w:val="false"/>
          <w:smallCaps w:val="false"/>
          <w:sz w:val="20"/>
        </w:rPr>
        <w:t>Protection of Intellectual Property Rights</w:t>
      </w:r>
      <w:r>
        <w:rPr>
          <w:rFonts w:ascii="Times New Roman;Times;Serif" w:hAnsi="Times New Roman;Times;Serif"/>
          <w:b w:val="false"/>
          <w:i w:val="false"/>
          <w:caps w:val="false"/>
          <w:smallCaps w:val="false"/>
          <w:sz w:val="20"/>
        </w:rPr>
        <w:t>. Parent and each of its Subsidiaries shall: (a) protect, defend and maintain the ownership, patentability, validity, and enforceability of its Intellectual Property that is material to its Business; (b) promptly advise Administrative Agent in writing of any non-frivolous (as determined in good faith) challenge to the ownership, patentability, validity, or enforceability of its Intellectual Property that is material to its Business or any infringement, misuse, misappropriation, dilution, or other violation by a third party of its Intellectual Property that is material to its Business; and (c) not allow any Intellectual Property material to its Business to be abandoned, forfeited or dedicated to the public without Administrative Agent’s prior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6.8 </w:t>
      </w:r>
      <w:r>
        <w:rPr>
          <w:rFonts w:ascii="Times New Roman;Times;Serif" w:hAnsi="Times New Roman;Times;Serif"/>
          <w:b/>
          <w:i w:val="false"/>
          <w:caps w:val="false"/>
          <w:smallCaps w:val="false"/>
          <w:sz w:val="20"/>
        </w:rPr>
        <w:t>Litigation Cooperation</w:t>
      </w:r>
      <w:r>
        <w:rPr>
          <w:rFonts w:ascii="Times New Roman;Times;Serif" w:hAnsi="Times New Roman;Times;Serif"/>
          <w:b w:val="false"/>
          <w:i w:val="false"/>
          <w:caps w:val="false"/>
          <w:smallCaps w:val="false"/>
          <w:sz w:val="20"/>
        </w:rPr>
        <w:t>. Commencing on the Effective Date and continuing through the termination of this Agreement, make available to Administrative Agent and the Lenders, without expense to Administrative Agent or the Lenders, Parent and each of Parent’s officers, employees and agents and Loan Party’s Books, to the extent that Administrative Agent or any Lender may reasonably deem them necessary to prosecute or defend any third-party suit or proceeding instituted by or against Administrative Agent or any Lender with respect to any Collateral or relating to Borrower or any other Loan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6.9 </w:t>
      </w:r>
      <w:r>
        <w:rPr>
          <w:rFonts w:ascii="Times New Roman;Times;Serif" w:hAnsi="Times New Roman;Times;Serif"/>
          <w:b/>
          <w:i w:val="false"/>
          <w:caps w:val="false"/>
          <w:smallCaps w:val="false"/>
          <w:sz w:val="20"/>
        </w:rPr>
        <w:t>Landlord Waivers; Bailee Waivers</w:t>
      </w:r>
      <w:r>
        <w:rPr>
          <w:rFonts w:ascii="Times New Roman;Times;Serif" w:hAnsi="Times New Roman;Times;Serif"/>
          <w:b w:val="false"/>
          <w:i w:val="false"/>
          <w:caps w:val="false"/>
          <w:smallCaps w:val="false"/>
          <w:sz w:val="20"/>
        </w:rPr>
        <w:t xml:space="preserve">. In the event that any Loan Party or any of its Subsidiaries, after the Effective Date, intends to add any new offices or business locations, including warehouses, or otherwise store any portion of the Collateral with, or deliver any portion of the Collateral to, a bailee, in each case pursuant to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then, in the event that the Collateral at any new location is valued in excess of Five Hundred Thousand Dollars ($500,000) in the aggregate, following prompt notice thereof to Administrative Agent, at Administrative Agent’s election, Borrower shall use commercially reasonable efforts to cause such bailee or landlord, as applicable, to execute and deliver a bailee waiver or landlord waiver, as applicable, in form and substance reasonably satisfactory to Administrative Agent prior to the addition of any new offices or business locations, or any such storage with or delivery to any such bailee, as the case may be; provided that this </w:t>
      </w:r>
      <w:r>
        <w:rPr>
          <w:rFonts w:ascii="Times New Roman;Times;Serif" w:hAnsi="Times New Roman;Times;Serif"/>
          <w:b w:val="false"/>
          <w:i w:val="false"/>
          <w:caps w:val="false"/>
          <w:smallCaps w:val="false"/>
          <w:sz w:val="20"/>
          <w:u w:val="single"/>
        </w:rPr>
        <w:t>Section 6.9</w:t>
      </w:r>
      <w:r>
        <w:rPr>
          <w:rFonts w:ascii="Times New Roman;Times;Serif" w:hAnsi="Times New Roman;Times;Serif"/>
          <w:b w:val="false"/>
          <w:i w:val="false"/>
          <w:caps w:val="false"/>
          <w:smallCaps w:val="false"/>
          <w:sz w:val="20"/>
        </w:rPr>
        <w:t xml:space="preserve"> shall not apply to any locations owned or controlled by any unaffiliated contract research organization.</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50</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6.10    </w:t>
      </w:r>
      <w:r>
        <w:rPr>
          <w:rFonts w:ascii="Times New Roman;Times;Serif" w:hAnsi="Times New Roman;Times;Serif"/>
          <w:b/>
          <w:i w:val="false"/>
          <w:caps w:val="false"/>
          <w:smallCaps w:val="false"/>
          <w:sz w:val="20"/>
        </w:rPr>
        <w:t>Creation/Acquisition of Subsidiaries</w:t>
      </w:r>
      <w:r>
        <w:rPr>
          <w:rFonts w:ascii="Times New Roman;Times;Serif" w:hAnsi="Times New Roman;Times;Serif"/>
          <w:b w:val="false"/>
          <w:i w:val="false"/>
          <w:caps w:val="false"/>
          <w:smallCaps w:val="false"/>
          <w:sz w:val="20"/>
        </w:rPr>
        <w:t>. In the event any Loan Party creates or acquires any Subsidiary after the Effective Date or any Excluded Subsidiary ceases to constitute an Excluded Subsidiary in accordance with the definition thereof, such Loan Party shall promptly notify Administrative Agent of such creation or acquisition or, as applicable, such change in entity status, and such Loan Party shall take all actions reasonably requested by Administrative Agent to achieve any of the following with respect to such “</w:t>
      </w:r>
      <w:r>
        <w:rPr>
          <w:rFonts w:ascii="Times New Roman;Times;Serif" w:hAnsi="Times New Roman;Times;Serif"/>
          <w:b/>
          <w:i w:val="false"/>
          <w:caps w:val="false"/>
          <w:smallCaps w:val="false"/>
          <w:sz w:val="20"/>
        </w:rPr>
        <w:t>New Subsidiary</w:t>
      </w:r>
      <w:r>
        <w:rPr>
          <w:rFonts w:ascii="Times New Roman;Times;Serif" w:hAnsi="Times New Roman;Times;Serif"/>
          <w:b w:val="false"/>
          <w:i w:val="false"/>
          <w:caps w:val="false"/>
          <w:smallCaps w:val="false"/>
          <w:sz w:val="20"/>
        </w:rPr>
        <w:t>” (defined as a Subsidiary formed after the date hereof during the term of this Agreement or a Subsidiary that ceases to constitute an Excluded Subsidiary in accordance with the definition thereof): promptly and in any event with three (3) Business Days thereof, (i) if such New Subsidiary is not an Excluded Subsidiary, to cause such New Subsidiary to become a Guarantor hereunder; and (ii) to grant and pledge to Administrative Agent a perfected security interest in 100% of the stock, units or other evidence of ownership constituting Collateral held by a Loan Party of any such New Subsidiary which is organized under the laws of the United States, and 65% of the stock, units or other evidence of ownership held by a Loan Party of any such New Subsidiary which is not organized under the laws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6.11    </w:t>
      </w:r>
      <w:r>
        <w:rPr>
          <w:rFonts w:ascii="Times New Roman;Times;Serif" w:hAnsi="Times New Roman;Times;Serif"/>
          <w:b/>
          <w:i w:val="false"/>
          <w:caps w:val="false"/>
          <w:smallCaps w:val="false"/>
          <w:sz w:val="20"/>
        </w:rPr>
        <w:t>Further Assurances</w:t>
      </w:r>
      <w:r>
        <w:rPr>
          <w:rFonts w:ascii="Times New Roman;Times;Serif" w:hAnsi="Times New Roman;Times;Serif"/>
          <w:b w:val="false"/>
          <w:i w:val="false"/>
          <w:caps w:val="false"/>
          <w:smallCaps w:val="false"/>
          <w:sz w:val="20"/>
        </w:rPr>
        <w:t>. Execute any further instruments, including promissory notes, and take further action as Administrative Agent or any Lender reasonably requests to perfect or continue Administrative Agent’s Lien in the Collateral or to effect the purposes of this Agreement, including without limitation, permit Administrative Agent or any Lender to meet with executive officers of any Loan Party during regular business hours (not more frequently than twice per year unless an Event of Default is continuing) to discuss such Loan Party’s business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color w:val="010000"/>
          <w:sz w:val="20"/>
        </w:rPr>
        <w:t xml:space="preserve">7. </w:t>
      </w:r>
      <w:r>
        <w:rPr>
          <w:rFonts w:ascii="Times New Roman;Times;Serif" w:hAnsi="Times New Roman;Times;Serif"/>
          <w:b/>
          <w:i w:val="false"/>
          <w:caps w:val="false"/>
          <w:smallCaps w:val="false"/>
          <w:sz w:val="20"/>
          <w:u w:val="single"/>
        </w:rPr>
        <w:t>NEGATIVE COVENANTS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Loan Party shall, and no Loan Party shall permit any of its Subsidiaries to, do any of the following without the prior written consent of the Required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7.1 </w:t>
      </w:r>
      <w:r>
        <w:rPr>
          <w:rFonts w:ascii="Times New Roman;Times;Serif" w:hAnsi="Times New Roman;Times;Serif"/>
          <w:b/>
          <w:i w:val="false"/>
          <w:caps w:val="false"/>
          <w:smallCaps w:val="false"/>
          <w:sz w:val="20"/>
        </w:rPr>
        <w:t>Dispositions</w:t>
      </w:r>
      <w:r>
        <w:rPr>
          <w:rFonts w:ascii="Times New Roman;Times;Serif" w:hAnsi="Times New Roman;Times;Serif"/>
          <w:b w:val="false"/>
          <w:i w:val="false"/>
          <w:caps w:val="false"/>
          <w:smallCaps w:val="false"/>
          <w:sz w:val="20"/>
        </w:rPr>
        <w:t>. Convey, sell, lease, license, transfer, assign, dispose of (collectively, “</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or permit any of its Subsidiaries to Transfer, all or any part of its business or property, except for (a) Transfers (i) of Inventory in the ordinary course of business; (ii) of worn-out, surplus, uneconomic or obsolete Equipment; (iii) cash or Cash Equivalents pursuant to transactions not prohibited by this Agreement, (iv) sales or discounting of delinquent accounts in the ordinary course of business; or (v) other Transfers (excluding Intellectual Property material to the Businesses) for fair market value on fair and reasonable terms that are no less favorable to Parent or such Subsidiary that would be obtained in an arm’s length transaction with a non-affiliated Person that do not exceed Five Hundred Thousand Dollars ($500,000) in the aggregate during the term of this Agreement; and (b) Permitted Liens, Permitted Investments and Permitted Licenses.</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51</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7.2 </w:t>
      </w:r>
      <w:r>
        <w:rPr>
          <w:rFonts w:ascii="Times New Roman;Times;Serif" w:hAnsi="Times New Roman;Times;Serif"/>
          <w:b/>
          <w:i w:val="false"/>
          <w:caps w:val="false"/>
          <w:smallCaps w:val="false"/>
          <w:sz w:val="20"/>
        </w:rPr>
        <w:t>Changes in Business, Management, Ownership, or Business Locations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Fundamental Changes</w:t>
      </w:r>
      <w:r>
        <w:rPr>
          <w:rFonts w:ascii="Times New Roman;Times;Serif" w:hAnsi="Times New Roman;Times;Serif"/>
          <w:b w:val="false"/>
          <w:i w:val="false"/>
          <w:caps w:val="false"/>
          <w:smallCaps w:val="false"/>
          <w:sz w:val="20"/>
        </w:rPr>
        <w:t>. (a) Engage in or permit any of its Subsidiaries to engage in any business other than the businesses engaged in by such Loan Party as of the Effective Date or reasonably related thereto; (b) liquidate or dissolve, except that any Subsidiary may liquidate or dissolve so long as the assets or business of such Subsidiary are transferred (x) in the case of a Subsidiary that is a Loan Party, to another Loan Party and (y) in the case of a Subsidiary that is not a Loan Party, to a Loan Party or another Subsidiary; or (c) permit any Key Person to cease to be actively engaged in the management of Parent or Borrower unless written notice thereof is provided to Administrative Agent and each Lender within ten (10) days after such cessation. No Loan Party shall, without at least ten (10) days’ prior written notice to Administrative Agent: (A) add any new offices or business locations, including warehouses (unless such new offices or business locations contain less than Two Hundred Fifty Thousand Dollars ($250,000) in assets or property of Parent or any of its Subsidiaries); (B) change its jurisdiction of organization, (C) change its organizational structure or type, (D) change its legal name, or (E) change any organizational number (if any) assigned by its jurisdiction of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7.3 </w:t>
      </w:r>
      <w:r>
        <w:rPr>
          <w:rFonts w:ascii="Times New Roman;Times;Serif" w:hAnsi="Times New Roman;Times;Serif"/>
          <w:b/>
          <w:i w:val="false"/>
          <w:caps w:val="false"/>
          <w:smallCaps w:val="false"/>
          <w:sz w:val="20"/>
        </w:rPr>
        <w:t>Issuance of Equity Interests; Mergers and Consolidations</w:t>
      </w:r>
      <w:r>
        <w:rPr>
          <w:rFonts w:ascii="Times New Roman;Times;Serif" w:hAnsi="Times New Roman;Times;Serif"/>
          <w:b w:val="false"/>
          <w:i w:val="false"/>
          <w:caps w:val="false"/>
          <w:smallCaps w:val="false"/>
          <w:sz w:val="20"/>
        </w:rPr>
        <w:t xml:space="preserve">. Issue any Equity Interests (including any Disqualified Equity Interests or preferred Equity Interests), except (a) Parent may issue common Equity Interests if such issuance would not result in a Change of Control; and (b) Parent may issue Disqualified Equity Interests or preferred Equity Interests if, prior to the issuance thereof (in respect of this clause (b)) Borrower shall deliver to Administrative Agent evidence satisfactory to Administrative Agent, that immediately before and after such issuance Borrower is in compliance with the financial covenants set forth in </w:t>
      </w:r>
      <w:r>
        <w:rPr>
          <w:rFonts w:ascii="Times New Roman;Times;Serif" w:hAnsi="Times New Roman;Times;Serif"/>
          <w:b w:val="false"/>
          <w:i w:val="false"/>
          <w:caps w:val="false"/>
          <w:smallCaps w:val="false"/>
          <w:sz w:val="20"/>
          <w:u w:val="single"/>
        </w:rPr>
        <w:t>Section 7.15</w:t>
      </w:r>
      <w:r>
        <w:rPr>
          <w:rFonts w:ascii="Times New Roman;Times;Serif" w:hAnsi="Times New Roman;Times;Serif"/>
          <w:b w:val="false"/>
          <w:i w:val="false"/>
          <w:caps w:val="false"/>
          <w:smallCaps w:val="false"/>
          <w:sz w:val="20"/>
        </w:rPr>
        <w:t xml:space="preserve"> hereof and such issuance would not result in an Event of Default. Merge or consolidate with another Person, except (a) a Subsidiary of Parent may merge or consolidate into Borrower provided Borrower is the surviving legal entity or (b) a Subsidiary of Parent may merge or consolidate into another Subsidiary (other than Borrower) provided that if the merging Subsidiary is a Guarantor, such surviving Subsidiary is a Guarantor hereunder or has provided a secured Guaranty of Borrower’s Obligations hereunder, and in either such case, so long as no Event of Default is occurring prior thereto or arises as a result therefrom.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7.4 </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Create, incur, assume, or be liable for any Indebtedness, or permit any Subsidiary to do so, other than Permitted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7.5 </w:t>
      </w:r>
      <w:r>
        <w:rPr>
          <w:rFonts w:ascii="Times New Roman;Times;Serif" w:hAnsi="Times New Roman;Times;Serif"/>
          <w:b/>
          <w:i w:val="false"/>
          <w:caps w:val="false"/>
          <w:smallCaps w:val="false"/>
          <w:sz w:val="20"/>
        </w:rPr>
        <w:t>Encumbrance</w:t>
      </w:r>
      <w:r>
        <w:rPr>
          <w:rFonts w:ascii="Times New Roman;Times;Serif" w:hAnsi="Times New Roman;Times;Serif"/>
          <w:b w:val="false"/>
          <w:i w:val="false"/>
          <w:caps w:val="false"/>
          <w:smallCaps w:val="false"/>
          <w:sz w:val="20"/>
        </w:rPr>
        <w:t xml:space="preserve">. Create, incur, allow, or suffer any Lien on any of its property, or assign or convey any right to receive income, including the sale of any Accounts, or permit any of its Subsidiaries to do so, except for Permitted Liens, or permit any Collateral not to be subject to the first priority security interest granted herein (except for Permitted Prior Liens), or enter into any agreement, document, instrument or other arrangement (except with or in favor of Administrative Agent, for the ratable benefit of the Lenders) with any Person which directly or indirectly prohibits or has the effect of prohibiting a Loan Party, or any of its Subsidiaries, from assigning, mortgaging, pledging, granting a security interest in or upon, or encumbering any of such Loan Party’s or such Subsidiary’s Intellectual Property, except as is otherwise permitted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hereof and the definition of “Permitted Liens”.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7.6 </w:t>
      </w:r>
      <w:r>
        <w:rPr>
          <w:rFonts w:ascii="Times New Roman;Times;Serif" w:hAnsi="Times New Roman;Times;Serif"/>
          <w:b/>
          <w:i w:val="false"/>
          <w:caps w:val="false"/>
          <w:smallCaps w:val="false"/>
          <w:sz w:val="20"/>
        </w:rPr>
        <w:t>Maintenance of Collateral Accounts</w:t>
      </w:r>
      <w:r>
        <w:rPr>
          <w:rFonts w:ascii="Times New Roman;Times;Serif" w:hAnsi="Times New Roman;Times;Serif"/>
          <w:b w:val="false"/>
          <w:i w:val="false"/>
          <w:caps w:val="false"/>
          <w:smallCaps w:val="false"/>
          <w:sz w:val="20"/>
        </w:rPr>
        <w:t xml:space="preserve">. Maintain any Collateral Account except pursuant to the terms of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52</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7.7 </w:t>
      </w:r>
      <w:r>
        <w:rPr>
          <w:rFonts w:ascii="Times New Roman;Times;Serif" w:hAnsi="Times New Roman;Times;Serif"/>
          <w:b/>
          <w:i w:val="false"/>
          <w:caps w:val="false"/>
          <w:smallCaps w:val="false"/>
          <w:sz w:val="20"/>
        </w:rPr>
        <w:t>Restricted Payments.</w:t>
      </w:r>
      <w:r>
        <w:rPr>
          <w:rFonts w:ascii="Times New Roman;Times;Serif" w:hAnsi="Times New Roman;Times;Serif"/>
          <w:b w:val="false"/>
          <w:i w:val="false"/>
          <w:caps w:val="false"/>
          <w:smallCaps w:val="false"/>
          <w:sz w:val="20"/>
        </w:rPr>
        <w:t xml:space="preserve"> Pay any dividends (other than dividends payable solely in Equity Interests constituting common stock or membership interests, in either such case, not constituting Disqualified Equity Interests and not resulting in a Change of Control) or make any distribution or payment in respect of or redeem, retire or purchase any Equity Interests, other than: (i) (A) the payment of dividends to a Loan Party or (B) the payment of dividends by a Subsidiary that is not a Loan Party to a Subsidiary that is not a Loan Party, (ii) so long as no Default or Event of Default exists or would result therefrom, the declaration or payment of any dividends solely in the form of common Equity Interests, (iii) repurchases pursuant to the terms of employee stock purchase plans, employee restricted stock agreements, stockholder rights plans, director or consultant stock option plans, or similar plans, provided in each case that such repurchases and payments do not exceed Three Hundred Thousand Dollars ($300,000) in the aggregate per fiscal year and (iv) payments related to share withholdings for individual taxes related to vested restricted stock units (RSUs), options and other equity grants made to employees, as permitted under the Borrower’s 2017 Incentive Stock and Awards Plans, as amended as of Effective Date, and required under certain of Parent’s equity grants and employment agreements, in each case as in effect on the Effective Date, and provided that prior to making any payments under this sub-clause (iv), Borrower delivers evidence reasonably satisfactory to Administrative Agent that, immediately prior to and immediately after making any such payment, the Loan Parties have Unrestricted Cash in an amount of not less than twenty-five percent (25%) of the then outstanding principal amount of the Term Loan.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7.8 </w:t>
      </w:r>
      <w:r>
        <w:rPr>
          <w:rFonts w:ascii="Times New Roman;Times;Serif" w:hAnsi="Times New Roman;Times;Serif"/>
          <w:b/>
          <w:i w:val="false"/>
          <w:caps w:val="false"/>
          <w:smallCaps w:val="false"/>
          <w:sz w:val="20"/>
        </w:rPr>
        <w:t>Investments</w:t>
      </w:r>
      <w:r>
        <w:rPr>
          <w:rFonts w:ascii="Times New Roman;Times;Serif" w:hAnsi="Times New Roman;Times;Serif"/>
          <w:b w:val="false"/>
          <w:i w:val="false"/>
          <w:caps w:val="false"/>
          <w:smallCaps w:val="false"/>
          <w:sz w:val="20"/>
        </w:rPr>
        <w:t>. Directly or indirectly make any Investment other than Permitted Investments, or permit any of its Subsidiaries to do 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7.9 </w:t>
      </w:r>
      <w:r>
        <w:rPr>
          <w:rFonts w:ascii="Times New Roman;Times;Serif" w:hAnsi="Times New Roman;Times;Serif"/>
          <w:b/>
          <w:i w:val="false"/>
          <w:caps w:val="false"/>
          <w:smallCaps w:val="false"/>
          <w:sz w:val="20"/>
        </w:rPr>
        <w:t>Transactions with Affiliates</w:t>
      </w:r>
      <w:r>
        <w:rPr>
          <w:rFonts w:ascii="Times New Roman;Times;Serif" w:hAnsi="Times New Roman;Times;Serif"/>
          <w:b w:val="false"/>
          <w:i w:val="false"/>
          <w:caps w:val="false"/>
          <w:smallCaps w:val="false"/>
          <w:sz w:val="20"/>
        </w:rPr>
        <w:t>. Directly or indirectly enter into or permit to exist any material transaction with any Affiliate of Parent or any of its Subsidiaries, except for (a) Transactions among Loan Parties, (b) transactions that are in the ordinary course of Parent’s or such Subsidiary’s business, upon fair and reasonable terms that are no less favorable to Parent or such Subsidiary than would be obtained in an arm’s length transaction with a non-affiliated Person, (c) Subordinated Debt or common equity investments (that do not give rise to the issuance of Disqualified Equity Interests or a Change of Control) by Parent’s investors in Parent or Visionology’s investors in Visionology, and (d) compensation arrangements for officers, directors and employees that are customary in the Borrower’s industry and approved by Parent’s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7.10    </w:t>
      </w:r>
      <w:r>
        <w:rPr>
          <w:rFonts w:ascii="Times New Roman;Times;Serif" w:hAnsi="Times New Roman;Times;Serif"/>
          <w:b/>
          <w:i w:val="false"/>
          <w:caps w:val="false"/>
          <w:smallCaps w:val="false"/>
          <w:sz w:val="20"/>
        </w:rPr>
        <w:t>Subordinated Debt</w:t>
      </w:r>
      <w:r>
        <w:rPr>
          <w:rFonts w:ascii="Times New Roman;Times;Serif" w:hAnsi="Times New Roman;Times;Serif"/>
          <w:b w:val="false"/>
          <w:i w:val="false"/>
          <w:caps w:val="false"/>
          <w:smallCaps w:val="false"/>
          <w:sz w:val="20"/>
        </w:rPr>
        <w:t>. (a) Make or permit any payment on any Subordinated Debt, except under the terms of the subordination, intercreditor, or other similar agreement to which such Subordinated Debt is subject, and for the sake of clarity, to which Administrative Agent has approved, or (b) amend any provision in any document relating to the Subordinated Debt which would increase the amount thereof or adversely affect the subordination thereof to Obligations owed to Administrative Agent and the Lenders, without the written consent of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7.11    </w:t>
      </w:r>
      <w:r>
        <w:rPr>
          <w:rFonts w:ascii="Times New Roman;Times;Serif" w:hAnsi="Times New Roman;Times;Serif"/>
          <w:b/>
          <w:i w:val="false"/>
          <w:caps w:val="false"/>
          <w:smallCaps w:val="false"/>
          <w:sz w:val="20"/>
        </w:rPr>
        <w:t>Compliance</w:t>
      </w:r>
      <w:r>
        <w:rPr>
          <w:rFonts w:ascii="Times New Roman;Times;Serif" w:hAnsi="Times New Roman;Times;Serif"/>
          <w:b w:val="false"/>
          <w:i w:val="false"/>
          <w:caps w:val="false"/>
          <w:smallCaps w:val="false"/>
          <w:sz w:val="20"/>
        </w:rPr>
        <w:t>. Become an “investment company” or a company controlled by an “investment company”, under the Investment Company Act of 1940, as amended, or undertake as one of its important activities extending credit to purchase or carry margin stock (as defined in Regulation U of the Board of Governors of the Federal Reserve System), or use the proceeds of any Term Loan for that purpose; fail to meet the minimum funding requirements of ERISA, permit a Reportable Event or Prohibited Transaction, as defined in ERISA, to occur, if the violation could reasonably be expected to have a Material Adverse Change; fail to comply with the Federal Fair Labor Standards Act or violate any other law or regulation, if the violation could reasonably be expected to have a Material Adverse Change,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material liability of Parent or any of its Subsidiaries, including any material liability to the Pension Benefit Guaranty Corporation or its successors or any other Governmental Authority.</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53</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7.12    </w:t>
      </w:r>
      <w:r>
        <w:rPr>
          <w:rFonts w:ascii="Times New Roman;Times;Serif" w:hAnsi="Times New Roman;Times;Serif"/>
          <w:b/>
          <w:i w:val="false"/>
          <w:caps w:val="false"/>
          <w:smallCaps w:val="false"/>
          <w:sz w:val="20"/>
        </w:rPr>
        <w:t>Compliance with Anti-Terrorism Laws and Anti-Corruption Laws</w:t>
      </w:r>
      <w:r>
        <w:rPr>
          <w:rFonts w:ascii="Times New Roman;Times;Serif" w:hAnsi="Times New Roman;Times;Serif"/>
          <w:b w:val="false"/>
          <w:i w:val="false"/>
          <w:caps w:val="false"/>
          <w:smallCaps w:val="false"/>
          <w:sz w:val="20"/>
        </w:rPr>
        <w:t>. Neither any Loan Party nor any of its Subsidiaries shall, nor shall any Loan Party or any of its Subsidiaries permit any Affiliate to, directly or indirectly, knowingly enter into any documents, instruments, agreements or contracts with any Person listed on the OFAC Lists. Neither any Loan Party nor any of its Subsidiaries shall, nor shall any Loan Party or any of its Subsidiaries, permit any Affiliate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or any similar executive order or other Anti-Terrorism Law, or (iii) engage in or conspire to engage in any transaction that evades or avoids, or has the purpose of evading or avoiding, or attempts to violate, any of the prohibitions set forth in Executive Order No. 13224 or other Anti-Terrorism Law. Neither any Loan Party nor any of its Subsidiaries shall, directly or indirectly, use the proceeds of the Term Loan for any purpose which would breach the United States Foreign Corrupt Practices Act of 1977 (as amended or replaced), the UK Bribery Act of 2010 (as amended or replaced) or other similar anti-corruption legislation in other applicable jurisdictions.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7.13    </w:t>
      </w:r>
      <w:r>
        <w:rPr>
          <w:rFonts w:ascii="Times New Roman;Times;Serif" w:hAnsi="Times New Roman;Times;Serif"/>
          <w:b/>
          <w:i w:val="false"/>
          <w:caps w:val="false"/>
          <w:smallCaps w:val="false"/>
          <w:sz w:val="20"/>
        </w:rPr>
        <w:t>Material Agreements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Closing Date Acquisition Documents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Except as provided in clause (b) below, neither Parent nor any of its Subsidiaries shall, without the consent of Administrative Agent, (i) enter into a Material Agreement or (ii) materially amend a Material Agreement, in each case if such action would materially and adversely affect the interests of Borrower or any other Loan Party, Administrative Agent or any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Neither Parent nor any of its Subsidiaries shall, without the consent of Administrative Agent, amend, modify or otherwise alter (or suffer to be amended, modified or altered) any Closing Date Acquisition Document other than non-material amendments or modifications not adverse to Borrower, any Loan Party, Administrative Agent or any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7.14    </w:t>
      </w:r>
      <w:r>
        <w:rPr>
          <w:rFonts w:ascii="Times New Roman;Times;Serif" w:hAnsi="Times New Roman;Times;Serif"/>
          <w:b/>
          <w:i w:val="false"/>
          <w:caps w:val="false"/>
          <w:smallCaps w:val="false"/>
          <w:sz w:val="20"/>
        </w:rPr>
        <w:t>Fiscal Year</w:t>
      </w:r>
      <w:r>
        <w:rPr>
          <w:rFonts w:ascii="Times New Roman;Times;Serif" w:hAnsi="Times New Roman;Times;Serif"/>
          <w:b w:val="false"/>
          <w:i w:val="false"/>
          <w:caps w:val="false"/>
          <w:smallCaps w:val="false"/>
          <w:sz w:val="20"/>
        </w:rPr>
        <w:t>. Neither Parent nor any of its Subsidiaries shall change its fiscal year, which as of the Effective Date ends on December 31 of each year.</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54</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7.15    </w:t>
      </w:r>
      <w:r>
        <w:rPr>
          <w:rFonts w:ascii="Times New Roman;Times;Serif" w:hAnsi="Times New Roman;Times;Serif"/>
          <w:b/>
          <w:i w:val="false"/>
          <w:caps w:val="false"/>
          <w:smallCaps w:val="false"/>
          <w:sz w:val="20"/>
        </w:rPr>
        <w:t>Financial Covenants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i w:val="false"/>
          <w:caps w:val="false"/>
          <w:smallCaps w:val="false"/>
          <w:sz w:val="20"/>
        </w:rPr>
        <w:t>Total Net Debt to Consolidated EBITDA Ratio</w:t>
      </w:r>
      <w:r>
        <w:rPr>
          <w:rFonts w:ascii="Times New Roman;Times;Serif" w:hAnsi="Times New Roman;Times;Serif"/>
          <w:b w:val="false"/>
          <w:i w:val="false"/>
          <w:caps w:val="false"/>
          <w:smallCaps w:val="false"/>
          <w:sz w:val="20"/>
        </w:rPr>
        <w:t>. Not permit the Total Net Debt to Consolidated EBITDA Ratio as of the last day of any Computation Period set forth in the table below to be greater than the Total Net Debt to Consolidated EBITDA Ratio set forth opposite such Computation Period in the table below:</w:t>
      </w:r>
    </w:p>
    <w:p>
      <w:pPr>
        <w:pStyle w:val="TextBody"/>
        <w:bidi w:val="0"/>
        <w:spacing w:before="0" w:after="0"/>
        <w:ind w:left="0" w:right="0" w:firstLine="1440"/>
        <w:jc w:val="both"/>
        <w:rPr>
          <w:caps w:val="false"/>
          <w:smallCaps w:val="false"/>
        </w:rPr>
      </w:pPr>
      <w:r>
        <w:rPr>
          <w:caps w:val="false"/>
          <w:smallCaps w:val="false"/>
        </w:rPr>
        <w:t> </w:t>
      </w:r>
    </w:p>
    <w:tbl>
      <w:tblPr>
        <w:tblW w:w="5695" w:type="dxa"/>
        <w:jc w:val="left"/>
        <w:tblInd w:w="-10" w:type="dxa"/>
        <w:tblLayout w:type="fixed"/>
        <w:tblCellMar>
          <w:top w:w="28" w:type="dxa"/>
          <w:left w:w="108" w:type="dxa"/>
          <w:bottom w:w="28" w:type="dxa"/>
          <w:right w:w="108" w:type="dxa"/>
        </w:tblCellMar>
      </w:tblPr>
      <w:tblGrid>
        <w:gridCol w:w="1760"/>
        <w:gridCol w:w="3935"/>
      </w:tblGrid>
      <w:tr>
        <w:trPr/>
        <w:tc>
          <w:tcPr>
            <w:tcW w:w="176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Computation Period</w:t>
            </w:r>
          </w:p>
        </w:tc>
        <w:tc>
          <w:tcPr>
            <w:tcW w:w="39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Net Debt to Consolidated EBITDA Ratio</w:t>
            </w:r>
          </w:p>
        </w:tc>
      </w:tr>
      <w:tr>
        <w:trPr/>
        <w:tc>
          <w:tcPr>
            <w:tcW w:w="17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caps w:val="false"/>
                <w:smallCaps w:val="false"/>
              </w:rPr>
            </w:pPr>
            <w:r>
              <w:rPr>
                <w:caps w:val="false"/>
                <w:smallCaps w:val="false"/>
              </w:rPr>
              <w:t> </w:t>
            </w:r>
          </w:p>
        </w:tc>
        <w:tc>
          <w:tcPr>
            <w:tcW w:w="3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Administrative Agent has determined the aggregate Total Commitments hereunder, the covenant levels to be identified in this clause (b) shall be determined by the Administrative Agent prior to the Closing Date based on the Management Model and reflecting a 25% cushion.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i w:val="false"/>
          <w:caps w:val="false"/>
          <w:smallCaps w:val="false"/>
          <w:sz w:val="20"/>
        </w:rPr>
        <w:t>Consolidated Fixed Charge Coverage Ratio</w:t>
      </w:r>
      <w:r>
        <w:rPr>
          <w:rFonts w:ascii="Times New Roman;Times;Serif" w:hAnsi="Times New Roman;Times;Serif"/>
          <w:b w:val="false"/>
          <w:i w:val="false"/>
          <w:caps w:val="false"/>
          <w:smallCaps w:val="false"/>
          <w:sz w:val="20"/>
        </w:rPr>
        <w:t>. Not permit the Consolidated Fixed Charge Coverage Ratio as of the last day of any Computation Period set forth in the table below to be less than the Consolidated Fixed Charge Coverage Ratio set forth opposite such Computation Period in the table below:</w:t>
      </w:r>
    </w:p>
    <w:p>
      <w:pPr>
        <w:pStyle w:val="TextBody"/>
        <w:bidi w:val="0"/>
        <w:spacing w:before="0" w:after="0"/>
        <w:ind w:left="0" w:right="0" w:firstLine="1440"/>
        <w:jc w:val="both"/>
        <w:rPr>
          <w:caps w:val="false"/>
          <w:smallCaps w:val="false"/>
        </w:rPr>
      </w:pPr>
      <w:r>
        <w:rPr>
          <w:caps w:val="false"/>
          <w:smallCaps w:val="false"/>
        </w:rPr>
        <w:t> </w:t>
      </w:r>
    </w:p>
    <w:tbl>
      <w:tblPr>
        <w:tblW w:w="5485" w:type="dxa"/>
        <w:jc w:val="left"/>
        <w:tblInd w:w="-10" w:type="dxa"/>
        <w:tblLayout w:type="fixed"/>
        <w:tblCellMar>
          <w:top w:w="28" w:type="dxa"/>
          <w:left w:w="108" w:type="dxa"/>
          <w:bottom w:w="28" w:type="dxa"/>
          <w:right w:w="108" w:type="dxa"/>
        </w:tblCellMar>
      </w:tblPr>
      <w:tblGrid>
        <w:gridCol w:w="1760"/>
        <w:gridCol w:w="3725"/>
      </w:tblGrid>
      <w:tr>
        <w:trPr/>
        <w:tc>
          <w:tcPr>
            <w:tcW w:w="176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Computation Period</w:t>
            </w:r>
          </w:p>
        </w:tc>
        <w:tc>
          <w:tcPr>
            <w:tcW w:w="37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Fixed Charge Coverage Ratio</w:t>
            </w:r>
          </w:p>
        </w:tc>
      </w:tr>
      <w:tr>
        <w:trPr/>
        <w:tc>
          <w:tcPr>
            <w:tcW w:w="17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caps w:val="false"/>
                <w:smallCaps w:val="false"/>
              </w:rPr>
            </w:pPr>
            <w:r>
              <w:rPr>
                <w:caps w:val="false"/>
                <w:smallCaps w:val="false"/>
              </w:rPr>
              <w:t> </w:t>
            </w:r>
          </w:p>
        </w:tc>
        <w:tc>
          <w:tcPr>
            <w:tcW w:w="3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Administrative Agent has determined the aggregate Total Commitments hereunder and the Interest Rate has been actually fixed, the covenant levels to be identified in this clause (b) shall be determined by the Administrative Agent prior to the Closing Date based on Management Model and reflecting a 25% cushion.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7.16    </w:t>
      </w:r>
      <w:r>
        <w:rPr>
          <w:rFonts w:ascii="Times New Roman;Times;Serif" w:hAnsi="Times New Roman;Times;Serif"/>
          <w:b/>
          <w:i w:val="false"/>
          <w:caps w:val="false"/>
          <w:smallCaps w:val="false"/>
          <w:sz w:val="20"/>
        </w:rPr>
        <w:t>Post-Closing Obligations</w:t>
      </w:r>
      <w:r>
        <w:rPr>
          <w:rFonts w:ascii="Times New Roman;Times;Serif" w:hAnsi="Times New Roman;Times;Serif"/>
          <w:b w:val="false"/>
          <w:i w:val="false"/>
          <w:caps w:val="false"/>
          <w:smallCaps w:val="false"/>
          <w:sz w:val="20"/>
        </w:rPr>
        <w:t>. Failure of Borrowers to deliver to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before the date that is ninety (90) days following the Closing Date (or such later date agreed to in writing by Administrative Agent), duly executed Control Agreement for each Collateral Account (other than any Excluded Account), each in form and substance satisfactory to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On or before the date that is one hundred twenty (120) days following the Closing Date (or such later date agreed to in writing by Administrative Agent), duly executed landlord waivers for each leased property requested by the Administrative Agent in accordance with </w:t>
      </w:r>
      <w:r>
        <w:rPr>
          <w:rFonts w:ascii="Times New Roman;Times;Serif" w:hAnsi="Times New Roman;Times;Serif"/>
          <w:b w:val="false"/>
          <w:i w:val="false"/>
          <w:caps w:val="false"/>
          <w:smallCaps w:val="false"/>
          <w:sz w:val="20"/>
          <w:u w:val="single"/>
        </w:rPr>
        <w:t xml:space="preserve">Section 6.9 </w:t>
      </w:r>
      <w:r>
        <w:rPr>
          <w:rFonts w:ascii="Times New Roman;Times;Serif" w:hAnsi="Times New Roman;Times;Serif"/>
          <w:b w:val="false"/>
          <w:i w:val="false"/>
          <w:caps w:val="false"/>
          <w:smallCaps w:val="false"/>
          <w:sz w:val="20"/>
        </w:rPr>
        <w:t>on or prior to the Closing Date.</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55</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color w:val="010000"/>
          <w:sz w:val="20"/>
        </w:rPr>
        <w:t xml:space="preserve">8. </w:t>
      </w:r>
      <w:r>
        <w:rPr>
          <w:rFonts w:ascii="Times New Roman;Times;Serif" w:hAnsi="Times New Roman;Times;Serif"/>
          <w:b/>
          <w:i w:val="false"/>
          <w:caps w:val="false"/>
          <w:smallCaps w:val="false"/>
          <w:sz w:val="20"/>
          <w:u w:val="single"/>
        </w:rPr>
        <w:t>EVENTS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one of the following shall constitute an event of default (an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8.1 </w:t>
      </w:r>
      <w:r>
        <w:rPr>
          <w:rFonts w:ascii="Times New Roman;Times;Serif" w:hAnsi="Times New Roman;Times;Serif"/>
          <w:b/>
          <w:i w:val="false"/>
          <w:caps w:val="false"/>
          <w:smallCaps w:val="false"/>
          <w:sz w:val="20"/>
        </w:rPr>
        <w:t>Payment Default</w:t>
      </w:r>
      <w:r>
        <w:rPr>
          <w:rFonts w:ascii="Times New Roman;Times;Serif" w:hAnsi="Times New Roman;Times;Serif"/>
          <w:b w:val="false"/>
          <w:i w:val="false"/>
          <w:caps w:val="false"/>
          <w:smallCaps w:val="false"/>
          <w:sz w:val="20"/>
        </w:rPr>
        <w:t>. Borrower fails to (a) make any payment of principal on any Term Loan within two (2) Business Days after the date on which it is due (which two (2) Business Day grace period shall not apply to payments due on the Maturity Date), or (b) pay any interest or any other Obligations within three (3) Business Days after such Obligations are due and payable (which three (3) Business Day grace period shall not apply to payments due on the Maturity Date);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8.2 </w:t>
      </w:r>
      <w:r>
        <w:rPr>
          <w:rFonts w:ascii="Times New Roman;Times;Serif" w:hAnsi="Times New Roman;Times;Serif"/>
          <w:b/>
          <w:i w:val="false"/>
          <w:caps w:val="false"/>
          <w:smallCaps w:val="false"/>
          <w:sz w:val="20"/>
        </w:rPr>
        <w:t>Covenant Default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 xml:space="preserve">Any Loan Party or any of its Subsidiaries fails or neglects to perform any obligation in </w:t>
      </w:r>
      <w:r>
        <w:rPr>
          <w:rFonts w:ascii="Times New Roman;Times;Serif" w:hAnsi="Times New Roman;Times;Serif"/>
          <w:b w:val="false"/>
          <w:i w:val="false"/>
          <w:caps w:val="false"/>
          <w:smallCaps w:val="false"/>
          <w:sz w:val="20"/>
          <w:u w:val="single"/>
        </w:rPr>
        <w:t>Sections 6.2</w:t>
      </w:r>
      <w:r>
        <w:rPr>
          <w:rFonts w:ascii="Times New Roman;Times;Serif" w:hAnsi="Times New Roman;Times;Serif"/>
          <w:b w:val="false"/>
          <w:i w:val="false"/>
          <w:caps w:val="false"/>
          <w:smallCaps w:val="false"/>
          <w:sz w:val="20"/>
        </w:rPr>
        <w:t xml:space="preserve"> (Financial Statements, Reports, Certificates), </w:t>
      </w:r>
      <w:r>
        <w:rPr>
          <w:rFonts w:ascii="Times New Roman;Times;Serif" w:hAnsi="Times New Roman;Times;Serif"/>
          <w:b w:val="false"/>
          <w:i w:val="false"/>
          <w:caps w:val="false"/>
          <w:smallCaps w:val="false"/>
          <w:sz w:val="20"/>
          <w:u w:val="single"/>
        </w:rPr>
        <w:t>6.4</w:t>
      </w:r>
      <w:r>
        <w:rPr>
          <w:rFonts w:ascii="Times New Roman;Times;Serif" w:hAnsi="Times New Roman;Times;Serif"/>
          <w:b w:val="false"/>
          <w:i w:val="false"/>
          <w:caps w:val="false"/>
          <w:smallCaps w:val="false"/>
          <w:sz w:val="20"/>
        </w:rPr>
        <w:t xml:space="preserve"> (Taxes), </w:t>
      </w:r>
      <w:r>
        <w:rPr>
          <w:rFonts w:ascii="Times New Roman;Times;Serif" w:hAnsi="Times New Roman;Times;Serif"/>
          <w:b w:val="false"/>
          <w:i w:val="false"/>
          <w:caps w:val="false"/>
          <w:smallCaps w:val="false"/>
          <w:sz w:val="20"/>
          <w:u w:val="single"/>
        </w:rPr>
        <w:t>6.5</w:t>
      </w:r>
      <w:r>
        <w:rPr>
          <w:rFonts w:ascii="Times New Roman;Times;Serif" w:hAnsi="Times New Roman;Times;Serif"/>
          <w:b w:val="false"/>
          <w:i w:val="false"/>
          <w:caps w:val="false"/>
          <w:smallCaps w:val="false"/>
          <w:sz w:val="20"/>
        </w:rPr>
        <w:t xml:space="preserve"> (Insurance), </w:t>
      </w:r>
      <w:r>
        <w:rPr>
          <w:rFonts w:ascii="Times New Roman;Times;Serif" w:hAnsi="Times New Roman;Times;Serif"/>
          <w:b w:val="false"/>
          <w:i w:val="false"/>
          <w:caps w:val="false"/>
          <w:smallCaps w:val="false"/>
          <w:sz w:val="20"/>
          <w:u w:val="single"/>
        </w:rPr>
        <w:t>6.6</w:t>
      </w:r>
      <w:r>
        <w:rPr>
          <w:rFonts w:ascii="Times New Roman;Times;Serif" w:hAnsi="Times New Roman;Times;Serif"/>
          <w:b w:val="false"/>
          <w:i w:val="false"/>
          <w:caps w:val="false"/>
          <w:smallCaps w:val="false"/>
          <w:sz w:val="20"/>
        </w:rPr>
        <w:t xml:space="preserve"> (Operating Accounts), </w:t>
      </w:r>
      <w:r>
        <w:rPr>
          <w:rFonts w:ascii="Times New Roman;Times;Serif" w:hAnsi="Times New Roman;Times;Serif"/>
          <w:b w:val="false"/>
          <w:i w:val="false"/>
          <w:caps w:val="false"/>
          <w:smallCaps w:val="false"/>
          <w:sz w:val="20"/>
          <w:u w:val="single"/>
        </w:rPr>
        <w:t>6.7</w:t>
      </w:r>
      <w:r>
        <w:rPr>
          <w:rFonts w:ascii="Times New Roman;Times;Serif" w:hAnsi="Times New Roman;Times;Serif"/>
          <w:b w:val="false"/>
          <w:i w:val="false"/>
          <w:caps w:val="false"/>
          <w:smallCaps w:val="false"/>
          <w:sz w:val="20"/>
        </w:rPr>
        <w:t xml:space="preserve"> (Protection of Intellectual Property Rights), </w:t>
      </w:r>
      <w:r>
        <w:rPr>
          <w:rFonts w:ascii="Times New Roman;Times;Serif" w:hAnsi="Times New Roman;Times;Serif"/>
          <w:b w:val="false"/>
          <w:i w:val="false"/>
          <w:caps w:val="false"/>
          <w:smallCaps w:val="false"/>
          <w:sz w:val="20"/>
          <w:u w:val="single"/>
        </w:rPr>
        <w:t>6.9</w:t>
      </w:r>
      <w:r>
        <w:rPr>
          <w:rFonts w:ascii="Times New Roman;Times;Serif" w:hAnsi="Times New Roman;Times;Serif"/>
          <w:b w:val="false"/>
          <w:i w:val="false"/>
          <w:caps w:val="false"/>
          <w:smallCaps w:val="false"/>
          <w:sz w:val="20"/>
        </w:rPr>
        <w:t xml:space="preserve"> (Landlord Waivers; Bailee Waivers), </w:t>
      </w:r>
      <w:r>
        <w:rPr>
          <w:rFonts w:ascii="Times New Roman;Times;Serif" w:hAnsi="Times New Roman;Times;Serif"/>
          <w:b w:val="false"/>
          <w:i w:val="false"/>
          <w:caps w:val="false"/>
          <w:smallCaps w:val="false"/>
          <w:sz w:val="20"/>
          <w:u w:val="single"/>
        </w:rPr>
        <w:t>6.10</w:t>
      </w:r>
      <w:r>
        <w:rPr>
          <w:rFonts w:ascii="Times New Roman;Times;Serif" w:hAnsi="Times New Roman;Times;Serif"/>
          <w:b w:val="false"/>
          <w:i w:val="false"/>
          <w:caps w:val="false"/>
          <w:smallCaps w:val="false"/>
          <w:sz w:val="20"/>
        </w:rPr>
        <w:t xml:space="preserve"> (Creation/Acquisition of Subsidiaries) or in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(Negative Covenants);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Any Loan Party, or any of its Subsidiaries, fails or neglects to perform, keep, or observe any other term, provision, condition, covenant or agreement contained in this Agreement or any Loan Documents, and as to any default (other than those specified in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under such other term, provision, condition, covenant or agreement that can be cured in the reasonable and good faith judgment of Parent, has failed to cure the default within thirty (30) days after the occurrence thereof; provided, however, that if the default cannot by its nature be cured within such thirty (30) day period or cannot after diligent attempts by such Loan Party or such Subsidiary, as applicable, be cured within such thirty (30) day period, and such default is likely to be cured, as determined by Parent in good faith judgment in consultation with Administrative Agent, within a reasonable time, then the Loan Parties shall have an additional period (which shall not in any case exceed thirty (30) days)(which, together with the above noted thirty (30) day cure period shall not exceed sixty (60) days from the occurrence of such Event of Default) to attempt to cure such default, and within such reasonable time period the failure to cure the default shall not be deemed an Event of Default (but no Term Loans shall be made during such cure period);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8.3 </w:t>
      </w:r>
      <w:r>
        <w:rPr>
          <w:rFonts w:ascii="Times New Roman;Times;Serif" w:hAnsi="Times New Roman;Times;Serif"/>
          <w:b/>
          <w:i w:val="false"/>
          <w:caps w:val="false"/>
          <w:smallCaps w:val="false"/>
          <w:sz w:val="20"/>
        </w:rPr>
        <w:t>[Reserved]</w:t>
      </w:r>
      <w:r>
        <w:rPr>
          <w:rFonts w:ascii="Times New Roman;Times;Serif" w:hAnsi="Times New Roman;Times;Serif"/>
          <w:b w:val="false"/>
          <w:i w:val="false"/>
          <w:caps w:val="false"/>
          <w:smallCaps w:val="false"/>
          <w:sz w:val="20"/>
        </w:rPr>
        <w:t>;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8.4 </w:t>
      </w:r>
      <w:r>
        <w:rPr>
          <w:rFonts w:ascii="Times New Roman;Times;Serif" w:hAnsi="Times New Roman;Times;Serif"/>
          <w:b/>
          <w:i w:val="false"/>
          <w:caps w:val="false"/>
          <w:smallCaps w:val="false"/>
          <w:sz w:val="20"/>
        </w:rPr>
        <w:t>Attachment; Levy; Restraint on Business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(i) The service of process seeking to attach, by trustee or similar process, any funds of a Loan Party or any of its Subsidiaries or of any entity under control of a Loan Party or its Subsidiaries on deposit with any institution at which a Loan Party or any of its Subsidiaries maintains a Collateral Account, or (ii) a notice of lien, levy, or assessment (other than a Permitted Lien) is filed against a Loan Party or any of its Subsidiaries or their respective assets by any government agency, and the same under subclauses (i) and (ii) hereof are not, within thirty (30) days after the occurrence thereof, discharged or stayed (whether through the posting of a bond or otherwise); or</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56</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(i) any material portion of any Loan Party’s or any of its Subsidiaries’ assets is attached, seized, levied on, or comes into possession of a trustee or receiver, or (ii) any court order enjoins, restrains, or prevents any Loan Party or any of its Subsidiaries from conducting any material part of its business;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8.5 </w:t>
      </w:r>
      <w:r>
        <w:rPr>
          <w:rFonts w:ascii="Times New Roman;Times;Serif" w:hAnsi="Times New Roman;Times;Serif"/>
          <w:b/>
          <w:i w:val="false"/>
          <w:caps w:val="false"/>
          <w:smallCaps w:val="false"/>
          <w:sz w:val="20"/>
        </w:rPr>
        <w:t>Insolvency</w:t>
      </w:r>
      <w:r>
        <w:rPr>
          <w:rFonts w:ascii="Times New Roman;Times;Serif" w:hAnsi="Times New Roman;Times;Serif"/>
          <w:b w:val="false"/>
          <w:i w:val="false"/>
          <w:caps w:val="false"/>
          <w:smallCaps w:val="false"/>
          <w:sz w:val="20"/>
        </w:rPr>
        <w:t>. (a) Any Loan Party or any of its Subsidiaries ceases to be Solvent or becomes not Solvent; (b) any Loan Party or any of its Subsidiaries begins an Insolvency Proceeding; or (c) an Insolvency Proceeding is begun against any Loan Party or any of its Subsidiaries and not dismissed or stayed within sixty (60) days;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8.6 </w:t>
      </w:r>
      <w:r>
        <w:rPr>
          <w:rFonts w:ascii="Times New Roman;Times;Serif" w:hAnsi="Times New Roman;Times;Serif"/>
          <w:b/>
          <w:i w:val="false"/>
          <w:caps w:val="false"/>
          <w:smallCaps w:val="false"/>
          <w:sz w:val="20"/>
        </w:rPr>
        <w:t>Other Agreements</w:t>
      </w:r>
      <w:r>
        <w:rPr>
          <w:rFonts w:ascii="Times New Roman;Times;Serif" w:hAnsi="Times New Roman;Times;Serif"/>
          <w:b w:val="false"/>
          <w:i w:val="false"/>
          <w:caps w:val="false"/>
          <w:smallCaps w:val="false"/>
          <w:sz w:val="20"/>
        </w:rPr>
        <w:t>. There is (a) a default or event of default by Borrower under any Closing Date Acquisition Document that would reasonably be expected to result in a Material Adverse Change; (b) a default in any agreement to which any Loan Party or any of its Subsidiaries is a party with a third party or parties resulting in a right by such third party or parties, whether or not exercised, to accelerate the maturity of any Indebtedness or other obligations in an amount in excess of Five Hundred Thousand Dollars ($500,000) or that would reasonably be expected to have a Material Adverse Change; (c) any default under a Material Agreement that permits the counterparty thereto to accelerate the payment obligations thereunder if such payment obligations are in an aggregate amount in excess of Five Hundred Thousand Dollars ($500,000); or (d) a revocation of a Material Agreement which would reasonably be expected to cause a Material Adverse Change;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8.7 </w:t>
      </w:r>
      <w:r>
        <w:rPr>
          <w:rFonts w:ascii="Times New Roman;Times;Serif" w:hAnsi="Times New Roman;Times;Serif"/>
          <w:b/>
          <w:i w:val="false"/>
          <w:caps w:val="false"/>
          <w:smallCaps w:val="false"/>
          <w:sz w:val="20"/>
        </w:rPr>
        <w:t>Judgments</w:t>
      </w:r>
      <w:r>
        <w:rPr>
          <w:rFonts w:ascii="Times New Roman;Times;Serif" w:hAnsi="Times New Roman;Times;Serif"/>
          <w:b w:val="false"/>
          <w:i w:val="false"/>
          <w:caps w:val="false"/>
          <w:smallCaps w:val="false"/>
          <w:sz w:val="20"/>
        </w:rPr>
        <w:t>. One or more judgments, orders, or decrees for the payment of money in an amount, individually or in the aggregate, of at least Five Hundred Thousand Dollars ($500,000) (not covered by independent third-party insurance) shall be rendered against any Loan Party or any of its Subsidiaries and shall remain unsatisfied, unvacated, or unstayed for a period of thirty (30) days after the entry thereof;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8.8 </w:t>
      </w:r>
      <w:r>
        <w:rPr>
          <w:rFonts w:ascii="Times New Roman;Times;Serif" w:hAnsi="Times New Roman;Times;Serif"/>
          <w:b/>
          <w:i w:val="false"/>
          <w:caps w:val="false"/>
          <w:smallCaps w:val="false"/>
          <w:sz w:val="20"/>
        </w:rPr>
        <w:t>Misrepresentations</w:t>
      </w:r>
      <w:r>
        <w:rPr>
          <w:rFonts w:ascii="Times New Roman;Times;Serif" w:hAnsi="Times New Roman;Times;Serif"/>
          <w:b w:val="false"/>
          <w:i w:val="false"/>
          <w:caps w:val="false"/>
          <w:smallCaps w:val="false"/>
          <w:sz w:val="20"/>
        </w:rPr>
        <w:t>. Any Loan Party or any of its Subsidiaries or any Person acting for such Loan Party or any of its Subsidiaries makes any representation, warranty, or other statement now or later in this Agreement, any Loan Document or in any writing delivered to Administrative Agent and/or Lenders or to induce Administrative Agent and/or the Lenders to enter this Agreement or any Loan Document, and such representation, warranty, or other statement, when taken as a whole, is incorrect in any material respect when made;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8.9 </w:t>
      </w:r>
      <w:r>
        <w:rPr>
          <w:rFonts w:ascii="Times New Roman;Times;Serif" w:hAnsi="Times New Roman;Times;Serif"/>
          <w:b/>
          <w:i w:val="false"/>
          <w:caps w:val="false"/>
          <w:smallCaps w:val="false"/>
          <w:sz w:val="20"/>
        </w:rPr>
        <w:t>Subordinated Debt</w:t>
      </w:r>
      <w:r>
        <w:rPr>
          <w:rFonts w:ascii="Times New Roman;Times;Serif" w:hAnsi="Times New Roman;Times;Serif"/>
          <w:b w:val="false"/>
          <w:i w:val="false"/>
          <w:caps w:val="false"/>
          <w:smallCaps w:val="false"/>
          <w:sz w:val="20"/>
        </w:rPr>
        <w:t>. Any default or breach occurs (after giving effect to any grace or cure period) under any subordination, intercreditor, or other similar agreement with Administrative Agent or the Lenders with respect to Indebtedness of any Loan Party, or any creditor that has signed such an agreement with Administrative Agent or the Lenders breaches any material terms of such agreement;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8.10    </w:t>
      </w:r>
      <w:r>
        <w:rPr>
          <w:rFonts w:ascii="Times New Roman;Times;Serif" w:hAnsi="Times New Roman;Times;Serif"/>
          <w:b/>
          <w:i w:val="false"/>
          <w:caps w:val="false"/>
          <w:smallCaps w:val="false"/>
          <w:sz w:val="20"/>
        </w:rPr>
        <w:t>Guaranty</w:t>
      </w:r>
      <w:r>
        <w:rPr>
          <w:rFonts w:ascii="Times New Roman;Times;Serif" w:hAnsi="Times New Roman;Times;Serif"/>
          <w:b w:val="false"/>
          <w:i w:val="false"/>
          <w:caps w:val="false"/>
          <w:smallCaps w:val="false"/>
          <w:sz w:val="20"/>
        </w:rPr>
        <w:t>. (a) Any Guaranty terminates or ceases for any reason to be in full force and effect other than as a result of a transaction permitted under this Agreement; (b) any Guarantor does not perform any obligation or covenant under any Guaranty after giving effect to any applicable grace or cure period; or</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57</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8.11    </w:t>
      </w:r>
      <w:r>
        <w:rPr>
          <w:rFonts w:ascii="Times New Roman;Times;Serif" w:hAnsi="Times New Roman;Times;Serif"/>
          <w:b/>
          <w:i w:val="false"/>
          <w:caps w:val="false"/>
          <w:smallCaps w:val="false"/>
          <w:sz w:val="20"/>
        </w:rPr>
        <w:t>Invalidity of Loan Documents</w:t>
      </w:r>
      <w:r>
        <w:rPr>
          <w:rFonts w:ascii="Times New Roman;Times;Serif" w:hAnsi="Times New Roman;Times;Serif"/>
          <w:b w:val="false"/>
          <w:i w:val="false"/>
          <w:caps w:val="false"/>
          <w:smallCaps w:val="false"/>
          <w:sz w:val="20"/>
        </w:rPr>
        <w:t>. Any provision of any Loan Document, at any time after its execution and delivery and for any reason other than as expressly permitted hereunder or thereunder or satisfaction in full of the Obligations, ceases to be in full force and effect or ceases to give the Administrative Agent any part of the Liens purported to be created thereby; or any Loan Party (or any Person by, through or on behalf of a Loan Party) contests in any manner contents in writing the validity or enforceability of any provision of any Loan Document; or any Loan Party denies that it has any further liability or obligation under any provision of any Loan Document, or purports to revoke, terminate or rescind any Loan Document;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8.12    </w:t>
      </w:r>
      <w:r>
        <w:rPr>
          <w:rFonts w:ascii="Times New Roman;Times;Serif" w:hAnsi="Times New Roman;Times;Serif"/>
          <w:b/>
          <w:i w:val="false"/>
          <w:caps w:val="false"/>
          <w:smallCaps w:val="false"/>
          <w:sz w:val="20"/>
        </w:rPr>
        <w:t>Governmental Approvals; FDA Action</w:t>
      </w:r>
      <w:r>
        <w:rPr>
          <w:rFonts w:ascii="Times New Roman;Times;Serif" w:hAnsi="Times New Roman;Times;Serif"/>
          <w:b w:val="false"/>
          <w:i w:val="false"/>
          <w:caps w:val="false"/>
          <w:smallCaps w:val="false"/>
          <w:sz w:val="20"/>
        </w:rPr>
        <w:t>. (a) Any Governmental Approval shall have been revoked, rescinded, suspended, modified in an adverse manner, or not renewed in the ordinary course for a full term and such revocation, rescission, suspension, modification or non-renewal has resulted in or would reasonably be expected to result in a Material Adverse Change; or (b) (i) the FDA, DOJ, or other Governmental Authority initiates a Regulatory Action or any other enforcement action against any Loan Party or any of its Subsidiaries or any supplier of any Loan Party or any of its Subsidiaries that causes such Loan Party or any of its Subsidiaries to recall, withdraw, remove or discontinue manufacturing, distributing, and/or marketing any of its products that (i) for each individual product, constitute trailing twelve months revenues (in accordance with GAAP) to such Loan Party and its Subsidiaries of at least One Million Dollars ($1,000,000), or (ii) in the aggregate for all such products, constitute trailing twelve months revenues (in accordance with GAAP) to the Loan Parties and their respective Subsidiaries of at least (A) Two Million Five Hundred Thousand Dollars ($2,500,000), or (B) 5.0% of the total trailing twelve month revenue for the Loan Parties and their respective Subsidiaries, whichever is greater, in each case even if such action is based on previously disclosed conduct; (ii) the FDA issues a warning letter or Regulatory Action to a Loan Party or any of its Subsidiaries with respect to any of its activities or products which would reasonably be expected to result in a Material Adverse Change; (iii) any Loan Party or any of its Subsidiaries conducts a mandatory or voluntary recall which would reasonably be expected to result in liability and expense to such Loan Party or any of its Subsidiaries of Five Million Dollars ($5,000,000) or more (after giving effect to any insurance proceeds received by or confirmed by the applicable insurance company to be issued to the Loan Parties in connection with such event); (iv) any Loan Party or any of its Subsidiaries enters into a settlement agreement with the FDA, DOJ, or other Governmental Authority that would reasonably be expected to result in aggregate liability as to any single or related series of transactions, incidents or conditions, of Five Million Dollars ($5,000,000) or more (after giving effect to any insurance proceeds received by or confirmed by the applicable insurance company to be issued to the Loan Parties in connection with such event) or that would reasonably be expected to result in a Material Adverse Change even if such settlement agreement is based on previously disclosed conduct; (v) any Loan Party or any of its Subsidiaries fails to make adequate progress remediating observations identified in an FDA Form 483 notice of inspection observation to Administrative Agent’s or, if agreed by Administrative Agent and Borrower, a qualified third party’s reasonable satisfaction, within six months of receipt; or (vi) the FDA revokes any authorization or permission granted under any Registration, or Borrower or any of its Subsidiaries withdraws any Registration, that would reasonably be expected to result in a Material Adverse Change;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8.13    </w:t>
      </w:r>
      <w:r>
        <w:rPr>
          <w:rFonts w:ascii="Times New Roman;Times;Serif" w:hAnsi="Times New Roman;Times;Serif"/>
          <w:b/>
          <w:i w:val="false"/>
          <w:caps w:val="false"/>
          <w:smallCaps w:val="false"/>
          <w:sz w:val="20"/>
        </w:rPr>
        <w:t>Lien Priority; Intellectual Property</w:t>
      </w:r>
      <w:r>
        <w:rPr>
          <w:rFonts w:ascii="Times New Roman;Times;Serif" w:hAnsi="Times New Roman;Times;Serif"/>
          <w:b w:val="false"/>
          <w:i w:val="false"/>
          <w:caps w:val="false"/>
          <w:smallCaps w:val="false"/>
          <w:sz w:val="20"/>
        </w:rPr>
        <w:t>. Except as the result of the action or inaction of the Collateral Agent or the Lenders, any Lien created hereunder or by any other Loan Document shall at any time fail to constitute a valid and perfected first priority Lien (to the extent required by this Agreement or any other Loan Document) on any portion of the Collateral purported to be secured thereby, subject to no prior or equal Lien other than Permitted Prior Liens. Any Intellectual Property material to any Loan Party’s business shall cease to be validly owned or licensed by such Loan Party free and clear of any Liens other than Permitted Liens; or</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58</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8.14    </w:t>
      </w:r>
      <w:r>
        <w:rPr>
          <w:rFonts w:ascii="Times New Roman;Times;Serif" w:hAnsi="Times New Roman;Times;Serif"/>
          <w:b/>
          <w:i w:val="false"/>
          <w:caps w:val="false"/>
          <w:smallCaps w:val="false"/>
          <w:sz w:val="20"/>
        </w:rPr>
        <w:t>Change of Control</w:t>
      </w:r>
      <w:r>
        <w:rPr>
          <w:rFonts w:ascii="Times New Roman;Times;Serif" w:hAnsi="Times New Roman;Times;Serif"/>
          <w:b w:val="false"/>
          <w:i w:val="false"/>
          <w:caps w:val="false"/>
          <w:smallCaps w:val="false"/>
          <w:sz w:val="20"/>
        </w:rPr>
        <w:t>. A Change of Control occurs.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color w:val="010000"/>
          <w:sz w:val="20"/>
        </w:rPr>
        <w:t xml:space="preserve">9. </w:t>
      </w:r>
      <w:r>
        <w:rPr>
          <w:rFonts w:ascii="Times New Roman;Times;Serif" w:hAnsi="Times New Roman;Times;Serif"/>
          <w:b/>
          <w:i w:val="false"/>
          <w:caps w:val="false"/>
          <w:smallCaps w:val="false"/>
          <w:sz w:val="20"/>
          <w:u w:val="single"/>
        </w:rPr>
        <w:t>RIGHTS AND REMEDIES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9.1 </w:t>
      </w:r>
      <w:r>
        <w:rPr>
          <w:rFonts w:ascii="Times New Roman;Times;Serif" w:hAnsi="Times New Roman;Times;Serif"/>
          <w:b/>
          <w:i w:val="false"/>
          <w:caps w:val="false"/>
          <w:smallCaps w:val="false"/>
          <w:sz w:val="20"/>
        </w:rPr>
        <w:t>Rights and Remedies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 xml:space="preserve">Upon the occurrence and during the continuance of an Event of Default, Administrative Agent may, and at the direction of the Required Lenders, shall, without notice or demand, do any or all of the following: (i) deliver notice of the Event of Default to Borrower, (ii) by notice to Borrower declare all Obligations immediately due and payable (but if an Event of Default described in </w:t>
      </w:r>
      <w:r>
        <w:rPr>
          <w:rFonts w:ascii="Times New Roman;Times;Serif" w:hAnsi="Times New Roman;Times;Serif"/>
          <w:b w:val="false"/>
          <w:i w:val="false"/>
          <w:caps w:val="false"/>
          <w:smallCaps w:val="false"/>
          <w:sz w:val="20"/>
          <w:u w:val="single"/>
        </w:rPr>
        <w:t>Section 8.5</w:t>
      </w:r>
      <w:r>
        <w:rPr>
          <w:rFonts w:ascii="Times New Roman;Times;Serif" w:hAnsi="Times New Roman;Times;Serif"/>
          <w:b w:val="false"/>
          <w:i w:val="false"/>
          <w:caps w:val="false"/>
          <w:smallCaps w:val="false"/>
          <w:sz w:val="20"/>
        </w:rPr>
        <w:t xml:space="preserve"> occurs all Obligations shall be immediately due and payable without any action by Administrative Agent or the Lenders) or (iii) by notice to Borrower suspend or terminate the obligations, if any, of the Lenders to advance money or extend credit for Borrower’s benefit under this Agreement or under any other agreement between Borrower and Administrative Agent and/or the Lenders; but notwithstanding the foregoing, if an Event of Default described in </w:t>
      </w:r>
      <w:r>
        <w:rPr>
          <w:rFonts w:ascii="Times New Roman;Times;Serif" w:hAnsi="Times New Roman;Times;Serif"/>
          <w:b w:val="false"/>
          <w:i w:val="false"/>
          <w:caps w:val="false"/>
          <w:smallCaps w:val="false"/>
          <w:sz w:val="20"/>
          <w:u w:val="single"/>
        </w:rPr>
        <w:t>Section 8.5</w:t>
      </w:r>
      <w:r>
        <w:rPr>
          <w:rFonts w:ascii="Times New Roman;Times;Serif" w:hAnsi="Times New Roman;Times;Serif"/>
          <w:b w:val="false"/>
          <w:i w:val="false"/>
          <w:caps w:val="false"/>
          <w:smallCaps w:val="false"/>
          <w:sz w:val="20"/>
        </w:rPr>
        <w:t xml:space="preserve"> occurs all obligations, if any, of the Lenders to advance money or extend credit for Borrower’s benefit under this Agreement or under any other agreement between Borrower and Administrative Agent and/or the Lenders shall be immediately terminated without any action by Administrative Agent or the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Without limiting the rights of Administrative Agent and the Lenders set forth in </w:t>
      </w:r>
      <w:r>
        <w:rPr>
          <w:rFonts w:ascii="Times New Roman;Times;Serif" w:hAnsi="Times New Roman;Times;Serif"/>
          <w:b w:val="false"/>
          <w:i w:val="false"/>
          <w:caps w:val="false"/>
          <w:smallCaps w:val="false"/>
          <w:sz w:val="20"/>
          <w:u w:val="single"/>
        </w:rPr>
        <w:t xml:space="preserve">Section 9.1(a) </w:t>
      </w:r>
      <w:r>
        <w:rPr>
          <w:rFonts w:ascii="Times New Roman;Times;Serif" w:hAnsi="Times New Roman;Times;Serif"/>
          <w:b w:val="false"/>
          <w:i w:val="false"/>
          <w:caps w:val="false"/>
          <w:smallCaps w:val="false"/>
          <w:sz w:val="20"/>
        </w:rPr>
        <w:t>above, upon the occurrence and during the continuance of an Event of Default, Administrative Agent shall have the right to, without notice or demand, and upon the direction of the Required Lenders shall, do any or all of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foreclose upon and/or sell or otherwise liquidate, the Collateral;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apply to the Obligations any (A) balances and deposits of any Loan Party that Administrative Agent or any Lender holds or controls, or (B) any amount held or controlled by Administrative Agent or any Lender owing to or for the credit or the account of any Loan Party; and/or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(iii) </w:t>
      </w:r>
      <w:r>
        <w:rPr>
          <w:rFonts w:ascii="Times New Roman;Times;Serif" w:hAnsi="Times New Roman;Times;Serif"/>
          <w:b w:val="false"/>
          <w:i w:val="false"/>
          <w:caps w:val="false"/>
          <w:smallCaps w:val="false"/>
          <w:sz w:val="20"/>
        </w:rPr>
        <w:t>commence and prosecute an Insolvency Proceeding or consent to any Loan Party commencing any Insolvency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 xml:space="preserve">Without limiting the rights of Administrative Agent and the Lenders set forth in </w:t>
      </w:r>
      <w:r>
        <w:rPr>
          <w:rFonts w:ascii="Times New Roman;Times;Serif" w:hAnsi="Times New Roman;Times;Serif"/>
          <w:b w:val="false"/>
          <w:i w:val="false"/>
          <w:caps w:val="false"/>
          <w:smallCaps w:val="false"/>
          <w:sz w:val="20"/>
          <w:u w:val="single"/>
        </w:rPr>
        <w:t xml:space="preserve">Sections 9.1(a)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above, upon the occurrence and during the continuance of an Event of Default, Administrative Agent shall have the right to, without notice or demand, and upon the direction of the Required Lenders shall, do any or all of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settle or adjust disputes and claims directly with Account Debtors for amounts on terms and in any order that Administrative Agent considers advisable, notify any Person owing Loan Party money of Administrative Agent’s security interest in such funds, and verify the amount of such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make any payments and do any acts it considers necessary or reasonable to protect the Collateral and/or its security interest in the Collateral. Each Loan Party shall assemble the Collateral if Administrative Agent requests and make it available in a location as Administrative Agent reasonably designates. Administrative Agent may enter premises where the Collateral is located, take and maintain possession of any part of the Collateral, and pay, purchase, contest, or compromise any Lien which appears to be prior or superior to its security interest and pay all expenses incurred. Each Loan Party grants Administrative Agent a license to enter and occupy any of its premises, without charge, to exercise any of Administrative Agent’s rights or remedies;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(iii) </w:t>
      </w:r>
      <w:r>
        <w:rPr>
          <w:rFonts w:ascii="Times New Roman;Times;Serif" w:hAnsi="Times New Roman;Times;Serif"/>
          <w:b w:val="false"/>
          <w:i w:val="false"/>
          <w:caps w:val="false"/>
          <w:smallCaps w:val="false"/>
          <w:sz w:val="20"/>
        </w:rPr>
        <w:t xml:space="preserve">ship, reclaim, recover, store, finish, maintain, repair, prepare for sale, and/or advertise for sale, the Collateral. Administrative Agent is hereby granted a non-exclusive, royalty-free license or other right to use, without charge, each Loan Party’s and each of its Subsidiaries’ labels, Patents, Copyrights, mask works, rights of use of any name, trade secrets, trade names, Trademarks, service marks, and advertising matter, or any similar property as it pertains to the Collateral, in completing production of, advertising for sale, and selling any Collateral and, in connection with Administrative Agent’s exercise of its rights under this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each Loan Party’s and each of its Subsidiaries’ rights under all licenses and all franchise agreements inure to Administrative Agent, for the benefit of the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color w:val="010000"/>
          <w:sz w:val="20"/>
        </w:rPr>
      </w:pPr>
      <w:r>
        <w:rPr>
          <w:rFonts w:ascii="Times New Roman;Times;Serif" w:hAnsi="Times New Roman;Times;Serif"/>
          <w:b w:val="false"/>
          <w:i w:val="false"/>
          <w:caps w:val="false"/>
          <w:smallCaps w:val="false"/>
          <w:color w:val="010000"/>
          <w:sz w:val="20"/>
        </w:rPr>
        <w:t>(iv) place a “hold” on any account maintained with Administrative Agent or the Lenders and/or deliver a notice of exclusive control, any entitlement order, or other directions or instructions pursuant to any Control Agreement or similar agreements providing control of any Collateral;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 </w:t>
      </w:r>
      <w:r>
        <w:rPr>
          <w:rFonts w:ascii="Times New Roman;Times;Serif" w:hAnsi="Times New Roman;Times;Serif"/>
          <w:b w:val="false"/>
          <w:i w:val="false"/>
          <w:caps w:val="false"/>
          <w:smallCaps w:val="false"/>
          <w:sz w:val="20"/>
        </w:rPr>
        <w:t>demand and receive possession of each Loan Party’s Books;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(vi) </w:t>
      </w:r>
      <w:r>
        <w:rPr>
          <w:rFonts w:ascii="Times New Roman;Times;Serif" w:hAnsi="Times New Roman;Times;Serif"/>
          <w:b w:val="false"/>
          <w:i w:val="false"/>
          <w:caps w:val="false"/>
          <w:smallCaps w:val="false"/>
          <w:sz w:val="20"/>
        </w:rPr>
        <w:t>appoint a receiver to seize, manage and realize any of the Collateral, and such receiver shall have any right and authority as any competent court will grant or authorize in accordance with any applicable law, including any power or authority to manage the business of a Loan Party or any of its Subsidiaries;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(vii) </w:t>
      </w: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Sections 9.1(a)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exercise all rights and remedies available to Administrative Agent and each Lender under the Loan Documents or at law or equity, including all remedies provided under the Code (including disposal of the Collateral pursuant to the terms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 provision of this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to the contrary, upon the occurrence of any Event of Default, Administrative Agent shall have the right to exercise any and all remedies referenced in this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without the written consent of Required Lenders following the occurrence of an Exigent Circumstance.</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59</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9.2 </w:t>
      </w:r>
      <w:r>
        <w:rPr>
          <w:rFonts w:ascii="Times New Roman;Times;Serif" w:hAnsi="Times New Roman;Times;Serif"/>
          <w:b/>
          <w:i w:val="false"/>
          <w:caps w:val="false"/>
          <w:smallCaps w:val="false"/>
          <w:sz w:val="20"/>
        </w:rPr>
        <w:t>Power of Attorney</w:t>
      </w:r>
      <w:r>
        <w:rPr>
          <w:rFonts w:ascii="Times New Roman;Times;Serif" w:hAnsi="Times New Roman;Times;Serif"/>
          <w:b w:val="false"/>
          <w:i w:val="false"/>
          <w:caps w:val="false"/>
          <w:smallCaps w:val="false"/>
          <w:sz w:val="20"/>
        </w:rPr>
        <w:t>. Each Loan Party hereby irrevocably appoints Administrative Agent as its lawful attorney-in-fact, exercisable upon the occurrence and during the continuance of an Event of Default, to: (a) endorse such Loan Party’s or any of its Subsidiaries’ name on any checks or other forms of payment or security; (b) sign such Loan Party’s or any of its Subsidiaries’ name on any invoice or bill of lading for any Account or drafts against Account Debtors; (c) settle and adjust disputes and claims about the Accounts directly with Account Debtors, for amounts and on terms Administrative Agent determines reasonable; (d) make, settle, and adjust all claims under such Loan Party’s insurance policies; (e) pay, contest or settle any Lien, charge, encumbrance, security interest, and adverse claim in or to the Collateral, or any judgment based thereon, or otherwise take any action to terminate or discharge the same; and (f) transfer the Collateral into the name of Administrative Agent or a third party as the Code or any applicable law permits. Each Loan Party hereby appoints Administrative Agent as its lawful attorney-in-fact to sign such Loan Party’s or any of its Subsidiaries’ name on any documents necessary to perfect or continue the perfection of Administrative Agent’s security interest in the Collateral regardless of whether an Event of Default has occurred until all Obligations (other than inchoate indemnity obligations) have been satisfied in full and Administrative Agent and the Lenders are under no further obligation to make extend Term Loans hereunder. Administrative Agent’s foregoing appointment as such Loan Party’s or any of its Subsidiaries’ attorney in fact, and all of Administrative Agent’s rights and powers, coupled with an interest, are irrevocable until all Obligations (other than inchoate indemnity obligations) have been fully repaid and performed and Administrative Agent’s and the Lenders’ obligation to provide Term Loans terminates.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9.3 </w:t>
      </w:r>
      <w:r>
        <w:rPr>
          <w:rFonts w:ascii="Times New Roman;Times;Serif" w:hAnsi="Times New Roman;Times;Serif"/>
          <w:b/>
          <w:i w:val="false"/>
          <w:caps w:val="false"/>
          <w:smallCaps w:val="false"/>
          <w:sz w:val="20"/>
        </w:rPr>
        <w:t>Protective Payments</w:t>
      </w:r>
      <w:r>
        <w:rPr>
          <w:rFonts w:ascii="Times New Roman;Times;Serif" w:hAnsi="Times New Roman;Times;Serif"/>
          <w:b w:val="false"/>
          <w:i w:val="false"/>
          <w:caps w:val="false"/>
          <w:smallCaps w:val="false"/>
          <w:sz w:val="20"/>
        </w:rPr>
        <w:t xml:space="preserve">. If any Loan Party or any of its Subsidiaries fail to obtain the insurance called for by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or fails to pay any premium thereon or fails to pay any other amount which such Loan Party or any of its Subsidiaries is obligated to pay under this Agreement or any other Loan Document, Administrative Agent may obtain such insurance or make such payment, and all amounts so paid by Administrative Agent are Lenders’ Expenses and immediately due and payable, bearing interest at the Default Rate, and secured by the Collateral. Administrative Agent will make reasonable efforts to provide Borrower with notice of Administrative Agent obtaining such insurance or making such payment prior to the time it is obtained or paid (the failure by Administrative Agent to so notify Borrower shall not constitute a breach hereunder by Administrative Agent). No such payments by Administrative Agent are deemed an agreement to make similar payments in the future or Administrative Agent’s waiver of any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9.4 </w:t>
      </w:r>
      <w:r>
        <w:rPr>
          <w:rFonts w:ascii="Times New Roman;Times;Serif" w:hAnsi="Times New Roman;Times;Serif"/>
          <w:b/>
          <w:i w:val="false"/>
          <w:caps w:val="false"/>
          <w:smallCaps w:val="false"/>
          <w:sz w:val="20"/>
        </w:rPr>
        <w:t>Application of Payments and Proceeds</w:t>
      </w:r>
      <w:r>
        <w:rPr>
          <w:rFonts w:ascii="Times New Roman;Times;Serif" w:hAnsi="Times New Roman;Times;Serif"/>
          <w:b w:val="false"/>
          <w:i w:val="false"/>
          <w:caps w:val="false"/>
          <w:smallCaps w:val="false"/>
          <w:sz w:val="20"/>
        </w:rPr>
        <w:t xml:space="preserve">. Notwithstanding anything to the contrary contained in this Agreement, upon the occurrence and during the continuance of an Event of Default, (a) each Loan Party irrevocably waives the right to direct the application of any and all payments at any time or times thereafter received by Administrative Agent from or on behalf of any Loan Party or any of its Subsidiaries of all or any part of the Obligations, and, as between such Loan Party on the one hand and Administrative Agent and Lenders on the other, Administrative Agent shall have the continuing and exclusive right to apply and to reapply any and all payments received against the Obligations in such manner as Administrative Agent may deem advisable notwithstanding any previous application by Administrative Agent, and (b) the proceeds of any sale of, or other realization upon all or any part of the Collateral shall be applied: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to the Lenders’ Expenses due and owing to Administrative Agent and fees, costs, expenses and indemnities due and owing to Administrative Agent pursuant to the Loan Documents, and any other Obligations owing to Administrative Agent to preserve or protect Collateral or to preserve or protect its security interests in Collateral;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xml:space="preserve">, to accrued and unpaid interest on the Obligations (including any interest which, but for the provisions of the United States Bankruptcy Code, would have accrued on such amounts) and the Make-Whole Amount, if any; </w:t>
      </w: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xml:space="preserve">, to the Prepayment Fee and principal amount of the Obligations outstanding; and </w:t>
      </w:r>
      <w:r>
        <w:rPr>
          <w:rFonts w:ascii="Times New Roman;Times;Serif" w:hAnsi="Times New Roman;Times;Serif"/>
          <w:b w:val="false"/>
          <w:i w:val="false"/>
          <w:caps w:val="false"/>
          <w:smallCaps w:val="false"/>
          <w:sz w:val="20"/>
          <w:u w:val="single"/>
        </w:rPr>
        <w:t>fourth</w:t>
      </w:r>
      <w:r>
        <w:rPr>
          <w:rFonts w:ascii="Times New Roman;Times;Serif" w:hAnsi="Times New Roman;Times;Serif"/>
          <w:b w:val="false"/>
          <w:i w:val="false"/>
          <w:caps w:val="false"/>
          <w:smallCaps w:val="false"/>
          <w:sz w:val="20"/>
        </w:rPr>
        <w:t>, to any other Obligations of any Loan Party owing to Administrative Agent or any Lender under the Loan Documents. Any balance remaining shall be delivered to Borrower or to whoever may be lawfully entitled to receive such balance or as a court of competent jurisdiction may direct. In carrying out the foregoing, (x) amounts received shall be applied in the numerical order provided until exhausted prior to the application to the next succeeding category, and (y) each of the Persons entitled to receive a payment in any particular category shall receive an amount equal to its pro rata share of amounts available to be applied pursuant thereto for such category. Any reference in this Agreement to an allocation between or sharing by the Lenders of any right, interest or obligation “ratably,” “proportionally” or in similar terms shall refer to Pro Rata Share unless expressly provided otherwise. Administrative Agent, or if applicable, each Lender, shall promptly remit to the other Lenders such sums as may be necessary to ensure the ratable repayment of each Lender’s portion of any Term Loan and the ratable distribution of interest, fees and reimbursements paid or made by any Loan Party. Notwithstanding the foregoing, a Lender receiving a scheduled payment shall not be responsible for determining whether the other Lenders also received their scheduled payment on such date; provided, however, if it is later determined that a Lender received more than its ratable share of scheduled payments made on any date or dates, then such Lender shall remit to Administrative Agent or other Lenders such sums as may be necessary to ensure the ratable payment of such scheduled payments, as instructed by Administrative Agent. If any payment or distribution of any kind or character, whether in cash, properties or securities, shall be received by a Lender in excess of its ratable share, then the portion of such payment or distribution in excess of such Lender’s ratable share shall be received by such Lender in trust for and shall be promptly paid over to the other Lender for application to the payments of amounts due on the other Lenders’ claims. To the extent any payment for the account of Borrower is required to be returned as a voidable transfer or otherwise, the Lenders shall contribute to one another as is necessary to ensure that such return of payment is on a pro rata basis. If any Lender shall obtain possession of any Collateral, it shall hold such Collateral for itself and as agent and bailee for Administrative Agent and other Lenders for purposes of perfecting Administrative Agent’s security interest therein.</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60</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9.5 </w:t>
      </w:r>
      <w:r>
        <w:rPr>
          <w:rFonts w:ascii="Times New Roman;Times;Serif" w:hAnsi="Times New Roman;Times;Serif"/>
          <w:b/>
          <w:i w:val="false"/>
          <w:caps w:val="false"/>
          <w:smallCaps w:val="false"/>
          <w:sz w:val="20"/>
        </w:rPr>
        <w:t>Liability for Collateral</w:t>
      </w:r>
      <w:r>
        <w:rPr>
          <w:rFonts w:ascii="Times New Roman;Times;Serif" w:hAnsi="Times New Roman;Times;Serif"/>
          <w:b w:val="false"/>
          <w:i w:val="false"/>
          <w:caps w:val="false"/>
          <w:smallCaps w:val="false"/>
          <w:sz w:val="20"/>
        </w:rPr>
        <w:t>. So long as Administrative Agent and the Lenders comply with reasonable banking practices regarding the safekeeping of the Collateral in the possession or under the control of Administrative Agent and the Lenders, Administrative Agent and the Lenders shall not be liable or responsible for: (a) 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9.6 </w:t>
      </w:r>
      <w:r>
        <w:rPr>
          <w:rFonts w:ascii="Times New Roman;Times;Serif" w:hAnsi="Times New Roman;Times;Serif"/>
          <w:b/>
          <w:i w:val="false"/>
          <w:caps w:val="false"/>
          <w:smallCaps w:val="false"/>
          <w:sz w:val="20"/>
        </w:rPr>
        <w:t>No Waiver; Remedies Cumulative</w:t>
      </w:r>
      <w:r>
        <w:rPr>
          <w:rFonts w:ascii="Times New Roman;Times;Serif" w:hAnsi="Times New Roman;Times;Serif"/>
          <w:b w:val="false"/>
          <w:i w:val="false"/>
          <w:caps w:val="false"/>
          <w:smallCaps w:val="false"/>
          <w:sz w:val="20"/>
        </w:rPr>
        <w:t>. Failure by Administrative Agent or any Lender, at any time or times, to require strict performance by any Loan Party of any provision of this Agreement or any other Loan Document shall not waive, affect, or diminish any right of Administrative Agent or any Lender thereafter to demand strict performance and compliance herewith or therewith. No waiver hereunder shall be effective unless signed by Administrative Agent and the Required Lenders and then is only effective for the specific instance and purpose for which it is given. The rights and remedies of Administrative Agent and the Lenders under this Agreement and the other Loan Documents are cumulative. Administrative Agent and the Lenders have all rights and remedies provided under the Code, any applicable law, by law, or in equity. The exercise by Administrative Agent or any Lender of one right or remedy is not an election, and Administrative Agent’s or any Lender’s waiver of any Event of Default is not a continuing waiver. Administrative Agent’s or any Lender’s delay in exercising any remedy is not a waiver, election, or acquiescence.</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61</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9.7 </w:t>
      </w:r>
      <w:r>
        <w:rPr>
          <w:rFonts w:ascii="Times New Roman;Times;Serif" w:hAnsi="Times New Roman;Times;Serif"/>
          <w:b/>
          <w:i w:val="false"/>
          <w:caps w:val="false"/>
          <w:smallCaps w:val="false"/>
          <w:sz w:val="20"/>
        </w:rPr>
        <w:t>Demand Waiver</w:t>
      </w:r>
      <w:r>
        <w:rPr>
          <w:rFonts w:ascii="Times New Roman;Times;Serif" w:hAnsi="Times New Roman;Times;Serif"/>
          <w:b w:val="false"/>
          <w:i w:val="false"/>
          <w:caps w:val="false"/>
          <w:smallCaps w:val="false"/>
          <w:sz w:val="20"/>
        </w:rPr>
        <w:t>. Borrower waives, to the fullest extent permitted by law, demand, notice of default or dishonor, notice of payment and nonpayment, notice of any default, nonpayment at maturity, release, compromise, settlement, extension, or renewal of accounts, documents, instruments, chattel paper, and guarantees held by Administrative Agent or any Lender on which Borrower or any Subsidiary is liable.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color w:val="010000"/>
          <w:sz w:val="20"/>
        </w:rPr>
        <w:t xml:space="preserve">10. </w:t>
      </w:r>
      <w:r>
        <w:rPr>
          <w:rFonts w:ascii="Times New Roman;Times;Serif" w:hAnsi="Times New Roman;Times;Serif"/>
          <w:b/>
          <w:i w:val="false"/>
          <w:caps w:val="false"/>
          <w:smallCaps w:val="false"/>
          <w:sz w:val="20"/>
          <w:u w:val="single"/>
        </w:rPr>
        <w:t>NOTICES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consents, requests, approvals, demands, or other communication (collectively, “</w:t>
      </w:r>
      <w:r>
        <w:rPr>
          <w:rFonts w:ascii="Times New Roman;Times;Serif" w:hAnsi="Times New Roman;Times;Serif"/>
          <w:b/>
          <w:i w:val="false"/>
          <w:caps w:val="false"/>
          <w:smallCaps w:val="false"/>
          <w:sz w:val="20"/>
        </w:rPr>
        <w:t>Communication</w:t>
      </w:r>
      <w:r>
        <w:rPr>
          <w:rFonts w:ascii="Times New Roman;Times;Serif" w:hAnsi="Times New Roman;Times;Serif"/>
          <w:b w:val="false"/>
          <w:i w:val="false"/>
          <w:caps w:val="false"/>
          <w:smallCaps w:val="false"/>
          <w:sz w:val="20"/>
        </w:rPr>
        <w:t xml:space="preserve">”)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receipt of an acknowledgment from the intended recipient (such as by “return receipt requested” function, as available, return email, or other written acknowledgment) if sent via electronic mail transmission; (c) one (1) Business Day after deposit with a reputable overnight courier with all charges prepaid; or (d) when delivered, if hand-delivered by messenger, all of which shall be addressed to the party to be notified and sent to the address, facsimile number, or email address indicated below. Any of Administrative Agent, Lender, Borrower or any Guarantor may change its mailing address or facsimile number by giving the other party written notice thereof in accordance with the terms of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60"/>
        <w:gridCol w:w="4460"/>
        <w:gridCol w:w="3650"/>
      </w:tblGrid>
      <w:tr>
        <w:trPr/>
        <w:tc>
          <w:tcPr>
            <w:tcW w:w="60" w:type="dxa"/>
            <w:tcBorders/>
            <w:vAlign w:val="center"/>
          </w:tcPr>
          <w:p>
            <w:pPr>
              <w:pStyle w:val="TableContents"/>
              <w:bidi w:val="0"/>
              <w:spacing w:before="0" w:after="283"/>
              <w:ind w:left="0" w:right="0" w:hanging="0"/>
              <w:jc w:val="left"/>
              <w:rPr>
                <w:sz w:val="4"/>
                <w:szCs w:val="4"/>
              </w:rPr>
            </w:pPr>
            <w:r>
              <w:rPr>
                <w:sz w:val="4"/>
                <w:szCs w:val="4"/>
              </w:rPr>
            </w:r>
          </w:p>
        </w:tc>
        <w:tc>
          <w:tcPr>
            <w:tcW w:w="4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to Borrower or any Guarantor:</w:t>
            </w:r>
          </w:p>
        </w:tc>
        <w:tc>
          <w:tcPr>
            <w:tcW w:w="3650" w:type="dxa"/>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Harrow Health, Inc.</w:t>
            </w:r>
          </w:p>
        </w:tc>
      </w:tr>
      <w:tr>
        <w:trPr/>
        <w:tc>
          <w:tcPr>
            <w:tcW w:w="60" w:type="dxa"/>
            <w:tcBorders/>
            <w:vAlign w:val="center"/>
          </w:tcPr>
          <w:p>
            <w:pPr>
              <w:pStyle w:val="TableContents"/>
              <w:bidi w:val="0"/>
              <w:spacing w:before="0" w:after="283"/>
              <w:ind w:left="0" w:right="0" w:hanging="0"/>
              <w:jc w:val="left"/>
              <w:rPr/>
            </w:pPr>
            <w:r>
              <w:rPr/>
              <w:t> </w:t>
            </w:r>
          </w:p>
        </w:tc>
        <w:tc>
          <w:tcPr>
            <w:tcW w:w="44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102 Woodmont Blvd., Suite 610</w:t>
            </w:r>
          </w:p>
        </w:tc>
      </w:tr>
      <w:tr>
        <w:trPr/>
        <w:tc>
          <w:tcPr>
            <w:tcW w:w="60" w:type="dxa"/>
            <w:tcBorders/>
            <w:vAlign w:val="center"/>
          </w:tcPr>
          <w:p>
            <w:pPr>
              <w:pStyle w:val="TableContents"/>
              <w:bidi w:val="0"/>
              <w:spacing w:before="0" w:after="283"/>
              <w:ind w:left="0" w:right="0" w:hanging="0"/>
              <w:jc w:val="left"/>
              <w:rPr/>
            </w:pPr>
            <w:r>
              <w:rPr/>
              <w:t> </w:t>
            </w:r>
          </w:p>
        </w:tc>
        <w:tc>
          <w:tcPr>
            <w:tcW w:w="44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Nashville, TN 37205</w:t>
            </w:r>
          </w:p>
        </w:tc>
      </w:tr>
      <w:tr>
        <w:trPr/>
        <w:tc>
          <w:tcPr>
            <w:tcW w:w="60" w:type="dxa"/>
            <w:tcBorders/>
            <w:vAlign w:val="center"/>
          </w:tcPr>
          <w:p>
            <w:pPr>
              <w:pStyle w:val="TableContents"/>
              <w:bidi w:val="0"/>
              <w:spacing w:before="0" w:after="283"/>
              <w:ind w:left="0" w:right="0" w:hanging="0"/>
              <w:jc w:val="left"/>
              <w:rPr/>
            </w:pPr>
            <w:r>
              <w:rPr/>
              <w:t> </w:t>
            </w:r>
          </w:p>
        </w:tc>
        <w:tc>
          <w:tcPr>
            <w:tcW w:w="44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Attention: Andrew R. Boll</w:t>
            </w:r>
          </w:p>
        </w:tc>
      </w:tr>
      <w:tr>
        <w:trPr/>
        <w:tc>
          <w:tcPr>
            <w:tcW w:w="60" w:type="dxa"/>
            <w:tcBorders/>
            <w:vAlign w:val="center"/>
          </w:tcPr>
          <w:p>
            <w:pPr>
              <w:pStyle w:val="TableContents"/>
              <w:bidi w:val="0"/>
              <w:spacing w:before="0" w:after="283"/>
              <w:ind w:left="0" w:right="0" w:hanging="0"/>
              <w:jc w:val="left"/>
              <w:rPr/>
            </w:pPr>
            <w:r>
              <w:rPr/>
              <w:t> </w:t>
            </w:r>
          </w:p>
        </w:tc>
        <w:tc>
          <w:tcPr>
            <w:tcW w:w="44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Email:</w:t>
            </w:r>
          </w:p>
        </w:tc>
      </w:tr>
      <w:tr>
        <w:trPr/>
        <w:tc>
          <w:tcPr>
            <w:tcW w:w="60" w:type="dxa"/>
            <w:tcBorders/>
            <w:vAlign w:val="center"/>
          </w:tcPr>
          <w:p>
            <w:pPr>
              <w:pStyle w:val="TableContents"/>
              <w:bidi w:val="0"/>
              <w:spacing w:before="0" w:after="283"/>
              <w:ind w:left="0" w:right="0" w:hanging="0"/>
              <w:jc w:val="left"/>
              <w:rPr/>
            </w:pPr>
            <w:r>
              <w:rPr/>
              <w:t> </w:t>
            </w:r>
          </w:p>
        </w:tc>
        <w:tc>
          <w:tcPr>
            <w:tcW w:w="44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ind w:left="0" w:right="0" w:hanging="0"/>
              <w:jc w:val="left"/>
              <w:rPr/>
            </w:pPr>
            <w:r>
              <w:rPr/>
              <w:t> </w:t>
            </w:r>
          </w:p>
        </w:tc>
      </w:tr>
      <w:tr>
        <w:trPr/>
        <w:tc>
          <w:tcPr>
            <w:tcW w:w="60" w:type="dxa"/>
            <w:tcBorders/>
            <w:vAlign w:val="center"/>
          </w:tcPr>
          <w:p>
            <w:pPr>
              <w:pStyle w:val="TableContents"/>
              <w:bidi w:val="0"/>
              <w:spacing w:before="0" w:after="283"/>
              <w:ind w:left="0" w:right="0" w:hanging="0"/>
              <w:jc w:val="left"/>
              <w:rPr/>
            </w:pPr>
            <w:r>
              <w:rPr/>
              <w:t> </w:t>
            </w:r>
          </w:p>
        </w:tc>
        <w:tc>
          <w:tcPr>
            <w:tcW w:w="44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with a copy (which shall not </w:t>
            </w:r>
            <w:r>
              <w:rPr>
                <w:rFonts w:ascii="Times New Roman;Times;Serif" w:hAnsi="Times New Roman;Times;Serif"/>
                <w:sz w:val="20"/>
              </w:rPr>
              <w:t>constitute notice) to:</w:t>
            </w:r>
          </w:p>
        </w:tc>
        <w:tc>
          <w:tcPr>
            <w:tcW w:w="3650" w:type="dxa"/>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Waller Lansden Dortch &amp; Davis, LLP</w:t>
            </w:r>
          </w:p>
        </w:tc>
      </w:tr>
      <w:tr>
        <w:trPr/>
        <w:tc>
          <w:tcPr>
            <w:tcW w:w="60" w:type="dxa"/>
            <w:tcBorders/>
            <w:vAlign w:val="center"/>
          </w:tcPr>
          <w:p>
            <w:pPr>
              <w:pStyle w:val="TableContents"/>
              <w:bidi w:val="0"/>
              <w:spacing w:before="0" w:after="283"/>
              <w:ind w:left="0" w:right="0" w:hanging="0"/>
              <w:jc w:val="left"/>
              <w:rPr/>
            </w:pPr>
            <w:r>
              <w:rPr/>
              <w:t> </w:t>
            </w:r>
          </w:p>
        </w:tc>
        <w:tc>
          <w:tcPr>
            <w:tcW w:w="44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511 Union Street, Suite 2700</w:t>
            </w:r>
          </w:p>
        </w:tc>
      </w:tr>
      <w:tr>
        <w:trPr/>
        <w:tc>
          <w:tcPr>
            <w:tcW w:w="60" w:type="dxa"/>
            <w:tcBorders/>
            <w:vAlign w:val="center"/>
          </w:tcPr>
          <w:p>
            <w:pPr>
              <w:pStyle w:val="TableContents"/>
              <w:bidi w:val="0"/>
              <w:spacing w:before="0" w:after="283"/>
              <w:ind w:left="0" w:right="0" w:hanging="0"/>
              <w:jc w:val="left"/>
              <w:rPr/>
            </w:pPr>
            <w:r>
              <w:rPr/>
              <w:t> </w:t>
            </w:r>
          </w:p>
        </w:tc>
        <w:tc>
          <w:tcPr>
            <w:tcW w:w="44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Nashville, TN 37219</w:t>
            </w:r>
          </w:p>
        </w:tc>
      </w:tr>
      <w:tr>
        <w:trPr/>
        <w:tc>
          <w:tcPr>
            <w:tcW w:w="60" w:type="dxa"/>
            <w:tcBorders/>
            <w:vAlign w:val="center"/>
          </w:tcPr>
          <w:p>
            <w:pPr>
              <w:pStyle w:val="TableContents"/>
              <w:bidi w:val="0"/>
              <w:spacing w:before="0" w:after="283"/>
              <w:ind w:left="0" w:right="0" w:hanging="0"/>
              <w:jc w:val="left"/>
              <w:rPr/>
            </w:pPr>
            <w:r>
              <w:rPr/>
              <w:t> </w:t>
            </w:r>
          </w:p>
        </w:tc>
        <w:tc>
          <w:tcPr>
            <w:tcW w:w="44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Attention: Elle McCulty</w:t>
            </w:r>
          </w:p>
        </w:tc>
      </w:tr>
      <w:tr>
        <w:trPr/>
        <w:tc>
          <w:tcPr>
            <w:tcW w:w="60" w:type="dxa"/>
            <w:tcBorders/>
            <w:vAlign w:val="center"/>
          </w:tcPr>
          <w:p>
            <w:pPr>
              <w:pStyle w:val="TableContents"/>
              <w:bidi w:val="0"/>
              <w:spacing w:before="0" w:after="283"/>
              <w:ind w:left="0" w:right="0" w:hanging="0"/>
              <w:jc w:val="left"/>
              <w:rPr/>
            </w:pPr>
            <w:r>
              <w:rPr/>
              <w:t> </w:t>
            </w:r>
          </w:p>
        </w:tc>
        <w:tc>
          <w:tcPr>
            <w:tcW w:w="44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E-mail:</w:t>
            </w:r>
          </w:p>
        </w:tc>
      </w:tr>
      <w:tr>
        <w:trPr/>
        <w:tc>
          <w:tcPr>
            <w:tcW w:w="60" w:type="dxa"/>
            <w:tcBorders/>
            <w:vAlign w:val="center"/>
          </w:tcPr>
          <w:p>
            <w:pPr>
              <w:pStyle w:val="TableContents"/>
              <w:bidi w:val="0"/>
              <w:spacing w:before="0" w:after="283"/>
              <w:ind w:left="0" w:right="0" w:hanging="0"/>
              <w:jc w:val="left"/>
              <w:rPr/>
            </w:pPr>
            <w:r>
              <w:rPr/>
              <w:t> </w:t>
            </w:r>
          </w:p>
        </w:tc>
        <w:tc>
          <w:tcPr>
            <w:tcW w:w="44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ind w:left="0" w:right="0" w:hanging="0"/>
              <w:jc w:val="left"/>
              <w:rPr/>
            </w:pPr>
            <w:r>
              <w:rPr/>
              <w:t> </w:t>
            </w:r>
          </w:p>
        </w:tc>
      </w:tr>
      <w:tr>
        <w:trPr/>
        <w:tc>
          <w:tcPr>
            <w:tcW w:w="60" w:type="dxa"/>
            <w:tcBorders/>
            <w:vAlign w:val="center"/>
          </w:tcPr>
          <w:p>
            <w:pPr>
              <w:pStyle w:val="TableContents"/>
              <w:bidi w:val="0"/>
              <w:spacing w:before="0" w:after="283"/>
              <w:ind w:left="0" w:right="0" w:hanging="0"/>
              <w:jc w:val="left"/>
              <w:rPr/>
            </w:pPr>
            <w:r>
              <w:rPr/>
              <w:t> </w:t>
            </w:r>
          </w:p>
        </w:tc>
        <w:tc>
          <w:tcPr>
            <w:tcW w:w="4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to Administrative Agent:</w:t>
            </w:r>
          </w:p>
        </w:tc>
        <w:tc>
          <w:tcPr>
            <w:tcW w:w="3650" w:type="dxa"/>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B. Riley Commercial Capital, LLC</w:t>
            </w:r>
          </w:p>
        </w:tc>
      </w:tr>
      <w:tr>
        <w:trPr/>
        <w:tc>
          <w:tcPr>
            <w:tcW w:w="60" w:type="dxa"/>
            <w:tcBorders/>
            <w:vAlign w:val="center"/>
          </w:tcPr>
          <w:p>
            <w:pPr>
              <w:pStyle w:val="TableContents"/>
              <w:bidi w:val="0"/>
              <w:spacing w:before="0" w:after="283"/>
              <w:ind w:left="0" w:right="0" w:hanging="0"/>
              <w:jc w:val="left"/>
              <w:rPr/>
            </w:pPr>
            <w:r>
              <w:rPr/>
              <w:t> </w:t>
            </w:r>
          </w:p>
        </w:tc>
        <w:tc>
          <w:tcPr>
            <w:tcW w:w="44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11100 Santa Monica Blvd., Ste 800</w:t>
            </w:r>
          </w:p>
        </w:tc>
      </w:tr>
      <w:tr>
        <w:trPr/>
        <w:tc>
          <w:tcPr>
            <w:tcW w:w="60" w:type="dxa"/>
            <w:tcBorders/>
            <w:vAlign w:val="center"/>
          </w:tcPr>
          <w:p>
            <w:pPr>
              <w:pStyle w:val="TableContents"/>
              <w:bidi w:val="0"/>
              <w:spacing w:before="0" w:after="283"/>
              <w:ind w:left="0" w:right="0" w:hanging="0"/>
              <w:jc w:val="left"/>
              <w:rPr/>
            </w:pPr>
            <w:r>
              <w:rPr/>
              <w:t> </w:t>
            </w:r>
          </w:p>
        </w:tc>
        <w:tc>
          <w:tcPr>
            <w:tcW w:w="44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Los Angeles, CA 90025</w:t>
            </w:r>
          </w:p>
        </w:tc>
      </w:tr>
      <w:tr>
        <w:trPr/>
        <w:tc>
          <w:tcPr>
            <w:tcW w:w="60" w:type="dxa"/>
            <w:tcBorders/>
            <w:vAlign w:val="center"/>
          </w:tcPr>
          <w:p>
            <w:pPr>
              <w:pStyle w:val="TableContents"/>
              <w:bidi w:val="0"/>
              <w:spacing w:before="0" w:after="283"/>
              <w:ind w:left="0" w:right="0" w:hanging="0"/>
              <w:jc w:val="left"/>
              <w:rPr/>
            </w:pPr>
            <w:r>
              <w:rPr/>
              <w:t> </w:t>
            </w:r>
          </w:p>
        </w:tc>
        <w:tc>
          <w:tcPr>
            <w:tcW w:w="44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Attn: General Counsel</w:t>
            </w:r>
          </w:p>
        </w:tc>
      </w:tr>
      <w:tr>
        <w:trPr/>
        <w:tc>
          <w:tcPr>
            <w:tcW w:w="60" w:type="dxa"/>
            <w:tcBorders/>
            <w:vAlign w:val="center"/>
          </w:tcPr>
          <w:p>
            <w:pPr>
              <w:pStyle w:val="TableContents"/>
              <w:bidi w:val="0"/>
              <w:spacing w:before="0" w:after="283"/>
              <w:ind w:left="0" w:right="0" w:hanging="0"/>
              <w:jc w:val="left"/>
              <w:rPr/>
            </w:pPr>
            <w:r>
              <w:rPr/>
              <w:t> </w:t>
            </w:r>
          </w:p>
        </w:tc>
        <w:tc>
          <w:tcPr>
            <w:tcW w:w="44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Telephone: (310) 966-1444</w:t>
            </w:r>
          </w:p>
        </w:tc>
      </w:tr>
      <w:tr>
        <w:trPr/>
        <w:tc>
          <w:tcPr>
            <w:tcW w:w="60" w:type="dxa"/>
            <w:tcBorders/>
            <w:vAlign w:val="center"/>
          </w:tcPr>
          <w:p>
            <w:pPr>
              <w:pStyle w:val="TableContents"/>
              <w:bidi w:val="0"/>
              <w:spacing w:before="0" w:after="283"/>
              <w:ind w:left="0" w:right="0" w:hanging="0"/>
              <w:jc w:val="left"/>
              <w:rPr/>
            </w:pPr>
            <w:r>
              <w:rPr/>
              <w:t> </w:t>
            </w:r>
          </w:p>
        </w:tc>
        <w:tc>
          <w:tcPr>
            <w:tcW w:w="44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Email:</w:t>
            </w:r>
          </w:p>
        </w:tc>
      </w:tr>
      <w:tr>
        <w:trPr/>
        <w:tc>
          <w:tcPr>
            <w:tcW w:w="60" w:type="dxa"/>
            <w:tcBorders/>
            <w:vAlign w:val="center"/>
          </w:tcPr>
          <w:p>
            <w:pPr>
              <w:pStyle w:val="TableContents"/>
              <w:bidi w:val="0"/>
              <w:spacing w:before="0" w:after="283"/>
              <w:ind w:left="0" w:right="0" w:hanging="0"/>
              <w:jc w:val="left"/>
              <w:rPr/>
            </w:pPr>
            <w:r>
              <w:rPr/>
              <w:t> </w:t>
            </w:r>
          </w:p>
        </w:tc>
        <w:tc>
          <w:tcPr>
            <w:tcW w:w="44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ind w:left="0" w:right="0" w:hanging="0"/>
              <w:jc w:val="left"/>
              <w:rPr/>
            </w:pPr>
            <w:r>
              <w:rPr/>
              <w:t> </w:t>
            </w:r>
          </w:p>
        </w:tc>
      </w:tr>
      <w:tr>
        <w:trPr/>
        <w:tc>
          <w:tcPr>
            <w:tcW w:w="60" w:type="dxa"/>
            <w:tcBorders/>
            <w:vAlign w:val="center"/>
          </w:tcPr>
          <w:p>
            <w:pPr>
              <w:pStyle w:val="TableContents"/>
              <w:bidi w:val="0"/>
              <w:spacing w:before="0" w:after="283"/>
              <w:ind w:left="0" w:right="0" w:hanging="0"/>
              <w:jc w:val="left"/>
              <w:rPr/>
            </w:pPr>
            <w:r>
              <w:rPr/>
              <w:t> </w:t>
            </w:r>
          </w:p>
        </w:tc>
        <w:tc>
          <w:tcPr>
            <w:tcW w:w="4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a copy (which shall not constitute notice) to:</w:t>
            </w:r>
          </w:p>
        </w:tc>
        <w:tc>
          <w:tcPr>
            <w:tcW w:w="3650" w:type="dxa"/>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Duane Morris LLP</w:t>
            </w:r>
          </w:p>
        </w:tc>
      </w:tr>
      <w:tr>
        <w:trPr/>
        <w:tc>
          <w:tcPr>
            <w:tcW w:w="60" w:type="dxa"/>
            <w:tcBorders/>
            <w:vAlign w:val="center"/>
          </w:tcPr>
          <w:p>
            <w:pPr>
              <w:pStyle w:val="TableContents"/>
              <w:bidi w:val="0"/>
              <w:spacing w:before="0" w:after="283"/>
              <w:ind w:left="0" w:right="0" w:hanging="0"/>
              <w:jc w:val="left"/>
              <w:rPr/>
            </w:pPr>
            <w:r>
              <w:rPr/>
              <w:t> </w:t>
            </w:r>
          </w:p>
        </w:tc>
        <w:tc>
          <w:tcPr>
            <w:tcW w:w="44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1540 Broadway</w:t>
            </w:r>
          </w:p>
        </w:tc>
      </w:tr>
      <w:tr>
        <w:trPr/>
        <w:tc>
          <w:tcPr>
            <w:tcW w:w="60" w:type="dxa"/>
            <w:tcBorders/>
            <w:vAlign w:val="center"/>
          </w:tcPr>
          <w:p>
            <w:pPr>
              <w:pStyle w:val="TableContents"/>
              <w:bidi w:val="0"/>
              <w:spacing w:before="0" w:after="283"/>
              <w:ind w:left="0" w:right="0" w:hanging="0"/>
              <w:jc w:val="left"/>
              <w:rPr/>
            </w:pPr>
            <w:r>
              <w:rPr/>
              <w:t> </w:t>
            </w:r>
          </w:p>
        </w:tc>
        <w:tc>
          <w:tcPr>
            <w:tcW w:w="44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New York, New York 10036</w:t>
            </w:r>
          </w:p>
        </w:tc>
      </w:tr>
      <w:tr>
        <w:trPr/>
        <w:tc>
          <w:tcPr>
            <w:tcW w:w="60" w:type="dxa"/>
            <w:tcBorders/>
            <w:vAlign w:val="center"/>
          </w:tcPr>
          <w:p>
            <w:pPr>
              <w:pStyle w:val="TableContents"/>
              <w:bidi w:val="0"/>
              <w:spacing w:before="0" w:after="283"/>
              <w:ind w:left="0" w:right="0" w:hanging="0"/>
              <w:jc w:val="left"/>
              <w:rPr/>
            </w:pPr>
            <w:r>
              <w:rPr/>
              <w:t> </w:t>
            </w:r>
          </w:p>
        </w:tc>
        <w:tc>
          <w:tcPr>
            <w:tcW w:w="44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Attn: James T. Seery</w:t>
            </w:r>
          </w:p>
        </w:tc>
      </w:tr>
      <w:tr>
        <w:trPr/>
        <w:tc>
          <w:tcPr>
            <w:tcW w:w="60" w:type="dxa"/>
            <w:tcBorders/>
            <w:vAlign w:val="center"/>
          </w:tcPr>
          <w:p>
            <w:pPr>
              <w:pStyle w:val="TableContents"/>
              <w:bidi w:val="0"/>
              <w:spacing w:before="0" w:after="283"/>
              <w:ind w:left="0" w:right="0" w:hanging="0"/>
              <w:jc w:val="left"/>
              <w:rPr/>
            </w:pPr>
            <w:r>
              <w:rPr/>
              <w:t> </w:t>
            </w:r>
          </w:p>
        </w:tc>
        <w:tc>
          <w:tcPr>
            <w:tcW w:w="44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Telephone: (973) 424-2088</w:t>
            </w:r>
          </w:p>
        </w:tc>
      </w:tr>
      <w:tr>
        <w:trPr/>
        <w:tc>
          <w:tcPr>
            <w:tcW w:w="60" w:type="dxa"/>
            <w:tcBorders/>
            <w:vAlign w:val="center"/>
          </w:tcPr>
          <w:p>
            <w:pPr>
              <w:pStyle w:val="TableContents"/>
              <w:bidi w:val="0"/>
              <w:spacing w:before="0" w:after="283"/>
              <w:ind w:left="0" w:right="0" w:hanging="0"/>
              <w:jc w:val="left"/>
              <w:rPr/>
            </w:pPr>
            <w:r>
              <w:rPr/>
              <w:t> </w:t>
            </w:r>
          </w:p>
        </w:tc>
        <w:tc>
          <w:tcPr>
            <w:tcW w:w="44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w:t>
            </w:r>
          </w:p>
        </w:tc>
      </w:tr>
    </w:tbl>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62</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color w:val="010000"/>
          <w:sz w:val="20"/>
        </w:rPr>
        <w:t xml:space="preserve">11. </w:t>
      </w:r>
      <w:r>
        <w:rPr>
          <w:rFonts w:ascii="Times New Roman;Times;Serif" w:hAnsi="Times New Roman;Times;Serif"/>
          <w:b/>
          <w:i w:val="false"/>
          <w:caps w:val="false"/>
          <w:smallCaps w:val="false"/>
          <w:sz w:val="20"/>
          <w:u w:val="single"/>
        </w:rPr>
        <w:t>CHOICE OF LAW, VENUE AND JURY TRIAL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11.1    </w:t>
      </w:r>
      <w:r>
        <w:rPr>
          <w:rFonts w:ascii="Times New Roman;Times;Serif" w:hAnsi="Times New Roman;Times;Serif"/>
          <w:b/>
          <w:i w:val="false"/>
          <w:caps w:val="false"/>
          <w:smallCaps w:val="false"/>
          <w:sz w:val="20"/>
        </w:rPr>
        <w:t>Waiver of Jury Trial</w:t>
      </w:r>
      <w:r>
        <w:rPr>
          <w:rFonts w:ascii="Times New Roman;Times;Serif" w:hAnsi="Times New Roman;Times;Serif"/>
          <w:b w:val="false"/>
          <w:i w:val="false"/>
          <w:caps w:val="false"/>
          <w:smallCaps w:val="false"/>
          <w:sz w:val="20"/>
        </w:rPr>
        <w:t>. EACH OF EACH LOAN PARTY, ADMINISTRATIVE AGENT AND LENDERS UNCONDITIONALLY WAIVES ANY AND ALL RIGHT TO A JURY TRIAL OF ANY CLAIM OR CAUSE OF ACTION BASED UPON OR ARISING OUT OF THIS AGREEMENT, ANY OF THE OTHER LOAN DOCUMENTS, ANY OF THE INDEBTEDNESS SECURED HEREBY, ANY DEALINGS AMONG A LOAN PARTY, ADMINISTRATIVE AGENT AND/OR LENDERS RELATING TO THE SUBJECT MATTER OF THIS TRANSACTION OR ANY RELATED TRANSACTIONS, AND/OR THE RELATIONSHIP THAT IS BEING ESTABLISHED AMONG SUCH LOAN PARTY, ADMINISTRATIVE AGENT AND/OR LENDERS. THE SCOPE OF THIS WAIVER IS INTENDED TO BE ALL ENCOMPASSING OF ANY AND ALL DISPUTES THAT MAY BE FILED IN ANY COURT. THIS WAIVER IS IRREVOCABLE. THIS WAIVER MAY NOT BE MODIFIED EITHER ORALLY OR IN WRITING. THE WAIVER ALSO SHALL APPLY TO ANY SUBSEQUENT AMENDMENTS, RENEWALS, SUPPLEMENTS OR MODIFICATIONS TO THIS AGREEMENT, ANY OTHER LOAN DOCUMENTS, OR TO ANY OTHER DOCUMENTS OR AGREEMENTS RELATING TO THIS TRANSACTION OR ANY RELATED TRANSACTION. THIS AGREEMENT MAY BE FILED AS A WRITTEN CONSENT TO A TRIAL BY THE COURT.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11.2    </w:t>
      </w:r>
      <w:r>
        <w:rPr>
          <w:rFonts w:ascii="Times New Roman;Times;Serif" w:hAnsi="Times New Roman;Times;Serif"/>
          <w:b/>
          <w:i w:val="false"/>
          <w:caps w:val="false"/>
          <w:smallCaps w:val="false"/>
          <w:sz w:val="20"/>
        </w:rPr>
        <w:t>Governing Law and Jurisdiction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 xml:space="preserve">THIS AGREEMENT, THE OTHER LOAN DOCUMENTS (EXCLUDING THOSE LOAN DOCUMENTS THAT BY THEIR OWN TERMS ARE EXPRESSLY GOVERNED BY THE LAWS OF ANOTHER JURISDICTION) AND THE RIGHTS AND OBLIGATIONS OF THE PARTIES HEREUNDER AND THEREUNDER SHALL IN ALL RESPECTS BE GOVERNED BY AND CONSTRUED IN ACCORDANCE WITH, THE INTERNAL LAWS OF THE STATE OF NEW YORK (WITHOUT REGARD TO THE CONFLICT OF LAWS PRINCIPLES THAT WOULD RESULT IN THE APPLICATION OF ANY LAWS OTHER THAN THE LAWS OF THE STATE OF NEW YORK), INCLUDING ALL MATTERS OF CONSTRUCTION, VALIDITY AND PERFORMANCE, REGARDLESS OF THE LOCATION OF THE COLLATERAL,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LAWS OF ANY JURISDICTION OTHER THAN NEW YORK SHALL GOVERN IN REGARD TO THE VALIDITY, PERFECTION OR EFFECT OF PERFECTION OF ANY LIEN OR IN REGARD TO PROCEDURAL MATTERS AFFECTING ENFORCEMENT OF ANY LIENS IN COLLATERAL, SUCH LAWS OF SUCH OTHER JURISDICTIONS SHALL CONTINUE TO APPLY TO THAT EXTENT.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u w:val="single"/>
        </w:rPr>
        <w:t>Submission to Jurisdiction</w:t>
      </w:r>
      <w:r>
        <w:rPr>
          <w:rFonts w:ascii="Times New Roman;Times;Serif" w:hAnsi="Times New Roman;Times;Serif"/>
          <w:b w:val="false"/>
          <w:i w:val="false"/>
          <w:caps w:val="false"/>
          <w:smallCaps w:val="false"/>
          <w:sz w:val="20"/>
        </w:rPr>
        <w:t xml:space="preserve">. Any legal action or proceeding with respect to the Loan Documents shall be brought exclusively in the courts of the State of New York located in the City of New York, Borough of Manhattan, or of the United States of America for the Southern District of New York and, by execution and delivery of this Agreement, each Loan Party hereby accepts for itself and in respect of its Property, generally and unconditionally, the jurisdiction of the aforesaid courts. Notwithstanding the foregoing, Administrative Agent and Lenders shall have the right to bring any action or proceeding against any Loan Party (or any property of a Loan Party) in the court of any other jurisdiction Administrative Agent or Lenders deem necessary or appropriate in order to realize on the Collateral or other security for the Obligations. The parties hereto hereby irrevocably waive any objection, including any objection to the laying of venue or based on the grounds of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that any of them may now or hereafter have to the bringing of any such action or proceeding in such jurisdictions.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u w:val="single"/>
        </w:rPr>
        <w:t>Service of Process</w:t>
      </w:r>
      <w:r>
        <w:rPr>
          <w:rFonts w:ascii="Times New Roman;Times;Serif" w:hAnsi="Times New Roman;Times;Serif"/>
          <w:b w:val="false"/>
          <w:i w:val="false"/>
          <w:caps w:val="false"/>
          <w:smallCaps w:val="false"/>
          <w:sz w:val="20"/>
        </w:rPr>
        <w:t>. Each Loan Party irrevocably waives personal service of any and all legal process, summons, notices and other documents and other service of process of any kind and consents to such service in any suit, action or proceeding brought in the United States of America with respect to or otherwise arising out of or in connection with any Loan Document by any means permitted by applicable requirements of law, including by the mailing thereof (by registered or certified mail, postage prepaid) to the address of such Loan Party specified herein (and shall be effective when such mailing shall be effective, as provided therein). Each Loan Party agrees that a final judgment in any such action or proceeding shall be conclusive and may be enforced in other jurisdictions by suit on the judgment or in any other manner provided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u w:val="single"/>
        </w:rPr>
        <w:t>Non-exclusive Jurisdiction</w:t>
      </w:r>
      <w:r>
        <w:rPr>
          <w:rFonts w:ascii="Times New Roman;Times;Serif" w:hAnsi="Times New Roman;Times;Serif"/>
          <w:b w:val="false"/>
          <w:i w:val="false"/>
          <w:caps w:val="false"/>
          <w:smallCaps w:val="false"/>
          <w:sz w:val="20"/>
        </w:rPr>
        <w:t xml:space="preserve">. Nothing contained in this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 xml:space="preserve"> shall affect the right of Administrative Agent or Lenders to serve process in any other manner permitted by applicable requirements of law or commence legal proceedings or otherwise proceed against Borrower in any other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color w:val="010000"/>
          <w:sz w:val="20"/>
        </w:rPr>
        <w:t xml:space="preserve">12. </w:t>
      </w:r>
      <w:r>
        <w:rPr>
          <w:rFonts w:ascii="Times New Roman;Times;Serif" w:hAnsi="Times New Roman;Times;Serif"/>
          <w:b/>
          <w:i w:val="false"/>
          <w:caps w:val="false"/>
          <w:smallCaps w:val="false"/>
          <w:sz w:val="20"/>
          <w:u w:val="single"/>
        </w:rPr>
        <w:t>GUARANTY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12.1    </w:t>
      </w:r>
      <w:r>
        <w:rPr>
          <w:rFonts w:ascii="Times New Roman;Times;Serif" w:hAnsi="Times New Roman;Times;Serif"/>
          <w:b/>
          <w:i w:val="false"/>
          <w:caps w:val="false"/>
          <w:smallCaps w:val="false"/>
          <w:sz w:val="20"/>
        </w:rPr>
        <w:t>The Guaranty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Each of the Guarantors hereby jointly and severally guarantees to Administrative Agent and each of the other holders of the Obligations as hereinafter provided, the prompt payment of the Obligations (the “</w:t>
      </w:r>
      <w:r>
        <w:rPr>
          <w:rFonts w:ascii="Times New Roman;Times;Serif" w:hAnsi="Times New Roman;Times;Serif"/>
          <w:b w:val="false"/>
          <w:i w:val="false"/>
          <w:caps w:val="false"/>
          <w:smallCaps w:val="false"/>
          <w:sz w:val="20"/>
          <w:u w:val="single"/>
        </w:rPr>
        <w:t>Guaranteed Obligations</w:t>
      </w:r>
      <w:r>
        <w:rPr>
          <w:rFonts w:ascii="Times New Roman;Times;Serif" w:hAnsi="Times New Roman;Times;Serif"/>
          <w:b w:val="false"/>
          <w:i w:val="false"/>
          <w:caps w:val="false"/>
          <w:smallCaps w:val="false"/>
          <w:sz w:val="20"/>
        </w:rPr>
        <w:t>”) in full when due (whether at stated maturity, as a mandatory prepayment, by acceleration, as a mandatory cash collateralization or otherwise) strictly in accordance with the terms thereof. The Guarantors hereby further agree that if any of the Guaranteed Obligations are not paid in full when due (whether at stated maturity, as a mandatory prepayment, by acceleration, as a mandatory cash collateralization or otherwise), the Guarantors will, jointly and severally, promptly pay the same, without any demand or notice whatsoever, and that in the case of any extension of time of payment or renewal of any of the Guaranteed Obligations, the same will be promptly paid in full when due (whether at extended maturity, as a mandatory prepayment, by acceleration, as a mandatory cash collateralization or otherwise) in accordance with the terms of such extension or renewal.</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63</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Notwithstanding any provision to the contrary contained herein or in any other of the Loan Documents, any Swap Contracts or the other documents relating to the Guaranteed Obligations, (i) the obligations of each Guarantor under this Agreement and the other Loan Documents shall be limited to an aggregate amount equal to the largest amount that would not render such obligations subject to avoidance under the Debtor Relief Laws or any comparable provisions of any applicable state law and (ii) the Guaranteed Obligations of a Guarantor shall exclude any Excluded Swap Obligations with respect to such Guarantor.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12.2    </w:t>
      </w:r>
      <w:r>
        <w:rPr>
          <w:rFonts w:ascii="Times New Roman;Times;Serif" w:hAnsi="Times New Roman;Times;Serif"/>
          <w:b/>
          <w:i w:val="false"/>
          <w:caps w:val="false"/>
          <w:smallCaps w:val="false"/>
          <w:sz w:val="20"/>
        </w:rPr>
        <w:t>Obligations Unconditional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 xml:space="preserve">The obligations of the Guarantors under </w:t>
      </w:r>
      <w:r>
        <w:rPr>
          <w:rFonts w:ascii="Times New Roman;Times;Serif" w:hAnsi="Times New Roman;Times;Serif"/>
          <w:b w:val="false"/>
          <w:i w:val="false"/>
          <w:caps w:val="false"/>
          <w:smallCaps w:val="false"/>
          <w:sz w:val="20"/>
          <w:u w:val="single"/>
        </w:rPr>
        <w:t xml:space="preserve">Section 12.1 </w:t>
      </w:r>
      <w:r>
        <w:rPr>
          <w:rFonts w:ascii="Times New Roman;Times;Serif" w:hAnsi="Times New Roman;Times;Serif"/>
          <w:b w:val="false"/>
          <w:i w:val="false"/>
          <w:caps w:val="false"/>
          <w:smallCaps w:val="false"/>
          <w:sz w:val="20"/>
        </w:rPr>
        <w:t xml:space="preserve">are joint and several, absolute and unconditional, irrespective of the value, validity, or enforceability of any of the Loan Documents or other documents relating to the Guaranteed Obligations, or any other agreement or instrument referred to therein, or any substitution, release, impairment or exchange of any other guarantee of or security for any of the Guaranteed Obligations, and, to the fullest extent permitted by any Law, irrespective of any other circumstance whatsoever which might otherwise constitute a legal or equitable discharge or defense of a surety or guarantor, it being the intent of this </w:t>
      </w:r>
      <w:r>
        <w:rPr>
          <w:rFonts w:ascii="Times New Roman;Times;Serif" w:hAnsi="Times New Roman;Times;Serif"/>
          <w:b w:val="false"/>
          <w:i w:val="false"/>
          <w:caps w:val="false"/>
          <w:smallCaps w:val="false"/>
          <w:sz w:val="20"/>
          <w:u w:val="single"/>
        </w:rPr>
        <w:t>Section 12.2</w:t>
      </w:r>
      <w:r>
        <w:rPr>
          <w:rFonts w:ascii="Times New Roman;Times;Serif" w:hAnsi="Times New Roman;Times;Serif"/>
          <w:b w:val="false"/>
          <w:i w:val="false"/>
          <w:caps w:val="false"/>
          <w:smallCaps w:val="false"/>
          <w:sz w:val="20"/>
        </w:rPr>
        <w:t xml:space="preserve"> that the obligations of the Guarantors hereunder shall be absolute and unconditional under any and all circumstances. Each Guarantor agrees that such Guarantor shall have no right of subrogation, indemnity, reimbursement or contribution against the Borrower or any other Guarantor for amounts paid under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until such time as the Guaranteed Obligations have been paid in full and the commitments relating thereto have expired or terminated. Without limiting the generality of the foregoing, it is agreed that, to the fullest extent permitted by law, the occurrence of any one or more of the following shall not alter or impair the liability of any Guarantor hereunder, which shall remain absolute and unconditional as described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at any time or from time to time, without notice to any Guarantor, the time for any performance of or compliance with any of the Guaranteed Obligations shall be extended, or such performance or compliance shall be waived;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any of the acts mentioned in any of the provisions of any of the Loan Documents or other documents relating to the Guaranteed Obligations, or any other agreement or instrument referred to therein, shall be done or omitted;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(iii)      </w:t>
      </w:r>
      <w:r>
        <w:rPr>
          <w:rFonts w:ascii="Times New Roman;Times;Serif" w:hAnsi="Times New Roman;Times;Serif"/>
          <w:b w:val="false"/>
          <w:i w:val="false"/>
          <w:caps w:val="false"/>
          <w:smallCaps w:val="false"/>
          <w:sz w:val="20"/>
        </w:rPr>
        <w:t>the maturity of any of the Guaranteed Obligations shall be accelerated, or any of the Guaranteed Obligations shall be modified, supplemented or amended in any respect, or any right under any of the Loan Documents or other documents relating to the Guaranteed Obligations, or any other agreement or instrument referred to therein, shall be waived or any other guarantee of any of the Guaranteed Obligations or any security therefor shall be released, impaired or exchanged in whole or in part or otherwise dealt with;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(iv)       </w:t>
      </w:r>
      <w:r>
        <w:rPr>
          <w:rFonts w:ascii="Times New Roman;Times;Serif" w:hAnsi="Times New Roman;Times;Serif"/>
          <w:b w:val="false"/>
          <w:i w:val="false"/>
          <w:caps w:val="false"/>
          <w:smallCaps w:val="false"/>
          <w:sz w:val="20"/>
        </w:rPr>
        <w:t>any Lien granted to, or in favor of, Administrative Agent or any other holder of the Guaranteed Obligations as security for any of the Guaranteed Obligations shall fail to attach or be perfected.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its obligations hereunder, each Guarantor hereby expressly waives diligence, presentment, demand of payment, protest and all notices whatsoever, and any requirement that Administrative Agent or any other holder of the Guaranteed Obligations exhaust any right, power or remedy or proceed against any Person under any of the Loan Documents or other documents relating to the Guaranteed Obligations, or any other agreement or instrument referred to therein, or against any other Person under any other guarantee of, or security for, any of the Guaranteed Obligations.</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64</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12.3    </w:t>
      </w:r>
      <w:r>
        <w:rPr>
          <w:rFonts w:ascii="Times New Roman;Times;Serif" w:hAnsi="Times New Roman;Times;Serif"/>
          <w:b/>
          <w:i w:val="false"/>
          <w:caps w:val="false"/>
          <w:smallCaps w:val="false"/>
          <w:sz w:val="20"/>
        </w:rPr>
        <w:t>Reinstatement</w:t>
      </w:r>
      <w:r>
        <w:rPr>
          <w:rFonts w:ascii="Times New Roman;Times;Serif" w:hAnsi="Times New Roman;Times;Serif"/>
          <w:b w:val="false"/>
          <w:i w:val="false"/>
          <w:caps w:val="false"/>
          <w:smallCaps w:val="false"/>
          <w:sz w:val="20"/>
        </w:rPr>
        <w:t xml:space="preserve">. The obligations of the Guarantors under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shall be automatically reinstated if and to the extent that for any reason any payment by or on behalf of any Person in respect of the Guaranteed Obligations is rescinded or must be otherwise restored by any holder of any of the Guaranteed Obligations, whether as a result of any proceedings in bankruptcy or reorganization or otherwise, and each Guarantor agrees that it will indemnify Administrative Agent and each other holder of the Guaranteed Obligations on demand for all reasonable costs and expenses (including reasonable fees, charges and disbursements of any law firm or other counsel) incurred by Administrative Agent or any other such holder of Guaranteed Obligations in connection with such rescission or restoration, including any such costs and expenses incurred in defending against any claim alleging that such payment constituted a preference, fraudulent transfer or similar payment under any bankruptcy, insolvency or similar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12.4    </w:t>
      </w:r>
      <w:r>
        <w:rPr>
          <w:rFonts w:ascii="Times New Roman;Times;Serif" w:hAnsi="Times New Roman;Times;Serif"/>
          <w:b/>
          <w:i w:val="false"/>
          <w:caps w:val="false"/>
          <w:smallCaps w:val="false"/>
          <w:sz w:val="20"/>
        </w:rPr>
        <w:t>Certain Additional Waivers</w:t>
      </w:r>
      <w:r>
        <w:rPr>
          <w:rFonts w:ascii="Times New Roman;Times;Serif" w:hAnsi="Times New Roman;Times;Serif"/>
          <w:b w:val="false"/>
          <w:i w:val="false"/>
          <w:caps w:val="false"/>
          <w:smallCaps w:val="false"/>
          <w:sz w:val="20"/>
        </w:rPr>
        <w:t>. Each Guarantor acknowledges and agrees that (a) the guaranty given hereby may be enforced without the necessity of resorting to or otherwise exhausting remedies in respect of any other security or collateral interests, and without the necessity at any time of having to take recourse against the Borrower hereunder or against any collateral securing the Guaranteed Obligations or otherwise, (b) it will not assert any right to require the action first be taken against the Borrower or any other Person (including any co-guarantor) or pursuit of any other remedy or enforcement any other right and (c) nothing contained herein shall prevent or limit action being taken against the Borrower hereunder, under the other Loan Documents or the other documents and agreements relating to the Guaranteed Obligations or from foreclosing on any security or collateral interests relating hereto or thereto, or from exercising any other rights or remedies available in respect thereof, if neither the Borrower nor the Guarantors shall timely perform their obligations, and the exercise of any such rights and completion of any such foreclosure proceedings shall not constitute a discharge of the Guarantors’ obligations hereunder unless as a result thereof, the Guaranteed Obligations shall have been paid in full and the commitments relating thereto shall have expired or been terminated, it being the purpose and intent that the Guarantors’ obligations hereunder be absolute, irrevocable, independent and unconditional under all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Guarantor further agrees that such Guarantor shall have no right of recourse to security for the Guaranteed Obligations, except through the exercise of rights of subrogation pursuant to </w:t>
      </w:r>
      <w:r>
        <w:rPr>
          <w:rFonts w:ascii="Times New Roman;Times;Serif" w:hAnsi="Times New Roman;Times;Serif"/>
          <w:b w:val="false"/>
          <w:i w:val="false"/>
          <w:caps w:val="false"/>
          <w:smallCaps w:val="false"/>
          <w:sz w:val="20"/>
          <w:u w:val="single"/>
        </w:rPr>
        <w:t>Section 12.2</w:t>
      </w:r>
      <w:r>
        <w:rPr>
          <w:rFonts w:ascii="Times New Roman;Times;Serif" w:hAnsi="Times New Roman;Times;Serif"/>
          <w:b w:val="false"/>
          <w:i w:val="false"/>
          <w:caps w:val="false"/>
          <w:smallCaps w:val="false"/>
          <w:sz w:val="20"/>
        </w:rPr>
        <w:t xml:space="preserve"> and through the exercise of rights of contribution pursuant to </w:t>
      </w:r>
      <w:r>
        <w:rPr>
          <w:rFonts w:ascii="Times New Roman;Times;Serif" w:hAnsi="Times New Roman;Times;Serif"/>
          <w:b w:val="false"/>
          <w:i w:val="false"/>
          <w:caps w:val="false"/>
          <w:smallCaps w:val="false"/>
          <w:sz w:val="20"/>
          <w:u w:val="single"/>
        </w:rPr>
        <w:t>Section 12.6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12.5    </w:t>
      </w:r>
      <w:r>
        <w:rPr>
          <w:rFonts w:ascii="Times New Roman;Times;Serif" w:hAnsi="Times New Roman;Times;Serif"/>
          <w:b/>
          <w:i w:val="false"/>
          <w:caps w:val="false"/>
          <w:smallCaps w:val="false"/>
          <w:sz w:val="20"/>
        </w:rPr>
        <w:t>Remedies</w:t>
      </w:r>
      <w:r>
        <w:rPr>
          <w:rFonts w:ascii="Times New Roman;Times;Serif" w:hAnsi="Times New Roman;Times;Serif"/>
          <w:b w:val="false"/>
          <w:i w:val="false"/>
          <w:caps w:val="false"/>
          <w:smallCaps w:val="false"/>
          <w:sz w:val="20"/>
        </w:rPr>
        <w:t xml:space="preserve">. The Guarantors agree that, to the fullest extent permitted by law, as between the Guarantors, on the one hand, and Administrative Agent and the other holders of the Guaranteed Obligations, on the other hand, the Guaranteed Obligations may be declared to be forthwith due and payable as provided in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(and shall be deemed to have become automatically due and payable in the circumstances provided in said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for purposes of </w:t>
      </w:r>
      <w:r>
        <w:rPr>
          <w:rFonts w:ascii="Times New Roman;Times;Serif" w:hAnsi="Times New Roman;Times;Serif"/>
          <w:b w:val="false"/>
          <w:i w:val="false"/>
          <w:caps w:val="false"/>
          <w:smallCaps w:val="false"/>
          <w:sz w:val="20"/>
          <w:u w:val="single"/>
        </w:rPr>
        <w:t>Section 12.1</w:t>
      </w:r>
      <w:r>
        <w:rPr>
          <w:rFonts w:ascii="Times New Roman;Times;Serif" w:hAnsi="Times New Roman;Times;Serif"/>
          <w:b w:val="false"/>
          <w:i w:val="false"/>
          <w:caps w:val="false"/>
          <w:smallCaps w:val="false"/>
          <w:sz w:val="20"/>
        </w:rPr>
        <w:t xml:space="preserve"> notwithstanding any stay, injunction or other prohibition preventing such declaration (or preventing the Guaranteed Obligations from becoming automatically due and payable) as against any other Person and that, in the event of such declaration (or the Guaranteed Obligations being deemed to have become automatically due and payable), the Guaranteed Obligations (whether or not due and payable by any other Person) shall forthwith become due and payable by the Guarantors for purposes of </w:t>
      </w:r>
      <w:r>
        <w:rPr>
          <w:rFonts w:ascii="Times New Roman;Times;Serif" w:hAnsi="Times New Roman;Times;Serif"/>
          <w:b w:val="false"/>
          <w:i w:val="false"/>
          <w:caps w:val="false"/>
          <w:smallCaps w:val="false"/>
          <w:sz w:val="20"/>
          <w:u w:val="single"/>
        </w:rPr>
        <w:t>Section 12.1</w:t>
      </w:r>
      <w:r>
        <w:rPr>
          <w:rFonts w:ascii="Times New Roman;Times;Serif" w:hAnsi="Times New Roman;Times;Serif"/>
          <w:b w:val="false"/>
          <w:i w:val="false"/>
          <w:caps w:val="false"/>
          <w:smallCaps w:val="false"/>
          <w:sz w:val="20"/>
        </w:rPr>
        <w:t>. The Guarantors acknowledge and agree that their obligations hereunder are secured in accordance with the terms of the Loan Documents and that the holders of the Guaranteed Obligations may exercise their remedies thereunder in accordance with the terms thereof.</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65</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12.6    </w:t>
      </w:r>
      <w:r>
        <w:rPr>
          <w:rFonts w:ascii="Times New Roman;Times;Serif" w:hAnsi="Times New Roman;Times;Serif"/>
          <w:b/>
          <w:i w:val="false"/>
          <w:caps w:val="false"/>
          <w:smallCaps w:val="false"/>
          <w:sz w:val="20"/>
        </w:rPr>
        <w:t>Rights of Contribution</w:t>
      </w:r>
      <w:r>
        <w:rPr>
          <w:rFonts w:ascii="Times New Roman;Times;Serif" w:hAnsi="Times New Roman;Times;Serif"/>
          <w:b w:val="false"/>
          <w:i w:val="false"/>
          <w:caps w:val="false"/>
          <w:smallCaps w:val="false"/>
          <w:sz w:val="20"/>
        </w:rPr>
        <w:t>. The Guarantors agree among themselves that, in connection with payments made hereunder, each Guarantor shall have contribution rights against the other Guarantors as permitted under any applicable Law. Such contribution rights shall be subordinate and subject in right of payment to the obligations of such Guarantors under the Loan Documents and no Guarantor shall exercise such rights of contribution until all Guaranteed Obligations have been paid in full.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12.7    </w:t>
      </w:r>
      <w:r>
        <w:rPr>
          <w:rFonts w:ascii="Times New Roman;Times;Serif" w:hAnsi="Times New Roman;Times;Serif"/>
          <w:b/>
          <w:i w:val="false"/>
          <w:caps w:val="false"/>
          <w:smallCaps w:val="false"/>
          <w:sz w:val="20"/>
        </w:rPr>
        <w:t>Guarantee of Payment; Continuing Guarantee</w:t>
      </w:r>
      <w:r>
        <w:rPr>
          <w:rFonts w:ascii="Times New Roman;Times;Serif" w:hAnsi="Times New Roman;Times;Serif"/>
          <w:b w:val="false"/>
          <w:i w:val="false"/>
          <w:caps w:val="false"/>
          <w:smallCaps w:val="false"/>
          <w:sz w:val="20"/>
        </w:rPr>
        <w:t xml:space="preserve">. The guarantee in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is a guaranty of payment and not of collection, is a continuing guarantee, and shall apply to all Guaranteed Obligations whenever arising.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12.8    </w:t>
      </w:r>
      <w:r>
        <w:rPr>
          <w:rFonts w:ascii="Times New Roman;Times;Serif" w:hAnsi="Times New Roman;Times;Serif"/>
          <w:b/>
          <w:i w:val="false"/>
          <w:caps w:val="false"/>
          <w:smallCaps w:val="false"/>
          <w:sz w:val="20"/>
        </w:rPr>
        <w:t>Keepwell</w:t>
      </w:r>
      <w:r>
        <w:rPr>
          <w:rFonts w:ascii="Times New Roman;Times;Serif" w:hAnsi="Times New Roman;Times;Serif"/>
          <w:b w:val="false"/>
          <w:i w:val="false"/>
          <w:caps w:val="false"/>
          <w:smallCaps w:val="false"/>
          <w:sz w:val="20"/>
        </w:rPr>
        <w:t xml:space="preserve">. Each Loan Party that is a Qualified ECP Guarantor at the time the Guaranty in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by any Loan Party that is not then an “eligible contract participant” under the Commodity Exchange Act (a “</w:t>
      </w:r>
      <w:r>
        <w:rPr>
          <w:rFonts w:ascii="Times New Roman;Times;Serif" w:hAnsi="Times New Roman;Times;Serif"/>
          <w:b w:val="false"/>
          <w:i w:val="false"/>
          <w:caps w:val="false"/>
          <w:smallCaps w:val="false"/>
          <w:sz w:val="20"/>
          <w:u w:val="single"/>
        </w:rPr>
        <w:t>Specified Loan Party</w:t>
      </w:r>
      <w:r>
        <w:rPr>
          <w:rFonts w:ascii="Times New Roman;Times;Serif" w:hAnsi="Times New Roman;Times;Serif"/>
          <w:b w:val="false"/>
          <w:i w:val="false"/>
          <w:caps w:val="false"/>
          <w:smallCaps w:val="false"/>
          <w:sz w:val="20"/>
        </w:rPr>
        <w:t xml:space="preserve">”) or the grant of a security interest under the Loan Documents by any such Specified Loan Party, in either case,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 Guarantor’s obligations and undertakings under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or otherwise under this Agreement, voidable under applicable Debtor Relief Laws, and not for any greater amount). The obligations and undertakings of each applicable Loan Party under this Section shall remain in full force and effect until the Guaranteed Obligations have been paid in full and the commitments relating thereto have expired or terminated. Each Loan Party intends this Section to constitute, and this Section shall be deemed to constitute, a guarantee of the obligations of, and a “keepwell, support, or other agreement” for the benefit of, each Specified Loan Party for all purposes of the Commodity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color w:val="010000"/>
          <w:sz w:val="20"/>
        </w:rPr>
        <w:t xml:space="preserve">13. </w:t>
      </w:r>
      <w:r>
        <w:rPr>
          <w:rFonts w:ascii="Times New Roman;Times;Serif" w:hAnsi="Times New Roman;Times;Serif"/>
          <w:b/>
          <w:i w:val="false"/>
          <w:caps w:val="false"/>
          <w:smallCaps w:val="false"/>
          <w:sz w:val="20"/>
          <w:u w:val="single"/>
        </w:rPr>
        <w:t>GENERAL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13.1    </w:t>
      </w:r>
      <w:r>
        <w:rPr>
          <w:rFonts w:ascii="Times New Roman;Times;Serif" w:hAnsi="Times New Roman;Times;Serif"/>
          <w:b/>
          <w:i w:val="false"/>
          <w:caps w:val="false"/>
          <w:smallCaps w:val="false"/>
          <w:sz w:val="20"/>
        </w:rPr>
        <w:t>Successors and Assigns</w:t>
      </w:r>
      <w:r>
        <w:rPr>
          <w:rFonts w:ascii="Times New Roman;Times;Serif" w:hAnsi="Times New Roman;Times;Serif"/>
          <w:b w:val="false"/>
          <w:i w:val="false"/>
          <w:caps w:val="false"/>
          <w:smallCaps w:val="false"/>
          <w:sz w:val="20"/>
        </w:rPr>
        <w:t>. This Agreement binds and is for the benefit of the successors and permitted assigns of each party. No Loan Party may transfer, pledge or assign this Agreement or any rights or obligations under it without Administrative Agent’s prior written consent (which may be granted or withheld in Administrative Agent’s discretion). Each Lender have the right, without the consent of or notice to Borrower or any Guarantor, to sell, transfer, assign, negotiate, or grant participation in (any such sale, transfer, assignment, negotiation, or grant of a participation, a “</w:t>
      </w:r>
      <w:r>
        <w:rPr>
          <w:rFonts w:ascii="Times New Roman;Times;Serif" w:hAnsi="Times New Roman;Times;Serif"/>
          <w:b/>
          <w:i w:val="false"/>
          <w:caps w:val="false"/>
          <w:smallCaps w:val="false"/>
          <w:sz w:val="20"/>
        </w:rPr>
        <w:t>Lender Transfer</w:t>
      </w:r>
      <w:r>
        <w:rPr>
          <w:rFonts w:ascii="Times New Roman;Times;Serif" w:hAnsi="Times New Roman;Times;Serif"/>
          <w:b w:val="false"/>
          <w:i w:val="false"/>
          <w:caps w:val="false"/>
          <w:smallCaps w:val="false"/>
          <w:sz w:val="20"/>
        </w:rPr>
        <w:t>”) all or any part of, or any interest in, such Lender’s Term Commitments, Term Loans, obligations, rights, and benefits under this Agreement and the other Loan Documents to an Eligible Assignee. “</w:t>
      </w:r>
      <w:r>
        <w:rPr>
          <w:rFonts w:ascii="Times New Roman;Times;Serif" w:hAnsi="Times New Roman;Times;Serif"/>
          <w:b/>
          <w:i w:val="false"/>
          <w:caps w:val="false"/>
          <w:smallCaps w:val="false"/>
          <w:sz w:val="20"/>
        </w:rPr>
        <w:t>Eligible Assignee</w:t>
      </w:r>
      <w:r>
        <w:rPr>
          <w:rFonts w:ascii="Times New Roman;Times;Serif" w:hAnsi="Times New Roman;Times;Serif"/>
          <w:b w:val="false"/>
          <w:i w:val="false"/>
          <w:caps w:val="false"/>
          <w:smallCaps w:val="false"/>
          <w:sz w:val="20"/>
        </w:rPr>
        <w:t xml:space="preserve">” means (a) a Lender, (b) an Affiliate of a Lender, and (c) any other Person (other than a natural person) approved in writing (which may include email) by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notwithstanding the foregoing, “Eligible Assignee” shall not include (x) any Person that is an operating company in the business of selling, marketing, manufacturing or that sells, markets, manufactures products in competition with Borrower (such an operating company, a “</w:t>
      </w:r>
      <w:r>
        <w:rPr>
          <w:rFonts w:ascii="Times New Roman;Times;Serif" w:hAnsi="Times New Roman;Times;Serif"/>
          <w:b/>
          <w:i w:val="false"/>
          <w:caps w:val="false"/>
          <w:smallCaps w:val="false"/>
          <w:sz w:val="20"/>
        </w:rPr>
        <w:t>Competitor Operating Company</w:t>
      </w:r>
      <w:r>
        <w:rPr>
          <w:rFonts w:ascii="Times New Roman;Times;Serif" w:hAnsi="Times New Roman;Times;Serif"/>
          <w:b w:val="false"/>
          <w:i w:val="false"/>
          <w:caps w:val="false"/>
          <w:smallCaps w:val="false"/>
          <w:sz w:val="20"/>
        </w:rPr>
        <w:t>”) and (y) any Affiliate of a Competitor Operating Company that is clearly identifiable as such on the basis of such Affiliate’s name or otherwise and such Affiliate is itself a Competitor Operating Company, in each of clauses (x) and (y), as determined by Administrative Agent in its good faith discretion. Notwithstanding the going, in no event shall any Person that is a debt fund, investment vehicle, regulated banking entity or non-regulated lending entity that is primarily engaged in making, purchasing, holding or otherwise investing in commercial loans, bonds or other debt securities, capital market investments and/or similar extensions of credit and investments (equity or otherwise) in the ordinary course of business shall constitute a Competitor Operating Company. Any such assignment shall be made pursuant to a customary assignment agreement acceptable to Administrative Agent among the assigning Lender, the prospective Lender and Administrative Agent. Notwithstanding the foregoing to the contrary, no Lender Transfer may be made to a Loan Party or an Affiliate of a Loan Party. Each Lender also has the right, without the consent of or notice to Borrower or any Guarantor, to pledge its rights and benefits under this Agreement and the other Loan Documents to any of its financing sources and lenders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13.2    </w:t>
      </w:r>
      <w:r>
        <w:rPr>
          <w:rFonts w:ascii="Times New Roman;Times;Serif" w:hAnsi="Times New Roman;Times;Serif"/>
          <w:b/>
          <w:i w:val="false"/>
          <w:caps w:val="false"/>
          <w:smallCaps w:val="false"/>
          <w:sz w:val="20"/>
        </w:rPr>
        <w:t xml:space="preserve">Indemnification. </w:t>
      </w:r>
      <w:r>
        <w:rPr>
          <w:rFonts w:ascii="Times New Roman;Times;Serif" w:hAnsi="Times New Roman;Times;Serif"/>
          <w:b w:val="false"/>
          <w:i w:val="false"/>
          <w:caps w:val="false"/>
          <w:smallCaps w:val="false"/>
          <w:sz w:val="20"/>
        </w:rPr>
        <w:t>Each Loan Party agrees to indemnify, defend and hold Administrative Agent and the Lenders and their respective directors, officers, employees, consultants, agents, attorneys, or any other Person affiliated with or representing Administrative Agent or the Lenders (each, an “</w:t>
      </w:r>
      <w:r>
        <w:rPr>
          <w:rFonts w:ascii="Times New Roman;Times;Serif" w:hAnsi="Times New Roman;Times;Serif"/>
          <w:b/>
          <w:i w:val="false"/>
          <w:caps w:val="false"/>
          <w:smallCaps w:val="false"/>
          <w:sz w:val="20"/>
        </w:rPr>
        <w:t>Indemnified Person</w:t>
      </w:r>
      <w:r>
        <w:rPr>
          <w:rFonts w:ascii="Times New Roman;Times;Serif" w:hAnsi="Times New Roman;Times;Serif"/>
          <w:b w:val="false"/>
          <w:i w:val="false"/>
          <w:caps w:val="false"/>
          <w:smallCaps w:val="false"/>
          <w:sz w:val="20"/>
        </w:rPr>
        <w:t>”) harmless against: (a) all obligations, demands, claims, and liabilities (collectively, “</w:t>
      </w:r>
      <w:r>
        <w:rPr>
          <w:rFonts w:ascii="Times New Roman;Times;Serif" w:hAnsi="Times New Roman;Times;Serif"/>
          <w:b/>
          <w:i w:val="false"/>
          <w:caps w:val="false"/>
          <w:smallCaps w:val="false"/>
          <w:sz w:val="20"/>
        </w:rPr>
        <w:t>Claims</w:t>
      </w:r>
      <w:r>
        <w:rPr>
          <w:rFonts w:ascii="Times New Roman;Times;Serif" w:hAnsi="Times New Roman;Times;Serif"/>
          <w:b w:val="false"/>
          <w:i w:val="false"/>
          <w:caps w:val="false"/>
          <w:smallCaps w:val="false"/>
          <w:sz w:val="20"/>
        </w:rPr>
        <w:t xml:space="preserve">”) asserted by any other party in connection with; related to; following; or arising from, out of or under, the transactions contemplated by the Loan Documents; and (b) all losses or Lenders’ Expenses incurred, or paid by Indemnified Person in connection with; related to; following; or arising from, out of or under, the transactions contemplated by the Loan Documents between Administrative Agent, and/or the Lenders and any Loan Party (including reasonable attorneys’ fees and expenses), except for Claims and/or losses directly caused by such Indemnified Person’s gross negligence or willful misconduct as determined by a final, non-appealable judgment of a court of competent jurisdiction. Each Borrower hereby further indemnifies, defends and holds each Indemnified Person harmless from and against any and all liabilities, obligations, losses, damages, penalties, actions, judgments, suits, claims, costs, expenses and disbursements of any kind or nature whatsoever (including the fees and disbursements of counsel for such Indemnified Person) in connection with any investigative, response, remedial, administrative or judicial matter or proceeding, whether or not such Indemnified Person shall be designated a party thereto and including any such proceeding initiated by or on behalf of any Loan Party, and the reasonable expenses of investigation by engineers, environmental consultants and similar technical personnel and any commission, fee or compensation claimed by any broker (other than any broker retained by Administrative Agent or Lenders) asserting any right to payment for the transactions contemplated hereby which may be imposed on, incurred by or asserted against such Indemnified Person as a result of or in connection with the transactions contemplated hereby and the use or intended use of the proceeds of the loan proceeds except for liabilities, obligations, losses, damages, penalties, actions, judgments, suits, claims, costs, expenses and disbursements directly caused by such Indemnified Person’s gross negligence or willful misconduct as determined by a final, non-appealable judgment of a court of competent jurisdiction. This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 xml:space="preserve"> survive the termination of this Agreement.</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66</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13.3    </w:t>
      </w:r>
      <w:r>
        <w:rPr>
          <w:rFonts w:ascii="Times New Roman;Times;Serif" w:hAnsi="Times New Roman;Times;Serif"/>
          <w:b/>
          <w:i w:val="false"/>
          <w:caps w:val="false"/>
          <w:smallCaps w:val="false"/>
          <w:sz w:val="20"/>
        </w:rPr>
        <w:t>Severability of Provisions</w:t>
      </w:r>
      <w:r>
        <w:rPr>
          <w:rFonts w:ascii="Times New Roman;Times;Serif" w:hAnsi="Times New Roman;Times;Serif"/>
          <w:b w:val="false"/>
          <w:i w:val="false"/>
          <w:caps w:val="false"/>
          <w:smallCaps w:val="false"/>
          <w:sz w:val="20"/>
        </w:rPr>
        <w:t>. Each provision of this Agreement is severable from every other provision in determining the enforceability of any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13.4    </w:t>
      </w:r>
      <w:r>
        <w:rPr>
          <w:rFonts w:ascii="Times New Roman;Times;Serif" w:hAnsi="Times New Roman;Times;Serif"/>
          <w:b/>
          <w:i w:val="false"/>
          <w:caps w:val="false"/>
          <w:smallCaps w:val="false"/>
          <w:sz w:val="20"/>
        </w:rPr>
        <w:t>Correction of Loan Documents</w:t>
      </w:r>
      <w:r>
        <w:rPr>
          <w:rFonts w:ascii="Times New Roman;Times;Serif" w:hAnsi="Times New Roman;Times;Serif"/>
          <w:b w:val="false"/>
          <w:i w:val="false"/>
          <w:caps w:val="false"/>
          <w:smallCaps w:val="false"/>
          <w:sz w:val="20"/>
        </w:rPr>
        <w:t>. Administrative Agent may correct patent errors and fill in any blanks in this Agreement and the other Loan Documents consistent with the agreement of the parties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13.5    </w:t>
      </w:r>
      <w:r>
        <w:rPr>
          <w:rFonts w:ascii="Times New Roman;Times;Serif" w:hAnsi="Times New Roman;Times;Serif"/>
          <w:b/>
          <w:i w:val="false"/>
          <w:caps w:val="false"/>
          <w:smallCaps w:val="false"/>
          <w:sz w:val="20"/>
        </w:rPr>
        <w:t>Amendments in Writing; Integration</w:t>
      </w:r>
      <w:r>
        <w:rPr>
          <w:rFonts w:ascii="Times New Roman;Times;Serif" w:hAnsi="Times New Roman;Times;Serif"/>
          <w:b w:val="false"/>
          <w:i w:val="false"/>
          <w:caps w:val="false"/>
          <w:smallCaps w:val="false"/>
          <w:sz w:val="20"/>
        </w:rPr>
        <w:t>. (a) No amendment, modification, termination or waiver of any provision of this Agreement or any other Loan Document, no approval or consent thereunder, or any consent to any departure by any Loan Party or any of its Subsidiaries therefrom, shall in any event be effective unless the same shall be in writing and signed by Borrower, the applicable Loan Party, Administrative Agent and the Required Lenders provided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no such amendment, waiver or other modification that would have the effect of increasing or reducing a Lender’s Term Loan Commitment or Commitment Percentage shall be effective as to such Lender without such Lender’s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no such amendment, waiver or modification that would affect the rights and duties of Administrative Agent shall be effective without Administrative Agent’s written consent or signature;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(iii)      </w:t>
      </w:r>
      <w:r>
        <w:rPr>
          <w:rFonts w:ascii="Times New Roman;Times;Serif" w:hAnsi="Times New Roman;Times;Serif"/>
          <w:b w:val="false"/>
          <w:i w:val="false"/>
          <w:caps w:val="false"/>
          <w:smallCaps w:val="false"/>
          <w:sz w:val="20"/>
        </w:rPr>
        <w:t xml:space="preserve">no such amendment, waiver or other modification shall, unless signed by all the Lenders directly affected thereby, (A) reduce the principal of, rate of interest on or any fees with respect to any Term Loan or forgive any principal, interest (other than default interest) or fees (other than late charges) with respect to any Term Loan (which shall include, without limitation, any amendment or waiver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of this Agreement, any conditions thereunder, or the definition of Interest Payment Date); (B) postpone the date fixed for, or waive, any payment of principal of any Term Loan or of interest on any Term Loan or any other Obligations (other than default interest) or any fees provided for hereunder (other than late charges or for any termination of any commitment); (C) change the definition of the term “Required Lenders” or the percentage of Lenders which shall be required for the Lenders to take any action hereunder; (D) release all or substantially all of any material portion of the Collateral, authorize Borrower to sell or otherwise dispose of all or substantially all or any material portion of the Collateral or release any Guarantor of all or any portion of the Obligations or its guaranty obligations with respect thereto, except, in each case with respect to this clause (D), as otherwise may be expressly permitted under this Agreement or the other Loan Documents (including in connection with any disposition permitted hereunder); (E) amend, waive or otherwise modify this </w:t>
      </w:r>
      <w:r>
        <w:rPr>
          <w:rFonts w:ascii="Times New Roman;Times;Serif" w:hAnsi="Times New Roman;Times;Serif"/>
          <w:b w:val="false"/>
          <w:i w:val="false"/>
          <w:caps w:val="false"/>
          <w:smallCaps w:val="false"/>
          <w:sz w:val="20"/>
          <w:u w:val="single"/>
        </w:rPr>
        <w:t>Section 13.5</w:t>
      </w:r>
      <w:r>
        <w:rPr>
          <w:rFonts w:ascii="Times New Roman;Times;Serif" w:hAnsi="Times New Roman;Times;Serif"/>
          <w:b w:val="false"/>
          <w:i w:val="false"/>
          <w:caps w:val="false"/>
          <w:smallCaps w:val="false"/>
          <w:sz w:val="20"/>
        </w:rPr>
        <w:t xml:space="preserve"> or the definitions of the terms used in this </w:t>
      </w:r>
      <w:r>
        <w:rPr>
          <w:rFonts w:ascii="Times New Roman;Times;Serif" w:hAnsi="Times New Roman;Times;Serif"/>
          <w:b w:val="false"/>
          <w:i w:val="false"/>
          <w:caps w:val="false"/>
          <w:smallCaps w:val="false"/>
          <w:sz w:val="20"/>
          <w:u w:val="single"/>
        </w:rPr>
        <w:t>Section 13.5</w:t>
      </w:r>
      <w:r>
        <w:rPr>
          <w:rFonts w:ascii="Times New Roman;Times;Serif" w:hAnsi="Times New Roman;Times;Serif"/>
          <w:b w:val="false"/>
          <w:i w:val="false"/>
          <w:caps w:val="false"/>
          <w:smallCaps w:val="false"/>
          <w:sz w:val="20"/>
        </w:rPr>
        <w:t xml:space="preserve"> insofar as the definitions affect the substance of this </w:t>
      </w:r>
      <w:r>
        <w:rPr>
          <w:rFonts w:ascii="Times New Roman;Times;Serif" w:hAnsi="Times New Roman;Times;Serif"/>
          <w:b w:val="false"/>
          <w:i w:val="false"/>
          <w:caps w:val="false"/>
          <w:smallCaps w:val="false"/>
          <w:sz w:val="20"/>
          <w:u w:val="single"/>
        </w:rPr>
        <w:t>Section 13.5</w:t>
      </w:r>
      <w:r>
        <w:rPr>
          <w:rFonts w:ascii="Times New Roman;Times;Serif" w:hAnsi="Times New Roman;Times;Serif"/>
          <w:b w:val="false"/>
          <w:i w:val="false"/>
          <w:caps w:val="false"/>
          <w:smallCaps w:val="false"/>
          <w:sz w:val="20"/>
        </w:rPr>
        <w:t xml:space="preserve">; (F) consent to the assignment, delegation or other transfer by any Loan Party of any of its rights and obligations under any Loan Document or release any Loan Party of its payment obligations under any Loan Document, except, in each case with respect to this clause (F), pursuant to a merger or consolidation permitted pursuant to this Agreement; (G) amend any of the provisions of </w:t>
      </w:r>
      <w:r>
        <w:rPr>
          <w:rFonts w:ascii="Times New Roman;Times;Serif" w:hAnsi="Times New Roman;Times;Serif"/>
          <w:b w:val="false"/>
          <w:i w:val="false"/>
          <w:caps w:val="false"/>
          <w:smallCaps w:val="false"/>
          <w:sz w:val="20"/>
          <w:u w:val="single"/>
        </w:rPr>
        <w:t>Section 9.4</w:t>
      </w:r>
      <w:r>
        <w:rPr>
          <w:rFonts w:ascii="Times New Roman;Times;Serif" w:hAnsi="Times New Roman;Times;Serif"/>
          <w:b w:val="false"/>
          <w:i w:val="false"/>
          <w:caps w:val="false"/>
          <w:smallCaps w:val="false"/>
          <w:sz w:val="20"/>
        </w:rPr>
        <w:t xml:space="preserve"> or amend any of the definitions of Pro Rata Share, Term Loan Commitment, Commitment Percentage or that provide for the Lenders to receive their Pro Rata Shares of any fees, payments, setoffs or proceeds of Collateral hereunder; (H) subordinate the Liens granted in favor of Administrative Agent securing the Obligations; or (I) amend any of the provisions of </w:t>
      </w:r>
      <w:r>
        <w:rPr>
          <w:rFonts w:ascii="Times New Roman;Times;Serif" w:hAnsi="Times New Roman;Times;Serif"/>
          <w:b w:val="false"/>
          <w:i w:val="false"/>
          <w:caps w:val="false"/>
          <w:smallCaps w:val="false"/>
          <w:sz w:val="20"/>
          <w:u w:val="single"/>
        </w:rPr>
        <w:t>Section 13.5</w:t>
      </w:r>
      <w:r>
        <w:rPr>
          <w:rFonts w:ascii="Times New Roman;Times;Serif" w:hAnsi="Times New Roman;Times;Serif"/>
          <w:b w:val="false"/>
          <w:i w:val="false"/>
          <w:caps w:val="false"/>
          <w:smallCaps w:val="false"/>
          <w:sz w:val="20"/>
        </w:rPr>
        <w:t>. It is hereby understood and agreed that all Lenders shall be deemed directly affected by an amendment, waiver or other modification of the type described in the preceding clauses (C), (D), (E), (F), (G) and (H) of the immediately preceding sentence.</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67</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Other than as expressly provided for in </w:t>
      </w:r>
      <w:r>
        <w:rPr>
          <w:rFonts w:ascii="Times New Roman;Times;Serif" w:hAnsi="Times New Roman;Times;Serif"/>
          <w:b w:val="false"/>
          <w:i w:val="false"/>
          <w:caps w:val="false"/>
          <w:smallCaps w:val="false"/>
          <w:sz w:val="20"/>
          <w:u w:val="single"/>
        </w:rPr>
        <w:t>Section 13.5(a)(i)-(iii)</w:t>
      </w:r>
      <w:r>
        <w:rPr>
          <w:rFonts w:ascii="Times New Roman;Times;Serif" w:hAnsi="Times New Roman;Times;Serif"/>
          <w:b w:val="false"/>
          <w:i w:val="false"/>
          <w:caps w:val="false"/>
          <w:smallCaps w:val="false"/>
          <w:sz w:val="20"/>
        </w:rPr>
        <w:t>, Administrative Agent may, if requested by the Required Lenders, from time to time designate covenants in this Agreement less restrictive by notification to a representative of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This Agreement and the Loan Documents represent the entire agreement about this subject matter and supersede prior negotiations or agreements with respect to such subject matter. All prior agreements, understandings, representations, warranties, and negotiations between the parties about the subject matter of this Agreement and the Loan Documents merge into this Agreement and the Loan Documents. For the avoidance of doubt, this Agreement and the Loan Documents do not supersede the obligations of Parent to B. Riley Securities, Inc. under the Engagement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each Lender hereby consents and directs the Administrative Agent to complete the information needed in the amendment attached hereto as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xml:space="preserve"> and execute and deliver such amendment on behalf of such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13.6    </w:t>
      </w:r>
      <w:r>
        <w:rPr>
          <w:rFonts w:ascii="Times New Roman;Times;Serif" w:hAnsi="Times New Roman;Times;Serif"/>
          <w:b/>
          <w:i w:val="false"/>
          <w:caps w:val="false"/>
          <w:smallCaps w:val="false"/>
          <w:sz w:val="20"/>
        </w:rPr>
        <w:t>Counterparts</w:t>
      </w:r>
      <w:r>
        <w:rPr>
          <w:rFonts w:ascii="Times New Roman;Times;Serif" w:hAnsi="Times New Roman;Times;Serif"/>
          <w:b w:val="false"/>
          <w:i w:val="false"/>
          <w:caps w:val="false"/>
          <w:smallCaps w:val="false"/>
          <w:sz w:val="20"/>
        </w:rPr>
        <w:t>. This Agreement may be executed in any number of counterparts and by different parties on separate counterparts, each of which, when executed and delivered, is an original, and all taken together, constitute one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13.7    </w:t>
      </w:r>
      <w:r>
        <w:rPr>
          <w:rFonts w:ascii="Times New Roman;Times;Serif" w:hAnsi="Times New Roman;Times;Serif"/>
          <w:b/>
          <w:i w:val="false"/>
          <w:caps w:val="false"/>
          <w:smallCaps w:val="false"/>
          <w:sz w:val="20"/>
        </w:rPr>
        <w:t>Survival</w:t>
      </w:r>
      <w:r>
        <w:rPr>
          <w:rFonts w:ascii="Times New Roman;Times;Serif" w:hAnsi="Times New Roman;Times;Serif"/>
          <w:b w:val="false"/>
          <w:i w:val="false"/>
          <w:caps w:val="false"/>
          <w:smallCaps w:val="false"/>
          <w:sz w:val="20"/>
        </w:rPr>
        <w:t xml:space="preserve">. All covenants, representations and warranties made in this Agreement continue in full force and effect until this Agreement has terminated pursuant to its terms and all Obligations (other than inchoate indemnity obligations and any other obligations which, by their terms, are to survive the termination of this Agreement) have been satisfied. The obligation of each Loan Party in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 xml:space="preserve"> to indemnify each Lender and Administrative Agent shall survive until the statute of limitations with respect to such claim or cause of action shall have run and the confidentiality provisions in </w:t>
      </w:r>
      <w:r>
        <w:rPr>
          <w:rFonts w:ascii="Times New Roman;Times;Serif" w:hAnsi="Times New Roman;Times;Serif"/>
          <w:b w:val="false"/>
          <w:i w:val="false"/>
          <w:caps w:val="false"/>
          <w:smallCaps w:val="false"/>
          <w:sz w:val="20"/>
          <w:u w:val="single"/>
        </w:rPr>
        <w:t>Section 13.8</w:t>
      </w:r>
      <w:r>
        <w:rPr>
          <w:rFonts w:ascii="Times New Roman;Times;Serif" w:hAnsi="Times New Roman;Times;Serif"/>
          <w:b w:val="false"/>
          <w:i w:val="false"/>
          <w:caps w:val="false"/>
          <w:smallCaps w:val="false"/>
          <w:sz w:val="20"/>
        </w:rPr>
        <w:t xml:space="preserve"> below shall survive as therein provided.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13.8    </w:t>
      </w:r>
      <w:r>
        <w:rPr>
          <w:rFonts w:ascii="Times New Roman;Times;Serif" w:hAnsi="Times New Roman;Times;Serif"/>
          <w:b/>
          <w:i w:val="false"/>
          <w:caps w:val="false"/>
          <w:smallCaps w:val="false"/>
          <w:sz w:val="20"/>
        </w:rPr>
        <w:t>Confidentiality</w:t>
      </w:r>
      <w:r>
        <w:rPr>
          <w:rFonts w:ascii="Times New Roman;Times;Serif" w:hAnsi="Times New Roman;Times;Serif"/>
          <w:b w:val="false"/>
          <w:i w:val="false"/>
          <w:caps w:val="false"/>
          <w:smallCaps w:val="false"/>
          <w:sz w:val="20"/>
        </w:rPr>
        <w:t xml:space="preserve">. In handling any confidential information of Borrower or any other Loan Party, the Lenders and Administrative Agent shall exercise the same degree of care that it exercises for their own proprietary information, but disclosure of information may be made: (a) to such Lender’s and Administrative Agent’s Subsidiaries, Affiliates and Related Persons (it being understood that the Persons to whom such disclosure is made will be informed of the confidential nature of such information and instructed to keep such information confidential); (b) to prospective transferees (other than those identified in (a) above) constituting Eligible Assignees or purchasers of any interest in the Term Loans constituting Eligible Assignees (provided, however, the Lenders and Administrative Agent shall, except upon the occurrence and during the continuance of an Event of Default, obtain such prospective transferee’s or purchaser’s agreement to the terms of this provision or to similar confidentiality terms); (c) as required by law, regulation, subpoena, or other order; (d) to Lenders’ or Administrative Agent’s regulators or as otherwise required in connection with an examination or audit; (e) as Administrative Agent reasonably considers appropriate in exercising remedies under the Loan Documents; (f) between and among the Lenders and the Administrative Agent; and (g) to third party service providers of the Lenders and/or Administrative Agent so long as such service providers have executed a confidentiality agreement or have agreed to similar confidentiality terms with the Lenders and Administrative Agent with terms no less restrictive than those contained herein. Confidential information does not include information that either: (i) is in the public domain or in the Lenders’ and/or Administrative Agent’s possession when disclosed to the Lenders and/or Administrative Agent, or becomes part of the public domain after disclosure to the Lenders and/or Administrative Agent at no fault of the Lenders or Administrative Agent; or (ii) is disclosed to the Lenders and/or Administrative Agent by a third party, if the Lenders and/or Administrative Agent does not know that the third party is prohibited from disclosing the information. Administrative Agent and the Lenders may use confidential information for any purpose, including, without limitation, for the development of client databases, reporting purposes, and market analysis. The provisions of the immediately preceding sentence shall survive the termination of this Agreement for a period of two years. The agreements provided under this </w:t>
      </w:r>
      <w:r>
        <w:rPr>
          <w:rFonts w:ascii="Times New Roman;Times;Serif" w:hAnsi="Times New Roman;Times;Serif"/>
          <w:b w:val="false"/>
          <w:i w:val="false"/>
          <w:caps w:val="false"/>
          <w:smallCaps w:val="false"/>
          <w:sz w:val="20"/>
          <w:u w:val="single"/>
        </w:rPr>
        <w:t>Section 13.8</w:t>
      </w:r>
      <w:r>
        <w:rPr>
          <w:rFonts w:ascii="Times New Roman;Times;Serif" w:hAnsi="Times New Roman;Times;Serif"/>
          <w:b w:val="false"/>
          <w:i w:val="false"/>
          <w:caps w:val="false"/>
          <w:smallCaps w:val="false"/>
          <w:sz w:val="20"/>
        </w:rPr>
        <w:t xml:space="preserve"> supersede all prior agreements, understanding, representations, warranties, and negotiations between the parties about the subject matter of this </w:t>
      </w:r>
      <w:r>
        <w:rPr>
          <w:rFonts w:ascii="Times New Roman;Times;Serif" w:hAnsi="Times New Roman;Times;Serif"/>
          <w:b w:val="false"/>
          <w:i w:val="false"/>
          <w:caps w:val="false"/>
          <w:smallCaps w:val="false"/>
          <w:sz w:val="20"/>
          <w:u w:val="single"/>
        </w:rPr>
        <w:t>Section 13.8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68</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13.9    </w:t>
      </w:r>
      <w:r>
        <w:rPr>
          <w:rFonts w:ascii="Times New Roman;Times;Serif" w:hAnsi="Times New Roman;Times;Serif"/>
          <w:b/>
          <w:i w:val="false"/>
          <w:caps w:val="false"/>
          <w:smallCaps w:val="false"/>
          <w:sz w:val="20"/>
        </w:rPr>
        <w:t>Right of Set Off</w:t>
      </w:r>
      <w:r>
        <w:rPr>
          <w:rFonts w:ascii="Times New Roman;Times;Serif" w:hAnsi="Times New Roman;Times;Serif"/>
          <w:b w:val="false"/>
          <w:i w:val="false"/>
          <w:caps w:val="false"/>
          <w:smallCaps w:val="false"/>
          <w:sz w:val="20"/>
        </w:rPr>
        <w:t>. Each Loan Party hereby grants to Administrative Agent and to each Lender, a lien, security interest and right of set off as security for all Obligations to Administrative Agent and each Lender hereunder, whether now existing or hereafter arising upon and against all deposits, credits, collateral and property, now or hereafter in the possession, custody, safekeeping or control of Administrative Agent or the Lenders or any entity under the control of Administrative Agent or the Lenders (including an Administrative Agent affiliate) or in transit to any of them. At any time after the occurrence and during the continuance of an Event of Default, without demand or notice, Administrative Agent or the Lenders may set off the same or any part thereof and apply the same to any liability or obligation of Borrower or any of the other Loan Parties even though unmatured and regardless of the adequacy of any other collateral securing the Obligations. ANY AND ALL RIGHTS TO REQUIRE COLLATERAL AGENT TO EXERCISE ITS RIGHTS OR REMEDIES WITH RESPECT TO ANY OTHER COLLATERAL WHICH SECURES THE OBLIGATIONS, PRIOR TO EXERCISING ITS RIGHT OF SETOFF WITH RESPECT TO SUCH DEPOSITS, CREDITS OR OTHER PROPERTY OF SUCH LOAN PARTY ARE HEREBY KNOWINGLY, VOLUNTARILY AND IRREVOCABLY WAIVED BY SUCH LOAN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13.10      </w:t>
      </w:r>
      <w:r>
        <w:rPr>
          <w:rFonts w:ascii="Times New Roman;Times;Serif" w:hAnsi="Times New Roman;Times;Serif"/>
          <w:b/>
          <w:i w:val="false"/>
          <w:caps w:val="false"/>
          <w:smallCaps w:val="false"/>
          <w:sz w:val="20"/>
        </w:rPr>
        <w:t>Cooperation of Loan Parties</w:t>
      </w:r>
      <w:r>
        <w:rPr>
          <w:rFonts w:ascii="Times New Roman;Times;Serif" w:hAnsi="Times New Roman;Times;Serif"/>
          <w:b w:val="false"/>
          <w:i w:val="false"/>
          <w:caps w:val="false"/>
          <w:smallCaps w:val="false"/>
          <w:sz w:val="20"/>
        </w:rPr>
        <w:t xml:space="preserve">. If necessary, Borrower shall (i) execute any documents reasonably required to effectuate and acknowledge each assignment of a Term Loan Commitment or Term Loan to an assignee in accordance with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(ii) make Borrower’s, Parent’s or any other Loan Party’s management available to meet with Administrative Agent and prospective participants and assignees of Term Loan Commitments (which meetings with prospective participants and assignees shall be conducted no more often than twice every twelve months unless an Event of Default has occurred and is continuing), and (iii) assist Administrative Agent or the Lenders in the preparation of information relating to the financial affairs of Borrower, Parent or any other Loan Party as any prospective participant or assignee of a Term Loan Commitment or Term Loan reasonably may request. Subject to the provisions of </w:t>
      </w:r>
      <w:r>
        <w:rPr>
          <w:rFonts w:ascii="Times New Roman;Times;Serif" w:hAnsi="Times New Roman;Times;Serif"/>
          <w:b w:val="false"/>
          <w:i w:val="false"/>
          <w:caps w:val="false"/>
          <w:smallCaps w:val="false"/>
          <w:sz w:val="20"/>
          <w:u w:val="single"/>
        </w:rPr>
        <w:t>Section 13.8</w:t>
      </w:r>
      <w:r>
        <w:rPr>
          <w:rFonts w:ascii="Times New Roman;Times;Serif" w:hAnsi="Times New Roman;Times;Serif"/>
          <w:b w:val="false"/>
          <w:i w:val="false"/>
          <w:caps w:val="false"/>
          <w:smallCaps w:val="false"/>
          <w:sz w:val="20"/>
        </w:rPr>
        <w:t>, each Loan Party authorizes each Lender and the Administrative Agent to disclose to any Eligible Assignee that is a prospective participant or assignee of a Term Loan Commitment, any and all information in such Lender’s or the Administrative Agent’s possession concerning Borrower, such Loan Party and its and their respective Subsidiaries and its and their financial affairs which has been delivered to such Lender or the Administrative Agent by or on behalf of Borrower or such Loan Party pursuant to this Agreement, or which has been delivered to such Lender or the Administrative Agent by or on behalf of Borrower or such Loan Party in connection with such Lender’s credit evaluation of Borrower, Parent and its Subsidiaries prior to entering into this Agreement. To the extent requested by Administrative Agent or a Lender, each other Loan Party agrees to assist Administrative Agent or such Lender as herein provided.</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69</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13.11      </w:t>
      </w:r>
      <w:r>
        <w:rPr>
          <w:rFonts w:ascii="Times New Roman;Times;Serif" w:hAnsi="Times New Roman;Times;Serif"/>
          <w:b/>
          <w:i w:val="false"/>
          <w:caps w:val="false"/>
          <w:smallCaps w:val="false"/>
          <w:sz w:val="20"/>
        </w:rPr>
        <w:t>Public Announcement</w:t>
      </w:r>
      <w:r>
        <w:rPr>
          <w:rFonts w:ascii="Times New Roman;Times;Serif" w:hAnsi="Times New Roman;Times;Serif"/>
          <w:b w:val="false"/>
          <w:i w:val="false"/>
          <w:caps w:val="false"/>
          <w:smallCaps w:val="false"/>
          <w:sz w:val="20"/>
        </w:rPr>
        <w:t>. Each Loan Party hereby agrees that Administrative Agent and each Lender may make a public announcement of the transactions contemplated by this Agreement, with the consent of Borrower (which consent shall not be unreasonably withheld, conditioned or delayed), and may publicize the same in marketing materials, newspapers and other publications, and otherwise, and in connection therewith may use such Loan Party’s name, tradenames and logos.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13.12      </w:t>
      </w:r>
      <w:r>
        <w:rPr>
          <w:rFonts w:ascii="Times New Roman;Times;Serif" w:hAnsi="Times New Roman;Times;Serif"/>
          <w:b/>
          <w:i w:val="false"/>
          <w:caps w:val="false"/>
          <w:smallCaps w:val="false"/>
          <w:sz w:val="20"/>
        </w:rPr>
        <w:t>Administrative Agent and Lender Agreement</w:t>
      </w:r>
      <w:r>
        <w:rPr>
          <w:rFonts w:ascii="Times New Roman;Times;Serif" w:hAnsi="Times New Roman;Times;Serif"/>
          <w:b w:val="false"/>
          <w:i w:val="false"/>
          <w:caps w:val="false"/>
          <w:smallCaps w:val="false"/>
          <w:sz w:val="20"/>
        </w:rPr>
        <w:t xml:space="preserve">. Administrative Agent and each Lender hereby agree to the terms and conditions set forth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 Each Loan Party acknowledges and agrees to the terms and conditions set forth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13.13      </w:t>
      </w:r>
      <w:r>
        <w:rPr>
          <w:rFonts w:ascii="Times New Roman;Times;Serif" w:hAnsi="Times New Roman;Times;Serif"/>
          <w:b/>
          <w:i w:val="false"/>
          <w:caps w:val="false"/>
          <w:smallCaps w:val="false"/>
          <w:sz w:val="20"/>
        </w:rPr>
        <w:t>Acknowledgment and Consent to Bail-In of Affected Financial Institutions</w:t>
      </w:r>
      <w:r>
        <w:rPr>
          <w:rFonts w:ascii="Times New Roman;Times;Serif" w:hAnsi="Times New Roman;Times;Serif"/>
          <w:b w:val="false"/>
          <w:i w:val="false"/>
          <w:caps w:val="false"/>
          <w:smallCaps w:val="false"/>
          <w:sz w:val="20"/>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 (a) the application of any Write-Down and Conversion Powers by the applicable Resolution Authority to any such liabilities arising hereunder which may be payable to it by any party hereto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the applicable Resolution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13.14      </w:t>
      </w:r>
      <w:r>
        <w:rPr>
          <w:rFonts w:ascii="Times New Roman;Times;Serif" w:hAnsi="Times New Roman;Times;Serif"/>
          <w:b/>
          <w:i w:val="false"/>
          <w:caps w:val="false"/>
          <w:smallCaps w:val="false"/>
          <w:sz w:val="20"/>
        </w:rPr>
        <w:t>Acknowledgment Regarding Any Supported QFCs</w:t>
      </w:r>
      <w:r>
        <w:rPr>
          <w:rFonts w:ascii="Times New Roman;Times;Serif" w:hAnsi="Times New Roman;Times;Serif"/>
          <w:b w:val="false"/>
          <w:i w:val="false"/>
          <w:caps w:val="false"/>
          <w:smallCaps w:val="false"/>
          <w:sz w:val="20"/>
        </w:rPr>
        <w:t>. To the extent that the Loan Documents provide support, through a guarantee or otherwise, for any Swap Contract or any other agreement or instrument that is a QFC (such support, “</w:t>
      </w:r>
      <w:r>
        <w:rPr>
          <w:rFonts w:ascii="Times New Roman;Times;Serif" w:hAnsi="Times New Roman;Times;Serif"/>
          <w:b/>
          <w:i w:val="false"/>
          <w:caps w:val="false"/>
          <w:smallCaps w:val="false"/>
          <w:sz w:val="20"/>
        </w:rPr>
        <w:t>QFC Credit Support</w:t>
      </w:r>
      <w:r>
        <w:rPr>
          <w:rFonts w:ascii="Times New Roman;Times;Serif" w:hAnsi="Times New Roman;Times;Serif"/>
          <w:b w:val="false"/>
          <w:i w:val="false"/>
          <w:caps w:val="false"/>
          <w:smallCaps w:val="false"/>
          <w:sz w:val="20"/>
        </w:rPr>
        <w:t>”, and each such QFC, a “</w:t>
      </w:r>
      <w:r>
        <w:rPr>
          <w:rFonts w:ascii="Times New Roman;Times;Serif" w:hAnsi="Times New Roman;Times;Serif"/>
          <w:b/>
          <w:i w:val="false"/>
          <w:caps w:val="false"/>
          <w:smallCaps w:val="false"/>
          <w:sz w:val="20"/>
        </w:rPr>
        <w:t>Supported QFC</w:t>
      </w:r>
      <w:r>
        <w:rPr>
          <w:rFonts w:ascii="Times New Roman;Times;Serif" w:hAnsi="Times New Roman;Times;Serif"/>
          <w:b w:val="false"/>
          <w:i w:val="false"/>
          <w:caps w:val="false"/>
          <w:smallCaps w:val="false"/>
          <w:sz w:val="20"/>
        </w:rPr>
        <w:t>”), the parties acknowledge and agree that,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Times New Roman;Times;Serif" w:hAnsi="Times New Roman;Times;Serif"/>
          <w:b/>
          <w:i w:val="false"/>
          <w:caps w:val="false"/>
          <w:smallCaps w:val="false"/>
          <w:sz w:val="20"/>
        </w:rPr>
        <w:t>Covered Party</w:t>
      </w:r>
      <w:r>
        <w:rPr>
          <w:rFonts w:ascii="Times New Roman;Times;Serif" w:hAnsi="Times New Roman;Times;Serif"/>
          <w:b w:val="false"/>
          <w:i w:val="false"/>
          <w:caps w:val="false"/>
          <w:smallCaps w:val="false"/>
          <w:sz w:val="2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70</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13.15      </w:t>
      </w:r>
      <w:r>
        <w:rPr>
          <w:rFonts w:ascii="Times New Roman;Times;Serif" w:hAnsi="Times New Roman;Times;Serif"/>
          <w:b/>
          <w:i w:val="false"/>
          <w:caps w:val="false"/>
          <w:smallCaps w:val="false"/>
          <w:sz w:val="20"/>
        </w:rPr>
        <w:t>U.S. PATRIOT Act Notice</w:t>
      </w:r>
      <w:r>
        <w:rPr>
          <w:rFonts w:ascii="Times New Roman;Times;Serif" w:hAnsi="Times New Roman;Times;Serif"/>
          <w:b w:val="false"/>
          <w:i w:val="false"/>
          <w:caps w:val="false"/>
          <w:smallCaps w:val="false"/>
          <w:sz w:val="20"/>
        </w:rPr>
        <w:t>. Each Lender that is subject to the Patriot Act (as hereinafter defined) and Administrative Agent (for itself and not on behalf of any Lender) hereby notifies the Loan Parties that pursuant to the requirements of the USA PATRIOT Act (Title III of Pub. L. 107-56 (signed into law October 26, 2001)) (the “Patriot Act”), it is required to obtain, verify and record information that identifies the Loan Parties, which information includes the name and address of the Loan Parties and other information that will allow such Lender or Administrative Agent, as applicable, to identify such Loan Party in accordance with the Patriot Act. The Loan Parties shall, promptly following a request by Administrative Agent or any Lender, provide all documentation and other information that Administrative Agent or such Lender requests in order to comply with its ongoing obligations under applicable “know your customer” and anti-money laundering rules and regulations, including the Patriot Act.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13.17      </w:t>
      </w:r>
      <w:r>
        <w:rPr>
          <w:rFonts w:ascii="Times New Roman;Times;Serif" w:hAnsi="Times New Roman;Times;Serif"/>
          <w:b/>
          <w:i w:val="false"/>
          <w:caps w:val="false"/>
          <w:smallCaps w:val="false"/>
          <w:sz w:val="20"/>
        </w:rPr>
        <w:t>Multiple Borrowers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 Each Borrower hereby irrevocably appoints Parent as its agent, attorney-in-fact and legal representative for all purposes, including requesting disbursement of the Term Loans and receiving account statements and other notices and communications to Borrower (or any of them) from Administrative Agent or any Lender. Administrative Agent may rely, and shall be fully protected in relying, on any request for the Term Loans, disbursement instruction, report, information or any other notice or communication made or given by Parent, whether in its own name or on behalf of one or more of the other Borrowers, and Administrative Agent shall not have any obligation to make any inquiry or request any confirmation from or on behalf of any other Borrowers as to the binding effect on it of any such request, instruction, report, information, other notice or communication, nor shall the joint and several character of the Borrower’s obligations hereunder be affected thereby.</w:t>
      </w:r>
    </w:p>
    <w:p>
      <w:pPr>
        <w:pStyle w:val="TextBody"/>
        <w:bidi w:val="0"/>
        <w:spacing w:before="0" w:after="0"/>
        <w:ind w:left="0" w:right="0" w:firstLine="72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71</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u w:val="single"/>
        </w:rPr>
        <w:t>Waivers</w:t>
      </w:r>
      <w:r>
        <w:rPr>
          <w:rFonts w:ascii="Times New Roman;Times;Serif" w:hAnsi="Times New Roman;Times;Serif"/>
          <w:b w:val="false"/>
          <w:i w:val="false"/>
          <w:caps w:val="false"/>
          <w:smallCaps w:val="false"/>
          <w:sz w:val="20"/>
        </w:rPr>
        <w:t>. Each Borrower hereby waives: (i) any right to require Administrative Agent or any Lender to institute suit against, or to exhaust its rights and remedies against, any other Borrower or any other person, or to proceed against any property of any kind which secures all or any part of the Obligations, or to exercise any right of offset or other right with respect to any reserves, credits or deposit accounts held by or maintained with Administrative Agent or any Lender or any Indebtedness of Administrative Agent or any Lender to any other Borrower, or to exercise any other right or power, or pursue any other remedy Administrative Agent or any Lender may have; (ii) any defense arising by reason of any disability or other defense of any other Borrower or any guarantor or any endorser, co-maker or other person, or by reason of the cessation from any cause whatsoever (other than Payment in Full of the Obligations) of any liability of any other Borrower or any guarantor or any endorser, co-maker or other person, with respect to all or any part of the Obligations, or by reason of any act or omission of Administrative Agent or others which directly or indirectly results in the discharge or release of any other Borrower or any guarantor or any other person or any Obligations or any security therefor, whether by operation of law or otherwise; (iii) any defense arising by reason of any failure of Administrative Agent to obtain, perfect, maintain or keep in force any Lien on, any property of any Borrower, any other Loan Party or any other person; (iv) any defense based upon or arising out of any bankruptcy, insolvency, reorganization, arrangement, readjustment of debt, liquidation or dissolution proceeding commenced by or against any other Borrower, any other Loan Party or any guarantor or any endorser, co-maker or other person, including without limitation any discharge of, or bar against collecting, any of the Obligations (including without limitation any interest thereon), in or as a result of any such proceeding. Until all of the Obligations have been paid, performed, and discharged in full in cash, nothing shall discharge or satisfy the liability of any Borrower hereunder except the full performance and payment of all of the Obligations. If any claim is ever made upon Administrative Agent or any Lender for repayment or recovery of any amount or amounts received by Administrative Agent or a Lender in payment of or on account of any of the Obligations, because of any claim that any such payment constituted a preferential transfer or fraudulent conveyance, or for any other reason whatsoever, and Administrative Agent or a Lender repays all or part of said amount by reason of any judgment, decree or order of any court or administrative body having jurisdiction over Administrative Agent, such Lender or any of its property, or by reason of any settlement or compromise of any such claim effected by Administrative Agent or such Lender with any such claimant (including without limitation any other Borrower), then and in any such event, each Borrower agrees that any such judgment, decree, order, settlement and compromise shall be binding upon such Borrower, notwithstanding any revocation or release of this Agreement or the cancellation of any note or other instrument evidencing any of the Obligations, or any release of any of the Obligations, and each Borrower shall be and remain liable to Administrative Agent and the Lenders under this Agreement for the amount so repaid or recovered, to the same extent as if such amount had never originally been received by Administrative Agent or any Lender, and the provisions of this sentence shall survive, and continue in effect, notwithstanding any revocation or release of this Agreement. Each Borrower hereby expressly and unconditionally waives (until Payment in Full of the Obligations) all rights of subrogation, reimbursement and indemnity of every kind against any other Borrower, and all rights of recourse to any assets or property of any other Borrower, and all rights to any collateral or security held for the payment and performance of any Obligations, including (but not limited to) any of the foregoing rights which Borrower may have under any present or future document or agreement with any other Borrower or other person, and including (but not limited to) any of the foregoing rights which any Borrower may have under any equitable doctrine of subrogation, implied contract, or unjust enrichment, or any other equitable or legal doctrine.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u w:val="single"/>
        </w:rPr>
        <w:t>Consents</w:t>
      </w:r>
      <w:r>
        <w:rPr>
          <w:rFonts w:ascii="Times New Roman;Times;Serif" w:hAnsi="Times New Roman;Times;Serif"/>
          <w:b w:val="false"/>
          <w:i w:val="false"/>
          <w:caps w:val="false"/>
          <w:smallCaps w:val="false"/>
          <w:sz w:val="20"/>
        </w:rPr>
        <w:t xml:space="preserve">. Each Borrower hereby consents and agrees that, without notice to or by Borrower and without affecting or impairing in any way the obligations or liability of Borrower hereunder, Administrative Agent may, from time to time before or after revocation of this Agreement, do any one or more of the following in its sole and absolute discretion: (i) accept partial payments of, compromise or settle, renew, extend the time for the payment, discharge, or performance of, refuse to enforce, and release all or any parties to, any or all of the Obligations; (ii) grant any other indulgence to any Borrower or any other Person in respect of any or all of the Obligations or any other matter; (iii) accept, release, waive, surrender, enforce, exchange, modify, impair, or extend the time for the performance, discharge, or payment of, any and all property of any kind securing any or all of the Obligations or any guaranty of any or all of the Obligations, or on which Administrative Agent at any time may have a Lien, or refuse to enforce its rights or make any compromise or settlement or agreement therefor in respect of any or all of such property; (iv) substitute or add, or take any action or omit to take any action which results in the release of, any one or more other Borrower or any endorsers or guarantors of all or any part of the Obligations, including, without limitation one or more parties to this Agreement, regardless of any destruction or impairment of any right of contribution or other right of Borrower; (v) apply any sums received from any other Borrower, any guarantor, endorser, or co-signer, or from the disposition of any Collateral or security, to any Indebtedness whatsoever owing from such person or secured by such Collateral or security, in such manner and order as Administrative Agent determines in its sole discretion, and regardless of whether such Indebtedness is part of the Obligations, is secured, or is due and payable. Each Borrower consents and agrees that Administrative Agent shall be under no obligation to marshal any assets in favor of Borrower, or against or in payment of any or all of the Obligations. Except as otherwise provided in </w:t>
      </w:r>
      <w:r>
        <w:rPr>
          <w:rFonts w:ascii="Times New Roman;Times;Serif" w:hAnsi="Times New Roman;Times;Serif"/>
          <w:b w:val="false"/>
          <w:i w:val="false"/>
          <w:caps w:val="false"/>
          <w:smallCaps w:val="false"/>
          <w:sz w:val="20"/>
          <w:u w:val="single"/>
        </w:rPr>
        <w:t>Section 9.5</w:t>
      </w:r>
      <w:r>
        <w:rPr>
          <w:rFonts w:ascii="Times New Roman;Times;Serif" w:hAnsi="Times New Roman;Times;Serif"/>
          <w:b w:val="false"/>
          <w:i w:val="false"/>
          <w:caps w:val="false"/>
          <w:smallCaps w:val="false"/>
          <w:sz w:val="20"/>
        </w:rPr>
        <w:t>, each Borrower further consents and agrees that Administrative Agent shall have no duties or responsibilities whatsoever with respect to any property securing any or all of the Obligations. Without limiting the generality of the foregoing, Administrative Agent shall have no obligation to monitor, verify, audit, examine, or obtain or maintain any insurance with respect to, any property securing any or all of the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u w:val="single"/>
        </w:rPr>
        <w:t>Independent Liability</w:t>
      </w:r>
      <w:r>
        <w:rPr>
          <w:rFonts w:ascii="Times New Roman;Times;Serif" w:hAnsi="Times New Roman;Times;Serif"/>
          <w:b w:val="false"/>
          <w:i w:val="false"/>
          <w:caps w:val="false"/>
          <w:smallCaps w:val="false"/>
          <w:sz w:val="20"/>
        </w:rPr>
        <w:t>. Each Borrower hereby agrees that one or more successive or concurrent actions may be brought hereon against such Borrower, in the same action in which any other Borrower may be sued or in separate actions, as often as deemed advisable by Administrative Agent. Each Borrower is fully aware of the financial condition of each other Borrower and is executing and delivering this Agreement based solely upon its own independent investigation of all matters pertinent hereto, and such Borrower is not relying in any manner upon any representation or statement of Administrative Agent or any Lender with respect thereto. Each Borrower represents and warrants that it is in a position to obtain, and each Borrower hereby assumes full responsibility for obtaining, any additional information concerning any other Borrower’s financial condition and any other matter pertinent hereto as such Borrower may desire, and such Borrower is not relying upon or expecting Administrative Agent to furnish to it any information now or hereafter in Administrative Agent’s possession concerning the same or any other matter.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13.18      </w:t>
      </w:r>
      <w:r>
        <w:rPr>
          <w:rFonts w:ascii="Times New Roman;Times;Serif" w:hAnsi="Times New Roman;Times;Serif"/>
          <w:b/>
          <w:i w:val="false"/>
          <w:caps w:val="false"/>
          <w:smallCaps w:val="false"/>
          <w:sz w:val="20"/>
        </w:rPr>
        <w:t>Subordination</w:t>
      </w:r>
      <w:r>
        <w:rPr>
          <w:rFonts w:ascii="Times New Roman;Times;Serif" w:hAnsi="Times New Roman;Times;Serif"/>
          <w:b w:val="false"/>
          <w:i w:val="false"/>
          <w:caps w:val="false"/>
          <w:smallCaps w:val="false"/>
          <w:sz w:val="20"/>
        </w:rPr>
        <w:t>. All Indebtedness of a Loan Party now or hereafter arising held by another Loan Party is subordinated to the Obligations and the Loan Party holding the Indebtedness shall take all actions reasonably requested by Administrative Agent to effect, to enforce and to give notice of such subordination.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of Page Intentionally Left Blank]</w:t>
      </w:r>
    </w:p>
    <w:p>
      <w:pPr>
        <w:pStyle w:val="TextBody"/>
        <w:bidi w:val="0"/>
        <w:spacing w:before="0" w:after="0"/>
        <w:ind w:left="0" w:right="0" w:hanging="0"/>
        <w:jc w:val="center"/>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75"/>
        <w:gridCol w:w="32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72</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caused this Agreement to be executed as of the Effective Date.</w:t>
      </w:r>
    </w:p>
    <w:p>
      <w:pPr>
        <w:pStyle w:val="TextBody"/>
        <w:bidi w:val="0"/>
        <w:spacing w:before="0" w:after="0"/>
        <w:ind w:left="0" w:right="0" w:firstLine="720"/>
        <w:jc w:val="both"/>
        <w:rPr>
          <w:caps w:val="false"/>
          <w:smallCaps w:val="false"/>
        </w:rPr>
      </w:pPr>
      <w:r>
        <w:rPr>
          <w:caps w:val="false"/>
          <w:smallCaps w:val="false"/>
        </w:rPr>
        <w:t> </w:t>
      </w:r>
    </w:p>
    <w:tbl>
      <w:tblPr>
        <w:tblW w:w="2374" w:type="dxa"/>
        <w:jc w:val="left"/>
        <w:tblInd w:w="0" w:type="dxa"/>
        <w:tblLayout w:type="fixed"/>
        <w:tblCellMar>
          <w:top w:w="0" w:type="dxa"/>
          <w:left w:w="0" w:type="dxa"/>
          <w:bottom w:w="0" w:type="dxa"/>
          <w:right w:w="0" w:type="dxa"/>
        </w:tblCellMar>
      </w:tblPr>
      <w:tblGrid>
        <w:gridCol w:w="75"/>
        <w:gridCol w:w="639"/>
        <w:gridCol w:w="1660"/>
      </w:tblGrid>
      <w:tr>
        <w:trPr/>
        <w:tc>
          <w:tcPr>
            <w:tcW w:w="75" w:type="dxa"/>
            <w:tcBorders/>
            <w:vAlign w:val="center"/>
          </w:tcPr>
          <w:p>
            <w:pPr>
              <w:pStyle w:val="TableContents"/>
              <w:bidi w:val="0"/>
              <w:spacing w:before="0" w:after="283"/>
              <w:jc w:val="left"/>
              <w:rPr/>
            </w:pPr>
            <w:r>
              <w:rPr/>
              <w:t> </w:t>
            </w:r>
          </w:p>
        </w:tc>
        <w:tc>
          <w:tcPr>
            <w:tcW w:w="229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u w:val="single"/>
              </w:rPr>
              <w:t>BORROWER</w:t>
            </w:r>
            <w:r>
              <w:rPr>
                <w:rFonts w:ascii="Times New Roman;Times;Serif" w:hAnsi="Times New Roman;Times;Serif"/>
                <w:b/>
                <w:sz w:val="20"/>
              </w:rPr>
              <w:t>:</w:t>
            </w:r>
          </w:p>
        </w:tc>
      </w:tr>
      <w:tr>
        <w:trPr/>
        <w:tc>
          <w:tcPr>
            <w:tcW w:w="75"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pPr>
            <w:r>
              <w:rPr/>
              <w:t> </w:t>
            </w:r>
          </w:p>
        </w:tc>
        <w:tc>
          <w:tcPr>
            <w:tcW w:w="16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9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HARROW HEALTH, INC.</w:t>
            </w:r>
          </w:p>
        </w:tc>
      </w:tr>
      <w:tr>
        <w:trPr/>
        <w:tc>
          <w:tcPr>
            <w:tcW w:w="75"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pPr>
            <w:r>
              <w:rPr/>
              <w:t> </w:t>
            </w:r>
          </w:p>
        </w:tc>
        <w:tc>
          <w:tcPr>
            <w:tcW w:w="16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9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HARROW IP, LLC</w:t>
            </w:r>
          </w:p>
        </w:tc>
      </w:tr>
      <w:tr>
        <w:trPr/>
        <w:tc>
          <w:tcPr>
            <w:tcW w:w="75"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pPr>
            <w:r>
              <w:rPr/>
              <w:t> </w:t>
            </w:r>
          </w:p>
        </w:tc>
        <w:tc>
          <w:tcPr>
            <w:tcW w:w="16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6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Mark L. Baum</w:t>
            </w:r>
          </w:p>
        </w:tc>
      </w:tr>
      <w:tr>
        <w:trPr/>
        <w:tc>
          <w:tcPr>
            <w:tcW w:w="75"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Baum</w:t>
            </w:r>
          </w:p>
        </w:tc>
      </w:tr>
      <w:tr>
        <w:trPr/>
        <w:tc>
          <w:tcPr>
            <w:tcW w:w="75"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CEO</w:t>
            </w:r>
          </w:p>
        </w:tc>
      </w:tr>
      <w:tr>
        <w:trPr/>
        <w:tc>
          <w:tcPr>
            <w:tcW w:w="75"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pPr>
            <w:r>
              <w:rPr/>
              <w:t> </w:t>
            </w:r>
          </w:p>
        </w:tc>
        <w:tc>
          <w:tcPr>
            <w:tcW w:w="16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9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HARROW EYE, LLC</w:t>
            </w:r>
          </w:p>
        </w:tc>
      </w:tr>
      <w:tr>
        <w:trPr/>
        <w:tc>
          <w:tcPr>
            <w:tcW w:w="75"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pPr>
            <w:r>
              <w:rPr/>
              <w:t> </w:t>
            </w:r>
          </w:p>
        </w:tc>
        <w:tc>
          <w:tcPr>
            <w:tcW w:w="16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6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John Saharek</w:t>
            </w:r>
          </w:p>
        </w:tc>
      </w:tr>
      <w:tr>
        <w:trPr/>
        <w:tc>
          <w:tcPr>
            <w:tcW w:w="75"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John Saharek</w:t>
            </w:r>
          </w:p>
        </w:tc>
      </w:tr>
      <w:tr>
        <w:trPr/>
        <w:tc>
          <w:tcPr>
            <w:tcW w:w="75"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Loan and Security Agreement]</w:t>
      </w:r>
    </w:p>
    <w:p>
      <w:pPr>
        <w:pStyle w:val="TextBody"/>
        <w:bidi w:val="0"/>
        <w:spacing w:before="0" w:after="0"/>
        <w:ind w:left="0" w:right="0" w:firstLine="72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2809" w:type="dxa"/>
        <w:jc w:val="left"/>
        <w:tblInd w:w="0" w:type="dxa"/>
        <w:tblLayout w:type="fixed"/>
        <w:tblCellMar>
          <w:top w:w="0" w:type="dxa"/>
          <w:left w:w="0" w:type="dxa"/>
          <w:bottom w:w="0" w:type="dxa"/>
          <w:right w:w="0" w:type="dxa"/>
        </w:tblCellMar>
      </w:tblPr>
      <w:tblGrid>
        <w:gridCol w:w="75"/>
        <w:gridCol w:w="810"/>
        <w:gridCol w:w="1924"/>
      </w:tblGrid>
      <w:tr>
        <w:trPr/>
        <w:tc>
          <w:tcPr>
            <w:tcW w:w="75"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u w:val="single"/>
              </w:rPr>
              <w:t>GUARANTORS</w:t>
            </w:r>
            <w:r>
              <w:rPr>
                <w:rFonts w:ascii="Times New Roman;Times;Serif" w:hAnsi="Times New Roman;Times;Serif"/>
                <w:b/>
                <w:sz w:val="20"/>
              </w:rPr>
              <w:t>:</w:t>
            </w:r>
          </w:p>
        </w:tc>
      </w:tr>
      <w:tr>
        <w:trPr/>
        <w:tc>
          <w:tcPr>
            <w:tcW w:w="75"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192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VISIONOLOGY EQUITY, LLC</w:t>
            </w:r>
          </w:p>
        </w:tc>
      </w:tr>
      <w:tr>
        <w:trPr/>
        <w:tc>
          <w:tcPr>
            <w:tcW w:w="75"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192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1924"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Mark Baum</w:t>
            </w:r>
          </w:p>
        </w:tc>
      </w:tr>
      <w:tr>
        <w:trPr/>
        <w:tc>
          <w:tcPr>
            <w:tcW w:w="75"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9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L. Baum</w:t>
            </w:r>
          </w:p>
        </w:tc>
      </w:tr>
      <w:tr>
        <w:trPr/>
        <w:tc>
          <w:tcPr>
            <w:tcW w:w="75"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9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CEO</w:t>
            </w:r>
          </w:p>
        </w:tc>
      </w:tr>
      <w:tr>
        <w:trPr/>
        <w:tc>
          <w:tcPr>
            <w:tcW w:w="75"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192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IMPRIMISRX, LLC</w:t>
            </w:r>
          </w:p>
        </w:tc>
      </w:tr>
      <w:tr>
        <w:trPr/>
        <w:tc>
          <w:tcPr>
            <w:tcW w:w="75"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IMPRIMIS NJOF, LLC</w:t>
            </w:r>
          </w:p>
        </w:tc>
      </w:tr>
      <w:tr>
        <w:trPr/>
        <w:tc>
          <w:tcPr>
            <w:tcW w:w="75"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IMPRIMISRX NJ, LLC</w:t>
            </w:r>
          </w:p>
        </w:tc>
      </w:tr>
      <w:tr>
        <w:trPr/>
        <w:tc>
          <w:tcPr>
            <w:tcW w:w="75"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192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24"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John Saharek</w:t>
            </w:r>
          </w:p>
        </w:tc>
      </w:tr>
      <w:tr>
        <w:trPr/>
        <w:tc>
          <w:tcPr>
            <w:tcW w:w="75"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John Saharek</w:t>
            </w:r>
          </w:p>
        </w:tc>
      </w:tr>
      <w:tr>
        <w:trPr/>
        <w:tc>
          <w:tcPr>
            <w:tcW w:w="75"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w:t>
            </w:r>
          </w:p>
        </w:tc>
      </w:tr>
      <w:tr>
        <w:trPr/>
        <w:tc>
          <w:tcPr>
            <w:tcW w:w="75"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192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VISIONOLOGY, INC.</w:t>
            </w:r>
          </w:p>
        </w:tc>
      </w:tr>
      <w:tr>
        <w:trPr/>
        <w:tc>
          <w:tcPr>
            <w:tcW w:w="75"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VISIONOLOGY MSO, INC.</w:t>
            </w:r>
          </w:p>
        </w:tc>
      </w:tr>
      <w:tr>
        <w:trPr/>
        <w:tc>
          <w:tcPr>
            <w:tcW w:w="75"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192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24"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Mark Baum</w:t>
            </w:r>
          </w:p>
        </w:tc>
      </w:tr>
      <w:tr>
        <w:trPr/>
        <w:tc>
          <w:tcPr>
            <w:tcW w:w="75"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L. Baum</w:t>
            </w:r>
          </w:p>
        </w:tc>
      </w:tr>
      <w:tr>
        <w:trPr/>
        <w:tc>
          <w:tcPr>
            <w:tcW w:w="75"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Chair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Loan and Security Agreement]</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3799" w:type="dxa"/>
        <w:jc w:val="left"/>
        <w:tblInd w:w="0" w:type="dxa"/>
        <w:tblLayout w:type="fixed"/>
        <w:tblCellMar>
          <w:top w:w="0" w:type="dxa"/>
          <w:left w:w="0" w:type="dxa"/>
          <w:bottom w:w="0" w:type="dxa"/>
          <w:right w:w="0" w:type="dxa"/>
        </w:tblCellMar>
      </w:tblPr>
      <w:tblGrid>
        <w:gridCol w:w="75"/>
        <w:gridCol w:w="883"/>
        <w:gridCol w:w="2841"/>
      </w:tblGrid>
      <w:tr>
        <w:trPr/>
        <w:tc>
          <w:tcPr>
            <w:tcW w:w="75" w:type="dxa"/>
            <w:tcBorders/>
            <w:vAlign w:val="center"/>
          </w:tcPr>
          <w:p>
            <w:pPr>
              <w:pStyle w:val="TableContents"/>
              <w:bidi w:val="0"/>
              <w:spacing w:before="0" w:after="283"/>
              <w:jc w:val="left"/>
              <w:rPr/>
            </w:pPr>
            <w:r>
              <w:rPr/>
              <w:t> </w:t>
            </w:r>
          </w:p>
        </w:tc>
        <w:tc>
          <w:tcPr>
            <w:tcW w:w="372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u w:val="single"/>
              </w:rPr>
              <w:t>ADMINISTRATIVE AGENT</w:t>
            </w:r>
            <w:r>
              <w:rPr>
                <w:rFonts w:ascii="Times New Roman;Times;Serif" w:hAnsi="Times New Roman;Times;Serif"/>
                <w:b/>
                <w:sz w:val="20"/>
              </w:rPr>
              <w:t>:</w:t>
            </w:r>
          </w:p>
        </w:tc>
      </w:tr>
      <w:tr>
        <w:trPr/>
        <w:tc>
          <w:tcPr>
            <w:tcW w:w="75"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left"/>
              <w:rPr/>
            </w:pPr>
            <w:r>
              <w:rPr/>
              <w:t> </w:t>
            </w:r>
          </w:p>
        </w:tc>
        <w:tc>
          <w:tcPr>
            <w:tcW w:w="284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2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 RILEY COMMERCIAL CAPITAL, LLC</w:t>
            </w:r>
          </w:p>
        </w:tc>
      </w:tr>
      <w:tr>
        <w:trPr/>
        <w:tc>
          <w:tcPr>
            <w:tcW w:w="75"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left"/>
              <w:rPr/>
            </w:pPr>
            <w:r>
              <w:rPr/>
              <w:t> </w:t>
            </w:r>
          </w:p>
        </w:tc>
        <w:tc>
          <w:tcPr>
            <w:tcW w:w="284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41"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Philip J. Ahn</w:t>
            </w:r>
          </w:p>
        </w:tc>
      </w:tr>
      <w:tr>
        <w:trPr/>
        <w:tc>
          <w:tcPr>
            <w:tcW w:w="75"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8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Philip J. Ahn</w:t>
            </w:r>
          </w:p>
        </w:tc>
      </w:tr>
      <w:tr>
        <w:trPr/>
        <w:tc>
          <w:tcPr>
            <w:tcW w:w="75"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8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75"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left"/>
              <w:rPr/>
            </w:pPr>
            <w:r>
              <w:rPr/>
              <w:t> </w:t>
            </w:r>
          </w:p>
        </w:tc>
        <w:tc>
          <w:tcPr>
            <w:tcW w:w="284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2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u w:val="single"/>
              </w:rPr>
              <w:t>LENDERS</w:t>
            </w:r>
            <w:r>
              <w:rPr>
                <w:rFonts w:ascii="Times New Roman;Times;Serif" w:hAnsi="Times New Roman;Times;Serif"/>
                <w:b/>
                <w:sz w:val="20"/>
              </w:rPr>
              <w:t>:</w:t>
            </w:r>
          </w:p>
        </w:tc>
      </w:tr>
      <w:tr>
        <w:trPr/>
        <w:tc>
          <w:tcPr>
            <w:tcW w:w="75"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left"/>
              <w:rPr/>
            </w:pPr>
            <w:r>
              <w:rPr/>
              <w:t> </w:t>
            </w:r>
          </w:p>
        </w:tc>
        <w:tc>
          <w:tcPr>
            <w:tcW w:w="284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2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 RILEY COMMERCIAL CAPITAL, LLC</w:t>
            </w:r>
          </w:p>
        </w:tc>
      </w:tr>
      <w:tr>
        <w:trPr/>
        <w:tc>
          <w:tcPr>
            <w:tcW w:w="75"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left"/>
              <w:rPr/>
            </w:pPr>
            <w:r>
              <w:rPr/>
              <w:t> </w:t>
            </w:r>
          </w:p>
        </w:tc>
        <w:tc>
          <w:tcPr>
            <w:tcW w:w="284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41"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Philip J. Ahn</w:t>
            </w:r>
          </w:p>
        </w:tc>
      </w:tr>
      <w:tr>
        <w:trPr/>
        <w:tc>
          <w:tcPr>
            <w:tcW w:w="75"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8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Philip J. Ahn</w:t>
            </w:r>
          </w:p>
        </w:tc>
      </w:tr>
      <w:tr>
        <w:trPr/>
        <w:tc>
          <w:tcPr>
            <w:tcW w:w="75"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8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Loan and Security Agreement]</w:t>
      </w:r>
    </w:p>
    <w:p>
      <w:pPr>
        <w:pStyle w:val="TextBody"/>
        <w:bidi w:val="0"/>
        <w:spacing w:before="0" w:after="0"/>
        <w:ind w:left="0" w:right="0" w:firstLine="72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Lenders and Commitments</w:t>
      </w:r>
    </w:p>
    <w:p>
      <w:pPr>
        <w:pStyle w:val="TextBody"/>
        <w:bidi w:val="0"/>
        <w:spacing w:before="0" w:after="0"/>
        <w:ind w:left="0" w:right="0" w:hanging="0"/>
        <w:jc w:val="center"/>
        <w:rPr>
          <w:caps w:val="false"/>
          <w:smallCaps w:val="false"/>
        </w:rPr>
      </w:pPr>
      <w:r>
        <w:rPr>
          <w:caps w:val="false"/>
          <w:smallCaps w:val="false"/>
        </w:rPr>
        <w:t> </w:t>
      </w:r>
    </w:p>
    <w:tbl>
      <w:tblPr>
        <w:tblW w:w="8883" w:type="dxa"/>
        <w:jc w:val="left"/>
        <w:tblInd w:w="0" w:type="dxa"/>
        <w:tblLayout w:type="fixed"/>
        <w:tblCellMar>
          <w:top w:w="0" w:type="dxa"/>
          <w:left w:w="0" w:type="dxa"/>
          <w:bottom w:w="0" w:type="dxa"/>
          <w:right w:w="0" w:type="dxa"/>
        </w:tblCellMar>
      </w:tblPr>
      <w:tblGrid>
        <w:gridCol w:w="3365"/>
        <w:gridCol w:w="60"/>
        <w:gridCol w:w="2365"/>
        <w:gridCol w:w="219"/>
        <w:gridCol w:w="60"/>
        <w:gridCol w:w="204"/>
        <w:gridCol w:w="2335"/>
        <w:gridCol w:w="275"/>
      </w:tblGrid>
      <w:tr>
        <w:trPr/>
        <w:tc>
          <w:tcPr>
            <w:tcW w:w="33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58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Term Loans</w:t>
            </w:r>
          </w:p>
        </w:tc>
        <w:tc>
          <w:tcPr>
            <w:tcW w:w="60" w:type="dxa"/>
            <w:tcBorders/>
            <w:vAlign w:val="center"/>
          </w:tcPr>
          <w:p>
            <w:pPr>
              <w:pStyle w:val="TableContents"/>
              <w:bidi w:val="0"/>
              <w:spacing w:before="0" w:after="283"/>
              <w:jc w:val="center"/>
              <w:rPr/>
            </w:pPr>
            <w:r>
              <w:rPr/>
              <w:t> </w:t>
            </w:r>
          </w:p>
        </w:tc>
        <w:tc>
          <w:tcPr>
            <w:tcW w:w="2539" w:type="dxa"/>
            <w:gridSpan w:val="2"/>
            <w:tcBorders/>
            <w:vAlign w:val="center"/>
          </w:tcPr>
          <w:p>
            <w:pPr>
              <w:pStyle w:val="TableContents"/>
              <w:bidi w:val="0"/>
              <w:spacing w:before="0" w:after="283"/>
              <w:jc w:val="center"/>
              <w:rPr/>
            </w:pPr>
            <w:r>
              <w:rPr/>
              <w:t> </w:t>
            </w:r>
          </w:p>
        </w:tc>
        <w:tc>
          <w:tcPr>
            <w:tcW w:w="275" w:type="dxa"/>
            <w:tcBorders/>
            <w:vAlign w:val="center"/>
          </w:tcPr>
          <w:p>
            <w:pPr>
              <w:pStyle w:val="TableContents"/>
              <w:bidi w:val="0"/>
              <w:spacing w:before="0" w:after="283"/>
              <w:jc w:val="center"/>
              <w:rPr/>
            </w:pPr>
            <w:r>
              <w:rPr/>
              <w:t> </w:t>
            </w:r>
          </w:p>
        </w:tc>
      </w:tr>
      <w:tr>
        <w:trPr/>
        <w:tc>
          <w:tcPr>
            <w:tcW w:w="336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Lender</w:t>
            </w:r>
          </w:p>
        </w:tc>
        <w:tc>
          <w:tcPr>
            <w:tcW w:w="60" w:type="dxa"/>
            <w:tcBorders/>
            <w:vAlign w:val="center"/>
          </w:tcPr>
          <w:p>
            <w:pPr>
              <w:pStyle w:val="TableContents"/>
              <w:bidi w:val="0"/>
              <w:spacing w:before="0" w:after="283"/>
              <w:jc w:val="center"/>
              <w:rPr/>
            </w:pPr>
            <w:r>
              <w:rPr/>
              <w:t> </w:t>
            </w:r>
          </w:p>
        </w:tc>
        <w:tc>
          <w:tcPr>
            <w:tcW w:w="258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Term Loan Commitment</w:t>
            </w:r>
          </w:p>
        </w:tc>
        <w:tc>
          <w:tcPr>
            <w:tcW w:w="60" w:type="dxa"/>
            <w:tcBorders/>
            <w:vAlign w:val="center"/>
          </w:tcPr>
          <w:p>
            <w:pPr>
              <w:pStyle w:val="TableContents"/>
              <w:bidi w:val="0"/>
              <w:spacing w:before="0" w:after="283"/>
              <w:jc w:val="center"/>
              <w:rPr/>
            </w:pPr>
            <w:r>
              <w:rPr/>
              <w:t> </w:t>
            </w:r>
          </w:p>
        </w:tc>
        <w:tc>
          <w:tcPr>
            <w:tcW w:w="253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Commitment Percentage</w:t>
            </w:r>
          </w:p>
        </w:tc>
        <w:tc>
          <w:tcPr>
            <w:tcW w:w="275" w:type="dxa"/>
            <w:tcBorders/>
            <w:vAlign w:val="center"/>
          </w:tcPr>
          <w:p>
            <w:pPr>
              <w:pStyle w:val="TableContents"/>
              <w:bidi w:val="0"/>
              <w:spacing w:before="0" w:after="283"/>
              <w:jc w:val="center"/>
              <w:rPr/>
            </w:pPr>
            <w:r>
              <w:rPr/>
              <w:t> </w:t>
            </w:r>
          </w:p>
        </w:tc>
      </w:tr>
      <w:tr>
        <w:trPr/>
        <w:tc>
          <w:tcPr>
            <w:tcW w:w="336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 Riley Commercial Capital, LLC</w:t>
            </w:r>
          </w:p>
        </w:tc>
        <w:tc>
          <w:tcPr>
            <w:tcW w:w="60" w:type="dxa"/>
            <w:tcBorders/>
            <w:shd w:fill="CCEEFF" w:val="clear"/>
            <w:vAlign w:val="center"/>
          </w:tcPr>
          <w:p>
            <w:pPr>
              <w:pStyle w:val="TableContents"/>
              <w:bidi w:val="0"/>
              <w:spacing w:before="0" w:after="283"/>
              <w:jc w:val="left"/>
              <w:rPr/>
            </w:pPr>
            <w:r>
              <w:rPr/>
              <w:t> </w:t>
            </w:r>
          </w:p>
        </w:tc>
        <w:tc>
          <w:tcPr>
            <w:tcW w:w="236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TBD</w:t>
            </w:r>
          </w:p>
        </w:tc>
        <w:tc>
          <w:tcPr>
            <w:tcW w:w="219"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23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36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365" w:type="dxa"/>
            <w:tcBorders/>
            <w:shd w:fill="FFFFFF" w:val="clear"/>
            <w:vAlign w:val="center"/>
          </w:tcPr>
          <w:p>
            <w:pPr>
              <w:pStyle w:val="TableContents"/>
              <w:bidi w:val="0"/>
              <w:spacing w:before="0" w:after="283"/>
              <w:jc w:val="both"/>
              <w:rPr/>
            </w:pPr>
            <w:r>
              <w:rPr/>
              <w:t> </w:t>
            </w:r>
          </w:p>
        </w:tc>
        <w:tc>
          <w:tcPr>
            <w:tcW w:w="219"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335"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365"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219" w:type="dxa"/>
            <w:tcBorders>
              <w:bottom w:val="single" w:sz="12" w:space="0" w:color="000000"/>
            </w:tcBorders>
            <w:shd w:fill="CCEEFF" w:val="clear"/>
            <w:tcMar>
              <w:bottom w:w="28" w:type="dxa"/>
            </w:tcM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33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TOTAL</w:t>
            </w:r>
          </w:p>
        </w:tc>
        <w:tc>
          <w:tcPr>
            <w:tcW w:w="60" w:type="dxa"/>
            <w:tcBorders/>
            <w:shd w:fill="FFFFFF" w:val="clear"/>
            <w:vAlign w:val="center"/>
          </w:tcPr>
          <w:p>
            <w:pPr>
              <w:pStyle w:val="TableContents"/>
              <w:bidi w:val="0"/>
              <w:spacing w:before="0" w:after="283"/>
              <w:jc w:val="left"/>
              <w:rPr/>
            </w:pPr>
            <w:r>
              <w:rPr/>
              <w:t> </w:t>
            </w:r>
          </w:p>
        </w:tc>
        <w:tc>
          <w:tcPr>
            <w:tcW w:w="2365" w:type="dxa"/>
            <w:tcBorders>
              <w:bottom w:val="single" w:sz="12" w:space="0" w:color="000000"/>
            </w:tcBorders>
            <w:shd w:fill="FFFFFF" w:val="clear"/>
            <w:tcMar>
              <w:bottom w:w="28" w:type="dxa"/>
            </w:tcM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$TBD</w:t>
            </w:r>
          </w:p>
        </w:tc>
        <w:tc>
          <w:tcPr>
            <w:tcW w:w="219" w:type="dxa"/>
            <w:tcBorders>
              <w:bottom w:val="single" w:sz="12" w:space="0" w:color="000000"/>
            </w:tcBorders>
            <w:shd w:fill="FFFFFF" w:val="clear"/>
            <w:tcMar>
              <w:bottom w:w="28" w:type="dxa"/>
            </w:tcM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33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100.00</w:t>
            </w:r>
          </w:p>
        </w:tc>
        <w:tc>
          <w:tcPr>
            <w:tcW w:w="27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firstLine="72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890"/>
        <w:gridCol w:w="6560"/>
      </w:tblGrid>
      <w:tr>
        <w:trPr/>
        <w:tc>
          <w:tcPr>
            <w:tcW w:w="745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Schedules of Loan Parties</w:t>
            </w:r>
          </w:p>
        </w:tc>
      </w:tr>
      <w:tr>
        <w:trPr/>
        <w:tc>
          <w:tcPr>
            <w:tcW w:w="7450" w:type="dxa"/>
            <w:gridSpan w:val="2"/>
            <w:tcBorders/>
            <w:vAlign w:val="center"/>
          </w:tcPr>
          <w:p>
            <w:pPr>
              <w:pStyle w:val="TableContents"/>
              <w:bidi w:val="0"/>
              <w:spacing w:before="0" w:after="283"/>
              <w:jc w:val="center"/>
              <w:rPr/>
            </w:pPr>
            <w:r>
              <w:rPr/>
              <w:t> </w:t>
            </w:r>
          </w:p>
        </w:tc>
      </w:tr>
      <w:tr>
        <w:trPr/>
        <w:tc>
          <w:tcPr>
            <w:tcW w:w="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1.2</w:t>
            </w:r>
          </w:p>
        </w:tc>
        <w:tc>
          <w:tcPr>
            <w:tcW w:w="65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Excluded Accounts</w:t>
            </w:r>
          </w:p>
        </w:tc>
      </w:tr>
      <w:tr>
        <w:trPr/>
        <w:tc>
          <w:tcPr>
            <w:tcW w:w="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1.4</w:t>
            </w:r>
          </w:p>
        </w:tc>
        <w:tc>
          <w:tcPr>
            <w:tcW w:w="65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Indebtedness on the Effective Date</w:t>
            </w:r>
          </w:p>
        </w:tc>
      </w:tr>
      <w:tr>
        <w:trPr/>
        <w:tc>
          <w:tcPr>
            <w:tcW w:w="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1.5</w:t>
            </w:r>
          </w:p>
        </w:tc>
        <w:tc>
          <w:tcPr>
            <w:tcW w:w="65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Investments on the Effective Date</w:t>
            </w:r>
          </w:p>
        </w:tc>
      </w:tr>
      <w:tr>
        <w:trPr/>
        <w:tc>
          <w:tcPr>
            <w:tcW w:w="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1.6</w:t>
            </w:r>
          </w:p>
        </w:tc>
        <w:tc>
          <w:tcPr>
            <w:tcW w:w="65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Liens on the Effective Date</w:t>
            </w:r>
          </w:p>
        </w:tc>
      </w:tr>
      <w:tr>
        <w:trPr/>
        <w:tc>
          <w:tcPr>
            <w:tcW w:w="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4.1</w:t>
            </w:r>
          </w:p>
        </w:tc>
        <w:tc>
          <w:tcPr>
            <w:tcW w:w="65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Commercial Tort Claims</w:t>
            </w:r>
          </w:p>
        </w:tc>
      </w:tr>
      <w:tr>
        <w:trPr/>
        <w:tc>
          <w:tcPr>
            <w:tcW w:w="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5.2(a)</w:t>
            </w:r>
          </w:p>
        </w:tc>
        <w:tc>
          <w:tcPr>
            <w:tcW w:w="65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Deposit Accounts, Securities Accounts, Commodities Accounts, Etc.</w:t>
            </w:r>
          </w:p>
        </w:tc>
      </w:tr>
      <w:tr>
        <w:trPr/>
        <w:tc>
          <w:tcPr>
            <w:tcW w:w="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5.2(c)</w:t>
            </w:r>
          </w:p>
        </w:tc>
        <w:tc>
          <w:tcPr>
            <w:tcW w:w="65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Collateral with Bailee and Third Parties</w:t>
            </w:r>
          </w:p>
        </w:tc>
      </w:tr>
      <w:tr>
        <w:trPr/>
        <w:tc>
          <w:tcPr>
            <w:tcW w:w="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5.2(e)</w:t>
            </w:r>
          </w:p>
        </w:tc>
        <w:tc>
          <w:tcPr>
            <w:tcW w:w="65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 Estate</w:t>
            </w:r>
          </w:p>
        </w:tc>
      </w:tr>
      <w:tr>
        <w:trPr/>
        <w:tc>
          <w:tcPr>
            <w:tcW w:w="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5.2(f)(i)</w:t>
            </w:r>
          </w:p>
        </w:tc>
        <w:tc>
          <w:tcPr>
            <w:tcW w:w="65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Intellectual Property</w:t>
            </w:r>
          </w:p>
        </w:tc>
      </w:tr>
      <w:tr>
        <w:trPr/>
        <w:tc>
          <w:tcPr>
            <w:tcW w:w="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5.2(f)(ii)</w:t>
            </w:r>
          </w:p>
        </w:tc>
        <w:tc>
          <w:tcPr>
            <w:tcW w:w="65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Jointly Owned Intellectual Property</w:t>
            </w:r>
          </w:p>
        </w:tc>
      </w:tr>
      <w:tr>
        <w:trPr/>
        <w:tc>
          <w:tcPr>
            <w:tcW w:w="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5.2(f)(iii)</w:t>
            </w:r>
          </w:p>
        </w:tc>
        <w:tc>
          <w:tcPr>
            <w:tcW w:w="65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Third-Party Grants in Intellectual Property</w:t>
            </w:r>
          </w:p>
        </w:tc>
      </w:tr>
      <w:tr>
        <w:trPr/>
        <w:tc>
          <w:tcPr>
            <w:tcW w:w="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5.2(f)(vi)</w:t>
            </w:r>
          </w:p>
        </w:tc>
        <w:tc>
          <w:tcPr>
            <w:tcW w:w="65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Licenses or Sublicenses in Intellectual Property</w:t>
            </w:r>
          </w:p>
        </w:tc>
      </w:tr>
      <w:tr>
        <w:trPr/>
        <w:tc>
          <w:tcPr>
            <w:tcW w:w="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5.3</w:t>
            </w:r>
          </w:p>
        </w:tc>
        <w:tc>
          <w:tcPr>
            <w:tcW w:w="65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Litigation</w:t>
            </w:r>
          </w:p>
        </w:tc>
      </w:tr>
      <w:tr>
        <w:trPr/>
        <w:tc>
          <w:tcPr>
            <w:tcW w:w="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5.7</w:t>
            </w:r>
          </w:p>
        </w:tc>
        <w:tc>
          <w:tcPr>
            <w:tcW w:w="65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Regulatory Compliance</w:t>
            </w:r>
          </w:p>
        </w:tc>
      </w:tr>
    </w:tbl>
    <w:p>
      <w:pPr>
        <w:pStyle w:val="TextBody"/>
        <w:bidi w:val="0"/>
        <w:spacing w:before="0" w:after="0"/>
        <w:ind w:left="0" w:right="0" w:firstLine="72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Description of Collateral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Collateral consists of all right, title and interest of each Loan Party in and to the following of its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goods, Accounts (including health-care receivables), Equipment, Inventory, contract rights or rights to payment of money, leases, license agreements, franchise agreements, General Intangibles (including Intellectual Property and, for the avoidance of doubt, all Closing Date Acquisition Intellectual Property), commercial tort claims, documents, instruments (including any promissory notes), chattel paper (whether tangible or electronic), cash, deposit accounts and other Collateral Accounts, all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Loan Party’s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Collateral shall not include: (i) more than sixty five percent (65%) of the total combined voting power of all classes of stock entitled to vote the shares of capital stock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of any Foreign Subsidiary if Borrower demonstrates to Administrative Agent’s reasonable satisfaction that a pledge of more than sixty five percent (65%) of the Shares of such Subsidiary creates a present and existing adverse tax consequence to the applicable Loan Party under the U.S. Internal Revenue Code; (ii) any equipment that is subject to a Permitted Prior Lien and the loan agreement or lease relating to such equipment forbids any Liens to be attached to such equipment other than a purchase money security interest and only to the extent so prohibited during the term of such lease or loan agreement; (iii) any lease, license, contract, property rights, joint venture interests, or agreement to which such Loan Party is a party or any of its rights or interests thereunder, in each case, if and only if, and solely to the extent that, the grant of a security interest therein shall constitute or result in a breach, termination, default, abandonment, unenforceability or invalidity thereunder or thereof or under the agreement governing such property or interests (other than to the extent that any such term would be rendered ineffective pursuant to Sections 9-406, 9-407, 9-408 or 9-409 of the UCC of any relevant jurisdiction or any other applicable law or principles of equity); provided that immediately upon the time at which the consequences described in the foregoing clause shall no longer exist, the Collateral shall include, and each Loan Party shall be deemed to have granted a security interest in, all right, title and interest of such Loan Party in such lease, license, contract, property rights, joint venture interests, or agreement; provided, further, that no Closing Date Acquisition Document shall be excluded from Collateral, (iv) Motor Vehicles for which certificates of title have been issued, (v) Equity Interests in any entity that constitutes an Excluded Subsidiary pursuant to clause (a) of the definition thereof, and (vi) any “intent-to-use” application for registration of a Trademark filed pursuant to Section 1(b) of the Lanham Act, 15 U.S.C. § 1051, prior to the filing of a “Statement of Use” pursuant to Section 1(d) of the Lanham Act or an “Amendment to Allege Use” pursuant to Section 1(c) of the Lanham Act with respect thereto, solely to the extent, if any, that, and solely during the period, if any, in which, the grant of a security interest therein would impair the validity or enforceability of any registration that issues from such intent-to-use application under applicable federal law.</w:t>
      </w:r>
    </w:p>
    <w:p>
      <w:pPr>
        <w:pStyle w:val="TextBody"/>
        <w:bidi w:val="0"/>
        <w:spacing w:before="0" w:after="0"/>
        <w:ind w:left="0" w:right="0" w:firstLine="72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Administrative Agent and Lender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Appointment of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Lender hereby appoints B. Riley Commercial Capital, LLC (together with any successor Administrative Agent pursuant to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of this Exhibit B) as Administrative Agent under the Loan Documents and authorizes Administrative Agent to (i) execute and deliver the Loan Documents and accept delivery thereof on its behalf from any Loan Party, (ii) take such action on its behalf and to exercise all rights, powers and remedies and perform the duties as are expressly delegated to Administrative Agent under such Loan Documents and (iii) exercise such powers as are reasonably incidental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limiting the generality of clause (a) above, Administrative Agent shall have the sole and exclusive right and authority (to the exclusion of the Lenders), and is hereby authorized, to (i) act as the disbursing and collecting agent for the Lenders with respect to all payments and collections arising in connection with the Loan Documents (including in any other bankruptcy, insolvency or similar proceeding), and each Person making any payment in connection with any Loan Document to any Lender is hereby authorized to make such payment to Administrative Agent, (ii) file and prove claims and file other documents necessary or desirable to allow the claims of Administrative Agent and Lenders with respect to any Obligation in any bankruptcy, insolvency or similar proceeding (but not to vote, consent or otherwise act on behalf of such Lender), (iii) act as administrative agent and as collateral agent for each Lender for purposes of the perfection of all Liens created by the Loan Documents and all other purposes stated therein, (iv) manage, supervise and otherwise deal with the Collateral, (v) take such other action as is necessary or desirable to maintain the perfection and priority of the Liens created or purported to be created by the Loan Documents, (vi) except as may be otherwise specified in any Loan Document, exercise all remedies given to Administrative Agent and the other Lenders with respect to the Borrower, any other Loan Party and/or the Collateral, whether under the Loan Documents, applicable Law or otherwise and (vii) execute any amendment, consent or waiver under the Loan Documents on behalf of any Lender that has consented in writing to such amendment, consent or waiver; provided, however, that Administrative Agent hereby appoints, authorizes and directs each Lender to act as collateral sub-agent for Administrative Agent and the Lenders for purposes of the perfection of all Liens with respect to the Collateral, including any Deposit Account maintained by any Loan Party with, and cash and Cash Equivalents held by, such Lender, and may further authorize and direct the Lenders to take further actions as collateral sub-agents for purposes of enforcing such Liens or otherwise to transfer the Collateral subject thereto to Administrative Agent, and each Lender hereby agrees to take such further actions to the extent, and only to the extent, so authorized and directed. Administrative Agent may, upon any term or condition it specifies, delegate or exercise any of its rights, powers and remedies under, and delegate or perform any of its duties or any other action with respect to, any Loan Document by or through any trustee, co-agent, employee, attorney-in-fact and any other Person (including any Lender). Any such Person shall benefit from this Exhibit B to the extent provided by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Under the Loan Documents, Administrative Agent (i) is acting solely on behalf of the Lenders, with duties that are entirely administrative in nature, notwithstanding the use of the defined term “Administrative Agent”, the terms “agent”, “Administrative Agent” and “collateral agent” and similar terms in any Loan Document to refer to Administrative Agent, which terms are used for title purposes only, (ii) is not assuming any obligation under any Loan Document other than as expressly set forth therein or any role as agent, fiduciary or trustee of or for any Lender or any other Person and (iii) shall have no implied functions, responsibilities, duties, obligations or other liabilities under any Loan Document, and each Lender, by accepting the benefits of the Loan Documents, hereby waives and agrees not to assert any claim against Administrative Agent based on the roles, duties and legal relationships expressly disclaimed in clauses (i) through (iii) above. Except as expressly set forth in the Loan Documents, Administrative Agent shall not have any duty to disclose, and shall not be liable for failure to disclose, any information relating to Borrower or any of its Subsidiaries that is communicated to or obtained by B. Riley Commercial Capital, LLC or any of its Affiliates in any capacity.</w:t>
      </w:r>
    </w:p>
    <w:p>
      <w:pPr>
        <w:pStyle w:val="TextBody"/>
        <w:bidi w:val="0"/>
        <w:spacing w:before="0" w:after="0"/>
        <w:ind w:left="0" w:right="0" w:firstLine="72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Binding Effect; Use of Discretion; E-Systems.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by accepting the benefits of the Loan Documents, agrees that (i) any action taken by Administrative Agent or Required Lenders(or, if expressly required in any Loan Document, a greater proportion of the Lenders) in accordance with the provisions of the Loan Documents, (ii) any action taken by Administrative Agent in reliance upon the instructions of Required Lenders (or, where so required, such greater proportion) and (iii) the exercise by Administrative Agent or Required Lenders (or, where so required, such greater proportion) of the powers set forth herein or therein, together with such other powers as are reasonably incidental thereto, shall be authorized and binding upon all of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Administrative Agent shall request instructions from Required Lenders or all affected Lenders with respect to any act or action (including failure to act) in connection with any Loan Document, then Administrative Agent shall be entitled to refrain from such act or taking such action unless and until Administrative Agent shall have received instructions from Required Lenders or all affected Lenders, as the case may be, and Administrative Agent shall not incur liability to any Person by reason of so refraining. Administrative Agent shall be fully justified in failing or refusing to take any action under any Loan Document (i) if such action would, in the opinion of Administrative Agent, be contrary to any Law or any Loan Document, (ii) if such action would, in the opinion of Administrative Agent, expose Administrative Agent to any potential liability under any Law or (iii) if Administrative Agent shall not first be indemnified to its satisfaction against any and all liability and expense which may be incurred by it by reason of taking or continuing to take any such action. Without limiting the foregoing, no Lender shall have any right of action whatsoever against Administrative Agent as a result of Administrative Agent acting or refraining from acting under any Loan Document in accordance with the instructions of Required Lenders or all affected Lenders,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Administrative Agent is hereby authorized by each Loan Party and each Lender to establish procedures (and to amend such procedures from time to time) to facilitate administration and servicing of the Term Loans and other matters incidental thereto. Without limiting the generality of the foregoing, Administrative Agent is hereby authorized to establish procedures to make available or deliver, or to accept, notices, documents (including, without limitation, borrowing base certificates) and similar items on, by posting to or submitting and/or completion, on E-Systems. Each Loan Party and each Lender acknowledges and agrees that the use of transmissions via an E-System or electronic mail is not necessarily secure and that there are risks associated with such use, including risks of interception, disclosure and abuse, and each Loan Party and each Lender assumes and accepts such risks by hereby authorizing the transmission via E-Systems or electronic mail. Each “e-signature” on any such posting shall be deemed sufficient to satisfy any requirement for a “signature”, and each such posting shall be deemed sufficient to satisfy any requirement for a “writing”, in each case including pursuant to any Loan Document, any applicable provision of any Code, the federal Uniform Electronic Transactions Act, the Electronic Signatures in Global and National Commerce Act and any substantive or procedural Law governing such subject matter. All uses of an E-System shall be governed by and subject to, in addition to this Section, the separate terms, conditions and privacy policy posted or referenced in such E-System (or such terms, conditions and privacy policy as may be updated from time to time, including on such E-System) and related contractual obligations executed by Administrative Agent, Borrower and/or Lenders in connection with the use of such E-System. ALL E-SYSTEMS AND ELECTRONIC TRANSMISSIONS SHALL BE PROVIDED “AS IS” AND “AS AVAILABLE”. NO REPRESENTATION OR WARRANTY OF ANY KIND IS MADE BY AGENT, ANY LENDER OR ANY OF THEIR RELATED PERSONS IN CONNECTION WITH ANY E-SYSTEMS.</w:t>
      </w:r>
    </w:p>
    <w:p>
      <w:pPr>
        <w:pStyle w:val="TextBody"/>
        <w:bidi w:val="0"/>
        <w:spacing w:before="0" w:after="0"/>
        <w:ind w:left="0" w:right="0" w:firstLine="72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Administrative Agent’s Reliance, Etc.</w:t>
      </w:r>
      <w:r>
        <w:rPr>
          <w:rFonts w:ascii="Times New Roman;Times;Serif" w:hAnsi="Times New Roman;Times;Serif"/>
          <w:b w:val="false"/>
          <w:i w:val="false"/>
          <w:caps w:val="false"/>
          <w:smallCaps w:val="false"/>
          <w:sz w:val="20"/>
        </w:rPr>
        <w:t xml:space="preserve"> Administrative Agent may, without incurring any liability hereunder, (a) consult with any of its Related Persons and, whether or not selected by it, any other advisors, accountants and other experts (including advisors to, and accountants and experts engaged by, any Loan Party) and (b) rely and act upon any document and information (including those transmitted by electronic transmission) and any telephone message or conversation, in each case believed by it to be genuine and transmitted, signed or otherwise authenticated by the appropriate parties. None of Administrative Agent and its Related Persons shall be liable for any action taken or omitted to be taken by any of them under or in connection with any Loan Document, and each Lender and each Loan Party hereby waives and shall not assert (and each Loan Party shall cause its Subsidiaries to waive and agree not to assert) any right, claim or cause of action based thereon, except to the extent of liabilities resulting from the gross negligence or willful misconduct of Administrative Agent or, as the case may be, such Related Person (each as determined in a final, non-appealable judgment of a court of competent jurisdiction) in connection with the duties of Administrative Agent expressly set forth herein. Without limiting the foregoing, Administrative Agent: (i) shall not be responsible or otherwise incur liability for any action or omission taken in reliance upon the instructions of the Required Lenders or for the actions or omissions of any of its Related Persons, except to the extent that a court of competent jurisdiction determines in a final non-appealable judgment that Administrative Agent acted with gross negligence or willful misconduct in the selection of such Related Person; (ii) shall not be responsible to any Lender or other Person for the due execution, legality, validity, enforceability, effectiveness, genuineness, sufficiency or value of, or the attachment, perfection or priority of any Lien created or purported to be created under or in connection with, any Loan Document; (iii) makes no warranty or representation, and shall not be responsible, to any Lender or other Person for any statement, document, information, representation or warranty made or furnished by or on behalf of Borrower or any Related Person of Borrower in connection with any Loan Document or any transaction contemplated therein or any other document or information with respect to any Loan Party, whether or not transmitted or (except for documents expressly required under any Loan Document to be transmitted to the Lenders) omitted to be transmitted by Administrative Agent, including as to completeness, accuracy, scope or adequacy thereof, or for the scope, nature or results of any due diligence performed by Administrative Agent in connection with the Loan Documents; and (iv) shall not have any duty to ascertain or to inquire as to the performance or observance of any provision of any Loan Document, whether any condition set forth in any Loan Document is satisfied or waived, as to the financial condition of any Loan Party or as to the existence or continuation or possible occurrence or continuation of any Event of Default, and shall not be deemed to have notice or Knowledge of such occurrence or continuation unless it has received a notice from Borrower or any Lender describing such Event of Default that is clearly labeled “notice of default” (in which case Administrative Agent shall promptly give notice of such receipt to all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Administrative Agent shall not be liable to any Lender for any failure to do so, except to the extent that such failure is attributable to Administrative Agent’s gross negligence or willful misconduct as determined by a final, non-appealable judgment of a court of competent jurisdiction); and, for each of the items set forth in clauses (i) through (iv) above, each Lender and Borrower hereby waives and agrees not to assert (and Borrower shall cause its Subsidiaries to waive and agree not to assert) any right, claim or cause of action it might have against Administrative Agent based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 Administrative Agent Individually.</w:t>
      </w:r>
      <w:r>
        <w:rPr>
          <w:rFonts w:ascii="Times New Roman;Times;Serif" w:hAnsi="Times New Roman;Times;Serif"/>
          <w:b w:val="false"/>
          <w:i w:val="false"/>
          <w:caps w:val="false"/>
          <w:smallCaps w:val="false"/>
          <w:sz w:val="20"/>
        </w:rPr>
        <w:t xml:space="preserve"> Administrative Agent and its Affiliates may make loans and other extensions of credit to, acquire stock and stock equivalents of, engage in any kind of business with, Borrower or any Affiliate of Borrower as though it were not acting as Administrative Agent and may receive separate fees and other payments therefor. To the extent Administrative Agent or any of its Affiliates makes any Term Loans or otherwise becomes a Lender hereunder, it shall have and may exercise the same rights and powers hereunder and shall be subject to the same obligations and liabilities as any other Lender and the terms “Lender”, “Required Lender” and any similar terms shall, except where otherwise expressly provided in any Loan Document, include, without limitation, Administrative Agent or such Affiliate, as the case may be, in its individual capacity as Lender, or as one of the Required Lenders.</w:t>
      </w:r>
    </w:p>
    <w:p>
      <w:pPr>
        <w:pStyle w:val="TextBody"/>
        <w:bidi w:val="0"/>
        <w:spacing w:before="0" w:after="0"/>
        <w:ind w:left="0" w:right="0" w:firstLine="72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 Lender Credit Decision; Administrative Agent Report.</w:t>
      </w:r>
      <w:r>
        <w:rPr>
          <w:rFonts w:ascii="Times New Roman;Times;Serif" w:hAnsi="Times New Roman;Times;Serif"/>
          <w:b w:val="false"/>
          <w:i w:val="false"/>
          <w:caps w:val="false"/>
          <w:smallCaps w:val="false"/>
          <w:sz w:val="20"/>
        </w:rPr>
        <w:t xml:space="preserve"> Each Lender acknowledges that it shall, independently and without reliance upon Administrative Agent, any Lender or any of their Related Persons or upon any document solely or in part because such document was transmitted by Administrative Agent or any of its Related Persons, conduct its own independent investigation of the financial condition and affairs of Borrower and the other Loan Parties and make and continue to make its own credit decisions in connection with entering into, and taking or not taking any action under, any Loan Document or with respect to any transaction contemplated in any Loan Document, in each case based on such documents and information as it shall deem appropriate. Except for documents expressly required by any Loan Document to be transmitted by Administrative Agent to the Lenders, Administrative Agent shall not have any duty or responsibility to provide any Lender with any credit or other information concerning the business, prospects, operations, Property, financial and other condition or creditworthiness of Borrower or any Affiliate of Borrower that may come in to the possession of Administrative Agent or any of its Related Persons. Each Lender agrees that is shall not rely on any field examination, audit or other report provided by Administrative Agent or its Related Persons (a “</w:t>
      </w:r>
      <w:r>
        <w:rPr>
          <w:rFonts w:ascii="Times New Roman;Times;Serif" w:hAnsi="Times New Roman;Times;Serif"/>
          <w:b/>
          <w:i w:val="false"/>
          <w:caps w:val="false"/>
          <w:smallCaps w:val="false"/>
          <w:sz w:val="20"/>
        </w:rPr>
        <w:t>Administrative Agent Report</w:t>
      </w:r>
      <w:r>
        <w:rPr>
          <w:rFonts w:ascii="Times New Roman;Times;Serif" w:hAnsi="Times New Roman;Times;Serif"/>
          <w:b w:val="false"/>
          <w:i w:val="false"/>
          <w:caps w:val="false"/>
          <w:smallCaps w:val="false"/>
          <w:sz w:val="20"/>
        </w:rPr>
        <w:t>”). Each Lender further acknowledges that any Administrative Agent Report (a) is provided to the Lenders solely as a courtesy, without consideration, and based upon the understanding that such Lender will not rely on such Administrative Agent Report, (b) was prepared by Administrative Agent or its Related Persons based upon information provided by Borrower solely for Administrative Agent’s own internal use, and (c) may not be complete and may not reflect all information and findings obtained by Administrative Agent or its Related Persons regarding the operations and condition of Borrower. Neither Administrative Agent nor any of its Related Persons makes any representations or warranties of any kind with respect to (i) any existing or proposed financing, (ii) the accuracy or completeness of the information contained in any Administrative Agent Report or in any related documentation, (iii) the scope or adequacy of Administrative Agent’s and its Related Persons’ due diligence, or the presence or absence of any errors or omissions contained in any Administrative Agent Report or in any related documentation, and (iv) any work performed by Administrative Agent or Administrative Agent’s Related Persons in connection with or using any Administrative Agent Report or any related documentation. Neither Administrative Agent nor any of its Related Persons shall have any duties or obligations in connection with or as a result of any Lender receiving a copy of any Administrative Agent Report. Without limiting the generality of the forgoing, neither Administrative Agent nor any of its Related Persons shall have any responsibility for the accuracy or completeness of any Administrative Agent Report, or the appropriateness of any Administrative Agent Report for any Lender’s purposes, and shall have no duty or responsibility to correct or update any Administrative Agent Report or disclose to any Lender any other information not embodied in any Administrative Agent Report, including any supplemental information obtained after the date of any Administrative Agent Report. Each Lender releases, and agrees that it will not assert, any claim against Administrative Agent or its Related Persons that in any way relates to any Administrative Agent Report or arises out of any Lender having access to any Administrative Agent Report or any discussion of its contents, and agrees to indemnify and hold harmless Administrative Agent and its Related Persons from all claims, liabilities and expenses relating to a breach by any Lender arising out of such Lender’s access to any Administrative Agent Report or any discussion of its contents.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 Indemnification. </w:t>
      </w:r>
      <w:r>
        <w:rPr>
          <w:rFonts w:ascii="Times New Roman;Times;Serif" w:hAnsi="Times New Roman;Times;Serif"/>
          <w:b w:val="false"/>
          <w:i w:val="false"/>
          <w:caps w:val="false"/>
          <w:smallCaps w:val="false"/>
          <w:sz w:val="20"/>
        </w:rPr>
        <w:t xml:space="preserve">Each Lender agrees to reimburse Administrative Agent and each of its Related Persons (to the extent not reimbursed by Borrower as required under the Loan Documents) promptly upon demand for its Pro Rata Share of any out-of-pocket costs and expenses (including, without limitation, fees, charges and disbursements of financial, legal and other advisors and any taxes or insurance paid in the name of, or on behalf of, Borrower) incurred by Administrative Agent or any of its Related Persons in connection with the preparation, syndication, execution, delivery, administration, modification, amendment, consent, waiver or enforcement of, or the taking of any other action (whether through negotiations, through any work-out, bankruptcy, restructuring or other legal or other proceeding (including, without limitation, preparation for and/or response to any subpoena or request for document production relating thereto) or otherwise) in respect of, or legal advice with respect to, its rights or responsibilities under, any Loan Document. Each Lender further agrees to indemnify Administrative Agent and each of its Related Persons (to the extent not reimbursed by Borrower as required under the Loan Documents), ratably according to its Pro Rata Share, from and against any and all liabilities, obligations, losses, damages, penalties, actions, judgments, suits, costs, expenses or disbursements of any kind or nature whatsoever (including, to the extent not indemnified by the applicable Lender, taxes, interests and penalties imposed for not properly withholding or backup withholding on payments made to or for the account of any Lender) that may be imposed on, incurred by, or asserted against Administrative Agent or any of its Related Persons in any matter relating to or arising out of, in connection with or as a result of any Loan Document or any other act, event or transaction related, contemplated in or attendant to any such document, or, in each case, any action taken or omitted to be taken by Administrative Agent or any of its Related Persons under or with respect to the foregoing;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Lender shall be liable to Administrative Agent or any of its Related Persons under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of this Exhibit B to the extent such liability has resulted from the gross negligence or willful misconduct of Administrative Agent or, as the case may be, such Related Person, as determined by a final, non-appealable judgment of a court of competent jurisdiction. To the extent required by any applicable Law, Administrative Agent may withhold from any payment to any Lender under a Loan Document an amount equal to any applicable withholding tax. If the Internal Revenue Service or any other Governmental Authority asserts a claim that Administrative Agent did not properly withhold tax from amounts paid to or for the account of any Lender for any reason, or if Administrative Agent reasonably determines that it was required to withhold taxes from a prior payment to or for the account of any Lender but failed to do so, such Lender shall promptly indemnify Administrative Agent fully for all amounts paid, directly or indirectly, by Administrative Agent as tax or otherwise, including penalties and interest, and together with all expenses incurred by Administrative Agent. Administrative Agent may offset against any payment to any Lender under a Loan Document, any applicable withholding tax that was required to be withheld from any prior payment to such Lender but which was not so withheld, as well as any other amounts for which Administrative Agent is entitled to indemnification from such Lender under the immediately preceding sentence of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of this Exhibit B.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of Exhibit B shall survive the termination of the Agreement.</w:t>
      </w:r>
    </w:p>
    <w:p>
      <w:pPr>
        <w:pStyle w:val="TextBody"/>
        <w:bidi w:val="0"/>
        <w:spacing w:before="0" w:after="0"/>
        <w:ind w:left="0" w:right="0" w:firstLine="72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 Successor Administrative Agent. </w:t>
      </w:r>
      <w:r>
        <w:rPr>
          <w:rFonts w:ascii="Times New Roman;Times;Serif" w:hAnsi="Times New Roman;Times;Serif"/>
          <w:b w:val="false"/>
          <w:i w:val="false"/>
          <w:caps w:val="false"/>
          <w:smallCaps w:val="false"/>
          <w:sz w:val="20"/>
        </w:rPr>
        <w:t xml:space="preserve">Administrative Agent may resign at any time by delivering notice of such resignation to the Lenders and Borrower, effective on the date set forth in such notice or, if no such date is set forth therein, upon the date such notice shall be effective, in accordance with the terms of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of this Exhibit B. If Administrative Agent delivers any such notice, the Required Lenders shall have the right to appoint a successor Administrative Agent. If, after 30 days after the date of the retiring Administrative Agent’s notice of resignation, no successor Administrative Agent has been appointed by the Required Lenders that has accepted such appointment, then the retiring Administrative Agent may, on behalf of the Lenders, appoint a successor Administrative Agent from among the Lenders. Effective immediately upon its resignation, (a) the retiring Administrative Agent shall be discharged from its duties and obligations under the Loan Documents, (b) the Lenders shall assume and perform all of the duties of Administrative Agent until a successor Administrative Agent shall have accepted a valid appointment hereunder, (c) the retiring Administrative Agent and its Related Persons shall no longer have the benefit of any provision of any Loan Document other than with respect to any actions taken or omitted to be taken while such retiring Administrative Agent was, or because such Administrative Agent had been, validly acting as Administrative Agent under the Loan Documents, and (d) subject to its rights under </w:t>
      </w:r>
      <w:r>
        <w:rPr>
          <w:rFonts w:ascii="Times New Roman;Times;Serif" w:hAnsi="Times New Roman;Times;Serif"/>
          <w:b w:val="false"/>
          <w:i w:val="false"/>
          <w:caps w:val="false"/>
          <w:smallCaps w:val="false"/>
          <w:sz w:val="20"/>
          <w:u w:val="single"/>
        </w:rPr>
        <w:t>Section 2(b)</w:t>
      </w:r>
      <w:r>
        <w:rPr>
          <w:rFonts w:ascii="Times New Roman;Times;Serif" w:hAnsi="Times New Roman;Times;Serif"/>
          <w:b w:val="false"/>
          <w:i w:val="false"/>
          <w:caps w:val="false"/>
          <w:smallCaps w:val="false"/>
          <w:sz w:val="20"/>
        </w:rPr>
        <w:t xml:space="preserve"> of this Exhibit B, the retiring Administrative Agent shall take such action as may be reasonably necessary to assign to the successor Administrative Agent its rights as Administrative Agent under the Loan Documents. Effective immediately upon its acceptance of a valid appointment as Administrative Agent, a successor Administrative Agent shall succeed to, and become vested with, all the rights, powers, privileges and duties of the retiring Administrative Agent under the Loan Documents. Borrower agrees to negotiate in good faith with any successor Administrative Agent with respect to any administrative fees to be paid to such successor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 Release of Collateral.</w:t>
      </w:r>
      <w:r>
        <w:rPr>
          <w:rFonts w:ascii="Times New Roman;Times;Serif" w:hAnsi="Times New Roman;Times;Serif"/>
          <w:b w:val="false"/>
          <w:i w:val="false"/>
          <w:caps w:val="false"/>
          <w:smallCaps w:val="false"/>
          <w:sz w:val="20"/>
        </w:rPr>
        <w:t xml:space="preserve"> Each Lender hereby consents to the release and hereby directs Administrative Agent to release (or in the case of </w:t>
      </w:r>
      <w:r>
        <w:rPr>
          <w:rFonts w:ascii="Times New Roman;Times;Serif" w:hAnsi="Times New Roman;Times;Serif"/>
          <w:b w:val="false"/>
          <w:i w:val="false"/>
          <w:caps w:val="false"/>
          <w:smallCaps w:val="false"/>
          <w:sz w:val="20"/>
          <w:u w:val="single"/>
        </w:rPr>
        <w:t>clause (b)(ii)</w:t>
      </w:r>
      <w:r>
        <w:rPr>
          <w:rFonts w:ascii="Times New Roman;Times;Serif" w:hAnsi="Times New Roman;Times;Serif"/>
          <w:b w:val="false"/>
          <w:i w:val="false"/>
          <w:caps w:val="false"/>
          <w:smallCaps w:val="false"/>
          <w:sz w:val="20"/>
        </w:rPr>
        <w:t xml:space="preserve"> below, release or subordinate)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Guarantor if all of the stock of such Subsidiary owned by Borrower is sold or transferred in a transaction permitted under the Loan Documents (including pursuant to a valid waiver or consent), to the extent that, after giving effect to such transaction, such Subsidiary would not be required to guaranty any Obligations pursuant to any Loan Document;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Lien held by Administrative Agent for the benefit of itself and the Lenders against (i) any Collateral that is sold or otherwise disposed of by a Loan Party in a transaction permitted by the Loan Documents (including pursuant to a valid waiver or consent), (ii) any Collateral subject to a Lien that is expressly permitted under clause (c) of the definition of the term “Permitted Lien” and (iii) all of the Collateral and each Loan Party, upon (A) termination of all of the Term Loan Commitments, (B) Payment in Full in cash of all of the Obligations that Administrative Agent has theretofore been notified in writing by the holder of such Obligation are then due and payable, and (C) to the extent requested by Administrative Agent, receipt by Administrative Agent and Lenders of liability releases from each Loan Party in form and substance acceptable to Administrative Agent (the satisfaction of the conditions in this clause (iii), the “</w:t>
      </w:r>
      <w:r>
        <w:rPr>
          <w:rFonts w:ascii="Times New Roman;Times;Serif" w:hAnsi="Times New Roman;Times;Serif"/>
          <w:b/>
          <w:i w:val="false"/>
          <w:caps w:val="false"/>
          <w:smallCaps w:val="false"/>
          <w:sz w:val="20"/>
        </w:rPr>
        <w:t>Termination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 Setoff and Sharing of Payments.</w:t>
      </w:r>
      <w:r>
        <w:rPr>
          <w:rFonts w:ascii="Times New Roman;Times;Serif" w:hAnsi="Times New Roman;Times;Serif"/>
          <w:b w:val="false"/>
          <w:i w:val="false"/>
          <w:caps w:val="false"/>
          <w:smallCaps w:val="false"/>
          <w:sz w:val="20"/>
        </w:rPr>
        <w:t xml:space="preserve"> In addition to any rights now or hereafter granted under any applicable requirement of law and not by way of limitation of any such rights, upon the occurrence and during the continuance of any Event of Default and subject to </w:t>
      </w:r>
      <w:r>
        <w:rPr>
          <w:rFonts w:ascii="Times New Roman;Times;Serif" w:hAnsi="Times New Roman;Times;Serif"/>
          <w:b w:val="false"/>
          <w:i w:val="false"/>
          <w:caps w:val="false"/>
          <w:smallCaps w:val="false"/>
          <w:sz w:val="20"/>
          <w:u w:val="single"/>
        </w:rPr>
        <w:t xml:space="preserve">Section 10(d) </w:t>
      </w:r>
      <w:r>
        <w:rPr>
          <w:rFonts w:ascii="Times New Roman;Times;Serif" w:hAnsi="Times New Roman;Times;Serif"/>
          <w:b w:val="false"/>
          <w:i w:val="false"/>
          <w:caps w:val="false"/>
          <w:smallCaps w:val="false"/>
          <w:sz w:val="20"/>
        </w:rPr>
        <w:t>of this Exhibit B, each Lender is hereby authorized at any time or from time to time upon the direction of Administrative Agent, without notice to Borrower or any other Person, any such notice being hereby expressly waived, to setoff and to appropriate and to apply any and all balances held by it at any of its offices for the account of Borrower (regardless of whether such balances are then due to Borrower) and any other properties or assets at any time held or owing by that Lender or that holder to or for the credit or for the account of Borrower against and on account of any of the Obligations that are not paid when due. Any Lender exercising a right of setoff or otherwise receiving any payment on account of the Obligations in excess of its Pro Rata Share thereof shall purchase for cash (and the other Lenders or holders shall sell) such participations in each such other Lender’s or holder’s Pro Rata Share of the Obligations as would be necessary to cause such Lender to share the amount so offset or otherwise received with each other Lender or holder in accordance with their respective Pro Rata Shares of the Obligations. Borrower agrees, to the fullest extent permitted by law, that (a) any Lender may exercise its right to offset with respect to amounts in excess of its Pro Rata Share of the Obligations and may purchase participations in accordance with the preceding sentence and (b) any Lender so purchasing a participation in the Term Loans made or other Obligations held by other Lenders or holders may exercise all rights of offset, bankers’ lien, counterclaim or similar rights with respect to such participation as fully as if such Lender or holder were a direct holder of the Term Loans and the other Obligations in the amount of such participation. Notwithstanding the foregoing, if all or any portion of the offset amount or payment otherwise received is thereafter recovered from the Lender that has exercised the right of offset, the purchase of participations by that Lender shall be rescinded and the purchase price restored without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Advances; Payments; Non-Funding Lenders; Actions in Concert.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Advances; Payments</w:t>
      </w:r>
      <w:r>
        <w:rPr>
          <w:rFonts w:ascii="Times New Roman;Times;Serif" w:hAnsi="Times New Roman;Times;Serif"/>
          <w:b w:val="false"/>
          <w:i w:val="false"/>
          <w:caps w:val="false"/>
          <w:smallCaps w:val="false"/>
          <w:sz w:val="20"/>
        </w:rPr>
        <w:t>. If Administrative Agent receives any payment with respect to a Term Loan for the account of Lenders on or prior to 2:00 p.m. (New York time) on any Business Day, Administrative Agent shall pay to each applicable Lender such Lender’s Pro Rata Share of such payment on such Business Day. If Administrative Agent receives any payment with respect to a Term Loan for the account of Lenders after 2:00 p.m. (New York time) on any Business Day, Administrative Agent shall pay to each applicable Lender such Lender’s Pro Rata Share of such payment on the next Business Day.</w:t>
      </w:r>
    </w:p>
    <w:p>
      <w:pPr>
        <w:pStyle w:val="TextBody"/>
        <w:bidi w:val="0"/>
        <w:spacing w:before="0" w:after="0"/>
        <w:ind w:left="0" w:right="0" w:firstLine="72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Return of 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If Administrative Agent pays an amount to a Lender under this Agreement in the belief or expectation that a related payment has been or will be received by Administrative Agent from Borrower and such related payment is not received by Administrative Agent, then Administrative Agent will be entitled to recover such amount (including interest accruing on such amount at the rate otherwise applicable to such Obligation) from such Lender on demand without setoff, counterclaim or deduction of any kind.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If Administrative Agent determines at any time that any amount received by Administrative Agent under any Loan Document must be returned to Borrower or paid to any other Person pursuant to any insolvency law or otherwise, then, notwithstanding any other term or condition of any Loan Document, Administrative Agent will not be required to distribute any portion thereof to any Lender. In addition, each Lender will repay to Administrative Agent on demand any portion of such amount that Administrative Agent has distributed to such Lender, together with interest at such rate, if any, as Administrative Agent is required to pay to Borrower or such other Person, without setoff, counterclaim or deduction of any kind and Administrative Agent will be entitled to set off against future distributions to such Lender any such amounts (with interest) that are not repaid on demand.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Non-Funding Lenders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Unless Administrative Agent shall have received notice from a Lender prior to the date of any Term Loan that such Lender will not make available to Administrative Agent such Lender’s Pro Rata Share of such Term Loan, Administrative Agent may assume that such Lender will make such amount available to it on the date of such Term Loan in accordance with </w:t>
      </w:r>
      <w:r>
        <w:rPr>
          <w:rFonts w:ascii="Times New Roman;Times;Serif" w:hAnsi="Times New Roman;Times;Serif"/>
          <w:b w:val="false"/>
          <w:i w:val="false"/>
          <w:caps w:val="false"/>
          <w:smallCaps w:val="false"/>
          <w:sz w:val="20"/>
          <w:u w:val="single"/>
        </w:rPr>
        <w:t xml:space="preserve">Section 2(b) </w:t>
      </w:r>
      <w:r>
        <w:rPr>
          <w:rFonts w:ascii="Times New Roman;Times;Serif" w:hAnsi="Times New Roman;Times;Serif"/>
          <w:b w:val="false"/>
          <w:i w:val="false"/>
          <w:caps w:val="false"/>
          <w:smallCaps w:val="false"/>
          <w:sz w:val="20"/>
        </w:rPr>
        <w:t>of this Exhibit B, and Administrative Agent may (but shall not be obligated to), in reliance upon such assumption, make available a corresponding amount for the account of Borrower on such date. If and to the extent that such Lender shall not have made such amount available to Administrative Agent, such Lender and Borrower severally agree to repay to Administrative Agent forthwith on demand such corresponding amount together with interest thereon, for each day from the day such amount is made available to Borrower until the day such amount is repaid to Administrative Agent, at a rate per annum equal to the interest rate applicable to the Obligation that would have been created when Administrative Agent made available such amount to Borrower had such Lender made a corresponding payment available. If such Lender shall repay such corresponding amount to Administrative Agent, the amount so repaid shall constitute such Lender’s portion of such Term Loan for purposes of this Agreement.</w:t>
      </w:r>
    </w:p>
    <w:p>
      <w:pPr>
        <w:pStyle w:val="TextBody"/>
        <w:bidi w:val="0"/>
        <w:spacing w:before="0" w:after="0"/>
        <w:ind w:left="0" w:right="0" w:firstLine="72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the extent that any Lender has failed to fund any Term Loan or any other payments required to be made by it under the Loan Documents after any such Term Loan is required to be made or such payment is due (a “</w:t>
      </w:r>
      <w:r>
        <w:rPr>
          <w:rFonts w:ascii="Times New Roman;Times;Serif" w:hAnsi="Times New Roman;Times;Serif"/>
          <w:b/>
          <w:i w:val="false"/>
          <w:caps w:val="false"/>
          <w:smallCaps w:val="false"/>
          <w:sz w:val="20"/>
        </w:rPr>
        <w:t>Non-Funding Lender</w:t>
      </w:r>
      <w:r>
        <w:rPr>
          <w:rFonts w:ascii="Times New Roman;Times;Serif" w:hAnsi="Times New Roman;Times;Serif"/>
          <w:b w:val="false"/>
          <w:i w:val="false"/>
          <w:caps w:val="false"/>
          <w:smallCaps w:val="false"/>
          <w:sz w:val="20"/>
        </w:rPr>
        <w:t>”), Administrative Agent shall be entitled to set off the funding short-fall against that Non-Funding Lender’s Pro Rata Share of all payments received from Borrower. The failure of any Non-Funding Lender to make any Term Loan or any payment required by it hereunder shall not relieve any other Lender (each such other Lender, an “</w:t>
      </w:r>
      <w:r>
        <w:rPr>
          <w:rFonts w:ascii="Times New Roman;Times;Serif" w:hAnsi="Times New Roman;Times;Serif"/>
          <w:b/>
          <w:i w:val="false"/>
          <w:caps w:val="false"/>
          <w:smallCaps w:val="false"/>
          <w:sz w:val="20"/>
        </w:rPr>
        <w:t>Other Lender</w:t>
      </w:r>
      <w:r>
        <w:rPr>
          <w:rFonts w:ascii="Times New Roman;Times;Serif" w:hAnsi="Times New Roman;Times;Serif"/>
          <w:b w:val="false"/>
          <w:i w:val="false"/>
          <w:caps w:val="false"/>
          <w:smallCaps w:val="false"/>
          <w:sz w:val="20"/>
        </w:rPr>
        <w:t>”) of its obligations to make such Term Loan, but neither any Other Lender nor Administrative Agent shall be responsible for the failure of any Non-Funding Lender to make such Term Loan or make any other payment required hereunder. Notwithstanding anything set forth herein to the contrary, a Non-Funding Lender shall not have any voting or consent rights under or with respect to any Loan Document or constitute a “Lender” (or be included in the calculation of “Required Lender” hereunder) for any voting or consent rights under or with respect to any Loan Document. At Borrower’s request, Administrative Agent or a Person reasonably acceptable to Administrative Agent shall have the right with Administrative Agent’s consent and in Administrative Agent’s sole discretion (but Administrative Agent or any such Person shall have no obligation) to purchase from any Non-Funding Lender, and each Lender agrees that if it becomes a Non-Funding Lender it shall, at Administrative Agent’s request, sell and assign to Administrative Agent or such Person, all of the Term Loan Commitment (if any), and all of the outstanding Term Loan of that Non-Funding Lender for an amount equal to the aggregate outstanding principal balance of the Term Loan held by such Non-Funding Lender and all accrued interest with respect thereto through the date of sale, such purchase and sale to be consummated pursuant to an executed assignment agreement in form and substance reasonably satisfactory to, and acknowledged by,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Actions in Concert</w:t>
      </w:r>
      <w:r>
        <w:rPr>
          <w:rFonts w:ascii="Times New Roman;Times;Serif" w:hAnsi="Times New Roman;Times;Serif"/>
          <w:b w:val="false"/>
          <w:i w:val="false"/>
          <w:caps w:val="false"/>
          <w:smallCaps w:val="false"/>
          <w:sz w:val="20"/>
        </w:rPr>
        <w:t>. Anything in this Agreement to the contrary notwithstanding, each Lender hereby agrees with each other Lender that no Lender shall take any action to protect or enforce its rights arising out of any Loan Document (including exercising any rights of setoff) without first obtaining the prior written consent of Administrative Agent or Required Lenders, it being the intent of Lenders that any such action to protect or enforce rights under any Loan Document shall be taken in concert and at the direction or with the consent of Administrative Agent or Required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Certain ERISA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(i) represents and warrants, as of the Effective Date (or, with respect to any Person that becomes a Lender after the Effective Date, as of the date such Person becomes a Lender party to this Agreement), and (ii) covenants, from the Effective Date (or, with respect to any Person that becomes a Lender after the Effective Date, from the date such Person becomes a Lender party to this Agreement) to the date such Person ceases being a Lender party to this Agreement, in each case, for the benefit of, the Administrative Agent and not, for the avoidance of doubt, to or for the benefit of the Borrower or any other Loan Party, that at least one of the following is and will be true: (A) such Lender is not using “plan assets” (within the meaning of Section 3(42) of ERISA or otherwise) of one or more Benefit Plans with respect to such Lender’s entrance into, participation in, administration of and performance of the Term Loans, the Term Loan Commitments, or this Agreement; (B)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Term Loans, the Term Loan Commitments and this Agreement; (C) (1) such Lender is an investment fund managed by a “Qualified Professional Asset Manager” (within the meaning of Part VI of PTE 84-14), (2) such Qualified Professional Asset Manager made the investment decision on behalf of such Lender to enter into, participate in, administer and perform the Term Loans, the Term Loan Commitments and this Agreement, (3) the entrance into, participation in, administration of and performance of the Term Loans, the Term Loan Commitments and this Agreement satisfies the requirements of subsections (b) through (g) of Part I of PTE 84-14, and (4) to the best knowledge of such Lender, the requirements of subsection (a) of Part I of PTE 84-14 are satisfied with respect to such Lender’s entrance into, participation in, administration of and performance of the Term Loans, the Term Loan Commitments and this Agreement; or (D) such other representation, warranty and covenant as may be agreed in writing between the Administrative Agent, in its sole discretion, and such Lender.</w:t>
      </w:r>
    </w:p>
    <w:p>
      <w:pPr>
        <w:pStyle w:val="TextBody"/>
        <w:bidi w:val="0"/>
        <w:spacing w:before="0" w:after="0"/>
        <w:ind w:left="0" w:right="0" w:firstLine="72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unless either (i) subclause (A) in the immediately preceding clause (a) is true with respect to a Lender or (ii) a Lender has provided another representation, warranty and covenant in accordance with subclause (D) in the immediately preceding clause (a), such Lender further (A) represents and warrants, as of the date such Person became a Lender party hereto, to, and (B) covenants, from the date such Person became a Lender party hereto to the date such Person ceases being a Lender party hereto, for the benefit of, the Administrative Agent and the Collateral Agent and not, for the avoidance of doubt, to or for the benefit of the Borrower or any other Loan Party, that neither the Administrative Agent nor the Collateral Agent is a fiduciary with respect to the assets of such Lender involved in such Lender’s entrance into, participation in, administration of and performance of the Term Loans, the Term Loan Commitments and this Agreement (including in connection with the reservation or exercise of any rights by the Administrative Agent or the Collateral Agent under this Agreement, any other Loan Document or any documents related hereto 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Recovery of Erroneous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of any other provision in this Agreement, if at any time the Administrative Agent makes a payment hereunder in error to any Lender, whether or not in respect of an Obligation due and owing by the Borrower at such time, where such payment is a Rescindable Amount, then in any such event, each Lender receiving a Rescindable Amount severally agrees to repay to the Administrative Agent forthwith on demand the Rescindable Amount received by such Lender in immediately available funds in the currency so received, with interest thereon, for each day from and including the date such Rescindable Amount is received by it to but excluding the date of payment to the Administrative Agent, at the Overnight Rate. Each Lender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promptly upon determining that any payment made to such Lender comprised, in whole or in part, a Rescindable Amount.</w:t>
      </w:r>
    </w:p>
    <w:p>
      <w:pPr>
        <w:pStyle w:val="TextBody"/>
        <w:bidi w:val="0"/>
        <w:spacing w:before="0" w:after="0"/>
        <w:ind w:left="0" w:right="0" w:firstLine="72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both"/>
        <w:rPr>
          <w:caps w:val="false"/>
          <w:smallCaps w:val="false"/>
        </w:rPr>
      </w:pPr>
      <w:bookmarkStart w:id="888" w:name="ex10-2.htm"/>
      <w:bookmarkStart w:id="889" w:name="ksex102"/>
      <w:bookmarkEnd w:id="888"/>
      <w:bookmarkEnd w:id="889"/>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jc w:val="right"/>
        <w:rPr>
          <w:caps w:val="false"/>
          <w:smallCaps w:val="false"/>
        </w:rPr>
      </w:pPr>
      <w:r>
        <w:rPr>
          <w:caps w:val="false"/>
          <w:smallCaps w:val="false"/>
        </w:rPr>
        <w:t> </w:t>
      </w:r>
    </w:p>
    <w:p>
      <w:pPr>
        <w:pStyle w:val="TextBody"/>
        <w:bidi w:val="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Copy</w:t>
      </w:r>
    </w:p>
    <w:p>
      <w:pPr>
        <w:pStyle w:val="TextBody"/>
        <w:bidi w:val="0"/>
        <w:jc w:val="right"/>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jc w:val="righ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CREDIT AGREEMENT AND GUARANTY</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March 27, 2023</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among</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HEALTH,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the Borrower,</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SUBSIDIARY GUARANTORS FROM TIME TO TIME PARTY HERETO,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the Guarantors,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LENDERS FROM TIME TO TIME PARTY HERETO,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the Lenders,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OAKTREE FUND ADMINISTRATION, LLC,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the Administrative Agent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$100,000,000</w:t>
      </w:r>
    </w:p>
    <w:p>
      <w:pPr>
        <w:pStyle w:val="TextBody"/>
        <w:bidi w:val="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jc w:val="center"/>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75"/>
        <w:gridCol w:w="5900"/>
        <w:gridCol w:w="4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0" w:type="dxa"/>
            <w:tcBorders/>
            <w:vAlign w:val="center"/>
          </w:tcPr>
          <w:p>
            <w:pPr>
              <w:pStyle w:val="TableContents"/>
              <w:bidi w:val="0"/>
              <w:spacing w:before="0" w:after="283"/>
              <w:jc w:val="both"/>
              <w:rPr>
                <w:caps w:val="false"/>
                <w:smallCaps w:val="false"/>
              </w:rPr>
            </w:pPr>
            <w:r>
              <w:rPr>
                <w:caps w:val="false"/>
                <w:smallCaps w:val="false"/>
              </w:rPr>
              <w:t> </w:t>
            </w:r>
          </w:p>
        </w:tc>
        <w:tc>
          <w:tcPr>
            <w:tcW w:w="45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5975" w:type="dxa"/>
            <w:gridSpan w:val="2"/>
            <w:tcBorders/>
            <w:shd w:fill="CCEE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Section 1. DEFINITIONS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1</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9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Certain Defined Terms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59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Accounting Terms and Principles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9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Interpretation</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59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Division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9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      Currency Generally</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5975" w:type="dxa"/>
            <w:gridSpan w:val="2"/>
            <w:tcBorders/>
            <w:shd w:fill="CCEE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Section 2. THE COMMITMENT AND THE LOANS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37</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9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      Loans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59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      Borrowing Procedures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9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      Funding of Borrowings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59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      Notes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9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      Use of Proceeds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59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      Commitment Fees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9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      Defaulting Lenders.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5975" w:type="dxa"/>
            <w:gridSpan w:val="2"/>
            <w:tcBorders/>
            <w:shd w:fill="CCEE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Section 3. PAYMENTS OF PRINCIPAL AND INTEREST, ETC.</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39</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9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      Scheduled Repayments and Prepayments Generally; Application</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59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      Interest</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9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      Prepayments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59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      Commitment Termination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9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      Exit Fee</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59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      Original Issue Discount</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5975" w:type="dxa"/>
            <w:gridSpan w:val="2"/>
            <w:tcBorders/>
            <w:shd w:fill="FFFF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Section 4. PAYMENTS, ETC.</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43</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59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      Payments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9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      Computations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59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      Set-Off</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5975" w:type="dxa"/>
            <w:gridSpan w:val="2"/>
            <w:tcBorders/>
            <w:shd w:fill="FFFF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Section 5. YIELD PROTECTION, TAXES, ETC.</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46</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59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      Additional Costs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9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      [Reserved]</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59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      Taxes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9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      Mitigation Obligations; Replacement of Lenders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59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      Inability to Determine Rates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9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      Survival</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bl>
    <w:p>
      <w:pPr>
        <w:pStyle w:val="TextBody"/>
        <w:bidi w:val="0"/>
        <w:spacing w:before="0" w:after="283"/>
        <w:jc w:val="left"/>
        <w:rPr/>
      </w:pPr>
      <w:r>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283"/>
        <w:jc w:val="left"/>
        <w:rPr/>
      </w:pPr>
      <w:r>
        <w:rPr/>
        <w:t> </w:t>
      </w:r>
    </w:p>
    <w:tbl>
      <w:tblPr>
        <w:tblW w:w="7120" w:type="dxa"/>
        <w:jc w:val="left"/>
        <w:tblInd w:w="0" w:type="dxa"/>
        <w:tblLayout w:type="fixed"/>
        <w:tblCellMar>
          <w:top w:w="0" w:type="dxa"/>
          <w:left w:w="0" w:type="dxa"/>
          <w:bottom w:w="0" w:type="dxa"/>
          <w:right w:w="0" w:type="dxa"/>
        </w:tblCellMar>
      </w:tblPr>
      <w:tblGrid>
        <w:gridCol w:w="75"/>
        <w:gridCol w:w="6800"/>
        <w:gridCol w:w="245"/>
      </w:tblGrid>
      <w:tr>
        <w:trPr/>
        <w:tc>
          <w:tcPr>
            <w:tcW w:w="6875" w:type="dxa"/>
            <w:gridSpan w:val="2"/>
            <w:tcBorders/>
            <w:shd w:fill="CCEE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Section 6. CONDITIONS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53</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8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      Conditions to the Closing Date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8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      Conditions to the Borrowing of Tranche B Term Loans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6875" w:type="dxa"/>
            <w:gridSpan w:val="2"/>
            <w:tcBorders/>
            <w:shd w:fill="FFFF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Section 7. REPRESENTATIONS AND WARRANTIES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58</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8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      Power and Authority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8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      Authorization; Enforceability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8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      Governmental and Other Approvals; No Conflicts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8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      Financial Statements; Material Adverse Change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8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7.05      Properties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8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7.06      No Actions or Proceedings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8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7.07      Compliance with Laws and Agreements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8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7.08      Taxes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8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      Full Disclosure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8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      Investment Company Act and Margin Stock Regulation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8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      Solvency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8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      Subsidiaries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8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      Excluded Subsidiaries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8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      Material Agreements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8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7.15      Restrictive Agreements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8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7.16      Real Property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8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7.17      Pension Matters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8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7.18      Regulatory Approvals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8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7.19      [Reserved]</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8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      OFAC; Anti-Terrorism Laws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8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      Anti-Corruption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8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      Priority of Obligations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8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7.23      Royalty and Other Payments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8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      Non-Competes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8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7.25      Reimbursement from Medical Reimbursement Programs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r>
      <w:tr>
        <w:trPr/>
        <w:tc>
          <w:tcPr>
            <w:tcW w:w="6875" w:type="dxa"/>
            <w:gridSpan w:val="2"/>
            <w:tcBorders/>
            <w:shd w:fill="FFFF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Section 8. AFFIRMATIVE COVENANTS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68</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8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8.01      Financial Statements and Other Information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8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8.02      Notices of Material Events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8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8.03      Existence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8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8.04      Payment of Obligations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8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8.05      Insurance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8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8.06      Books and Records; Inspection Rights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8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8.07      Compliance with Laws and Other Obligations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8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8.08      Maintenance of Properties, Etc.</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8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8.09      Governmental Licenses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8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      Use of Proceeds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8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      Certain Obligations Respecting Subsidiaries; Further Assurances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8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      Termination of Non-Permitted Liens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8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      Board Materials; Lender Calls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8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8.14      Maintenance of Regulatory Approvals, Contracts, Intellectual Property, Etc.</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8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8.15      ERISA Compliance and Pension Plans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8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8.16      Cash Management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8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8.17      Post-Closing Obligations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8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8.18      Warrants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8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8.19      Certain Additional Rights of Lender (VCOC)</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jc w:val="center"/>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75"/>
        <w:gridCol w:w="7220"/>
        <w:gridCol w:w="350"/>
      </w:tblGrid>
      <w:tr>
        <w:trPr/>
        <w:tc>
          <w:tcPr>
            <w:tcW w:w="7295" w:type="dxa"/>
            <w:gridSpan w:val="2"/>
            <w:tcBorders/>
            <w:shd w:fill="CCEE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Section 9. NEGATIVE COVENANTS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80</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2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      Indebtedness</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22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9.02      Liens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2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9.03      Fundamental Changes and Acquisitions</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22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9.04      Lines of Business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2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9.05      Investments</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22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9.06      Restricted Payments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2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9.07      Payments of Indebtedness</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22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9.08      Change in Fiscal Year</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2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9.09      Sales of Assets, Etc.</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22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      Transactions with Affiliates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2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      Restrictive Agreements</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22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      Modifications and Terminations of Material Agreements and Organic Documents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2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9.13      Outbound Licenses</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22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9.14      Sales and Leasebacks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2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9.15      Hazardous Material</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22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9.16      Accounting Changes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2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9.17      Compliance with ERISA</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22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9.18      Sanctions; Anti-Corruption Use of Proceeds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r>
      <w:tr>
        <w:trPr/>
        <w:tc>
          <w:tcPr>
            <w:tcW w:w="7295" w:type="dxa"/>
            <w:gridSpan w:val="2"/>
            <w:tcBorders/>
            <w:shd w:fill="FFFF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Section 10. FINANCIAL COVENANTS</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93</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22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10.01    Minimum Liquidity</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2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10.02    Minimum Net Sales</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r>
      <w:tr>
        <w:trPr/>
        <w:tc>
          <w:tcPr>
            <w:tcW w:w="7295" w:type="dxa"/>
            <w:gridSpan w:val="2"/>
            <w:tcBorders/>
            <w:shd w:fill="CCEE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Section 11. EVENTS OF DEFAULT</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94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2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11.01    Events of Default</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22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11.02    Remedies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2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11.03    Additional Remedies</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22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11.04    Minimum Net Sales Covenant Cure</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2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11.05    Payment of Yield Protection Premium and Exit Fee</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7295" w:type="dxa"/>
            <w:gridSpan w:val="2"/>
            <w:tcBorders/>
            <w:shd w:fill="CCEE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Section 12. THE ADMINISTRATIVE AGENT</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100</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2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12.01    Appointment and Duties</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22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12.02    Binding Effect</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2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12.03    Use of Discretion</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22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12.04    Delegation of Rights and Duties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2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12.05    Reliance and Liability</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22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12.06    Administrative Agent Individually</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2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12.07    Lender Credit Decision</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22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12.08    Expenses; Indemnities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2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12.09    Resignation of the Administrative Agent</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22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    Release of Collateral or Guarantors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2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12.11    Additional Secured Parties</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22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    Agent May File Proofs of Claim</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2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12.13    Acknowledgements of Lenders</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r>
    </w:tbl>
    <w:p>
      <w:pPr>
        <w:pStyle w:val="TextBody"/>
        <w:bidi w:val="0"/>
        <w:spacing w:before="0" w:after="283"/>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283"/>
        <w:jc w:val="left"/>
        <w:rPr/>
      </w:pPr>
      <w:r>
        <w:rPr/>
        <w:t> </w:t>
      </w:r>
    </w:p>
    <w:tbl>
      <w:tblPr>
        <w:tblW w:w="7240" w:type="dxa"/>
        <w:jc w:val="left"/>
        <w:tblInd w:w="0" w:type="dxa"/>
        <w:tblLayout w:type="fixed"/>
        <w:tblCellMar>
          <w:top w:w="0" w:type="dxa"/>
          <w:left w:w="0" w:type="dxa"/>
          <w:bottom w:w="0" w:type="dxa"/>
          <w:right w:w="0" w:type="dxa"/>
        </w:tblCellMar>
      </w:tblPr>
      <w:tblGrid>
        <w:gridCol w:w="75"/>
        <w:gridCol w:w="6815"/>
        <w:gridCol w:w="350"/>
      </w:tblGrid>
      <w:tr>
        <w:trPr/>
        <w:tc>
          <w:tcPr>
            <w:tcW w:w="6890" w:type="dxa"/>
            <w:gridSpan w:val="2"/>
            <w:tcBorders/>
            <w:shd w:fill="CCEE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Section 13. GUARANTY</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109</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8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13.01    The Guaranty</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8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13.02    Obligations Unconditional</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8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13.03    Discharge Only Upon Payment in Full.</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8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13.04    Additional Waivers; General Waivers.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8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13.05    Reinstatement</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8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13.06    Subrogation</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8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13.07    Remedies</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8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13.08    Instrument for the Payment of Money</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8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13.09    Continuing Guarantee</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8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13.11    General Limitations on Guarantee Obligations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r>
      <w:tr>
        <w:trPr/>
        <w:tc>
          <w:tcPr>
            <w:tcW w:w="6890" w:type="dxa"/>
            <w:gridSpan w:val="2"/>
            <w:tcBorders/>
            <w:shd w:fill="FFFF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Section 14. MISCELLANEOUS</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115</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8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14.01    No Waiver</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8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14.02    Notices</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8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14.03    Expenses, Indemnification, Etc.</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8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14.04    Amendments, Etc.</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8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14.05    Successors and Assigns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8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14.06    Survival</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8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14.07    Captions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8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14.08    Counterparts, Effectiveness</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8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14.09    Governing Law</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8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14.10    Jurisdiction, Service of Process and Venue</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8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14.11    Waiver of Jury Trial</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8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    Waiver of Immunity</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8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14.13    Entire Agreement</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8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14.14    Severability</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8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    No Fiduciary Relationship</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8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14.16    Confidentiality</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8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14.17    Interest Rate Limitation</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8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14.18    Judgment Currency</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8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14.19    USA PATRIOT Act</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8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14.20    Acknowledgement and Consent to Bail-In of Affected Financial Institutions</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8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14.21    Certain ERISA Matters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r>
    </w:tbl>
    <w:p>
      <w:pPr>
        <w:pStyle w:val="TextBody"/>
        <w:bidi w:val="0"/>
        <w:jc w:val="center"/>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iv</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caps/>
        </w:rPr>
      </w:pPr>
      <w:r>
        <w:rPr>
          <w:caps/>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jc w:val="center"/>
        <w:rPr>
          <w:caps/>
        </w:rPr>
      </w:pPr>
      <w:r>
        <w:rPr>
          <w:caps/>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SCHEDULES AND EXHIBITS</w:t>
      </w:r>
    </w:p>
    <w:p>
      <w:pPr>
        <w:pStyle w:val="TextBody"/>
        <w:bidi w:val="0"/>
        <w:spacing w:before="0" w:after="0"/>
        <w:jc w:val="both"/>
        <w:rPr/>
      </w:pPr>
      <w:r>
        <w:rPr>
          <w:caps w:val="false"/>
          <w:smallCaps w:val="false"/>
        </w:rPr>
        <w:t> </w:t>
      </w:r>
      <w:r>
        <w:rPr/>
        <w:t xml:space="preserve"> </w:t>
      </w:r>
    </w:p>
    <w:tbl>
      <w:tblPr>
        <w:tblW w:w="10205" w:type="dxa"/>
        <w:jc w:val="left"/>
        <w:tblInd w:w="0" w:type="dxa"/>
        <w:tblLayout w:type="fixed"/>
        <w:tblCellMar>
          <w:top w:w="0" w:type="dxa"/>
          <w:left w:w="0" w:type="dxa"/>
          <w:bottom w:w="0" w:type="dxa"/>
          <w:right w:w="0" w:type="dxa"/>
        </w:tblCellMar>
      </w:tblPr>
      <w:tblGrid>
        <w:gridCol w:w="1291"/>
        <w:gridCol w:w="80"/>
        <w:gridCol w:w="8834"/>
      </w:tblGrid>
      <w:tr>
        <w:trPr/>
        <w:tc>
          <w:tcPr>
            <w:tcW w:w="129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w:t>
            </w:r>
          </w:p>
        </w:tc>
        <w:tc>
          <w:tcPr>
            <w:tcW w:w="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Schedule</w:t>
            </w:r>
          </w:p>
        </w:tc>
      </w:tr>
      <w:tr>
        <w:trPr/>
        <w:tc>
          <w:tcPr>
            <w:tcW w:w="129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2</w:t>
            </w:r>
          </w:p>
        </w:tc>
        <w:tc>
          <w:tcPr>
            <w:tcW w:w="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Minimum Net Revenues</w:t>
            </w:r>
          </w:p>
        </w:tc>
      </w:tr>
      <w:tr>
        <w:trPr/>
        <w:tc>
          <w:tcPr>
            <w:tcW w:w="129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4</w:t>
            </w:r>
          </w:p>
        </w:tc>
        <w:tc>
          <w:tcPr>
            <w:tcW w:w="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Products</w:t>
            </w:r>
          </w:p>
        </w:tc>
      </w:tr>
      <w:tr>
        <w:trPr/>
        <w:tc>
          <w:tcPr>
            <w:tcW w:w="129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5</w:t>
            </w:r>
          </w:p>
        </w:tc>
        <w:tc>
          <w:tcPr>
            <w:tcW w:w="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Refinanced Facility</w:t>
            </w:r>
          </w:p>
        </w:tc>
      </w:tr>
      <w:tr>
        <w:trPr/>
        <w:tc>
          <w:tcPr>
            <w:tcW w:w="129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7.05(b)</w:t>
            </w:r>
          </w:p>
        </w:tc>
        <w:tc>
          <w:tcPr>
            <w:tcW w:w="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Intellectual Property</w:t>
            </w:r>
          </w:p>
        </w:tc>
      </w:tr>
      <w:tr>
        <w:trPr/>
        <w:tc>
          <w:tcPr>
            <w:tcW w:w="129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7.06(a)</w:t>
            </w:r>
          </w:p>
        </w:tc>
        <w:tc>
          <w:tcPr>
            <w:tcW w:w="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w:t>
            </w:r>
          </w:p>
        </w:tc>
      </w:tr>
      <w:tr>
        <w:trPr/>
        <w:tc>
          <w:tcPr>
            <w:tcW w:w="129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7.06(c)</w:t>
            </w:r>
          </w:p>
        </w:tc>
        <w:tc>
          <w:tcPr>
            <w:tcW w:w="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Collective Bargaining Agreements</w:t>
            </w:r>
          </w:p>
        </w:tc>
      </w:tr>
      <w:tr>
        <w:trPr/>
        <w:tc>
          <w:tcPr>
            <w:tcW w:w="129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7.08</w:t>
            </w:r>
          </w:p>
        </w:tc>
        <w:tc>
          <w:tcPr>
            <w:tcW w:w="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w:t>
            </w:r>
          </w:p>
        </w:tc>
      </w:tr>
      <w:tr>
        <w:trPr/>
        <w:tc>
          <w:tcPr>
            <w:tcW w:w="129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7.12</w:t>
            </w:r>
          </w:p>
        </w:tc>
        <w:tc>
          <w:tcPr>
            <w:tcW w:w="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Subsidiaries</w:t>
            </w:r>
          </w:p>
        </w:tc>
      </w:tr>
      <w:tr>
        <w:trPr/>
        <w:tc>
          <w:tcPr>
            <w:tcW w:w="129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7.14</w:t>
            </w:r>
          </w:p>
        </w:tc>
        <w:tc>
          <w:tcPr>
            <w:tcW w:w="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Agreements</w:t>
            </w:r>
          </w:p>
        </w:tc>
      </w:tr>
      <w:tr>
        <w:trPr/>
        <w:tc>
          <w:tcPr>
            <w:tcW w:w="129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7.15</w:t>
            </w:r>
          </w:p>
        </w:tc>
        <w:tc>
          <w:tcPr>
            <w:tcW w:w="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Restrictive Agreements</w:t>
            </w:r>
          </w:p>
        </w:tc>
      </w:tr>
      <w:tr>
        <w:trPr/>
        <w:tc>
          <w:tcPr>
            <w:tcW w:w="129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7.16</w:t>
            </w:r>
          </w:p>
        </w:tc>
        <w:tc>
          <w:tcPr>
            <w:tcW w:w="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Property Owned or Leased by Obligors</w:t>
            </w:r>
          </w:p>
        </w:tc>
      </w:tr>
      <w:tr>
        <w:trPr/>
        <w:tc>
          <w:tcPr>
            <w:tcW w:w="129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7.17</w:t>
            </w:r>
          </w:p>
        </w:tc>
        <w:tc>
          <w:tcPr>
            <w:tcW w:w="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Matters</w:t>
            </w:r>
          </w:p>
        </w:tc>
      </w:tr>
      <w:tr>
        <w:trPr/>
        <w:tc>
          <w:tcPr>
            <w:tcW w:w="129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7.18(c)</w:t>
            </w:r>
          </w:p>
        </w:tc>
        <w:tc>
          <w:tcPr>
            <w:tcW w:w="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Findings</w:t>
            </w:r>
          </w:p>
        </w:tc>
      </w:tr>
      <w:tr>
        <w:trPr/>
        <w:tc>
          <w:tcPr>
            <w:tcW w:w="129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7.23</w:t>
            </w:r>
          </w:p>
        </w:tc>
        <w:tc>
          <w:tcPr>
            <w:tcW w:w="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Royalties and Other Payments</w:t>
            </w:r>
          </w:p>
        </w:tc>
      </w:tr>
      <w:tr>
        <w:trPr/>
        <w:tc>
          <w:tcPr>
            <w:tcW w:w="129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9.01(b)</w:t>
            </w:r>
          </w:p>
        </w:tc>
        <w:tc>
          <w:tcPr>
            <w:tcW w:w="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Indebtedness</w:t>
            </w:r>
          </w:p>
        </w:tc>
      </w:tr>
      <w:tr>
        <w:trPr/>
        <w:tc>
          <w:tcPr>
            <w:tcW w:w="129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9.02(b)</w:t>
            </w:r>
          </w:p>
        </w:tc>
        <w:tc>
          <w:tcPr>
            <w:tcW w:w="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Liens</w:t>
            </w:r>
          </w:p>
        </w:tc>
      </w:tr>
      <w:tr>
        <w:trPr/>
        <w:tc>
          <w:tcPr>
            <w:tcW w:w="129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9.05(a)</w:t>
            </w:r>
          </w:p>
        </w:tc>
        <w:tc>
          <w:tcPr>
            <w:tcW w:w="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Investments</w:t>
            </w:r>
          </w:p>
        </w:tc>
      </w:tr>
      <w:tr>
        <w:trPr/>
        <w:tc>
          <w:tcPr>
            <w:tcW w:w="129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9.09</w:t>
            </w:r>
          </w:p>
        </w:tc>
        <w:tc>
          <w:tcPr>
            <w:tcW w:w="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Assets</w:t>
            </w:r>
          </w:p>
        </w:tc>
      </w:tr>
      <w:tr>
        <w:trPr/>
        <w:tc>
          <w:tcPr>
            <w:tcW w:w="129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9.10</w:t>
            </w:r>
          </w:p>
        </w:tc>
        <w:tc>
          <w:tcPr>
            <w:tcW w:w="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with Affiliates</w:t>
            </w:r>
          </w:p>
        </w:tc>
      </w:tr>
      <w:tr>
        <w:trPr/>
        <w:tc>
          <w:tcPr>
            <w:tcW w:w="129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9.14</w:t>
            </w:r>
          </w:p>
        </w:tc>
        <w:tc>
          <w:tcPr>
            <w:tcW w:w="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Sales and Leasebacks</w:t>
            </w:r>
          </w:p>
        </w:tc>
      </w:tr>
      <w:tr>
        <w:trPr/>
        <w:tc>
          <w:tcPr>
            <w:tcW w:w="10205" w:type="dxa"/>
            <w:gridSpan w:val="3"/>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29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tc>
        <w:tc>
          <w:tcPr>
            <w:tcW w:w="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Assignment and Assumption</w:t>
            </w:r>
          </w:p>
        </w:tc>
      </w:tr>
      <w:tr>
        <w:trPr/>
        <w:tc>
          <w:tcPr>
            <w:tcW w:w="129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tc>
        <w:tc>
          <w:tcPr>
            <w:tcW w:w="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Borrowing Notice</w:t>
            </w:r>
          </w:p>
        </w:tc>
      </w:tr>
      <w:tr>
        <w:trPr/>
        <w:tc>
          <w:tcPr>
            <w:tcW w:w="129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w:t>
            </w:r>
          </w:p>
        </w:tc>
        <w:tc>
          <w:tcPr>
            <w:tcW w:w="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Funding Date Certificate</w:t>
            </w:r>
          </w:p>
        </w:tc>
      </w:tr>
      <w:tr>
        <w:trPr/>
        <w:tc>
          <w:tcPr>
            <w:tcW w:w="129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D</w:t>
            </w:r>
          </w:p>
        </w:tc>
        <w:tc>
          <w:tcPr>
            <w:tcW w:w="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r>
      <w:tr>
        <w:trPr/>
        <w:tc>
          <w:tcPr>
            <w:tcW w:w="129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E</w:t>
            </w:r>
          </w:p>
        </w:tc>
        <w:tc>
          <w:tcPr>
            <w:tcW w:w="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Guarantee Assumption Agreement</w:t>
            </w:r>
          </w:p>
        </w:tc>
      </w:tr>
      <w:tr>
        <w:trPr/>
        <w:tc>
          <w:tcPr>
            <w:tcW w:w="129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F</w:t>
            </w:r>
          </w:p>
        </w:tc>
        <w:tc>
          <w:tcPr>
            <w:tcW w:w="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Intercompany Subordination Agreement</w:t>
            </w:r>
          </w:p>
        </w:tc>
      </w:tr>
      <w:tr>
        <w:trPr/>
        <w:tc>
          <w:tcPr>
            <w:tcW w:w="129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G</w:t>
            </w:r>
          </w:p>
        </w:tc>
        <w:tc>
          <w:tcPr>
            <w:tcW w:w="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r>
      <w:tr>
        <w:trPr/>
        <w:tc>
          <w:tcPr>
            <w:tcW w:w="129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H</w:t>
            </w:r>
          </w:p>
        </w:tc>
        <w:tc>
          <w:tcPr>
            <w:tcW w:w="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Note</w:t>
            </w:r>
          </w:p>
        </w:tc>
      </w:tr>
      <w:tr>
        <w:trPr/>
        <w:tc>
          <w:tcPr>
            <w:tcW w:w="129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w:t>
            </w:r>
          </w:p>
        </w:tc>
        <w:tc>
          <w:tcPr>
            <w:tcW w:w="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Warrant</w:t>
            </w:r>
          </w:p>
        </w:tc>
      </w:tr>
      <w:tr>
        <w:trPr/>
        <w:tc>
          <w:tcPr>
            <w:tcW w:w="129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J-1</w:t>
            </w:r>
          </w:p>
        </w:tc>
        <w:tc>
          <w:tcPr>
            <w:tcW w:w="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U.S. Tax Compliance Certificate (For Foreign Lenders That Are Not Partnerships For U.S. Federal Income Tax Purposes)</w:t>
            </w:r>
          </w:p>
        </w:tc>
      </w:tr>
      <w:tr>
        <w:trPr/>
        <w:tc>
          <w:tcPr>
            <w:tcW w:w="129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J-2</w:t>
            </w:r>
          </w:p>
        </w:tc>
        <w:tc>
          <w:tcPr>
            <w:tcW w:w="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U.S. Tax Compliance Certificate (For Foreign Participants That Are Not Partnerships For U.S. Federal Income Tax Purposes)</w:t>
            </w:r>
          </w:p>
        </w:tc>
      </w:tr>
      <w:tr>
        <w:trPr/>
        <w:tc>
          <w:tcPr>
            <w:tcW w:w="129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J-3</w:t>
            </w:r>
          </w:p>
        </w:tc>
        <w:tc>
          <w:tcPr>
            <w:tcW w:w="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U.S. Tax Compliance Certificate (For Foreign Participants That Are Partnerships For U.S. Federal Income Tax Purposes)</w:t>
            </w:r>
          </w:p>
        </w:tc>
      </w:tr>
      <w:tr>
        <w:trPr/>
        <w:tc>
          <w:tcPr>
            <w:tcW w:w="129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J-4</w:t>
            </w:r>
          </w:p>
        </w:tc>
        <w:tc>
          <w:tcPr>
            <w:tcW w:w="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U.S. Tax Compliance Certificate (For Foreign Lenders That Are Partnerships For U.S. Federal Income Tax Purposes)</w:t>
            </w:r>
          </w:p>
        </w:tc>
      </w:tr>
      <w:tr>
        <w:trPr/>
        <w:tc>
          <w:tcPr>
            <w:tcW w:w="129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K</w:t>
            </w:r>
          </w:p>
        </w:tc>
        <w:tc>
          <w:tcPr>
            <w:tcW w:w="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Solvency Certificate</w:t>
            </w:r>
          </w:p>
        </w:tc>
      </w:tr>
      <w:tr>
        <w:trPr/>
        <w:tc>
          <w:tcPr>
            <w:tcW w:w="129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L</w:t>
            </w:r>
          </w:p>
        </w:tc>
        <w:tc>
          <w:tcPr>
            <w:tcW w:w="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Compliance Certificate</w:t>
            </w:r>
          </w:p>
        </w:tc>
      </w:tr>
    </w:tbl>
    <w:p>
      <w:pPr>
        <w:pStyle w:val="TextBody"/>
        <w:bidi w:val="0"/>
        <w:ind w:left="2880" w:right="0" w:hanging="288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v</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caps/>
        </w:rPr>
      </w:pPr>
      <w:r>
        <w:rPr>
          <w:caps/>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CREDIT AGREEMENT AND GUARANTY</w:t>
      </w:r>
    </w:p>
    <w:p>
      <w:pPr>
        <w:pStyle w:val="TextBody"/>
        <w:bidi w:val="0"/>
        <w:jc w:val="center"/>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AGREEMENT AND GUARANTY, dated as of March 27, 2023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xml:space="preserve">”), among </w:t>
      </w:r>
      <w:r>
        <w:rPr>
          <w:rFonts w:ascii="Times New Roman;Times;Serif" w:hAnsi="Times New Roman;Times;Serif"/>
          <w:b/>
          <w:i w:val="false"/>
          <w:caps w:val="false"/>
          <w:smallCaps w:val="false"/>
          <w:sz w:val="20"/>
        </w:rPr>
        <w:t>HARROW HEALTH, INC.</w:t>
      </w:r>
      <w:r>
        <w:rPr>
          <w:rFonts w:ascii="Times New Roman;Times;Serif" w:hAnsi="Times New Roman;Times;Serif"/>
          <w:b w:val="false"/>
          <w:i w:val="false"/>
          <w:caps w:val="false"/>
          <w:smallCaps w:val="false"/>
          <w:sz w:val="20"/>
        </w:rPr>
        <w:t>, a Delaware corporation (the “</w:t>
      </w:r>
      <w:r>
        <w:rPr>
          <w:rFonts w:ascii="Times New Roman;Times;Serif" w:hAnsi="Times New Roman;Times;Serif"/>
          <w:b/>
          <w:i/>
          <w:caps w:val="false"/>
          <w:smallCaps w:val="false"/>
          <w:sz w:val="20"/>
        </w:rPr>
        <w:t>Borrower</w:t>
      </w:r>
      <w:r>
        <w:rPr>
          <w:rFonts w:ascii="Times New Roman;Times;Serif" w:hAnsi="Times New Roman;Times;Serif"/>
          <w:b w:val="false"/>
          <w:i w:val="false"/>
          <w:caps w:val="false"/>
          <w:smallCaps w:val="false"/>
          <w:sz w:val="20"/>
        </w:rPr>
        <w:t>”), certain Subsidiaries of the Borrower required to provide Guarantees from time to time hereunder, the lenders from time to time party hereto (each a “</w:t>
      </w:r>
      <w:r>
        <w:rPr>
          <w:rFonts w:ascii="Times New Roman;Times;Serif" w:hAnsi="Times New Roman;Times;Serif"/>
          <w:b/>
          <w:i/>
          <w:caps w:val="false"/>
          <w:smallCaps w:val="false"/>
          <w:sz w:val="20"/>
        </w:rPr>
        <w:t>Lender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Lenders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OAKTREE FUND ADMINISTRATION, LLC</w:t>
      </w:r>
      <w:r>
        <w:rPr>
          <w:rFonts w:ascii="Times New Roman;Times;Serif" w:hAnsi="Times New Roman;Times;Serif"/>
          <w:b w:val="false"/>
          <w:i w:val="false"/>
          <w:caps w:val="false"/>
          <w:smallCaps w:val="false"/>
          <w:sz w:val="20"/>
        </w:rPr>
        <w:t>, as administrative agent for the Lenders (in such capacity, the “</w:t>
      </w:r>
      <w:r>
        <w:rPr>
          <w:rFonts w:ascii="Times New Roman;Times;Serif" w:hAnsi="Times New Roman;Times;Serif"/>
          <w:b/>
          <w:i/>
          <w:caps w:val="false"/>
          <w:smallCaps w:val="false"/>
          <w:sz w:val="20"/>
        </w:rPr>
        <w:t>Administrative Agent</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WITNESSETH:</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has requested that the Lenders provide a senior secured term loan facility to the Borrower in an aggregate principal amount of $100,000,000, consisting of (a) a $65,000,000 Tranche A Term Loan to be extended on the Closing Date and (b) an up to $35,000,000 Tranche B Term Loan to be extended on the Tranche B Funding Date; and</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Lenders are willing, on the terms and subject to the conditions set forth herein, to provide such senior secured term loan facility.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parties hereto agree as follows:</w:t>
      </w:r>
    </w:p>
    <w:p>
      <w:pPr>
        <w:pStyle w:val="TextBody"/>
        <w:bidi w:val="0"/>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Section 1.</w:t>
      </w:r>
      <w:r>
        <w:rPr>
          <w:rFonts w:ascii="Times New Roman;Times;Serif" w:hAnsi="Times New Roman;Times;Serif"/>
          <w:b/>
          <w:i w:val="false"/>
          <w:caps w:val="false"/>
          <w:smallCaps w:val="false"/>
          <w:sz w:val="20"/>
        </w:rPr>
        <w:br/>
        <w:t>DEFINITIONS</w:t>
      </w:r>
    </w:p>
    <w:p>
      <w:pPr>
        <w:pStyle w:val="TextBody"/>
        <w:bidi w:val="0"/>
        <w:ind w:left="0" w:right="0" w:hanging="0"/>
        <w:jc w:val="center"/>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 Certain Defined Terms</w:t>
      </w:r>
      <w:r>
        <w:rPr>
          <w:rFonts w:ascii="Times New Roman;Times;Serif" w:hAnsi="Times New Roman;Times;Serif"/>
          <w:b w:val="false"/>
          <w:i w:val="false"/>
          <w:caps w:val="false"/>
          <w:smallCaps w:val="false"/>
          <w:sz w:val="20"/>
        </w:rPr>
        <w:t>. As used herein, the following terms have the following respective meanings:</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Acquisition</w:t>
      </w:r>
      <w:r>
        <w:rPr>
          <w:rFonts w:ascii="Times New Roman;Times;Serif" w:hAnsi="Times New Roman;Times;Serif"/>
          <w:b w:val="false"/>
          <w:i w:val="false"/>
          <w:caps w:val="false"/>
          <w:smallCaps w:val="false"/>
          <w:sz w:val="20"/>
        </w:rPr>
        <w:t>” means any transaction, or any series of related transactions, by which any Person, directly or indirectly, by means of amalgamation, merger, purchase of assets, purchase of Equity Interests, exclusive licensing of Intellectual Property or otherwise, (i) acquires all or substantially all of the assets of any other Person, (ii) acquires an entire business line or unit or division of any other Person, (iii) with respect to any other Person that is managed or governed by a Board, acquires control of Equity Interests of such other Person representing more than fifty percent (50%) of the ordinary voting power (determined on a fully-diluted basis) for the election of directors of such Person’s Board, or (iv) acquires control of more than fifty percent (50%) of the Equity Interests in any other Person (determined on a fully-diluted basis) that is not managed by a Board.</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Administrative Agent</w:t>
      </w:r>
      <w:r>
        <w:rPr>
          <w:rFonts w:ascii="Times New Roman;Times;Serif" w:hAnsi="Times New Roman;Times;Serif"/>
          <w:b w:val="false"/>
          <w:i w:val="false"/>
          <w:caps w:val="false"/>
          <w:smallCaps w:val="false"/>
          <w:sz w:val="20"/>
        </w:rPr>
        <w:t>” has the meaning set forth in the preamble hereto.</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Affected Financial Institution</w:t>
      </w:r>
      <w:r>
        <w:rPr>
          <w:rFonts w:ascii="Times New Roman;Times;Serif" w:hAnsi="Times New Roman;Times;Serif"/>
          <w:b w:val="false"/>
          <w:i w:val="false"/>
          <w:caps w:val="false"/>
          <w:smallCaps w:val="false"/>
          <w:sz w:val="20"/>
        </w:rPr>
        <w:t>” means (a) any EEA Financial Institution or (b) any U.K. Financial Institution.</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means, with respect to a specified Person, another Person that directly, or indirectly through one or more intermediaries, Controls or is Controlled by or is under common Control with the Person specified.</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has the meaning set forth in the preamble hereto.</w:t>
      </w:r>
    </w:p>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ANDA</w:t>
      </w:r>
      <w:r>
        <w:rPr>
          <w:rFonts w:ascii="Times New Roman;Times;Serif" w:hAnsi="Times New Roman;Times;Serif"/>
          <w:b w:val="false"/>
          <w:i w:val="false"/>
          <w:caps w:val="false"/>
          <w:smallCaps w:val="false"/>
          <w:sz w:val="20"/>
        </w:rPr>
        <w:t>” means (i) (x) an abbreviated new drug application (as defined in the FD&amp;C Act) and (y) any similar application or functional equivalent relating to any new drug application applicable to or required by any non-U.S. Governmental Authority, and (ii) all supplements and amendments that may be filed with respect to any of the foregoing.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Anti-Terrorism Laws</w:t>
      </w:r>
      <w:r>
        <w:rPr>
          <w:rFonts w:ascii="Times New Roman;Times;Serif" w:hAnsi="Times New Roman;Times;Serif"/>
          <w:b w:val="false"/>
          <w:i w:val="false"/>
          <w:caps w:val="false"/>
          <w:smallCaps w:val="false"/>
          <w:sz w:val="20"/>
        </w:rPr>
        <w:t>” means any laws relating to terrorism or money laundering, including, without limitation, (i) the Money Laundering Control Act of 1986 (e.g., 18 U.S.C. §§ 1956 and 1957), (ii) the Bank Secrecy Act of 1970 (e.g., 31 U.S.C. §§ 5311 – 5330), as amended by the Patriot Act, (iii) the laws, regulations and Executive Orders administered by the United States Department of the Treasury’s Office of Foreign Assets Control (“</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(iv) the Comprehensive Iran Sanctions, Accountability, and Divestment Act of 2010 and implementing regulations by the United States Department of the Treasury, (v) any law prohibiting or directed against terrorist activities or the financing of terrorist activities (e.g., 18 U.S.C. §§ 2339A and 2339B), or (vi) any similar laws enacted in the United States or any other jurisdictions in which the parties to this agreement operate, and all other present and future legal requirements of any Governmental Authority governing, addressing, relating to, or attempting to eliminate, terrorist acts and acts of war.</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Applicable Commitment</w:t>
      </w:r>
      <w:r>
        <w:rPr>
          <w:rFonts w:ascii="Times New Roman;Times;Serif" w:hAnsi="Times New Roman;Times;Serif"/>
          <w:b w:val="false"/>
          <w:i w:val="false"/>
          <w:caps w:val="false"/>
          <w:smallCaps w:val="false"/>
          <w:sz w:val="20"/>
        </w:rPr>
        <w:t>” means the Tranche A Commitment or the Tranche B Commitment, as applicable.</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Applicable Funding Date</w:t>
      </w:r>
      <w:r>
        <w:rPr>
          <w:rFonts w:ascii="Times New Roman;Times;Serif" w:hAnsi="Times New Roman;Times;Serif"/>
          <w:b w:val="false"/>
          <w:i w:val="false"/>
          <w:caps w:val="false"/>
          <w:smallCaps w:val="false"/>
          <w:sz w:val="20"/>
        </w:rPr>
        <w:t>” means the Closing Date or the Tranche B Funding Date, as applicable.</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Applicable Margin</w:t>
      </w:r>
      <w:r>
        <w:rPr>
          <w:rFonts w:ascii="Times New Roman;Times;Serif" w:hAnsi="Times New Roman;Times;Serif"/>
          <w:b w:val="false"/>
          <w:i w:val="false"/>
          <w:caps w:val="false"/>
          <w:smallCaps w:val="false"/>
          <w:sz w:val="20"/>
        </w:rPr>
        <w:t>” means a percentage equal to 6.50%.</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Arm’s Length Transaction</w:t>
      </w:r>
      <w:r>
        <w:rPr>
          <w:rFonts w:ascii="Times New Roman;Times;Serif" w:hAnsi="Times New Roman;Times;Serif"/>
          <w:b w:val="false"/>
          <w:i w:val="false"/>
          <w:caps w:val="false"/>
          <w:smallCaps w:val="false"/>
          <w:sz w:val="20"/>
        </w:rPr>
        <w:t>” means, with respect to any transaction, the terms of such transaction shall not be less favorable to the Borrower or any of its Subsidiaries than commercially reasonable terms that would be obtained in a transaction with a Person that is an unrelated third party.</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Asset Sale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9.09</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Assignment and Assumption</w:t>
      </w:r>
      <w:r>
        <w:rPr>
          <w:rFonts w:ascii="Times New Roman;Times;Serif" w:hAnsi="Times New Roman;Times;Serif"/>
          <w:b w:val="false"/>
          <w:i w:val="false"/>
          <w:caps w:val="false"/>
          <w:smallCaps w:val="false"/>
          <w:sz w:val="20"/>
        </w:rPr>
        <w:t xml:space="preserve">” means an assignment and assumption entered into by a Lender and an assignee of such Lender substantially in the form of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or such other form as agreed by the Administrative Agent.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Bail-In Action</w:t>
      </w:r>
      <w:r>
        <w:rPr>
          <w:rFonts w:ascii="Times New Roman;Times;Serif" w:hAnsi="Times New Roman;Times;Serif"/>
          <w:b w:val="false"/>
          <w:i w:val="false"/>
          <w:caps w:val="false"/>
          <w:smallCaps w:val="false"/>
          <w:sz w:val="20"/>
        </w:rPr>
        <w:t>” means the exercise of any Write-Down and Conversion Powers by the applicable EEA Resolution Authority or U.K. Resolution Authority in respect of any liability of an Affected Financial Institution.</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Bail-In Legislation</w:t>
      </w:r>
      <w:r>
        <w:rPr>
          <w:rFonts w:ascii="Times New Roman;Times;Serif" w:hAnsi="Times New Roman;Times;Serif"/>
          <w:b w:val="false"/>
          <w:i w:val="false"/>
          <w:caps w:val="false"/>
          <w:smallCaps w:val="false"/>
          <w:sz w:val="20"/>
        </w:rPr>
        <w:t>” 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Bailee Letter</w:t>
      </w:r>
      <w:r>
        <w:rPr>
          <w:rFonts w:ascii="Times New Roman;Times;Serif" w:hAnsi="Times New Roman;Times;Serif"/>
          <w:b w:val="false"/>
          <w:i w:val="false"/>
          <w:caps w:val="false"/>
          <w:smallCaps w:val="false"/>
          <w:sz w:val="20"/>
        </w:rPr>
        <w:t>” means a bailee letter substantially in the form of Exhibit F to the Security Agreement.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Bankruptcy Code</w:t>
      </w:r>
      <w:r>
        <w:rPr>
          <w:rFonts w:ascii="Times New Roman;Times;Serif" w:hAnsi="Times New Roman;Times;Serif"/>
          <w:b w:val="false"/>
          <w:i w:val="false"/>
          <w:caps w:val="false"/>
          <w:smallCaps w:val="false"/>
          <w:sz w:val="20"/>
        </w:rPr>
        <w:t>” means Title 11 of the United States Code entitled “Bankruptcy.”</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Benefit Plan</w:t>
      </w:r>
      <w:r>
        <w:rPr>
          <w:rFonts w:ascii="Times New Roman;Times;Serif" w:hAnsi="Times New Roman;Times;Serif"/>
          <w:b w:val="false"/>
          <w:i w:val="false"/>
          <w:caps w:val="false"/>
          <w:smallCaps w:val="false"/>
          <w:sz w:val="20"/>
        </w:rPr>
        <w:t>” means any employee benefit plan as defined in Section 3(3) of ERISA (whether governed by the laws of the United States or otherwise) to which any Obligor or Subsidiary thereof incurs or otherwise has any obligation or liability, contingent or otherwise.</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Beneficial Ownership Certification</w:t>
      </w:r>
      <w:r>
        <w:rPr>
          <w:rFonts w:ascii="Times New Roman;Times;Serif" w:hAnsi="Times New Roman;Times;Serif"/>
          <w:b w:val="false"/>
          <w:i w:val="false"/>
          <w:caps w:val="false"/>
          <w:smallCaps w:val="false"/>
          <w:sz w:val="20"/>
        </w:rPr>
        <w:t>” means a certification regarding beneficial ownership as required by the Beneficial Ownership Regulation.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Beneficial Ownership Regulation</w:t>
      </w:r>
      <w:r>
        <w:rPr>
          <w:rFonts w:ascii="Times New Roman;Times;Serif" w:hAnsi="Times New Roman;Times;Serif"/>
          <w:b w:val="false"/>
          <w:i w:val="false"/>
          <w:caps w:val="false"/>
          <w:smallCaps w:val="false"/>
          <w:sz w:val="20"/>
        </w:rPr>
        <w:t>” means 31 C.F.R. § 1010.230.</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BLA</w:t>
      </w:r>
      <w:r>
        <w:rPr>
          <w:rFonts w:ascii="Times New Roman;Times;Serif" w:hAnsi="Times New Roman;Times;Serif"/>
          <w:b w:val="false"/>
          <w:i w:val="false"/>
          <w:caps w:val="false"/>
          <w:smallCaps w:val="false"/>
          <w:sz w:val="20"/>
        </w:rPr>
        <w:t>” means (i) (x) a biologics license application (as defined in the Public Health Service Act) to introduce, or deliver for introduction, a biologic product, including vaccines into commerce in the U.S., or any successor application or procedure and (y) any similar application or functional equivalent relating to biologics licensing applicable to or required by any non-U.S. Governmental Authority, and (ii) all supplements and amendments that may be filed with respect to the foregoing.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means, with respect to any Person, the board of directors or equivalent management or oversight body of such Person or any committee thereof authorized to act on behalf of such board (or equivalent body).</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Borrower</w:t>
      </w:r>
      <w:r>
        <w:rPr>
          <w:rFonts w:ascii="Times New Roman;Times;Serif" w:hAnsi="Times New Roman;Times;Serif"/>
          <w:b w:val="false"/>
          <w:i w:val="false"/>
          <w:caps w:val="false"/>
          <w:smallCaps w:val="false"/>
          <w:sz w:val="20"/>
        </w:rPr>
        <w:t>” has the meaning set forth in the preamble hereto.</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Borrowing</w:t>
      </w:r>
      <w:r>
        <w:rPr>
          <w:rFonts w:ascii="Times New Roman;Times;Serif" w:hAnsi="Times New Roman;Times;Serif"/>
          <w:b w:val="false"/>
          <w:i w:val="false"/>
          <w:caps w:val="false"/>
          <w:smallCaps w:val="false"/>
          <w:sz w:val="20"/>
        </w:rPr>
        <w:t>” means the borrowing of the Loans on each Applicable Funding Date.</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Borrowing Notice</w:t>
      </w:r>
      <w:r>
        <w:rPr>
          <w:rFonts w:ascii="Times New Roman;Times;Serif" w:hAnsi="Times New Roman;Times;Serif"/>
          <w:b w:val="false"/>
          <w:i w:val="false"/>
          <w:caps w:val="false"/>
          <w:smallCaps w:val="false"/>
          <w:sz w:val="20"/>
        </w:rPr>
        <w:t xml:space="preserve">” means a written notice substantially in the form of </w:t>
      </w:r>
      <w:r>
        <w:rPr>
          <w:rFonts w:ascii="Times New Roman;Times;Serif" w:hAnsi="Times New Roman;Times;Serif"/>
          <w:b/>
          <w:i w:val="false"/>
          <w:caps w:val="false"/>
          <w:smallCaps w:val="false"/>
          <w:sz w:val="20"/>
        </w:rPr>
        <w:t>Exhibit B</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Bringdown Date</w:t>
      </w:r>
      <w:r>
        <w:rPr>
          <w:rFonts w:ascii="Times New Roman;Times;Serif" w:hAnsi="Times New Roman;Times;Serif"/>
          <w:b w:val="false"/>
          <w:i w:val="false"/>
          <w:caps w:val="false"/>
          <w:smallCaps w:val="false"/>
          <w:sz w:val="20"/>
        </w:rPr>
        <w:t xml:space="preserve">” means each date on which a Loan is advanced pursuant to </w:t>
      </w:r>
      <w:r>
        <w:rPr>
          <w:rFonts w:ascii="Times New Roman;Times;Serif" w:hAnsi="Times New Roman;Times;Serif"/>
          <w:b/>
          <w:i w:val="false"/>
          <w:caps w:val="false"/>
          <w:smallCaps w:val="false"/>
          <w:sz w:val="20"/>
        </w:rPr>
        <w:t>Section 2.01</w:t>
      </w:r>
      <w:r>
        <w:rPr>
          <w:rFonts w:ascii="Times New Roman;Times;Serif" w:hAnsi="Times New Roman;Times;Serif"/>
          <w:b w:val="false"/>
          <w:i w:val="false"/>
          <w:caps w:val="false"/>
          <w:smallCaps w:val="false"/>
          <w:sz w:val="20"/>
        </w:rPr>
        <w:t xml:space="preserve"> and any other date the representations and warranties under the Loan Documents are required to be made (other than the Closing Date).</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means a day (other than a Saturday or Sunday) on which commercial banks are not authorized or required to close in New York City.</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Capital Lease Obligations</w:t>
      </w:r>
      <w:r>
        <w:rPr>
          <w:rFonts w:ascii="Times New Roman;Times;Serif" w:hAnsi="Times New Roman;Times;Serif"/>
          <w:b w:val="false"/>
          <w:i w:val="false"/>
          <w:caps w:val="false"/>
          <w:smallCaps w:val="false"/>
          <w:sz w:val="20"/>
        </w:rPr>
        <w:t>” means, as to any Person, the obligations of such Person to pay rent or other amounts under a lease of (or other agreement conveying the right to use) real and/or personal property, which obligations are required to be classified and accounted for as a capital lease or finance lease on a balance sheet of such Person under GAAP, and for the purposes of this Agreement, the amount of such obligations shall be the capitalized amount thereof, determined in accordance with GAAP. “Capital Lease Obligations” shall not include any obligations under a straight-line or operating lease (including any lease that would not have been a capital lease under GAAP prior to giving effect to Accounting Standards Codification 842, Leases).</w:t>
      </w:r>
    </w:p>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Casualty Event</w:t>
      </w:r>
      <w:r>
        <w:rPr>
          <w:rFonts w:ascii="Times New Roman;Times;Serif" w:hAnsi="Times New Roman;Times;Serif"/>
          <w:b w:val="false"/>
          <w:i w:val="false"/>
          <w:caps w:val="false"/>
          <w:smallCaps w:val="false"/>
          <w:sz w:val="20"/>
        </w:rPr>
        <w:t>” means the damage, destruction or condemnation, as the case may be, of property of the Borrower or any of its Subsidiaries in excess of $2,000,000.</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Change of Control</w:t>
      </w:r>
      <w:r>
        <w:rPr>
          <w:rFonts w:ascii="Times New Roman;Times;Serif" w:hAnsi="Times New Roman;Times;Serif"/>
          <w:b w:val="false"/>
          <w:i w:val="false"/>
          <w:caps w:val="false"/>
          <w:smallCaps w:val="false"/>
          <w:sz w:val="20"/>
        </w:rPr>
        <w:t>” means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event or series of events (i) as a result of which any “person” or “group” (as such terms are used in Sections 13(d) and 14(d) of the Securities Act, but excluding any of such person or its Subsidiaries, and any Person acting in its capacity as trustee, agent or other fiduciary or administrator of any Plan) becomes the “beneficial owner” (as defined in Rules 13d-3 and 13d-5 under the Exchange Act, except that a person or group shall be deemed to have “beneficial ownership” of all Equity Interests that such person or group has the right to acquire, whether such right is exercisable immediately or only after the passage of time (such right, an “</w:t>
      </w:r>
      <w:r>
        <w:rPr>
          <w:rFonts w:ascii="Times New Roman;Times;Serif" w:hAnsi="Times New Roman;Times;Serif"/>
          <w:b/>
          <w:i/>
          <w:caps w:val="false"/>
          <w:smallCaps w:val="false"/>
          <w:sz w:val="20"/>
        </w:rPr>
        <w:t>option right</w:t>
      </w:r>
      <w:r>
        <w:rPr>
          <w:rFonts w:ascii="Times New Roman;Times;Serif" w:hAnsi="Times New Roman;Times;Serif"/>
          <w:b w:val="false"/>
          <w:i w:val="false"/>
          <w:caps w:val="false"/>
          <w:smallCaps w:val="false"/>
          <w:sz w:val="20"/>
        </w:rPr>
        <w:t>”)), directly or indirectly, of thirty-five percent (35%) or more of the Equity Interests of the Borrower entitled to vote for members of the Board of the Borrower on a fully-diluted basis (and taking into account all such Equity Interests that such person or group has the right to acquire pursuant to any option right) or (ii) as a result of which, during any period of twelve (12) consecutive months, a majority of the members of the Board of the Borrower cease to be composed of individuals (A) who were members of such Board on the first day of such period, (B) who were elected, appointed or nominated to such Board, or whose election, appointment or nomination to such Board was approved, by individuals referred to in clause (A) above constituting at the time of such election, appointment, nomination or approval at least a majority of such Board or equivalent governing body or (C) who were elected, appointed or nominated to such Board, or whose election, appointment or nomination to such Board was approved, by individuals referred to in clauses (A) and (B) above constituting at the time of such election, appointment, nomination or approval at least a majority of such Board;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to the extent permitted by this Agreement, an event or series of events that results in the Borrower’s failure to own, directly or indirectly, beneficially and of record, one hundred percent (100%) of all issued and outstanding Equity Interests of each Subsidiary Guarantor (other than Visionology, Inc. and Visionology MSO, Inc.);</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to the extent permitted by this Agreement, an event or series of events that results in the Borrower’s failure to own, directly or indirectly, beneficially and of record, at least fifty-one percent (51%) of all issued and outstanding Equity Interests of each of Visionology, Inc. and Visionology MSO, Inc.; or</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 event or series of events that results in the sale of all or substantially all of the assets of the Borrower and its Subsidiaries, taken as a whole.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Claims</w:t>
      </w:r>
      <w:r>
        <w:rPr>
          <w:rFonts w:ascii="Times New Roman;Times;Serif" w:hAnsi="Times New Roman;Times;Serif"/>
          <w:b w:val="false"/>
          <w:i w:val="false"/>
          <w:caps w:val="false"/>
          <w:smallCaps w:val="false"/>
          <w:sz w:val="20"/>
        </w:rPr>
        <w:t>” means (and includes) any claim, demand, complaint, grievance, action, application, suit, cause of action, order, charge, indictment, prosecution, judgement or other similar process, whether in respect of assessments or reassessments, debts, liabilities, expenses, costs, damages or losses, contingent or otherwise, whether liquidated or unliquidated, matured or unmatured, disputed or undisputed, contractual, legal or equitable, including loss of value, professional fees, including fees and disbursements of legal counsel, and all costs incurred in investigating or pursuing any of the foregoing or any proceeding relating to any of the foregoing.</w:t>
      </w:r>
    </w:p>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Closing Date</w:t>
      </w:r>
      <w:r>
        <w:rPr>
          <w:rFonts w:ascii="Times New Roman;Times;Serif" w:hAnsi="Times New Roman;Times;Serif"/>
          <w:b w:val="false"/>
          <w:i w:val="false"/>
          <w:caps w:val="false"/>
          <w:smallCaps w:val="false"/>
          <w:sz w:val="20"/>
        </w:rPr>
        <w:t xml:space="preserve">” means the date on which the conditions precedent specified in </w:t>
      </w:r>
      <w:r>
        <w:rPr>
          <w:rFonts w:ascii="Times New Roman;Times;Serif" w:hAnsi="Times New Roman;Times;Serif"/>
          <w:b/>
          <w:i w:val="false"/>
          <w:caps w:val="false"/>
          <w:smallCaps w:val="false"/>
          <w:sz w:val="20"/>
        </w:rPr>
        <w:t>Section 6.01</w:t>
      </w:r>
      <w:r>
        <w:rPr>
          <w:rFonts w:ascii="Times New Roman;Times;Serif" w:hAnsi="Times New Roman;Times;Serif"/>
          <w:b w:val="false"/>
          <w:i w:val="false"/>
          <w:caps w:val="false"/>
          <w:smallCaps w:val="false"/>
          <w:sz w:val="20"/>
        </w:rPr>
        <w:t xml:space="preserve"> are satisfied (or waived in accordance with </w:t>
      </w:r>
      <w:r>
        <w:rPr>
          <w:rFonts w:ascii="Times New Roman;Times;Serif" w:hAnsi="Times New Roman;Times;Serif"/>
          <w:b/>
          <w:i w:val="false"/>
          <w:caps w:val="false"/>
          <w:smallCaps w:val="false"/>
          <w:sz w:val="20"/>
        </w:rPr>
        <w:t>Section 14.04</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CME</w:t>
      </w:r>
      <w:r>
        <w:rPr>
          <w:rFonts w:ascii="Times New Roman;Times;Serif" w:hAnsi="Times New Roman;Times;Serif"/>
          <w:b w:val="false"/>
          <w:i w:val="false"/>
          <w:caps w:val="false"/>
          <w:smallCaps w:val="false"/>
          <w:sz w:val="20"/>
        </w:rPr>
        <w:t>” means CME Group Benchmark Administration Limited.</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means the Internal Revenue Code of 1986, as amended from time to time, and the rules and regulations promulgated thereunder from time to time.</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Collateral</w:t>
      </w:r>
      <w:r>
        <w:rPr>
          <w:rFonts w:ascii="Times New Roman;Times;Serif" w:hAnsi="Times New Roman;Times;Serif"/>
          <w:b w:val="false"/>
          <w:i w:val="false"/>
          <w:caps w:val="false"/>
          <w:smallCaps w:val="false"/>
          <w:sz w:val="20"/>
        </w:rPr>
        <w:t xml:space="preserve">” means any real, personal and mixed property (including Equity Interests), whether tangible or intangible, in which Liens are granted or purported to be granted to the Administrative Agent as security for the Obligations under any Loan Document on or after the Closing Date, including future acquired or created assets or property (or collectively, all such real, personal and mixed property, as the context may require);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for the avoidance of doubt, “Collateral” shall not include any Excluded Assets (as defined in the Security Agreement).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Commitment</w:t>
      </w:r>
      <w:r>
        <w:rPr>
          <w:rFonts w:ascii="Times New Roman;Times;Serif" w:hAnsi="Times New Roman;Times;Serif"/>
          <w:b w:val="false"/>
          <w:i w:val="false"/>
          <w:caps w:val="false"/>
          <w:smallCaps w:val="false"/>
          <w:sz w:val="20"/>
        </w:rPr>
        <w:t xml:space="preserve">” means, with respect to each Lender, the obligation of such Lender to make Loans to the Borrower on the Closing Date or the Tranche B Funding Date, as applicable, in accordance with the terms and conditions of this Agreement, which commitment is in the amount set forth opposite such Lender’s name on </w:t>
      </w:r>
      <w:r>
        <w:rPr>
          <w:rFonts w:ascii="Times New Roman;Times;Serif" w:hAnsi="Times New Roman;Times;Serif"/>
          <w:b/>
          <w:i w:val="false"/>
          <w:caps w:val="false"/>
          <w:smallCaps w:val="false"/>
          <w:sz w:val="20"/>
        </w:rPr>
        <w:t>Schedule 1</w:t>
      </w:r>
      <w:r>
        <w:rPr>
          <w:rFonts w:ascii="Times New Roman;Times;Serif" w:hAnsi="Times New Roman;Times;Serif"/>
          <w:b w:val="false"/>
          <w:i w:val="false"/>
          <w:caps w:val="false"/>
          <w:smallCaps w:val="false"/>
          <w:sz w:val="20"/>
        </w:rPr>
        <w:t xml:space="preserve"> under the caption “Applicable Commitment”, as such Schedule may be amended from time to time pursuant to an Assignment and Assumption or otherwise pursuant to this Agreement. The aggregate amount of Commitments on the Closing Date equals $100,000,000.</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Commitment Fee</w:t>
      </w:r>
      <w:r>
        <w:rPr>
          <w:rFonts w:ascii="Times New Roman;Times;Serif" w:hAnsi="Times New Roman;Times;Serif"/>
          <w:b w:val="false"/>
          <w:i w:val="false"/>
          <w:caps w:val="false"/>
          <w:smallCaps w:val="false"/>
          <w:sz w:val="20"/>
        </w:rPr>
        <w:t>” has the meaning set forth in the Fee Letter.</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Commitment Termination Date</w:t>
      </w:r>
      <w:r>
        <w:rPr>
          <w:rFonts w:ascii="Times New Roman;Times;Serif" w:hAnsi="Times New Roman;Times;Serif"/>
          <w:b w:val="false"/>
          <w:i w:val="false"/>
          <w:caps w:val="false"/>
          <w:smallCaps w:val="false"/>
          <w:sz w:val="20"/>
        </w:rPr>
        <w:t xml:space="preserve">” means (i) with respect to the Tranche A Commitment, the Closing Date and (ii) with respect to the Tranche B Commitment, the earlier to occur of (x) the date the Tranche B Commitment is terminated pursuant to </w:t>
      </w:r>
      <w:r>
        <w:rPr>
          <w:rFonts w:ascii="Times New Roman;Times;Serif" w:hAnsi="Times New Roman;Times;Serif"/>
          <w:b/>
          <w:i w:val="false"/>
          <w:caps w:val="false"/>
          <w:smallCaps w:val="false"/>
          <w:sz w:val="20"/>
        </w:rPr>
        <w:t>Section 3.04</w:t>
      </w:r>
      <w:r>
        <w:rPr>
          <w:rFonts w:ascii="Times New Roman;Times;Serif" w:hAnsi="Times New Roman;Times;Serif"/>
          <w:b w:val="false"/>
          <w:i w:val="false"/>
          <w:caps w:val="false"/>
          <w:smallCaps w:val="false"/>
          <w:sz w:val="20"/>
        </w:rPr>
        <w:t xml:space="preserve"> and (y) January 31, 2025.</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 Competitor</w:t>
      </w:r>
      <w:r>
        <w:rPr>
          <w:rFonts w:ascii="Times New Roman;Times;Serif" w:hAnsi="Times New Roman;Times;Serif"/>
          <w:b w:val="false"/>
          <w:i w:val="false"/>
          <w:caps w:val="false"/>
          <w:smallCaps w:val="false"/>
          <w:sz w:val="20"/>
        </w:rPr>
        <w:t>” means (i) any competitor of the Borrower or any of its Subsidiaries primarily operating in the same line of business as the Borrower or any of its Subsidiaries and (ii) any of such competitor’s Affiliates (other than any Person that is a bona fide debt fund primarily engaged in the making, purchasing, holding or other investing in commercial loans, notes, bonds or similar extensions of credit or securities in the Ordinary Course) that are either (x) identified by name in writing by the Borrower to the Administrative Agent from time to time or (y) clearly identifiable as an Affiliate of a competitor on the basis of such Affiliate’s name. Notwithstanding anything to the contrary contained in this Agreement, Administrative Agent shall not have any duty or obligation to carry out due diligence in order to identify or determine whether a Person would be a Company Competitor, and the Administrative Agent shall have no liability with respect to any assignment or participation made to a Company Competitor.</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Compliance Certificate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8.01(c)</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Conforming Changes</w:t>
      </w:r>
      <w:r>
        <w:rPr>
          <w:rFonts w:ascii="Times New Roman;Times;Serif" w:hAnsi="Times New Roman;Times;Serif"/>
          <w:b w:val="false"/>
          <w:i w:val="false"/>
          <w:caps w:val="false"/>
          <w:smallCaps w:val="false"/>
          <w:sz w:val="20"/>
        </w:rPr>
        <w:t>” means, with respect to the use, administration of or any conventions associated with Term SOFR or any proposed Successor Rate, as applicable, any conforming changes to the definitions of “Term SOFR”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and other technical, administrative or operational matters) as may be appropriate, in the discretion of the Administrative Agent,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determines is reasonably necessary in connection with the administration of this Agreement and any other Loan Document).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Connection Income Taxes</w:t>
      </w:r>
      <w:r>
        <w:rPr>
          <w:rFonts w:ascii="Times New Roman;Times;Serif" w:hAnsi="Times New Roman;Times;Serif"/>
          <w:b w:val="false"/>
          <w:i w:val="false"/>
          <w:caps w:val="false"/>
          <w:smallCaps w:val="false"/>
          <w:sz w:val="20"/>
        </w:rPr>
        <w:t>” means Other Connection Taxes that are imposed on or measured by net income (however denominated) or that are franchise Taxes or branch profits Taxes.</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Contracts</w:t>
      </w:r>
      <w:r>
        <w:rPr>
          <w:rFonts w:ascii="Times New Roman;Times;Serif" w:hAnsi="Times New Roman;Times;Serif"/>
          <w:b w:val="false"/>
          <w:i w:val="false"/>
          <w:caps w:val="false"/>
          <w:smallCaps w:val="false"/>
          <w:sz w:val="20"/>
        </w:rPr>
        <w:t>” means any contract, license, lease, agreement, obligation, promise, undertaking, understanding, arrangement, document, commitment, entitlement or engagement under which a Person has, or will have, any liability or contingent liability (in each case, whether written or oral, express or implied, and whether in respect of monetary or payment obligations, performance obligations or otherwise).</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Control</w:t>
      </w:r>
      <w:r>
        <w:rPr>
          <w:rFonts w:ascii="Times New Roman;Times;Serif" w:hAnsi="Times New Roman;Times;Serif"/>
          <w:b w:val="false"/>
          <w:i w:val="false"/>
          <w:caps w:val="false"/>
          <w:smallCaps w:val="false"/>
          <w:sz w:val="20"/>
        </w:rPr>
        <w:t>” means, in respect of a particular Person, the possession by one or more other Persons, directly or indirectly, of the power to direct or cause the direction of the management or policies of such particular Person, whether through the ability to exercise voting power, by contract or otherwise. “Controlling” and “Controlled” have meanings correlative thereto.</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Control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8.16(a)</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Controlled Account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8.16(a)</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Copyright</w:t>
      </w:r>
      <w:r>
        <w:rPr>
          <w:rFonts w:ascii="Times New Roman;Times;Serif" w:hAnsi="Times New Roman;Times;Serif"/>
          <w:b w:val="false"/>
          <w:i w:val="false"/>
          <w:caps w:val="false"/>
          <w:smallCaps w:val="false"/>
          <w:sz w:val="20"/>
        </w:rPr>
        <w:t>” means all copyrights (including with respect to published and unpublished works of authorship, software, website and mobile content, data, databases and other compilations of information), copyright registrations and applications for copyright registrations, including all renewals, restorations, reversions and extensions thereof and all other rights whatsoever accruing thereunder or pertaining thereto throughout the world.</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Credit Spread Adjustment</w:t>
      </w:r>
      <w:r>
        <w:rPr>
          <w:rFonts w:ascii="Times New Roman;Times;Serif" w:hAnsi="Times New Roman;Times;Serif"/>
          <w:b w:val="false"/>
          <w:i w:val="false"/>
          <w:caps w:val="false"/>
          <w:smallCaps w:val="false"/>
          <w:sz w:val="20"/>
        </w:rPr>
        <w:t>” means 0.15% per annum.</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Cure Expiration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11.04</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Daily Simple SOFR</w:t>
      </w:r>
      <w:r>
        <w:rPr>
          <w:rFonts w:ascii="Times New Roman;Times;Serif" w:hAnsi="Times New Roman;Times;Serif"/>
          <w:b w:val="false"/>
          <w:i w:val="false"/>
          <w:caps w:val="false"/>
          <w:smallCaps w:val="false"/>
          <w:sz w:val="20"/>
        </w:rPr>
        <w:t>” means with respect to any applicable determination date means the SOFR published on such date on the Federal Reserve Bank of New York’s website (or any successor source).</w:t>
      </w:r>
    </w:p>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Default</w:t>
      </w:r>
      <w:r>
        <w:rPr>
          <w:rFonts w:ascii="Times New Roman;Times;Serif" w:hAnsi="Times New Roman;Times;Serif"/>
          <w:b w:val="false"/>
          <w:i w:val="false"/>
          <w:caps w:val="false"/>
          <w:smallCaps w:val="false"/>
          <w:sz w:val="20"/>
        </w:rPr>
        <w:t>” means any Event of Default and any event that, upon the giving of notice, the lapse of time or both, would constitute an Event of Default.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Default Rate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3.02(b)</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Defaulting Lender</w:t>
      </w:r>
      <w:r>
        <w:rPr>
          <w:rFonts w:ascii="Times New Roman;Times;Serif" w:hAnsi="Times New Roman;Times;Serif"/>
          <w:b w:val="false"/>
          <w:i w:val="false"/>
          <w:caps w:val="false"/>
          <w:smallCaps w:val="false"/>
          <w:sz w:val="20"/>
        </w:rPr>
        <w:t xml:space="preserve">” means, subject to </w:t>
      </w:r>
      <w:r>
        <w:rPr>
          <w:rFonts w:ascii="Times New Roman;Times;Serif" w:hAnsi="Times New Roman;Times;Serif"/>
          <w:b/>
          <w:i w:val="false"/>
          <w:caps w:val="false"/>
          <w:smallCaps w:val="false"/>
          <w:sz w:val="20"/>
        </w:rPr>
        <w:t>Section 2.07(b)</w:t>
      </w:r>
      <w:r>
        <w:rPr>
          <w:rFonts w:ascii="Times New Roman;Times;Serif" w:hAnsi="Times New Roman;Times;Serif"/>
          <w:b w:val="false"/>
          <w:i w:val="false"/>
          <w:caps w:val="false"/>
          <w:smallCaps w:val="false"/>
          <w:sz w:val="20"/>
        </w:rPr>
        <w:t xml:space="preserve">, any Lender, as determined by the Administrative Agent, that (a) has failed to perform any of its funding obligations hereunder, including with respect to any Tranche A Commitments or any Tranche B Commitments, within three (3) Business Days of the date required to be funded by it hereunder, (b) has notified the Borrower or the Administrative Agent that it does not intend to comply with its funding obligations hereunder, or (c) has (i) become the subject of an Insolvency Proceeding, (ii) had a receiver, conservator, trustee, administrator, assignee for the benefit of creditors or similar Person charged with reorganization or liquidation of its business or a custodian appointed for it, (iii) taken any action in furtherance of, or indicated its consent to, approval of or acquiescence in any such proceeding or appointment or (iv) become the subject of a Bail-In Action; provided, that, a Lender shall not be a Defaulting Lender solely by virtue of the ownership or acquisition of any Equity Interests in that Lender or any direct or indirect parent company thereof by a Governmental Authority. Any determination by the Administrative Agent that a Lender is a Defaulting Lender under any one or more of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above, and of the effective date of such status, shall be conclusive and binding absent manifest error, and such Lender shall be deemed to be a Defaulting Lender (subject to </w:t>
      </w:r>
      <w:r>
        <w:rPr>
          <w:rFonts w:ascii="Times New Roman;Times;Serif" w:hAnsi="Times New Roman;Times;Serif"/>
          <w:b/>
          <w:i w:val="false"/>
          <w:caps w:val="false"/>
          <w:smallCaps w:val="false"/>
          <w:sz w:val="20"/>
        </w:rPr>
        <w:t>Section 2.07(b)</w:t>
      </w:r>
      <w:r>
        <w:rPr>
          <w:rFonts w:ascii="Times New Roman;Times;Serif" w:hAnsi="Times New Roman;Times;Serif"/>
          <w:b w:val="false"/>
          <w:i w:val="false"/>
          <w:caps w:val="false"/>
          <w:smallCaps w:val="false"/>
          <w:sz w:val="20"/>
        </w:rPr>
        <w:t>) as of the date established therefor by the Administrative Agent in a written notice of such determination, which shall be delivered by the Administrative Agent to the Borrower and each Lender promptly following such determination.</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Deferred Acquisition Consideration</w:t>
      </w:r>
      <w:r>
        <w:rPr>
          <w:rFonts w:ascii="Times New Roman;Times;Serif" w:hAnsi="Times New Roman;Times;Serif"/>
          <w:b w:val="false"/>
          <w:i w:val="false"/>
          <w:caps w:val="false"/>
          <w:smallCaps w:val="false"/>
          <w:sz w:val="20"/>
        </w:rPr>
        <w:t>” means any purchase price adjustments, royalty, earn-out, milestone payments, contingent or other deferred payments of a similar nature (including any non-compete payments and consulting payments) made in connection with any Permitted Acquisition or other acquisition or investment permitted under this Agreement.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Designated Jurisdiction</w:t>
      </w:r>
      <w:r>
        <w:rPr>
          <w:rFonts w:ascii="Times New Roman;Times;Serif" w:hAnsi="Times New Roman;Times;Serif"/>
          <w:b w:val="false"/>
          <w:i w:val="false"/>
          <w:caps w:val="false"/>
          <w:smallCaps w:val="false"/>
          <w:sz w:val="20"/>
        </w:rPr>
        <w:t>” means any country or territory to the extent that such country or territory is the subject of country- or territory-wide Sanctions.</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Disqualified Equity Interests</w:t>
      </w:r>
      <w:r>
        <w:rPr>
          <w:rFonts w:ascii="Times New Roman;Times;Serif" w:hAnsi="Times New Roman;Times;Serif"/>
          <w:b w:val="false"/>
          <w:i w:val="false"/>
          <w:caps w:val="false"/>
          <w:smallCaps w:val="false"/>
          <w:sz w:val="20"/>
        </w:rPr>
        <w:t xml:space="preserve">” means, with respect to any Person, any Equity Interest of such Person that, by its terms (or by the terms of any security or other Equity Interest into which it is convertible or for which it is exchangeable), or upon the happening of any event or condition (a) matures </w:t>
      </w:r>
      <w:r>
        <w:rPr>
          <w:rFonts w:ascii="Times New Roman;Times;Serif" w:hAnsi="Times New Roman;Times;Serif"/>
          <w:b w:val="false"/>
          <w:i w:val="false"/>
          <w:caps w:val="false"/>
          <w:smallCaps w:val="false"/>
          <w:sz w:val="20"/>
          <w:shd w:fill="FFFFFF" w:val="clear"/>
        </w:rPr>
        <w:t xml:space="preserve">(excluding any maturity as the result of an optional redemption by the issuer thereof) </w:t>
      </w:r>
      <w:r>
        <w:rPr>
          <w:rFonts w:ascii="Times New Roman;Times;Serif" w:hAnsi="Times New Roman;Times;Serif"/>
          <w:b w:val="false"/>
          <w:i w:val="false"/>
          <w:caps w:val="false"/>
          <w:smallCaps w:val="false"/>
          <w:sz w:val="20"/>
        </w:rPr>
        <w:t xml:space="preserve">or is mandatorily redeemable (other than solely for (i) Qualified Equity Interests </w:t>
      </w:r>
      <w:r>
        <w:rPr>
          <w:rFonts w:ascii="Times New Roman;Times;Serif" w:hAnsi="Times New Roman;Times;Serif"/>
          <w:b w:val="false"/>
          <w:i w:val="false"/>
          <w:caps w:val="false"/>
          <w:smallCaps w:val="false"/>
          <w:sz w:val="20"/>
          <w:shd w:fill="FFFFFF" w:val="clear"/>
        </w:rPr>
        <w:t>and (ii) cash in lieu of fractional shares</w:t>
      </w:r>
      <w:r>
        <w:rPr>
          <w:rFonts w:ascii="Times New Roman;Times;Serif" w:hAnsi="Times New Roman;Times;Serif"/>
          <w:b w:val="false"/>
          <w:i w:val="false"/>
          <w:caps w:val="false"/>
          <w:smallCaps w:val="false"/>
          <w:sz w:val="20"/>
        </w:rPr>
        <w:t xml:space="preserve">), including pursuant to a sinking fund obligation or otherwise, (b) is redeemable at the option of the holder thereof (other than solely for (i) Qualified Equity Interests </w:t>
      </w:r>
      <w:r>
        <w:rPr>
          <w:rFonts w:ascii="Times New Roman;Times;Serif" w:hAnsi="Times New Roman;Times;Serif"/>
          <w:b w:val="false"/>
          <w:i w:val="false"/>
          <w:caps w:val="false"/>
          <w:smallCaps w:val="false"/>
          <w:sz w:val="20"/>
          <w:shd w:fill="FFFFFF" w:val="clear"/>
        </w:rPr>
        <w:t>and (ii) cash in lieu of fractional shares</w:t>
      </w:r>
      <w:r>
        <w:rPr>
          <w:rFonts w:ascii="Times New Roman;Times;Serif" w:hAnsi="Times New Roman;Times;Serif"/>
          <w:b w:val="false"/>
          <w:i w:val="false"/>
          <w:caps w:val="false"/>
          <w:smallCaps w:val="false"/>
          <w:sz w:val="20"/>
        </w:rPr>
        <w:t xml:space="preserve">), in whole or in part, (c) provides for the scheduled payments of dividends or other distributions in cash </w:t>
      </w:r>
      <w:r>
        <w:rPr>
          <w:rFonts w:ascii="Times New Roman;Times;Serif" w:hAnsi="Times New Roman;Times;Serif"/>
          <w:b w:val="false"/>
          <w:i w:val="false"/>
          <w:caps w:val="false"/>
          <w:smallCaps w:val="false"/>
          <w:sz w:val="20"/>
          <w:shd w:fill="FFFFFF" w:val="clear"/>
        </w:rPr>
        <w:t>(other than the payment of cash in lieu of redemption of fractional shares)</w:t>
      </w:r>
      <w:r>
        <w:rPr>
          <w:rFonts w:ascii="Times New Roman;Times;Serif" w:hAnsi="Times New Roman;Times;Serif"/>
          <w:b w:val="false"/>
          <w:i w:val="false"/>
          <w:caps w:val="false"/>
          <w:smallCaps w:val="false"/>
          <w:sz w:val="20"/>
        </w:rPr>
        <w:t xml:space="preserve"> or other securities that would constitute Disqualified Equity Interests, or (d) is or becomes convertible into or exchangeable for </w:t>
      </w:r>
      <w:r>
        <w:rPr>
          <w:rFonts w:ascii="Times New Roman;Times;Serif" w:hAnsi="Times New Roman;Times;Serif"/>
          <w:b w:val="false"/>
          <w:i w:val="false"/>
          <w:caps w:val="false"/>
          <w:smallCaps w:val="false"/>
          <w:sz w:val="20"/>
          <w:shd w:fill="FFFFFF" w:val="clear"/>
        </w:rPr>
        <w:t>(unless at the sole option of the issuer thereof)</w:t>
      </w:r>
      <w:r>
        <w:rPr>
          <w:rFonts w:ascii="Times New Roman;Times;Serif" w:hAnsi="Times New Roman;Times;Serif"/>
          <w:b w:val="false"/>
          <w:i w:val="false"/>
          <w:caps w:val="false"/>
          <w:smallCaps w:val="false"/>
          <w:sz w:val="20"/>
        </w:rPr>
        <w:t xml:space="preserve"> Indebtedness or any other Equity Interests that would constitute Disqualified Equity Interests, in each case, prior to the date that is ninety-one (91) days after the Maturity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that</w:t>
      </w:r>
      <w:r>
        <w:rPr>
          <w:rFonts w:ascii="Times New Roman;Times;Serif" w:hAnsi="Times New Roman;Times;Serif"/>
          <w:b w:val="false"/>
          <w:i w:val="false"/>
          <w:caps w:val="false"/>
          <w:smallCaps w:val="false"/>
          <w:sz w:val="20"/>
        </w:rPr>
        <w:t xml:space="preserve">, any Disqualified Equity Interests that would not constitute Disqualified Equity Interests but for provisions thereof giving holders thereof (or the holders of any security into or for which such Equity Interests are convertible, exchangeable or exercisable) the right to require the issuer thereof to redeem or repurchase such Equity Interests upon the occurrence of a change in control (including for this purpose an asset sale that would require prepayment in full of the Obligations) occurring prior to the 91st day after the Maturity Date shall not constitute Disqualified Equity Interests if such right to redemption or repurchase is subject, to the satisfaction of the Administrative Agent in its reasonable discretion, to the prior payment in full of all Obligations (other than contingent indemnification obligations for which no claim has been asserted) under the Loan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that</w:t>
      </w:r>
      <w:r>
        <w:rPr>
          <w:rFonts w:ascii="Times New Roman;Times;Serif" w:hAnsi="Times New Roman;Times;Serif"/>
          <w:b w:val="false"/>
          <w:i w:val="false"/>
          <w:caps w:val="false"/>
          <w:smallCaps w:val="false"/>
          <w:sz w:val="20"/>
        </w:rPr>
        <w:t>, if such Equity Interests are issued pursuant to a plan for the benefit of employees of the Borrower or any Subsidiary or by any such plan to such employees, such Equity Interests shall not constitute Disqualified Equity Interests solely because (i) such employee may deliver such Equity Interests to the Borrower and its Subsidiaries (or the Borrower or such Subsidiary withholds such Equity Interests) in satisfaction of any exercise price or tax withholding obligations with respect to such Equity Interests, or (ii) they may be required to be repurchased by Borrower or its Subsidiaries as a result of any such employee’s termination, death or disability.</w:t>
      </w:r>
    </w:p>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Distressed Debt Investor</w:t>
      </w:r>
      <w:r>
        <w:rPr>
          <w:rFonts w:ascii="Times New Roman;Times;Serif" w:hAnsi="Times New Roman;Times;Serif"/>
          <w:b w:val="false"/>
          <w:i w:val="false"/>
          <w:caps w:val="false"/>
          <w:smallCaps w:val="false"/>
          <w:sz w:val="20"/>
        </w:rPr>
        <w:t>” means any investor or investment fund specializing in distressed debt and a majority of whose investment portfolio at all times consists of distressed debt. In no event shall any Oaktree Lender be deemed to be a Distressed Debt Investor. Notwithstanding anything to the contrary contained in this Agreement, Administrative Agent shall not have any duty or obligation to carry out due diligence in order to identify or determine whether a Person would be a Distressed Debt Investor, and the Administrative Agent shall have no liability with respect to any assignment or participation made to a Distressed Debt Investor.</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Division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1.04</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Dollars</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w:t>
      </w:r>
      <w:r>
        <w:rPr>
          <w:rFonts w:ascii="Times New Roman;Times;Serif" w:hAnsi="Times New Roman;Times;Serif"/>
          <w:b w:val="false"/>
          <w:i w:val="false"/>
          <w:caps w:val="false"/>
          <w:smallCaps w:val="false"/>
          <w:sz w:val="20"/>
        </w:rPr>
        <w:t>” means lawful money of the United States of America.</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Domestic Subsidiary</w:t>
      </w:r>
      <w:r>
        <w:rPr>
          <w:rFonts w:ascii="Times New Roman;Times;Serif" w:hAnsi="Times New Roman;Times;Serif"/>
          <w:b w:val="false"/>
          <w:i w:val="false"/>
          <w:caps w:val="false"/>
          <w:smallCaps w:val="false"/>
          <w:sz w:val="20"/>
        </w:rPr>
        <w:t>” means any Subsidiary that is a corporation, limited liability company, partnership or similar business entity incorporated, formed or organized under the laws of the United States, any state of the United States or the District of Columbia.</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EBITDA</w:t>
      </w:r>
      <w:r>
        <w:rPr>
          <w:rFonts w:ascii="Times New Roman;Times;Serif" w:hAnsi="Times New Roman;Times;Serif"/>
          <w:b w:val="false"/>
          <w:i w:val="false"/>
          <w:caps w:val="false"/>
          <w:smallCaps w:val="false"/>
          <w:sz w:val="20"/>
        </w:rPr>
        <w:t xml:space="preserve">” means the consolidated net income (or loss) of the Borrower and its Subsidiaries for such period, as determined in accordance with GAAP (a) increased, without duplication, by the following, in each case only to the extent deducted (and not added back or excluded) in determining consolidated net income (or loss) for such period: (i) stock-based compensation and expenses for such period, (ii) interest expense, net (for such period), (iii) taxes for such period, (iv) depreciation for such period, (v) amortization of intangible assets for such period, (vi) non-cash impairments of intangible assets for such period, (vii) investment losses for such period, solely to the extent such losses are limited to the Permitted Minority Investments, (viii) non-cash expenses for such period, (ix) cash expenses (other than cash expenses recorded in respect of acquired in-process research and development) for such period, not to exceed $2,000,000 in the aggregate during such period, and (x) cash expenses recorded in respect of acquired in-process research and development, not to exceed $3,000,000 in the aggregate during such period; and (b) decreased, without duplication, and to the extent included in arriving at consolidated net income (or loss): (i) investment gains for such period, to the extent such gains are from the Permitted Minority Investments, and (ii) non-cash gains for such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calculation of EBITDA and all of the addbacks and components thereof shall be substantially consistent with how Adjusted EBITDA and such addbacks and components thereof were reported in the letter to stockholders dated November 14, 2022 from the Borrower to its stockholders.</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EEA Financial Institution</w:t>
      </w:r>
      <w:r>
        <w:rPr>
          <w:rFonts w:ascii="Times New Roman;Times;Serif" w:hAnsi="Times New Roman;Times;Serif"/>
          <w:b w:val="false"/>
          <w:i w:val="false"/>
          <w:caps w:val="false"/>
          <w:smallCaps w:val="false"/>
          <w:sz w:val="20"/>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EEA Member Country</w:t>
      </w:r>
      <w:r>
        <w:rPr>
          <w:rFonts w:ascii="Times New Roman;Times;Serif" w:hAnsi="Times New Roman;Times;Serif"/>
          <w:b w:val="false"/>
          <w:i w:val="false"/>
          <w:caps w:val="false"/>
          <w:smallCaps w:val="false"/>
          <w:sz w:val="20"/>
        </w:rPr>
        <w:t>” means any of the member states of the European Union, Iceland, Liechtenstein, and Norway.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EEA Resolution Authority</w:t>
      </w:r>
      <w:r>
        <w:rPr>
          <w:rFonts w:ascii="Times New Roman;Times;Serif" w:hAnsi="Times New Roman;Times;Serif"/>
          <w:b w:val="false"/>
          <w:i w:val="false"/>
          <w:caps w:val="false"/>
          <w:smallCaps w:val="false"/>
          <w:sz w:val="20"/>
        </w:rPr>
        <w:t>” means any public administrative authority or any person entrusted with public administrative authority of any EEA Member Country (including any delegee) having responsibility for the resolution of any EEA Financial Institution.</w:t>
      </w:r>
    </w:p>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Eligible Transferee</w:t>
      </w:r>
      <w:r>
        <w:rPr>
          <w:rFonts w:ascii="Times New Roman;Times;Serif" w:hAnsi="Times New Roman;Times;Serif"/>
          <w:b w:val="false"/>
          <w:i w:val="false"/>
          <w:caps w:val="false"/>
          <w:smallCaps w:val="false"/>
          <w:sz w:val="20"/>
        </w:rPr>
        <w:t xml:space="preserve">” means and includes (a) any commercial bank or other institutional lender, (b) any insurance company, (c) any finance company, (d) any financial institution, (e) any Person that is a bona fide debt fund primarily engaged in the making, purchasing, holding or other investing in commercial loans, notes, bonds or similar extensions of credit or securities in the Ordinary Course, (f) with respect to any Lender, any of its Affiliates or such Lender’s or Affiliate’s managed funds or accounts, and (g) any other “accredited investor” (as defined in Regulation D of the Securities Act) that is principally in the business of managing investments or holding assets for investment purposes;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 Eligible Transferee shall not include any Defaulting Lender, Company Competitor or Distressed Debt Investor;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 the preceding proviso shall not apply retroactively to any Person that previously acquired an assignment or participation interest hereunder to the extent such Person was not a Defaulting Lender, Company Lender or a Distressed Debt Investor at the time of the applicable assignment or participation and (ii) the Administrative Agent shall not have any duty or obligation to carry out due diligence in order to identify or determine whether a Person would be excluded as an Eligible Transferee as a result of the application of the preceding proviso.</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Employee Benefit Plan</w:t>
      </w:r>
      <w:r>
        <w:rPr>
          <w:rFonts w:ascii="Times New Roman;Times;Serif" w:hAnsi="Times New Roman;Times;Serif"/>
          <w:b w:val="false"/>
          <w:i w:val="false"/>
          <w:caps w:val="false"/>
          <w:smallCaps w:val="false"/>
          <w:sz w:val="20"/>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Environmental Claims</w:t>
      </w:r>
      <w:r>
        <w:rPr>
          <w:rFonts w:ascii="Times New Roman;Times;Serif" w:hAnsi="Times New Roman;Times;Serif"/>
          <w:b w:val="false"/>
          <w:i w:val="false"/>
          <w:caps w:val="false"/>
          <w:smallCaps w:val="false"/>
          <w:sz w:val="20"/>
        </w:rPr>
        <w:t>” means any investigation, notice, notice of violation, claim, action, suit, proceeding, demand, information request, abatement order or other order or directive (conditional or otherwise), by any Governmental Authority or any other Person, arising (a) pursuant to or in connection with any actual or alleged violation of any Environmental Law; (b) in connection with any Hazardous Material or any actual or alleged Hazardous Materials Activity; or (c) in connection with any actual or alleged damage, injury, threat or harm to health, safety, natural resources or the environment, arising out of a violation of Environmental Law or any Hazardous Materials Activity.</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Environmental Law</w:t>
      </w:r>
      <w:r>
        <w:rPr>
          <w:rFonts w:ascii="Times New Roman;Times;Serif" w:hAnsi="Times New Roman;Times;Serif"/>
          <w:b w:val="false"/>
          <w:i w:val="false"/>
          <w:caps w:val="false"/>
          <w:smallCaps w:val="false"/>
          <w:sz w:val="20"/>
        </w:rPr>
        <w:t>” means all laws (including common law and any federal, state, provincial or local governmental law), rule, regulation, order, writ, judgment, notice, requirement, binding agreement, injunction or decree, whether U.S., or non-U.S. relating in any way to (a) environmental matters, including those relating to any Hazardous Materials Activity; (b) the generation, use, storage, transportation or disposal of Hazardous Materials; or (c) to the extent related to Hazardous Materials Activity, occupational safety and health, industrial hygiene, land use, natural resources or the protection of human, plant or animal health or welfare, in any manner applicable to the Borrower or any of its Subsidiaries or any Facility.</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Environmental Liability</w:t>
      </w:r>
      <w:r>
        <w:rPr>
          <w:rFonts w:ascii="Times New Roman;Times;Serif" w:hAnsi="Times New Roman;Times;Serif"/>
          <w:b w:val="false"/>
          <w:i w:val="false"/>
          <w:caps w:val="false"/>
          <w:smallCaps w:val="false"/>
          <w:sz w:val="20"/>
        </w:rPr>
        <w:t>” means any liability, contingent or otherwise (including any liability for damages, costs of environmental remediation, fines, penalties or indemnities), of any Obligor or any of its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Equity Interests</w:t>
      </w:r>
      <w:r>
        <w:rPr>
          <w:rFonts w:ascii="Times New Roman;Times;Serif" w:hAnsi="Times New Roman;Times;Serif"/>
          <w:b w:val="false"/>
          <w:i w:val="false"/>
          <w:caps w:val="false"/>
          <w:smallCaps w:val="false"/>
          <w:sz w:val="20"/>
        </w:rPr>
        <w:t>” means, with respect to any Person (for purposes of this defined term, an “</w:t>
      </w:r>
      <w:r>
        <w:rPr>
          <w:rFonts w:ascii="Times New Roman;Times;Serif" w:hAnsi="Times New Roman;Times;Serif"/>
          <w:b/>
          <w:i/>
          <w:caps w:val="false"/>
          <w:smallCaps w:val="false"/>
          <w:sz w:val="20"/>
        </w:rPr>
        <w:t>issuer</w:t>
      </w:r>
      <w:r>
        <w:rPr>
          <w:rFonts w:ascii="Times New Roman;Times;Serif" w:hAnsi="Times New Roman;Times;Serif"/>
          <w:b w:val="false"/>
          <w:i w:val="false"/>
          <w:caps w:val="false"/>
          <w:smallCaps w:val="false"/>
          <w:sz w:val="20"/>
        </w:rPr>
        <w:t>”), all shares of, interests or participations in, or other equivalents in respect of such issuer’s capital stock, including all membership interests, partnership interests or equivalent, whether now outstanding or issued after the Closing Date, and in each case, however designated and whether voting or non-voting. Notwithstanding the foregoing, in no event shall any Indebtedness convertible or exchangeable into Equity Interests constitute “Equity Interests” hereunder.</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ERISA</w:t>
      </w:r>
      <w:r>
        <w:rPr>
          <w:rFonts w:ascii="Times New Roman;Times;Serif" w:hAnsi="Times New Roman;Times;Serif"/>
          <w:b w:val="false"/>
          <w:i w:val="false"/>
          <w:caps w:val="false"/>
          <w:smallCaps w:val="false"/>
          <w:sz w:val="20"/>
        </w:rPr>
        <w:t>” means the United States Employee Retirement Income Security Act of 1974, as amended.</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ERISA Affiliate</w:t>
      </w:r>
      <w:r>
        <w:rPr>
          <w:rFonts w:ascii="Times New Roman;Times;Serif" w:hAnsi="Times New Roman;Times;Serif"/>
          <w:b w:val="false"/>
          <w:i w:val="false"/>
          <w:caps w:val="false"/>
          <w:smallCaps w:val="false"/>
          <w:sz w:val="20"/>
        </w:rPr>
        <w:t>” means, collectively, any Obligor, Subsidiary thereof, and any Person under common control, or treated as a single employer, with any Obligor or Subsidiary thereof, within the meaning of Section 414(b) or (c) of the Code.</w:t>
      </w:r>
    </w:p>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ERISA Event</w:t>
      </w:r>
      <w:r>
        <w:rPr>
          <w:rFonts w:ascii="Times New Roman;Times;Serif" w:hAnsi="Times New Roman;Times;Serif"/>
          <w:b w:val="false"/>
          <w:i w:val="false"/>
          <w:caps w:val="false"/>
          <w:smallCaps w:val="false"/>
          <w:sz w:val="20"/>
        </w:rPr>
        <w:t>” means (a) a reportable event as defined in Section 4043 of ERISA with respect to a Title IV Plan, excluding, however, such events as to which the PBGC by regulation has waived the requirement of Section 4043(a) of ERISA that it be notified within thirty (30) days of the occurrence of such event; (b) the applicability of the requirements of Section 4043(b) of ERISA with respect to a contributing sponsor, as defined in Section 4001(a)(13) of ERISA, to any Title IV Plan where an event described in paragraph (9), (10), (11), (12) or (13) of Section 4043(c) of ERISA is reasonably expected to occur with respect to such plan within the following thirty (30) days; (c) a withdrawal by any Obligor or any ERISA Affiliate thereof from a Title IV Plan or the termination of any Title IV Plan resulting in liability under Sections 4063 or 4064 of ERISA; (d) the withdrawal of any Obligor or any ERISA Affiliate thereof in a complete or partial withdrawal (within the meaning of Section 4203 and 4205 of ERISA) from any Multiemployer Plan if there is any potential liability therefore, or the receipt by any Obligor or any ERISA Affiliate thereof of notice from any Multiemployer Plan that it is insolvent pursuant to Section 4245 of ERISA; (e) the filing of a notice of intent to terminate, the treatment of a plan amendment as a termination under Section 4041 or 4041A of ERISA, or the commencement of proceedings by the PBGC to terminate a Title IV Plan or Multiemployer Plan, but in the case of a multiple-employer plan or a Multiemployer Plan, only once notice has been received from the plan administrator; (f) the imposition of liability on any Obligor or any ERISA Affiliate thereof pursuant to Sections 4062(e) or 4069 of ERISA or by reason of the application of Section 4212(c) of ERISA; (g) the failure by any Obligor or any ERISA Affiliate thereof to make any required contribution to a Title IV Plan, or the failure to meet the minimum funding standard of Section 412 of the Code with respect to any Title IV Plan (whether or not waived in accordance with Section 412(c) of the Code) or the failure to make by its due date a required installment under Section 430 of the Code with respect to any Title IV Plan or the failure to make any required contribution to a Multiemployer Plan; (h) the determination that any Title IV Plan is considered an at-risk plan or a plan in endangered to critical status within the meaning of Sections 430, 431 and 432 of the Code or Sections 303, 304 and 305 of ERISA, but in the case of a multiple-employer plan or a Multiemployer Plan, only once notice has been received from the plan administrator; (i) an event or condition which might reasonably be expected to constitute grounds under Section 4042 of ERISA for the termination of, or the appointment of a trustee to administer, any Title IV Plan or Multiemployer Plan; (j) the imposition of any liability under Title I or Title IV of ERISA, other than PBGC premiums due but not delinquent under Section 4007 of ERISA, upon any Obligor or any ERISA Affiliate thereof; (k) an application for a funding waiver under Section 303 of ERISA or an extension of any amortization period pursuant to Section 412 of the Code with respect to any Title IV Plan, but in the case of a multiple-employer plan, only once notice has been received from the plan administrator; (l) the occurrence of a non-exempt prohibited transaction under Sections 406 or 407 of ERISA for which any Obligor or any Subsidiary thereof would reasonably be expected to be directly or indirectly liable; (m) a violation of the applicable requirements of Section 404 or 405 of ERISA or the exclusive benefit rule under Section 401(a) of the Code by any fiduciary or disqualified person for which any Obligor or any ERISA Affiliate thereof may be directly or indirectly liable; (n) the occurrence of an act or omission which would reasonably be expected to give rise to the imposition on any Obligor or any ERISA Affiliate thereof of fines, penalties, taxes or related charges under Chapter 43 of the Code or under Sections 409, 502(c), (i) or (1) or 4071 of ERISA; (o) the assertion of a material claim (other than routine claims for benefits) against any Plan or the assets thereof, but in the case of a multiple-employer plan, only once notice has been received from the plan administrator, or against any Obligor or any Subsidiary thereof in connection with any such plan; (p) receipt from the IRS of notice of the failure of any Qualified Plan to qualify under Section 401(a) of the Code, or the failure of any trust forming part of any Qualified Plan to fail to qualify for exemption from taxation under Section 501(a) of the Code that is not corrected under the IRS’s Employee Plans Compliance Resolution System (EPCRS), but in the case of a multiple-employer plan, only once notice has been received from the plan administrator; (q) the imposition of any lien (or the fulfillment of the conditions for the imposition of any lien) on any of the rights, properties or assets of any Obligor or any ERISA Affiliate thereof, in either case pursuant to Title I or IV, including Section 302(f) or 303(k) of ERISA or to Section 401(a)(29) or 430(k) of the Code; or (r) the establishment or amendment by any Obligor or any Subsidiary thereof of any “welfare plan”, as such term is defined in Section 3(1) of ERISA, that provides post-employment welfare benefits in a manner that would increase the liability of any Obligor, other than payment of premiums otherwise required by section 4980B of the Code.</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ERISA Funding Rules</w:t>
      </w:r>
      <w:r>
        <w:rPr>
          <w:rFonts w:ascii="Times New Roman;Times;Serif" w:hAnsi="Times New Roman;Times;Serif"/>
          <w:b w:val="false"/>
          <w:i w:val="false"/>
          <w:caps w:val="false"/>
          <w:smallCaps w:val="false"/>
          <w:sz w:val="20"/>
        </w:rPr>
        <w:t>” means the rules regarding minimum required contributions (including any installment payment thereof) to Title IV Plans, as set forth in Sections 412, 430, 431, 432 and 436 of the Code and Sections 302, 303, 304 and 305 of ERISA.</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Erroneous Payment</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i w:val="false"/>
          <w:caps w:val="false"/>
          <w:smallCaps w:val="false"/>
          <w:sz w:val="20"/>
        </w:rPr>
        <w:t>Section 12.14(a)</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Erroneous Payment Deficiency Assignment</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i w:val="false"/>
          <w:caps w:val="false"/>
          <w:smallCaps w:val="false"/>
          <w:sz w:val="20"/>
        </w:rPr>
        <w:t>Section 12.14(d)</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Erroneous Payment Impacted Class</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i w:val="false"/>
          <w:caps w:val="false"/>
          <w:smallCaps w:val="false"/>
          <w:sz w:val="20"/>
        </w:rPr>
        <w:t>Section 12.14(d)</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Erroneous Payment Return Deficiency</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i w:val="false"/>
          <w:caps w:val="false"/>
          <w:smallCaps w:val="false"/>
          <w:sz w:val="20"/>
        </w:rPr>
        <w:t>Section 12.14(d)</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Erroneous Payment Subrogation Rights</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i w:val="false"/>
          <w:caps w:val="false"/>
          <w:smallCaps w:val="false"/>
          <w:sz w:val="20"/>
        </w:rPr>
        <w:t>Section 12.14(d)</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EU Bail-In Legislation Schedule</w:t>
      </w:r>
      <w:r>
        <w:rPr>
          <w:rFonts w:ascii="Times New Roman;Times;Serif" w:hAnsi="Times New Roman;Times;Serif"/>
          <w:b w:val="false"/>
          <w:i w:val="false"/>
          <w:caps w:val="false"/>
          <w:smallCaps w:val="false"/>
          <w:sz w:val="20"/>
        </w:rPr>
        <w:t>” means the EU Bail-In Legislation Schedule published by the Loan Market Association (or any successor Person), as in effect from time to time.</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Event of Default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11.01</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Excluded Accounts</w:t>
      </w:r>
      <w:r>
        <w:rPr>
          <w:rFonts w:ascii="Times New Roman;Times;Serif" w:hAnsi="Times New Roman;Times;Serif"/>
          <w:b w:val="false"/>
          <w:i w:val="false"/>
          <w:caps w:val="false"/>
          <w:smallCaps w:val="false"/>
          <w:sz w:val="20"/>
        </w:rPr>
        <w:t xml:space="preserve">” means (a) deposit accounts exclusively used for payroll, payroll Taxes and other employee wage and benefit payments to or for the benefit of any Obligor’s employees;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aggregate balance maintained in such deposit accounts does not exceed the amount necessary to make the next two immediate succeeding payrolls, payroll tax or benefit payments (and such minimum account as may be required by any applicable Law or the applicable financial institution with respect to such account), (b) zero balance accounts swept no less frequently than weekly to a Controlled Account (including any such account where payments pursuant to Medicaid, Medicare, TRICARE or other state or federal healthcare payor programs are deposited), (c) accounts (including trust accounts) used exclusively for bona fide escrow purposes, insurance or fiduciary purposes, (d) cash collateral for Permitted Liens and (e) any other deposit accounts only for so long as, in the case of this clause (e), the amounts of deposit therein do not exceed $500,000 in the aggregate.</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Excluded Prepayment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3.03(f)</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Excluded Subsidiaries</w:t>
      </w:r>
      <w:r>
        <w:rPr>
          <w:rFonts w:ascii="Times New Roman;Times;Serif" w:hAnsi="Times New Roman;Times;Serif"/>
          <w:b w:val="false"/>
          <w:i w:val="false"/>
          <w:caps w:val="false"/>
          <w:smallCaps w:val="false"/>
          <w:sz w:val="20"/>
        </w:rPr>
        <w:t>” means any Immaterial Subsidiary.</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Excluded Taxes</w:t>
      </w:r>
      <w:r>
        <w:rPr>
          <w:rFonts w:ascii="Times New Roman;Times;Serif" w:hAnsi="Times New Roman;Times;Serif"/>
          <w:b w:val="false"/>
          <w:i w:val="false"/>
          <w:caps w:val="false"/>
          <w:smallCaps w:val="false"/>
          <w:sz w:val="20"/>
        </w:rPr>
        <w:t xml:space="preserve">” means any of the following Taxes imposed on or with respect to a Recipient or required to be withheld or deducted from a payment to a Recipient: (i) Taxes imposed on or measured by net income (however denominated), franchise Taxes and branch profits Taxes, in each case, (x) imposed as a result of such Recipient being organized under the laws of, or having its principal office or, in the case of any Lender, its applicable lending office located in, the jurisdiction imposing such Tax (or any political subdivisions thereof) or (y) that are Other Connection Taxes, (ii) in the case of a Lender, U.S. federal withholding Taxes imposed on amounts payable to or for the account of such Lender with respect to an applicable interest in a Loan or Commitment pursuant to a law in effect on the date on which (1) such Lender acquires such interest in the Loan or Commitment or (2) such Lender changes its lending office (in either case, other than pursuant to an assignment request by the Borrower under </w:t>
      </w:r>
      <w:r>
        <w:rPr>
          <w:rFonts w:ascii="Times New Roman;Times;Serif" w:hAnsi="Times New Roman;Times;Serif"/>
          <w:b/>
          <w:i w:val="false"/>
          <w:caps w:val="false"/>
          <w:smallCaps w:val="false"/>
          <w:sz w:val="20"/>
        </w:rPr>
        <w:t>Section 5.04)</w:t>
      </w:r>
      <w:r>
        <w:rPr>
          <w:rFonts w:ascii="Times New Roman;Times;Serif" w:hAnsi="Times New Roman;Times;Serif"/>
          <w:b w:val="false"/>
          <w:i w:val="false"/>
          <w:caps w:val="false"/>
          <w:smallCaps w:val="false"/>
          <w:sz w:val="20"/>
        </w:rPr>
        <w:t xml:space="preserve">, except in each case to the extent that, pursuant to </w:t>
      </w:r>
      <w:r>
        <w:rPr>
          <w:rFonts w:ascii="Times New Roman;Times;Serif" w:hAnsi="Times New Roman;Times;Serif"/>
          <w:b/>
          <w:i w:val="false"/>
          <w:caps w:val="false"/>
          <w:smallCaps w:val="false"/>
          <w:sz w:val="20"/>
        </w:rPr>
        <w:t>Section 5.03</w:t>
      </w:r>
      <w:r>
        <w:rPr>
          <w:rFonts w:ascii="Times New Roman;Times;Serif" w:hAnsi="Times New Roman;Times;Serif"/>
          <w:b w:val="false"/>
          <w:i w:val="false"/>
          <w:caps w:val="false"/>
          <w:smallCaps w:val="false"/>
          <w:sz w:val="20"/>
        </w:rPr>
        <w:t xml:space="preserve">, amounts with respect to such Taxes were payable either to such Lender’s assignor immediately before such Lender became a party hereto or to such Lender immediately before it changed its lending office, (iii) Taxes attributable to such Recipient’s failure to comply with </w:t>
      </w:r>
      <w:r>
        <w:rPr>
          <w:rFonts w:ascii="Times New Roman;Times;Serif" w:hAnsi="Times New Roman;Times;Serif"/>
          <w:b/>
          <w:i w:val="false"/>
          <w:caps w:val="false"/>
          <w:smallCaps w:val="false"/>
          <w:sz w:val="20"/>
        </w:rPr>
        <w:t>Section 5.03(f)</w:t>
      </w:r>
      <w:r>
        <w:rPr>
          <w:rFonts w:ascii="Times New Roman;Times;Serif" w:hAnsi="Times New Roman;Times;Serif"/>
          <w:b w:val="false"/>
          <w:i w:val="false"/>
          <w:caps w:val="false"/>
          <w:smallCaps w:val="false"/>
          <w:sz w:val="20"/>
        </w:rPr>
        <w:t>, and (iv) any withholding Taxes imposed under FATCA.</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Exit Fee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i w:val="false"/>
          <w:caps w:val="false"/>
          <w:smallCaps w:val="false"/>
          <w:sz w:val="20"/>
        </w:rPr>
        <w:t>Section 3.05</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Existing Notes</w:t>
      </w:r>
      <w:r>
        <w:rPr>
          <w:rFonts w:ascii="Times New Roman;Times;Serif" w:hAnsi="Times New Roman;Times;Serif"/>
          <w:b w:val="false"/>
          <w:i w:val="false"/>
          <w:caps w:val="false"/>
          <w:smallCaps w:val="false"/>
          <w:sz w:val="20"/>
        </w:rPr>
        <w:t>” means, collectively (a) the Borrower’s 8.625% senior unsecured notes due 2026 and (b) the Borrower’s 11.875% senior unsecured notes due 2027.</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Existing Notes Indenture</w:t>
      </w:r>
      <w:r>
        <w:rPr>
          <w:rFonts w:ascii="Times New Roman;Times;Serif" w:hAnsi="Times New Roman;Times;Serif"/>
          <w:b w:val="false"/>
          <w:i w:val="false"/>
          <w:caps w:val="false"/>
          <w:smallCaps w:val="false"/>
          <w:sz w:val="20"/>
        </w:rPr>
        <w:t>” means, collectively, (a) the Indenture, dated as of April 20, 2021, by and between the Borrower and U.S. Bank, National Association, as trustee, (b) the First Supplemental Indenture, dated as of April 20, 2021, by and between the Borrower and U.S. Bank, National Association, as trustee and (c) the Second Supplemental Indenture, dated as of December 20, 2022, by and between the Borrower and U.S. Bank, National Association, as trustee.</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Facility</w:t>
      </w:r>
      <w:r>
        <w:rPr>
          <w:rFonts w:ascii="Times New Roman;Times;Serif" w:hAnsi="Times New Roman;Times;Serif"/>
          <w:b w:val="false"/>
          <w:i w:val="false"/>
          <w:caps w:val="false"/>
          <w:smallCaps w:val="false"/>
          <w:sz w:val="20"/>
        </w:rPr>
        <w:t>” means any real property (including all buildings, fixtures or other improvements located thereon) now, hereafter or heretofore owned, leased or operated by any Obligor or any of its Subsidiaries.</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FATCA</w:t>
      </w:r>
      <w:r>
        <w:rPr>
          <w:rFonts w:ascii="Times New Roman;Times;Serif" w:hAnsi="Times New Roman;Times;Serif"/>
          <w:b w:val="false"/>
          <w:i w:val="false"/>
          <w:caps w:val="false"/>
          <w:smallCaps w:val="false"/>
          <w:sz w:val="20"/>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FD&amp;C Act</w:t>
      </w:r>
      <w:r>
        <w:rPr>
          <w:rFonts w:ascii="Times New Roman;Times;Serif" w:hAnsi="Times New Roman;Times;Serif"/>
          <w:b w:val="false"/>
          <w:i w:val="false"/>
          <w:caps w:val="false"/>
          <w:smallCaps w:val="false"/>
          <w:sz w:val="20"/>
        </w:rPr>
        <w:t>” means the U.S. Food, Drug and Cosmetic Act, 21 U.S.C. §§ 301 et seq. (or any successor thereto), as amended from time to time, and the rules, regulations and guidelines issued or promulgated thereunder.</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FDA</w:t>
      </w:r>
      <w:r>
        <w:rPr>
          <w:rFonts w:ascii="Times New Roman;Times;Serif" w:hAnsi="Times New Roman;Times;Serif"/>
          <w:b w:val="false"/>
          <w:i w:val="false"/>
          <w:caps w:val="false"/>
          <w:smallCaps w:val="false"/>
          <w:sz w:val="20"/>
        </w:rPr>
        <w:t>” means the U.S. Food and Drug Administration and any successor entity.</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Federal Funds Effective Rate</w:t>
      </w:r>
      <w:r>
        <w:rPr>
          <w:rFonts w:ascii="Times New Roman;Times;Serif" w:hAnsi="Times New Roman;Times;Serif"/>
          <w:b w:val="false"/>
          <w:i w:val="false"/>
          <w:caps w:val="false"/>
          <w:smallCaps w:val="false"/>
          <w:sz w:val="20"/>
        </w:rPr>
        <w:t xml:space="preserve">” means, for any day, the rate calculated by the Federal Reserve Bank of New York 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if such day is not a Business Day, the Federal Funds Effective Rate for such day shall be such rate on such transactions on the next preceding Business Day as so published on the next succeeding Business Day, and (b) if no such rate is so published on such next succeeding Business Day, the Federal Funds Effective Rate for such day shall be the average rate charged to three (3) major banks on such day on such transactions as determined by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the Federal Funds Effective Rate as so determined would be less than zero, such rate shall be deemed to be zero for the purposes of this Agreement.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Fee Letter</w:t>
      </w:r>
      <w:r>
        <w:rPr>
          <w:rFonts w:ascii="Times New Roman;Times;Serif" w:hAnsi="Times New Roman;Times;Serif"/>
          <w:b w:val="false"/>
          <w:i w:val="false"/>
          <w:caps w:val="false"/>
          <w:smallCaps w:val="false"/>
          <w:sz w:val="20"/>
        </w:rPr>
        <w:t>” means the Fee Letter, dated the date of this Agreement, among the Borrower, the Lenders and the Administrative Agent.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Foreign Lender</w:t>
      </w:r>
      <w:r>
        <w:rPr>
          <w:rFonts w:ascii="Times New Roman;Times;Serif" w:hAnsi="Times New Roman;Times;Serif"/>
          <w:b w:val="false"/>
          <w:i w:val="false"/>
          <w:caps w:val="false"/>
          <w:smallCaps w:val="false"/>
          <w:sz w:val="20"/>
        </w:rPr>
        <w:t>” means a Lender that is not a U.S. Person.</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Foreign Subsidiary</w:t>
      </w:r>
      <w:r>
        <w:rPr>
          <w:rFonts w:ascii="Times New Roman;Times;Serif" w:hAnsi="Times New Roman;Times;Serif"/>
          <w:b w:val="false"/>
          <w:i w:val="false"/>
          <w:caps w:val="false"/>
          <w:smallCaps w:val="false"/>
          <w:sz w:val="20"/>
        </w:rPr>
        <w:t>” means any Subsidiary that is not a Domestic Subsidiary.</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Funding Date Certificate</w:t>
      </w:r>
      <w:r>
        <w:rPr>
          <w:rFonts w:ascii="Times New Roman;Times;Serif" w:hAnsi="Times New Roman;Times;Serif"/>
          <w:b w:val="false"/>
          <w:i w:val="false"/>
          <w:caps w:val="false"/>
          <w:smallCaps w:val="false"/>
          <w:sz w:val="20"/>
        </w:rPr>
        <w:t xml:space="preserve">” means a certificate substantially in the form of </w:t>
      </w:r>
      <w:r>
        <w:rPr>
          <w:rFonts w:ascii="Times New Roman;Times;Serif" w:hAnsi="Times New Roman;Times;Serif"/>
          <w:b/>
          <w:i w:val="false"/>
          <w:caps w:val="false"/>
          <w:smallCaps w:val="false"/>
          <w:sz w:val="20"/>
        </w:rPr>
        <w:t>Exhibit C</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GAAP</w:t>
      </w:r>
      <w:r>
        <w:rPr>
          <w:rFonts w:ascii="Times New Roman;Times;Serif" w:hAnsi="Times New Roman;Times;Serif"/>
          <w:b w:val="false"/>
          <w:i w:val="false"/>
          <w:caps w:val="false"/>
          <w:smallCaps w:val="false"/>
          <w:sz w:val="20"/>
        </w:rPr>
        <w:t xml:space="preserve">” means generally accepted accounting principles in the United States of America, as in effect from time to time, set forth in the opinions and pronouncements of the Accounting Principles Board and the American Institute of Certified Public Accountants, in the statements and pronouncements of the Financial Accounting Standards Board and in such other statements by such other entity as may be in general use by significant segments of the accounting profession that are applicable to the circumstances as of the date of determination. All references to “GAAP” shall be to GAAP applied consistently with the principles used in the preparation of the financial statements delivered pursuant to </w:t>
      </w:r>
      <w:r>
        <w:rPr>
          <w:rFonts w:ascii="Times New Roman;Times;Serif" w:hAnsi="Times New Roman;Times;Serif"/>
          <w:b/>
          <w:i w:val="false"/>
          <w:caps w:val="false"/>
          <w:smallCaps w:val="false"/>
          <w:sz w:val="20"/>
        </w:rPr>
        <w:t>Section 6.01(f)</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Governmental Approval</w:t>
      </w:r>
      <w:r>
        <w:rPr>
          <w:rFonts w:ascii="Times New Roman;Times;Serif" w:hAnsi="Times New Roman;Times;Serif"/>
          <w:b w:val="false"/>
          <w:i w:val="false"/>
          <w:caps w:val="false"/>
          <w:smallCaps w:val="false"/>
          <w:sz w:val="20"/>
        </w:rPr>
        <w:t>” means any consent, authorization, approval, order, license, franchise, permit, certification, accreditation, registration, provider or supplier number, HCPCS code, payment status, clearance or exemption that is issued or granted by or from (or pursuant to any act of) any Governmental Authority, including any application or submission related to any of the foregoing.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Governmental Authority</w:t>
      </w:r>
      <w:r>
        <w:rPr>
          <w:rFonts w:ascii="Times New Roman;Times;Serif" w:hAnsi="Times New Roman;Times;Serif"/>
          <w:b w:val="false"/>
          <w:i w:val="false"/>
          <w:caps w:val="false"/>
          <w:smallCaps w:val="false"/>
          <w:sz w:val="20"/>
        </w:rPr>
        <w:t>” means any nation, government, branch of power (whether executive, legislative or judicial), state, province or municipality or other political subdivision thereof and any entity exercising executive, legislative, judicial, monetary, regulatory or administrative functions of or pertaining to government, including without limitation regulatory authorities, governmental departments, agencies, commissions, bureaus, officials, ministers, courts, bodies, boards, tribunals and dispute settlement panels, and other law-, rule- or regulation-making organizations or entities of any state, territory, county, city or other political subdivision of any country, in each case whether U.S., or non-U.S.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Guarantee</w:t>
      </w:r>
      <w:r>
        <w:rPr>
          <w:rFonts w:ascii="Times New Roman;Times;Serif" w:hAnsi="Times New Roman;Times;Serif"/>
          <w:b w:val="false"/>
          <w:i w:val="false"/>
          <w:caps w:val="false"/>
          <w:smallCaps w:val="false"/>
          <w:sz w:val="20"/>
        </w:rPr>
        <w:t>” of or by any Person (the “</w:t>
      </w:r>
      <w:r>
        <w:rPr>
          <w:rFonts w:ascii="Times New Roman;Times;Serif" w:hAnsi="Times New Roman;Times;Serif"/>
          <w:b/>
          <w:i/>
          <w:caps w:val="false"/>
          <w:smallCaps w:val="false"/>
          <w:sz w:val="20"/>
        </w:rPr>
        <w:t>guarantor</w:t>
      </w:r>
      <w:r>
        <w:rPr>
          <w:rFonts w:ascii="Times New Roman;Times;Serif" w:hAnsi="Times New Roman;Times;Serif"/>
          <w:b w:val="false"/>
          <w:i w:val="false"/>
          <w:caps w:val="false"/>
          <w:smallCaps w:val="false"/>
          <w:sz w:val="20"/>
        </w:rPr>
        <w:t>”) means any obligation, contingent or otherwise, of the guarantor guaranteeing or having the economic effect of guaranteeing any Indebtedness or other obligation (the “</w:t>
      </w:r>
      <w:r>
        <w:rPr>
          <w:rFonts w:ascii="Times New Roman;Times;Serif" w:hAnsi="Times New Roman;Times;Serif"/>
          <w:b/>
          <w:i/>
          <w:caps w:val="false"/>
          <w:smallCaps w:val="false"/>
          <w:sz w:val="20"/>
        </w:rPr>
        <w:t>primary obligations</w:t>
      </w:r>
      <w:r>
        <w:rPr>
          <w:rFonts w:ascii="Times New Roman;Times;Serif" w:hAnsi="Times New Roman;Times;Serif"/>
          <w:b w:val="false"/>
          <w:i w:val="false"/>
          <w:caps w:val="false"/>
          <w:smallCaps w:val="false"/>
          <w:sz w:val="20"/>
        </w:rPr>
        <w:t>”) of any other Person (the “</w:t>
      </w:r>
      <w:r>
        <w:rPr>
          <w:rFonts w:ascii="Times New Roman;Times;Serif" w:hAnsi="Times New Roman;Times;Serif"/>
          <w:b/>
          <w:i/>
          <w:caps w:val="false"/>
          <w:smallCaps w:val="false"/>
          <w:sz w:val="20"/>
        </w:rPr>
        <w:t>primary obligor</w:t>
      </w:r>
      <w:r>
        <w:rPr>
          <w:rFonts w:ascii="Times New Roman;Times;Serif" w:hAnsi="Times New Roman;Times;Serif"/>
          <w:b w:val="false"/>
          <w:i w:val="false"/>
          <w:caps w:val="false"/>
          <w:smallCaps w:val="false"/>
          <w:sz w:val="20"/>
        </w:rPr>
        <w:t xml:space="preserve">”) in any manner, whether directly or indirectly, and including any obligation of the guarantor, direct or indirect, (i) to purchase or pay (or advance or supply funds for the purchase or payment of) such primary obligations or to purchase (or to advance or supply funds for the purchase of) any security for the payment thereof, (ii) to purchase or lease property, securities or services for the purpose of assuring the owner of such primary obligations of the payment thereof, (iii) to maintain working capital, equity capital or any other financial statement condition or liquidity of the primary obligor so as to enable the primary obligor to pay such primary obligations or (iv) as an account party in respect of any letter of credit or letter of guaranty (including any bank guarantee) issued to support such primary obligations;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term Guarantee shall not include (x) endorsements for collection or deposit and (y) guarantees of operating leases, in each case, in the Ordinary Course.</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Guarantee Assumption Agreement</w:t>
      </w:r>
      <w:r>
        <w:rPr>
          <w:rFonts w:ascii="Times New Roman;Times;Serif" w:hAnsi="Times New Roman;Times;Serif"/>
          <w:b w:val="false"/>
          <w:i w:val="false"/>
          <w:caps w:val="false"/>
          <w:smallCaps w:val="false"/>
          <w:sz w:val="20"/>
        </w:rPr>
        <w:t xml:space="preserve">” means a Guarantee Assumption Agreement substantially in the form of </w:t>
      </w:r>
      <w:r>
        <w:rPr>
          <w:rFonts w:ascii="Times New Roman;Times;Serif" w:hAnsi="Times New Roman;Times;Serif"/>
          <w:b/>
          <w:i w:val="false"/>
          <w:caps w:val="false"/>
          <w:smallCaps w:val="false"/>
          <w:sz w:val="20"/>
        </w:rPr>
        <w:t xml:space="preserve">Exhibit E </w:t>
      </w:r>
      <w:r>
        <w:rPr>
          <w:rFonts w:ascii="Times New Roman;Times;Serif" w:hAnsi="Times New Roman;Times;Serif"/>
          <w:b w:val="false"/>
          <w:i w:val="false"/>
          <w:caps w:val="false"/>
          <w:smallCaps w:val="false"/>
          <w:sz w:val="20"/>
        </w:rPr>
        <w:t xml:space="preserve">by an entity that, pursuant to </w:t>
      </w:r>
      <w:r>
        <w:rPr>
          <w:rFonts w:ascii="Times New Roman;Times;Serif" w:hAnsi="Times New Roman;Times;Serif"/>
          <w:b/>
          <w:i w:val="false"/>
          <w:caps w:val="false"/>
          <w:smallCaps w:val="false"/>
          <w:sz w:val="20"/>
        </w:rPr>
        <w:t>Section 8.11(a)</w:t>
      </w:r>
      <w:r>
        <w:rPr>
          <w:rFonts w:ascii="Times New Roman;Times;Serif" w:hAnsi="Times New Roman;Times;Serif"/>
          <w:b w:val="false"/>
          <w:i w:val="false"/>
          <w:caps w:val="false"/>
          <w:smallCaps w:val="false"/>
          <w:sz w:val="20"/>
        </w:rPr>
        <w:t>, is required to become a “Subsidiary Guarantor.”</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Guaranteed Obligations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13.01</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Guarantor</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means each Subsidiary Guarantor.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Guaranty</w:t>
      </w:r>
      <w:r>
        <w:rPr>
          <w:rFonts w:ascii="Times New Roman;Times;Serif" w:hAnsi="Times New Roman;Times;Serif"/>
          <w:b w:val="false"/>
          <w:i w:val="false"/>
          <w:caps w:val="false"/>
          <w:smallCaps w:val="false"/>
          <w:sz w:val="20"/>
        </w:rPr>
        <w:t xml:space="preserve">” means the Guaranty made by the Guarantors under </w:t>
      </w:r>
      <w:r>
        <w:rPr>
          <w:rFonts w:ascii="Times New Roman;Times;Serif" w:hAnsi="Times New Roman;Times;Serif"/>
          <w:b/>
          <w:i w:val="false"/>
          <w:caps w:val="false"/>
          <w:smallCaps w:val="false"/>
          <w:sz w:val="20"/>
        </w:rPr>
        <w:t>Section 13</w:t>
      </w:r>
      <w:r>
        <w:rPr>
          <w:rFonts w:ascii="Times New Roman;Times;Serif" w:hAnsi="Times New Roman;Times;Serif"/>
          <w:b w:val="false"/>
          <w:i w:val="false"/>
          <w:caps w:val="false"/>
          <w:smallCaps w:val="false"/>
          <w:sz w:val="20"/>
        </w:rPr>
        <w:t xml:space="preserve"> in favor of the Secured Parties (including any Guaranty assumed by an entity that is required to become a “Subsidiary Guarantor” pursuant to a Guarantee Assumption Agreement).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Hazardous Material</w:t>
      </w:r>
      <w:r>
        <w:rPr>
          <w:rFonts w:ascii="Times New Roman;Times;Serif" w:hAnsi="Times New Roman;Times;Serif"/>
          <w:b w:val="false"/>
          <w:i w:val="false"/>
          <w:caps w:val="false"/>
          <w:smallCaps w:val="false"/>
          <w:sz w:val="20"/>
        </w:rPr>
        <w:t>” means any chemical, material or substance, exposure to which is prohibited, limited or regulated by any Governmental Authority or which may or would reasonably be expected to pose a hazard to the health and safety of the owners, occupants or any Persons in the vicinity of any Facility or to the indoor or outdoor environment.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Hazardous Materials Activity</w:t>
      </w:r>
      <w:r>
        <w:rPr>
          <w:rFonts w:ascii="Times New Roman;Times;Serif" w:hAnsi="Times New Roman;Times;Serif"/>
          <w:b w:val="false"/>
          <w:i w:val="false"/>
          <w:caps w:val="false"/>
          <w:smallCaps w:val="false"/>
          <w:sz w:val="20"/>
        </w:rPr>
        <w:t>” means any past, current, proposed or threatened activity, event or occurrence involving any Hazardous Materials, including the use, manufacture, possession, storage, holding, presence, existence, location, release, threatened release, discharge, placement, generation, transportation, processing, construction, treatment, abatement, removal, remediation, disposal, recycling, disposition or handling of any Hazardous Materials, and any investigation, monitoring, corrective action or response action with respect to any of the foregoing.</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Healthcare Laws</w:t>
      </w:r>
      <w:r>
        <w:rPr>
          <w:rFonts w:ascii="Times New Roman;Times;Serif" w:hAnsi="Times New Roman;Times;Serif"/>
          <w:b w:val="false"/>
          <w:i w:val="false"/>
          <w:caps w:val="false"/>
          <w:smallCaps w:val="false"/>
          <w:sz w:val="20"/>
        </w:rPr>
        <w:t>” means, collectively, all Laws and Product Authorizations applicable to the business, any Product or the Product Commercialization and Development Activities of any Obligor, whether U.S. or non-U.S., regulating the distribution, dispensing, compounding, importation, exportation, quality, manufacturing, sales, marketing, labeling, promotion and provision of and payment for drugs, biological products, or healthcare products, items and services, including, without limitation, the FD&amp;C Act, the Social Security Act, the Federal Anti-Kickback Statute, the federal False Claims Act, the Stark Law, the PDMA, the Physician Payments Sunshine Act, the Civil Monetary Penalties Law, the exclusion laws, the Health Insurance Portability and Accountability Act of 1996 and all rules, regulations and guidance pertaining to or governing the Medicare and Medicaid programs, the TRICARE Program, federal employee health benefit plans and any other government healthcare programs; and all rules, regulations and guidance promulgated under or pursuant to any of the foregoing, including any state and non-U.S. equivalents.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Hedging Agreement</w:t>
      </w:r>
      <w:r>
        <w:rPr>
          <w:rFonts w:ascii="Times New Roman;Times;Serif" w:hAnsi="Times New Roman;Times;Serif"/>
          <w:b w:val="false"/>
          <w:i w:val="false"/>
          <w:caps w:val="false"/>
          <w:smallCaps w:val="false"/>
          <w:sz w:val="20"/>
        </w:rPr>
        <w:t>” means any interest rate exchange agreement, foreign currency exchange agreement, commodity price protection agreement or other interest or currency exchange rate or commodity price hedging arrangement.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IHEEZO</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Schedule 4</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ILEVRO</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Schedule 4</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Immaterial Subsidiary</w:t>
      </w:r>
      <w:r>
        <w:rPr>
          <w:rFonts w:ascii="Times New Roman;Times;Serif" w:hAnsi="Times New Roman;Times;Serif"/>
          <w:b w:val="false"/>
          <w:i w:val="false"/>
          <w:caps w:val="false"/>
          <w:smallCaps w:val="false"/>
          <w:sz w:val="20"/>
        </w:rPr>
        <w:t xml:space="preserve">” means any Subsidiary of the Borrower that (i) individually constitutes or holds less than two and one half percent (2.5%) of the Borrower’s consolidated total assets and generates less than two and one half percent (2.5%) of the Borrower’s consolidated total revenue, and (ii) when taken together with all then existing Immaterial Subsidiaries, such Subsidiary and such Immaterial Subsidiaries, in the aggregate, would constitute or hold less than three percent (3%) of the Borrower’s consolidated total assets and generate less than three percent (3%) of the Borrower’s consolidated total revenue, in each case of the foregoing clauses as of the last day of, or for, the most recently ended fiscal period for which financial statements were required to have been delivered pursuant to Section </w:t>
      </w:r>
      <w:r>
        <w:rPr>
          <w:rFonts w:ascii="Times New Roman;Times;Serif" w:hAnsi="Times New Roman;Times;Serif"/>
          <w:b/>
          <w:i w:val="false"/>
          <w:caps w:val="false"/>
          <w:smallCaps w:val="false"/>
          <w:sz w:val="20"/>
        </w:rPr>
        <w:t>8.01(a) or (b)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notwithstanding the foregoing, no Subsidiary that owns any Material Intellectual Property shall be an Immaterial Subsidiary.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IND</w:t>
      </w:r>
      <w:r>
        <w:rPr>
          <w:rFonts w:ascii="Times New Roman;Times;Serif" w:hAnsi="Times New Roman;Times;Serif"/>
          <w:b w:val="false"/>
          <w:i w:val="false"/>
          <w:caps w:val="false"/>
          <w:smallCaps w:val="false"/>
          <w:sz w:val="20"/>
        </w:rPr>
        <w:t>” means (i) (x) an investigational new drug application (as defined in the FD&amp;C Act) that is required to be filed with the FDA before beginning clinical testing in human subjects, or any successor application or procedure and (y) any similar application or functional equivalent relating to any investigational new drug application applicable to or required by any non-U.S. Governmental Authority, and (ii) all supplements and amendments that may be filed with respect to the foregoing.</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Indebtedness</w:t>
      </w:r>
      <w:r>
        <w:rPr>
          <w:rFonts w:ascii="Times New Roman;Times;Serif" w:hAnsi="Times New Roman;Times;Serif"/>
          <w:b w:val="false"/>
          <w:i w:val="false"/>
          <w:caps w:val="false"/>
          <w:smallCaps w:val="false"/>
          <w:sz w:val="20"/>
        </w:rPr>
        <w:t xml:space="preserve">” of any Person means, without duplication, (i) all obligations of such Person for borrowed money, (ii) all obligations of such Person evidenced by bonds, debentures, notes, loan agreements or similar instruments, (iii) all obligations of such Person upon which interest charges are customarily paid (excluding interest penalties for late payments under commercial contracts entered into in the Ordinary Course and, for the avoidance of doubt, which commercial contracts do not relate to obligations for borrowed money or purchase money indebtedness), (iv) all obligations of such Person under conditional sale or other title retention agreements relating to property acquired by such Person, (v) all obligations of such Person in respect of the deferred purchase price of property or services (excluding (A) any royalty payments or similar payments based on a percentage of sales under any such license or other agreement, (B) deferred compensation and accounts payable incurred in the Ordinary Course and not overdue by more than sixty (60) days or otherwise being disputed in good faith, and (C) any earn-out obligation until such earn-out obligation appears on such Person’s balance sheet in accordance with GAAP), (vi) all Indebtedness of others secured by (or for which the holder of such Indebtedness has an existing right, contingent or otherwise, to be secured by) any Lien on property owned or acquired by such Person, whether or not the Indebtedness secured thereby has been assumed, (vii) all Guarantees by such Person of Indebtedness of others, (viii) all Capital Lease Obligations of such Person, (ix) all obligations, contingent or otherwise, of such Person as an account party in respect of letters of credit and letters of guaranty, (x) obligations under any Hedging Agreement, currency swaps, forwards, futures or derivatives transactions, (xi) all obligations, contingent or otherwise, of such Person in respect of bankers’ acceptances, (xii) all milestone and similar payments of such Person under any license or other agreements appearing on such Person’s balance sheet in accordance with GAAP (but excluding any such payments based on a percentage of sales under any such license or other agreement), (xiii) any Disqualified Equity Interests of such Person, and (xiv) all other obligations required to be classified as indebtedness of such Person under GAAP;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the foregoing, Indebtedness shall not include (A) accrued expenses, deferred rent, deferred taxes, deferred compensation or customary obligations under employment agreements, or (B) any accounts payable existing as of the Closing Date that are classified as indebtedness in accordance with GAAP but have been overdue for more than two (2) years prior to the Closing Date and are not subject to collection attempts by the applicable payee, in an amount not to exceed $500,000 in the aggregate.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Indemnified 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14.03(b)</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Indemnified Taxes</w:t>
      </w:r>
      <w:r>
        <w:rPr>
          <w:rFonts w:ascii="Times New Roman;Times;Serif" w:hAnsi="Times New Roman;Times;Serif"/>
          <w:b w:val="false"/>
          <w:i w:val="false"/>
          <w:caps w:val="false"/>
          <w:smallCaps w:val="false"/>
          <w:sz w:val="20"/>
        </w:rPr>
        <w:t xml:space="preserve">” means (i) Taxes, other than Excluded Taxes, imposed on or with respect to any payment made by or on account of any Obligation and (ii) to the extent not otherwise described in </w:t>
      </w:r>
      <w:r>
        <w:rPr>
          <w:rFonts w:ascii="Times New Roman;Times;Serif" w:hAnsi="Times New Roman;Times;Serif"/>
          <w:b/>
          <w:i w:val="false"/>
          <w:caps w:val="false"/>
          <w:smallCaps w:val="false"/>
          <w:sz w:val="20"/>
        </w:rPr>
        <w:t>clause (i)</w:t>
      </w:r>
      <w:r>
        <w:rPr>
          <w:rFonts w:ascii="Times New Roman;Times;Serif" w:hAnsi="Times New Roman;Times;Serif"/>
          <w:b w:val="false"/>
          <w:i w:val="false"/>
          <w:caps w:val="false"/>
          <w:smallCaps w:val="false"/>
          <w:sz w:val="20"/>
        </w:rPr>
        <w:t>, Other Taxes.</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Insolvency Proceeding</w:t>
      </w:r>
      <w:r>
        <w:rPr>
          <w:rFonts w:ascii="Times New Roman;Times;Serif" w:hAnsi="Times New Roman;Times;Serif"/>
          <w:b w:val="false"/>
          <w:i w:val="false"/>
          <w:caps w:val="false"/>
          <w:smallCaps w:val="false"/>
          <w:sz w:val="20"/>
        </w:rPr>
        <w:t>” means (i) any case, action or proceeding before any court or other Governmental Authority relating to bankruptcy, reorganization, insolvency, administration, re-arrangement, moratorium, liquidation, receivership, examinership, dissolution, winding-up or relief of debtors, or (ii) any general assignment for the benefit of creditors, composition, marshaling of assets for creditors, or other, similar arrangement in respect of any Person’s creditors generally or any substantial portion of such Person’s creditors, in each case undertaken under U.S. federal or state, or foreign law, including the Bankruptcy Code.</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Intellectual Property</w:t>
      </w:r>
      <w:r>
        <w:rPr>
          <w:rFonts w:ascii="Times New Roman;Times;Serif" w:hAnsi="Times New Roman;Times;Serif"/>
          <w:b w:val="false"/>
          <w:i w:val="false"/>
          <w:caps w:val="false"/>
          <w:smallCaps w:val="false"/>
          <w:sz w:val="20"/>
        </w:rPr>
        <w:t>” means all intellectual property or proprietary rights anywhere in the world, including all rights in or to Patents, Trademarks, Copyrights, and Technical Information.</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Intercompany Subordination Agreement</w:t>
      </w:r>
      <w:r>
        <w:rPr>
          <w:rFonts w:ascii="Times New Roman;Times;Serif" w:hAnsi="Times New Roman;Times;Serif"/>
          <w:b w:val="false"/>
          <w:i w:val="false"/>
          <w:caps w:val="false"/>
          <w:smallCaps w:val="false"/>
          <w:sz w:val="20"/>
        </w:rPr>
        <w:t xml:space="preserve">” means a subordination agreement to be executed and delivered by each Obligor and each of its Subsidiaries, pursuant to which all obligations in respect of any Indebtedness owing to any such Person by an Obligor shall be subordinated to the prior payment in full in cash of all Obligations, such agreement to be in substantially the form attached hereto as </w:t>
      </w:r>
      <w:r>
        <w:rPr>
          <w:rFonts w:ascii="Times New Roman;Times;Serif" w:hAnsi="Times New Roman;Times;Serif"/>
          <w:b/>
          <w:i w:val="false"/>
          <w:caps w:val="false"/>
          <w:smallCaps w:val="false"/>
          <w:sz w:val="20"/>
        </w:rPr>
        <w:t>Exhibit F</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Interest Period</w:t>
      </w:r>
      <w:r>
        <w:rPr>
          <w:rFonts w:ascii="Times New Roman;Times;Serif" w:hAnsi="Times New Roman;Times;Serif"/>
          <w:b w:val="false"/>
          <w:i w:val="false"/>
          <w:caps w:val="false"/>
          <w:smallCaps w:val="false"/>
          <w:sz w:val="20"/>
        </w:rPr>
        <w:t>” means (a) the period commencing on and including the Closing Date and ending on and including the immediately subsequent Payment Date and (b) subsequently, each period commencing on and excluding the last day of the previous Interest Period for such Loan and ending on and including the immediately subsequent Payment Date.</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Interest Rate</w:t>
      </w:r>
      <w:r>
        <w:rPr>
          <w:rFonts w:ascii="Times New Roman;Times;Serif" w:hAnsi="Times New Roman;Times;Serif"/>
          <w:b w:val="false"/>
          <w:i w:val="false"/>
          <w:caps w:val="false"/>
          <w:smallCaps w:val="false"/>
          <w:sz w:val="20"/>
        </w:rPr>
        <w:t xml:space="preserve">” means, for any Interest Period, a rate per annum equal to the sum of (a) the Applicable Margin plus (b) Three-Month Term SOFR, as may be increased pursuant to </w:t>
      </w:r>
      <w:r>
        <w:rPr>
          <w:rFonts w:ascii="Times New Roman;Times;Serif" w:hAnsi="Times New Roman;Times;Serif"/>
          <w:b/>
          <w:i w:val="false"/>
          <w:caps w:val="false"/>
          <w:smallCaps w:val="false"/>
          <w:sz w:val="20"/>
        </w:rPr>
        <w:t>Section 3.02(b)</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Invention</w:t>
      </w:r>
      <w:r>
        <w:rPr>
          <w:rFonts w:ascii="Times New Roman;Times;Serif" w:hAnsi="Times New Roman;Times;Serif"/>
          <w:b w:val="false"/>
          <w:i w:val="false"/>
          <w:caps w:val="false"/>
          <w:smallCaps w:val="false"/>
          <w:sz w:val="20"/>
        </w:rPr>
        <w:t>” means any novel, inventive or useful art, apparatus, method, process, machine (including any article or device), manufacture or composition of matter, or any novel, inventive and useful improvement in any art, method, process, machine (including article or device), manufacture or composition of matter.</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Investment</w:t>
      </w:r>
      <w:r>
        <w:rPr>
          <w:rFonts w:ascii="Times New Roman;Times;Serif" w:hAnsi="Times New Roman;Times;Serif"/>
          <w:b w:val="false"/>
          <w:i w:val="false"/>
          <w:caps w:val="false"/>
          <w:smallCaps w:val="false"/>
          <w:sz w:val="20"/>
        </w:rPr>
        <w:t xml:space="preserve">” means, for any Person: (i) the acquisition (whether for cash, property, services or securities or otherwise) of any debt or Equity Interests, bonds, notes, debentures, partnership or other ownership interests or other securities of any other Person (including any “short sale” or any sale of any securities at a time when such securities are not owned by the Person entering into such sale); (ii) the making of any deposit with, or advance, loan, assumption of debt or other extension of credit to, or capital contribution in any other Person (including the purchase of property from another Person subject to an understanding or agreement, contingent or otherwise, to resell such property to such Person), but excluding any such advance, loan or extension of credit having a term not exceeding ninety (90) days arising in connection with the sale of inventory or supplies by such Person in the Ordinary Course; or (iii) the entering into of any Guarantee of, or other contingent obligation with respect to, Indebtedness or other liability of any other Person and (without duplication) any amount committed to be advanced, lent or extended to such Person. The amount of an Investment shall be the amount actually invested (which, in the case of any Investment constituting the contribution of an asset or property, shall be based on such Person’s good faith estimate of the fair market value of such asset or property at the time such Investment is made), less the amount of cash received or returned for such Investment, without adjustment for subsequent increases or decreases in the value of such Investment or write-ups, write-downs or write-offs with respect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such amount be less than zero or increase any basket or amount pursuant to </w:t>
      </w:r>
      <w:r>
        <w:rPr>
          <w:rFonts w:ascii="Times New Roman;Times;Serif" w:hAnsi="Times New Roman;Times;Serif"/>
          <w:b/>
          <w:i w:val="false"/>
          <w:caps w:val="false"/>
          <w:smallCaps w:val="false"/>
          <w:sz w:val="20"/>
        </w:rPr>
        <w:t>Section 9.05</w:t>
      </w:r>
      <w:r>
        <w:rPr>
          <w:rFonts w:ascii="Times New Roman;Times;Serif" w:hAnsi="Times New Roman;Times;Serif"/>
          <w:b w:val="false"/>
          <w:i w:val="false"/>
          <w:caps w:val="false"/>
          <w:smallCaps w:val="false"/>
          <w:sz w:val="20"/>
        </w:rPr>
        <w:t xml:space="preserve"> above the fixed amount set forth therein.</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IOPIDINE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Schedule 4</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IRS</w:t>
      </w:r>
      <w:r>
        <w:rPr>
          <w:rFonts w:ascii="Times New Roman;Times;Serif" w:hAnsi="Times New Roman;Times;Serif"/>
          <w:b w:val="false"/>
          <w:i w:val="false"/>
          <w:caps w:val="false"/>
          <w:smallCaps w:val="false"/>
          <w:sz w:val="20"/>
        </w:rPr>
        <w:t>” means the U.S. Internal Revenue Service or any successor agency, and to the extent relevant, the U.S. Department of the Treasury.</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Joint Venture</w:t>
      </w:r>
      <w:r>
        <w:rPr>
          <w:rFonts w:ascii="Times New Roman;Times;Serif" w:hAnsi="Times New Roman;Times;Serif"/>
          <w:b w:val="false"/>
          <w:i w:val="false"/>
          <w:caps w:val="false"/>
          <w:smallCaps w:val="false"/>
          <w:sz w:val="20"/>
        </w:rPr>
        <w:t>” means a joint venture, partnership or other similar arrangement, in corporate, partnership or similar legal form with a Person other than Borrower or its Subsidiaries.</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Key Person</w:t>
      </w:r>
      <w:r>
        <w:rPr>
          <w:rFonts w:ascii="Times New Roman;Times;Serif" w:hAnsi="Times New Roman;Times;Serif"/>
          <w:b w:val="false"/>
          <w:i w:val="false"/>
          <w:caps w:val="false"/>
          <w:smallCaps w:val="false"/>
          <w:sz w:val="20"/>
        </w:rPr>
        <w:t>” means each of the Chief Financial Officer of Borrower, the Chief Executive Officer of Borrower and the Chief Commercial Officer of Borrower, which as of the Closing Date are Andrew Boll, Mark Baum, and John Saharek, respectively.</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Key Person Event</w:t>
      </w:r>
      <w:r>
        <w:rPr>
          <w:rFonts w:ascii="Times New Roman;Times;Serif" w:hAnsi="Times New Roman;Times;Serif"/>
          <w:b w:val="false"/>
          <w:i w:val="false"/>
          <w:caps w:val="false"/>
          <w:smallCaps w:val="false"/>
          <w:sz w:val="20"/>
        </w:rPr>
        <w:t>” means, at any time, two (2) or more Key Persons cease to be employed by the Borrower, and Borrower shall fail, within one hundred eighty (180) days (or such longer period as the Administrative Agent may accept in its sole discretion) of the date that each such Person ceases to serve in such capacity, to appoint a replacement for such Person reasonably acceptable to the Administrative Agent. A Key Person shall be deemed not employed if they have resigned or provided notice of resignation or any period they are subject to any “gardening” or similar leave.</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Landlord Consent</w:t>
      </w:r>
      <w:r>
        <w:rPr>
          <w:rFonts w:ascii="Times New Roman;Times;Serif" w:hAnsi="Times New Roman;Times;Serif"/>
          <w:b w:val="false"/>
          <w:i w:val="false"/>
          <w:caps w:val="false"/>
          <w:smallCaps w:val="false"/>
          <w:sz w:val="20"/>
        </w:rPr>
        <w:t>” means, with respect to locations in the United States, a Landlord Consent substantially in the form attached to the Security Agreement, or with respect to locations in and outside of the United States, a landlord consent or similar document in form and substance satisfactory to the Administrative Agent.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Law</w:t>
      </w:r>
      <w:r>
        <w:rPr>
          <w:rFonts w:ascii="Times New Roman;Times;Serif" w:hAnsi="Times New Roman;Times;Serif"/>
          <w:b w:val="false"/>
          <w:i w:val="false"/>
          <w:caps w:val="false"/>
          <w:smallCaps w:val="false"/>
          <w:sz w:val="20"/>
        </w:rPr>
        <w:t>” means, collectively, all U.S. and non-U.S. federal, state, provincial, territorial, municipal or local statute, treaty, rule, guideline, regulation, ordinance, code or administrative or judicial precedent or authority, including any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Lenders</w:t>
      </w:r>
      <w:r>
        <w:rPr>
          <w:rFonts w:ascii="Times New Roman;Times;Serif" w:hAnsi="Times New Roman;Times;Serif"/>
          <w:b w:val="false"/>
          <w:i w:val="false"/>
          <w:caps w:val="false"/>
          <w:smallCaps w:val="false"/>
          <w:sz w:val="20"/>
        </w:rPr>
        <w:t>” has the meaning set forth in the preamble hereto.</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Lien</w:t>
      </w:r>
      <w:r>
        <w:rPr>
          <w:rFonts w:ascii="Times New Roman;Times;Serif" w:hAnsi="Times New Roman;Times;Serif"/>
          <w:b w:val="false"/>
          <w:i w:val="false"/>
          <w:caps w:val="false"/>
          <w:smallCaps w:val="false"/>
          <w:sz w:val="20"/>
        </w:rPr>
        <w:t>” means (a) any mortgage, lien, license, pledge, hypothecation, charge, security interest, or other encumbrance of any kind or character whatsoever, whether or not filed, recorded or otherwise perfected under applicable Law, or any lease, title retention agreement, mortgage, restriction, easement, right-of-way, option or adverse claim (of ownership or possession) (including any conditional sale or other title retention agreement, any lease in the nature thereof, and any other encumbrance on title to real property, any option or other agreement to sell, or give a security interest in, such asset and any filing of or agreement to give any financing statement under the Uniform Commercial Code (or equivalent statutes of any jurisdiction)) or any preferential arrangement that has the practical effect of creating a security interest and (b) in the case of Equity Interests, any purchase option, call or similar right of a third party with respect to such Equity Interests.</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Loan</w:t>
      </w:r>
      <w:r>
        <w:rPr>
          <w:rFonts w:ascii="Times New Roman;Times;Serif" w:hAnsi="Times New Roman;Times;Serif"/>
          <w:b w:val="false"/>
          <w:i w:val="false"/>
          <w:caps w:val="false"/>
          <w:smallCaps w:val="false"/>
          <w:sz w:val="20"/>
        </w:rPr>
        <w:t xml:space="preserve">” means each loan advanced by a Lender pursuant to </w:t>
      </w:r>
      <w:r>
        <w:rPr>
          <w:rFonts w:ascii="Times New Roman;Times;Serif" w:hAnsi="Times New Roman;Times;Serif"/>
          <w:b/>
          <w:i w:val="false"/>
          <w:caps w:val="false"/>
          <w:smallCaps w:val="false"/>
          <w:sz w:val="20"/>
        </w:rPr>
        <w:t>Section 2.01</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Loan Documents</w:t>
      </w:r>
      <w:r>
        <w:rPr>
          <w:rFonts w:ascii="Times New Roman;Times;Serif" w:hAnsi="Times New Roman;Times;Serif"/>
          <w:b w:val="false"/>
          <w:i w:val="false"/>
          <w:caps w:val="false"/>
          <w:smallCaps w:val="false"/>
          <w:sz w:val="20"/>
        </w:rPr>
        <w:t>” means, collectively, this Agreement, the Notes, the Security Documents, the Perfection Certificate, the Fee Letter, any Guarantee Assumption Agreement, the Intercompany Subordination Agreement, and any subordination agreement, intercreditor agreement or other present or future document, instrument, agreement or certificate delivered to the Administrative Agent (for itself or for the benefit of any other Secured Party) in connection with this Agreement or any of the other Loan Documents, in each case, as amended or otherwise modified.</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Loans Schedule</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i w:val="false"/>
          <w:caps w:val="false"/>
          <w:smallCaps w:val="false"/>
          <w:sz w:val="20"/>
        </w:rPr>
        <w:t>Schedule 1</w:t>
      </w:r>
      <w:r>
        <w:rPr>
          <w:rFonts w:ascii="Times New Roman;Times;Serif" w:hAnsi="Times New Roman;Times;Serif"/>
          <w:b w:val="false"/>
          <w:i w:val="false"/>
          <w:caps w:val="false"/>
          <w:smallCaps w:val="false"/>
          <w:sz w:val="20"/>
        </w:rPr>
        <w:t xml:space="preserve"> attached hereto.</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Loss</w:t>
      </w:r>
      <w:r>
        <w:rPr>
          <w:rFonts w:ascii="Times New Roman;Times;Serif" w:hAnsi="Times New Roman;Times;Serif"/>
          <w:b w:val="false"/>
          <w:i w:val="false"/>
          <w:caps w:val="false"/>
          <w:smallCaps w:val="false"/>
          <w:sz w:val="20"/>
        </w:rPr>
        <w:t>” means judgments, debts, liabilities, expenses, costs, damages or losses, contingent or otherwise, whether liquidated or unliquidated, matured or unmatured, disputed or undisputed, contractual, legal or equitable, including loss of value, professional fees, including fees and disbursements of legal counsel on a full indemnity basis, and all costs incurred in investigating or pursuing any Claim or any proceeding relating to any Claim.</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Majority Lenders</w:t>
      </w:r>
      <w:r>
        <w:rPr>
          <w:rFonts w:ascii="Times New Roman;Times;Serif" w:hAnsi="Times New Roman;Times;Serif"/>
          <w:b w:val="false"/>
          <w:i w:val="false"/>
          <w:caps w:val="false"/>
          <w:smallCaps w:val="false"/>
          <w:sz w:val="20"/>
        </w:rPr>
        <w:t xml:space="preserve">” means, at any time, Lenders having at such time in excess of fifty percent (50%) of the aggregate unused Commitments then in effect and the outstanding principal amount of the Loans at such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so long as the Oaktree Lenders own at least twenty-five percent (25%) of the aggregate unused Commitments then in effect and the outstanding principal amount of the Loans at such time, the consent of the Oaktree Lenders shall be required to constitute the Majority Lenders. The Commitments of any Defaulting Lender shall be disregarded in determining Majority Lenders at any time.</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Make-Whole Discounted Value</w:t>
      </w:r>
      <w:r>
        <w:rPr>
          <w:rFonts w:ascii="Times New Roman;Times;Serif" w:hAnsi="Times New Roman;Times;Serif"/>
          <w:b w:val="false"/>
          <w:i w:val="false"/>
          <w:caps w:val="false"/>
          <w:smallCaps w:val="false"/>
          <w:sz w:val="20"/>
        </w:rPr>
        <w:t>” means the amount obtained by discounting all Make-Whole Remaining Scheduled Payments with respect to the principal amount of such Loan being paid or prepaid to the Maturity Date, as determined by the Administrative Agent at a discount factor equal to the Make-Whole Reinvestment Yield.</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Make-Whole Remaining Scheduled Payments</w:t>
      </w:r>
      <w:r>
        <w:rPr>
          <w:rFonts w:ascii="Times New Roman;Times;Serif" w:hAnsi="Times New Roman;Times;Serif"/>
          <w:b w:val="false"/>
          <w:i w:val="false"/>
          <w:caps w:val="false"/>
          <w:smallCaps w:val="false"/>
          <w:sz w:val="20"/>
        </w:rPr>
        <w:t>” means all interest payments on the principal amount of the Loan being paid or prepaid that would be due on or prior to the Maturity Date with respect to such amount.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Make-Whole Reinvestment Yield</w:t>
      </w:r>
      <w:r>
        <w:rPr>
          <w:rFonts w:ascii="Times New Roman;Times;Serif" w:hAnsi="Times New Roman;Times;Serif"/>
          <w:b w:val="false"/>
          <w:i w:val="false"/>
          <w:caps w:val="false"/>
          <w:smallCaps w:val="false"/>
          <w:sz w:val="20"/>
        </w:rPr>
        <w:t xml:space="preserve">” means, as determined by the Administrative Agent, 0.50% over the yield to maturity of the most recently issued United States Treasury securities with a constant maturity (as compiled and published in the most recent Federal Reserve Statistical Release H.15 (or is obtainable from the Federal Reserve System’s Data Download Program as of the date of such H.15) that has become publicly available at least two Business Days prior to such date (or, if such Statistical Release is no longer published, any publicly available source of similar market data)) most nearly equal to the period from such date of payment or prepayment to the Maturity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if the period from such date payment or prepayment to the Maturity Date is less than one year, the weekly average yield on actually traded United States Treasury securities adjusted to a constant maturity of one year will be used.</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Mandatory Prepayment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3.03(b)(i)(A)</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Margin Stock</w:t>
      </w:r>
      <w:r>
        <w:rPr>
          <w:rFonts w:ascii="Times New Roman;Times;Serif" w:hAnsi="Times New Roman;Times;Serif"/>
          <w:b w:val="false"/>
          <w:i w:val="false"/>
          <w:caps w:val="false"/>
          <w:smallCaps w:val="false"/>
          <w:sz w:val="20"/>
        </w:rPr>
        <w:t>” means “margin stock” within the meaning of Regulations U and X.</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Material Adverse Change</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Material Adverse Effect</w:t>
      </w:r>
      <w:r>
        <w:rPr>
          <w:rFonts w:ascii="Times New Roman;Times;Serif" w:hAnsi="Times New Roman;Times;Serif"/>
          <w:b w:val="false"/>
          <w:i w:val="false"/>
          <w:caps w:val="false"/>
          <w:smallCaps w:val="false"/>
          <w:sz w:val="20"/>
        </w:rPr>
        <w:t>” mean a material adverse change in or effect on (i) the business, financial performance, operations, financial condition, assets or liabilities of the Borrower and its Subsidiaries taken as a whole, (ii) the ability of the Obligors, taken as a whole, to perform their payment obligations under the Loan Documents, as and when due, (iii) the legality, validity, binding effect or enforceability of any Loan Document or (iv) the rights, remedies and benefits available to, or conferred upon, the Administrative Agent or the Secured Parties under any Loan Document.</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Material Agreement</w:t>
      </w:r>
      <w:r>
        <w:rPr>
          <w:rFonts w:ascii="Times New Roman;Times;Serif" w:hAnsi="Times New Roman;Times;Serif"/>
          <w:b w:val="false"/>
          <w:i w:val="false"/>
          <w:caps w:val="false"/>
          <w:smallCaps w:val="false"/>
          <w:sz w:val="20"/>
        </w:rPr>
        <w:t>” means any Contract required to be disclosed (including amendments thereto) under regulations promulgated under the Securities Act of 1933 or Securities Exchange Act of 1934, as may be amended.</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Material Environmental Liability</w:t>
      </w:r>
      <w:r>
        <w:rPr>
          <w:rFonts w:ascii="Times New Roman;Times;Serif" w:hAnsi="Times New Roman;Times;Serif"/>
          <w:b w:val="false"/>
          <w:i w:val="false"/>
          <w:caps w:val="false"/>
          <w:smallCaps w:val="false"/>
          <w:sz w:val="20"/>
        </w:rPr>
        <w:t>” means any Environmental Liability that has had or would reasonably be expected to have a Material Adverse Effect.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Material Indebtedness</w:t>
      </w:r>
      <w:r>
        <w:rPr>
          <w:rFonts w:ascii="Times New Roman;Times;Serif" w:hAnsi="Times New Roman;Times;Serif"/>
          <w:b w:val="false"/>
          <w:i w:val="false"/>
          <w:caps w:val="false"/>
          <w:smallCaps w:val="false"/>
          <w:sz w:val="20"/>
        </w:rPr>
        <w:t>” means, at any time (a) the Existing Notes and (b) any other Indebtedness of any Obligor or Subsidiary thereof, the outstanding principal amount of which, individually or in the aggregate, exceeds $5,000,000.</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Material Intellectual Property</w:t>
      </w:r>
      <w:r>
        <w:rPr>
          <w:rFonts w:ascii="Times New Roman;Times;Serif" w:hAnsi="Times New Roman;Times;Serif"/>
          <w:b w:val="false"/>
          <w:i w:val="false"/>
          <w:caps w:val="false"/>
          <w:smallCaps w:val="false"/>
          <w:sz w:val="20"/>
        </w:rPr>
        <w:t>” means all Intellectual Property, whether currently owned by (or purported to be owned by), or subject to a license, covenant not to sue or similar right or immunity to (or purported to be subject to a license, covenant not to sue or similar right or immunity to) the Borrower or any of its Subsidiaries, or acquired, developed, obtained by, or otherwise subject to a license, covenant not to sue or similar right or immunity to the Borrower or any of its Subsidiaries after the date hereof that is, in each case, material to the current, planned, or anticipated business of the Borrower or any of its Subsidiaries. As of the Closing Date, Material Intellectual Property includes all Intellectual Property material to any Product (including Product Commercialization and Development Activities with respect to such Products).</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Material Product Authorizations</w:t>
      </w:r>
      <w:r>
        <w:rPr>
          <w:rFonts w:ascii="Times New Roman;Times;Serif" w:hAnsi="Times New Roman;Times;Serif"/>
          <w:b w:val="false"/>
          <w:i w:val="false"/>
          <w:caps w:val="false"/>
          <w:smallCaps w:val="false"/>
          <w:sz w:val="20"/>
        </w:rPr>
        <w:t>” means any and all Product Authorizations, in each case, necessary to be held or maintained by, or for the benefit of, any Obligor or any of its Subsidiaries for any Product Commercialization and Development Activities that is, in each case, material to the current, planned, or anticipated business of the Borrower or any of its Subsidiaries.</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Material Subsidiary</w:t>
      </w:r>
      <w:r>
        <w:rPr>
          <w:rFonts w:ascii="Times New Roman;Times;Serif" w:hAnsi="Times New Roman;Times;Serif"/>
          <w:b w:val="false"/>
          <w:i w:val="false"/>
          <w:caps w:val="false"/>
          <w:smallCaps w:val="false"/>
          <w:sz w:val="20"/>
        </w:rPr>
        <w:t>” means any Subsidiary of the Borrower that is not an Immaterial Subsidiary.</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Maturity Date</w:t>
      </w:r>
      <w:r>
        <w:rPr>
          <w:rFonts w:ascii="Times New Roman;Times;Serif" w:hAnsi="Times New Roman;Times;Serif"/>
          <w:b w:val="false"/>
          <w:i w:val="false"/>
          <w:caps w:val="false"/>
          <w:smallCaps w:val="false"/>
          <w:sz w:val="20"/>
        </w:rPr>
        <w:t>” means January 19, 2026.</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MAXIDEX</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Schedule 4</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MAXITROL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Schedule 4</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Medicaid</w:t>
      </w:r>
      <w:r>
        <w:rPr>
          <w:rFonts w:ascii="Times New Roman;Times;Serif" w:hAnsi="Times New Roman;Times;Serif"/>
          <w:b w:val="false"/>
          <w:i w:val="false"/>
          <w:caps w:val="false"/>
          <w:smallCaps w:val="false"/>
          <w:sz w:val="20"/>
        </w:rPr>
        <w:t>” means that government-sponsored entitlement program under Title XIX, P.L. 89-97 of the Social Security Act, which provides federal grants to states for medical assistance based on specific eligibility criteria, as set forth on Section 1396, et seq. of Title 42 of the United States Code.</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Medicare</w:t>
      </w:r>
      <w:r>
        <w:rPr>
          <w:rFonts w:ascii="Times New Roman;Times;Serif" w:hAnsi="Times New Roman;Times;Serif"/>
          <w:b w:val="false"/>
          <w:i w:val="false"/>
          <w:caps w:val="false"/>
          <w:smallCaps w:val="false"/>
          <w:sz w:val="20"/>
        </w:rPr>
        <w:t>” means that government-sponsored insurance program under Title XVIII, P.L. 89-97, of the Social Security Act, which provides for a health insurance system for eligible elderly and disabled individuals, as set forth at Section 1395, et seq. of Title 42 of the United States Code.</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Melt Note</w:t>
      </w:r>
      <w:r>
        <w:rPr>
          <w:rFonts w:ascii="Times New Roman;Times;Serif" w:hAnsi="Times New Roman;Times;Serif"/>
          <w:b w:val="false"/>
          <w:i w:val="false"/>
          <w:caps w:val="false"/>
          <w:smallCaps w:val="false"/>
          <w:sz w:val="20"/>
        </w:rPr>
        <w:t>” means that certain Secured Term Note dated September 1, 2021 in the original principal amount of $13,500,000 (as has been and may be further increased by PIK interest) by Melt Pharmaceuticals, Inc. in favor of Borrower.</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Minimum Liquidity Amount</w:t>
      </w:r>
      <w:r>
        <w:rPr>
          <w:rFonts w:ascii="Times New Roman;Times;Serif" w:hAnsi="Times New Roman;Times;Serif"/>
          <w:b w:val="false"/>
          <w:i w:val="false"/>
          <w:caps w:val="false"/>
          <w:smallCaps w:val="false"/>
          <w:sz w:val="20"/>
        </w:rPr>
        <w:t>” means $15,000,000.</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Minimum Net Revenues</w:t>
      </w:r>
      <w:r>
        <w:rPr>
          <w:rFonts w:ascii="Times New Roman;Times;Serif" w:hAnsi="Times New Roman;Times;Serif"/>
          <w:b w:val="false"/>
          <w:i w:val="false"/>
          <w:caps w:val="false"/>
          <w:smallCaps w:val="false"/>
          <w:sz w:val="20"/>
        </w:rPr>
        <w:t xml:space="preserve">” means, with respect to each date that the Minimum Net Revenues Covenant is tested, (i) if the first TRIESENCE Commercial Batch Release (as defined in the Novartis Purchase Agreement) has not occurred prior to such date for sales and marketing in the United States, the amount set forth on </w:t>
      </w:r>
      <w:r>
        <w:rPr>
          <w:rFonts w:ascii="Times New Roman;Times;Serif" w:hAnsi="Times New Roman;Times;Serif"/>
          <w:b/>
          <w:i w:val="false"/>
          <w:caps w:val="false"/>
          <w:smallCaps w:val="false"/>
          <w:sz w:val="20"/>
        </w:rPr>
        <w:t>Schedule 2</w:t>
      </w:r>
      <w:r>
        <w:rPr>
          <w:rFonts w:ascii="Times New Roman;Times;Serif" w:hAnsi="Times New Roman;Times;Serif"/>
          <w:b w:val="false"/>
          <w:i w:val="false"/>
          <w:caps w:val="false"/>
          <w:smallCaps w:val="false"/>
          <w:sz w:val="20"/>
        </w:rPr>
        <w:t xml:space="preserve"> under the caption “Minimum Net Revenues (Excluding TRIESENCE)” and (ii) if the first TRIESENCE Commercial Batch Release (as defined in the Novartis Purchase Agreement) has occurred prior to such date for sales and marketing in the United States, the amount set forth on </w:t>
      </w:r>
      <w:r>
        <w:rPr>
          <w:rFonts w:ascii="Times New Roman;Times;Serif" w:hAnsi="Times New Roman;Times;Serif"/>
          <w:b/>
          <w:i w:val="false"/>
          <w:caps w:val="false"/>
          <w:smallCaps w:val="false"/>
          <w:sz w:val="20"/>
        </w:rPr>
        <w:t>Schedule 2</w:t>
      </w:r>
      <w:r>
        <w:rPr>
          <w:rFonts w:ascii="Times New Roman;Times;Serif" w:hAnsi="Times New Roman;Times;Serif"/>
          <w:b w:val="false"/>
          <w:i w:val="false"/>
          <w:caps w:val="false"/>
          <w:smallCaps w:val="false"/>
          <w:sz w:val="20"/>
        </w:rPr>
        <w:t xml:space="preserve"> under the caption “Minimum Net Revenues (Including TRIESENCE)”.</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Minimum Net Revenues Covenant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10.02</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Minimum Net Revenues Cure Right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11.04</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MOXEZA</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Schedule 4</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Multiemployer Plan</w:t>
      </w:r>
      <w:r>
        <w:rPr>
          <w:rFonts w:ascii="Times New Roman;Times;Serif" w:hAnsi="Times New Roman;Times;Serif"/>
          <w:b w:val="false"/>
          <w:i w:val="false"/>
          <w:caps w:val="false"/>
          <w:smallCaps w:val="false"/>
          <w:sz w:val="20"/>
        </w:rPr>
        <w:t>” means any multiemployer plan, as defined in Section 400l(a)(3) of ERISA, to which any ERISA Affiliate incurs or otherwise has any obligation or liability, contingent or otherwise.</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NDA</w:t>
      </w:r>
      <w:r>
        <w:rPr>
          <w:rFonts w:ascii="Times New Roman;Times;Serif" w:hAnsi="Times New Roman;Times;Serif"/>
          <w:b w:val="false"/>
          <w:i w:val="false"/>
          <w:caps w:val="false"/>
          <w:smallCaps w:val="false"/>
          <w:sz w:val="20"/>
        </w:rPr>
        <w:t>” means (i) (x) a new drug application (as defined in the FD&amp;C Act) and (y) any similar application or functional equivalent relating to any new drug application applicable to or required by any non-U.S. country, jurisdiction or Governmental Authority, and (ii) all supplements and amendments that may be filed with respect to any of the foregoing.</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NEVANAC</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Schedule 4</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Net Cash Proceeds</w:t>
      </w:r>
      <w:r>
        <w:rPr>
          <w:rFonts w:ascii="Times New Roman;Times;Serif" w:hAnsi="Times New Roman;Times;Serif"/>
          <w:b w:val="false"/>
          <w:i w:val="false"/>
          <w:caps w:val="false"/>
          <w:smallCaps w:val="false"/>
          <w:sz w:val="20"/>
        </w:rPr>
        <w:t xml:space="preserve">” means, (i) with respect to any Casualty Event experienced or suffered by any Obligor or any of its Subsidiaries, the amount of cash proceeds received from time to time by or on behalf of such Person in respect thereof after deducting therefrom only (w) reasonable costs and expenses related thereto incurred by such Obligor or such Subsidiary in connection therewith, (x) Taxes (including transfer Taxes or net income Taxes) paid or reasonably estimated to be payable in connection therewith, (y) reasonable reserves established for liabilities estimated to be payable in respect of such Casualty Event and deposited into escrow with a third party escrow agent on terms reasonably acceptable to the Administrative Agent or set aside in a separate deposit account that is subject to a Control Agreement in favor of the Administrative Agent and (z) any amounts required to be used to prepay Permitted Indebtedness pursuant to </w:t>
      </w:r>
      <w:r>
        <w:rPr>
          <w:rFonts w:ascii="Times New Roman;Times;Serif" w:hAnsi="Times New Roman;Times;Serif"/>
          <w:b/>
          <w:i w:val="false"/>
          <w:caps w:val="false"/>
          <w:smallCaps w:val="false"/>
          <w:sz w:val="20"/>
        </w:rPr>
        <w:t>Sections 9.01(i) and 9.01(k)</w:t>
      </w:r>
      <w:r>
        <w:rPr>
          <w:rFonts w:ascii="Times New Roman;Times;Serif" w:hAnsi="Times New Roman;Times;Serif"/>
          <w:b w:val="false"/>
          <w:i w:val="false"/>
          <w:caps w:val="false"/>
          <w:smallCaps w:val="false"/>
          <w:sz w:val="20"/>
        </w:rPr>
        <w:t xml:space="preserve"> secured by the assets subject to such Casualty Event (other than (A) Indebtedness owing to the Administrative Agent or any Lender under this Agreement or the other Loan Documents and (B) Indebtedness assumed by the purchaser of such asset); and (ii) with respect to any Asset Sale by any Obligor or any of its Subsidiaries, the amount of cash proceeds received from time to time by or on behalf of such Person in respect thereof after deducting therefrom only (w) reasonable costs and expenses related thereto incurred by such Obligor or such Subsidiary in connection therewith, (x) Taxes (including transfer Taxes or net income Taxes) paid or reasonably expected to be payable in connection therewith, (y) reasonable reserves established for liabilities estimated to be payable in respect of such Asset Sale and deposited into escrow with a third party escrow agent on terms reasonably acceptable to the Administrative Agent or set aside in a separate deposit account that is subject to a Control Agreement in favor of the Administrative Agent and (z) any amounts required to be used to prepay Permitted Indebtedness pursuant to </w:t>
      </w:r>
      <w:r>
        <w:rPr>
          <w:rFonts w:ascii="Times New Roman;Times;Serif" w:hAnsi="Times New Roman;Times;Serif"/>
          <w:b/>
          <w:i w:val="false"/>
          <w:caps w:val="false"/>
          <w:smallCaps w:val="false"/>
          <w:sz w:val="20"/>
        </w:rPr>
        <w:t>Sections 9.01(i) and 9.01(k)</w:t>
      </w:r>
      <w:r>
        <w:rPr>
          <w:rFonts w:ascii="Times New Roman;Times;Serif" w:hAnsi="Times New Roman;Times;Serif"/>
          <w:b w:val="false"/>
          <w:i w:val="false"/>
          <w:caps w:val="false"/>
          <w:smallCaps w:val="false"/>
          <w:sz w:val="20"/>
        </w:rPr>
        <w:t xml:space="preserve"> secured by the assets subject to such Asset Sale (other than (A) Indebtedness owing to the Administrative Agent or any Lender under this Agreement or the other Loan Documents and (B) Indebtedness assumed by the purchaser of such asset);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each case of </w:t>
      </w:r>
      <w:r>
        <w:rPr>
          <w:rFonts w:ascii="Times New Roman;Times;Serif" w:hAnsi="Times New Roman;Times;Serif"/>
          <w:b/>
          <w:i w:val="false"/>
          <w:caps w:val="false"/>
          <w:smallCaps w:val="false"/>
          <w:sz w:val="20"/>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(ii)</w:t>
      </w:r>
      <w:r>
        <w:rPr>
          <w:rFonts w:ascii="Times New Roman;Times;Serif" w:hAnsi="Times New Roman;Times;Serif"/>
          <w:b w:val="false"/>
          <w:i w:val="false"/>
          <w:caps w:val="false"/>
          <w:smallCaps w:val="false"/>
          <w:sz w:val="20"/>
        </w:rPr>
        <w:t>, costs and expenses shall only be deducted to the extent, that the amounts so deducted are (x) actually paid or payable to a Person that is not an Affiliate of any Obligor or any of its Subsidiaries and (y) properly attributable to such Casualty Event or Asset Sale, as the case may be.</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Net Revenues</w:t>
      </w:r>
      <w:r>
        <w:rPr>
          <w:rFonts w:ascii="Times New Roman;Times;Serif" w:hAnsi="Times New Roman;Times;Serif"/>
          <w:b w:val="false"/>
          <w:i w:val="false"/>
          <w:caps w:val="false"/>
          <w:smallCaps w:val="false"/>
          <w:sz w:val="20"/>
        </w:rPr>
        <w:t xml:space="preserve">” means, for any period, the consolidated net revenue of Borrower and its Subsidiaries derived from pharmaceutical and device products, as determined in accordance with GAAP (as the same is in effect on the Closing Date and without giving effect to any subsequent amendments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Net Revenues include any upfront and milestone payments or similar non-recurring payment made in connection with any commercial contract received by such Borrower or Subsidiary.</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Net Revenues Cure Payment</w:t>
      </w:r>
      <w:r>
        <w:rPr>
          <w:rFonts w:ascii="Times New Roman;Times;Serif" w:hAnsi="Times New Roman;Times;Serif"/>
          <w:b w:val="false"/>
          <w:i w:val="false"/>
          <w:caps w:val="false"/>
          <w:smallCaps w:val="false"/>
          <w:sz w:val="20"/>
        </w:rPr>
        <w:t>” means, with respect to any fiscal quarter of the Borrower to which the Minimum Net Revenues Covenant applies, the greatest of (i) the Net Revenues Shortfall Amount, (ii) 10.0% of the outstanding principal amount of the Obligations and (iii) $10,000,000.</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Net Revenues Shortfall Amount</w:t>
      </w:r>
      <w:r>
        <w:rPr>
          <w:rFonts w:ascii="Times New Roman;Times;Serif" w:hAnsi="Times New Roman;Times;Serif"/>
          <w:b w:val="false"/>
          <w:i w:val="false"/>
          <w:caps w:val="false"/>
          <w:smallCaps w:val="false"/>
          <w:sz w:val="20"/>
        </w:rPr>
        <w:t>” means, with respect to any fiscal quarter of the Borrower to which the Minimum Net Revenues Covenant applies, the amount (if any) by which the Minimum Net Revenues for such fiscal quarter exceed the Net Revenues for such fiscal quarter.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NJ Reinvestment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3.03(b)(i)(C)</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Note</w:t>
      </w:r>
      <w:r>
        <w:rPr>
          <w:rFonts w:ascii="Times New Roman;Times;Serif" w:hAnsi="Times New Roman;Times;Serif"/>
          <w:b w:val="false"/>
          <w:i w:val="false"/>
          <w:caps w:val="false"/>
          <w:smallCaps w:val="false"/>
          <w:sz w:val="20"/>
        </w:rPr>
        <w:t xml:space="preserve">” means a promissory note, in substantially the form of </w:t>
      </w:r>
      <w:r>
        <w:rPr>
          <w:rFonts w:ascii="Times New Roman;Times;Serif" w:hAnsi="Times New Roman;Times;Serif"/>
          <w:b/>
          <w:i w:val="false"/>
          <w:caps w:val="false"/>
          <w:smallCaps w:val="false"/>
          <w:sz w:val="20"/>
        </w:rPr>
        <w:t xml:space="preserve">Exhibit H </w:t>
      </w:r>
      <w:r>
        <w:rPr>
          <w:rFonts w:ascii="Times New Roman;Times;Serif" w:hAnsi="Times New Roman;Times;Serif"/>
          <w:b w:val="false"/>
          <w:i w:val="false"/>
          <w:caps w:val="false"/>
          <w:smallCaps w:val="false"/>
          <w:sz w:val="20"/>
        </w:rPr>
        <w:t xml:space="preserve">hereto, executed and delivered by the Borrower to any Lender in accordance with </w:t>
      </w:r>
      <w:r>
        <w:rPr>
          <w:rFonts w:ascii="Times New Roman;Times;Serif" w:hAnsi="Times New Roman;Times;Serif"/>
          <w:b/>
          <w:i w:val="false"/>
          <w:caps w:val="false"/>
          <w:smallCaps w:val="false"/>
          <w:sz w:val="20"/>
        </w:rPr>
        <w:t>Section 2.04</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Notice of Intent to Cure Net Revenues Covenant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11.04</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Novartis Milestone Payment</w:t>
      </w:r>
      <w:r>
        <w:rPr>
          <w:rFonts w:ascii="Times New Roman;Times;Serif" w:hAnsi="Times New Roman;Times;Serif"/>
          <w:b w:val="false"/>
          <w:i w:val="false"/>
          <w:caps w:val="false"/>
          <w:smallCaps w:val="false"/>
          <w:sz w:val="20"/>
        </w:rPr>
        <w:t>” means the “Additional Consideration” as defined in the Novartis Purchase Agreement.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Novartis Purchase Agreement</w:t>
      </w:r>
      <w:r>
        <w:rPr>
          <w:rFonts w:ascii="Times New Roman;Times;Serif" w:hAnsi="Times New Roman;Times;Serif"/>
          <w:b w:val="false"/>
          <w:i w:val="false"/>
          <w:caps w:val="false"/>
          <w:smallCaps w:val="false"/>
          <w:sz w:val="20"/>
        </w:rPr>
        <w:t>” means the Asset Purchase Agreement, dated as of December 13, 2022, among the Borrower, Harrow Eye, LLC, Harrow IP, LLC, Novartis Technology, LLC and Novartis Innovative Therapies AG, as in effect on the Closing Date, or as amended, restated, amended and restated, supplemented or otherwise modified in any manner not adverse in any material respect to the Administrative Agent and the Lenders.</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NY UCC</w:t>
      </w:r>
      <w:r>
        <w:rPr>
          <w:rFonts w:ascii="Times New Roman;Times;Serif" w:hAnsi="Times New Roman;Times;Serif"/>
          <w:b w:val="false"/>
          <w:i w:val="false"/>
          <w:caps w:val="false"/>
          <w:smallCaps w:val="false"/>
          <w:sz w:val="20"/>
        </w:rPr>
        <w:t>” means the UCC as in effect from time to time in the State of New York.</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Oaktree Lender</w:t>
      </w:r>
      <w:r>
        <w:rPr>
          <w:rFonts w:ascii="Times New Roman;Times;Serif" w:hAnsi="Times New Roman;Times;Serif"/>
          <w:b w:val="false"/>
          <w:i w:val="false"/>
          <w:caps w:val="false"/>
          <w:smallCaps w:val="false"/>
          <w:sz w:val="20"/>
        </w:rPr>
        <w:t>” means any Lender that is an Affiliate or managed fund or account of Oaktree Capital Management, L.P.</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Obligations</w:t>
      </w:r>
      <w:r>
        <w:rPr>
          <w:rFonts w:ascii="Times New Roman;Times;Serif" w:hAnsi="Times New Roman;Times;Serif"/>
          <w:b w:val="false"/>
          <w:i w:val="false"/>
          <w:caps w:val="false"/>
          <w:smallCaps w:val="false"/>
          <w:sz w:val="20"/>
        </w:rPr>
        <w:t>” means, with respect to any Obligor, all amounts, obligations, liabilities, covenants and duties of every type and description owing by such Obligor to any Secured Party (including all Guaranteed Obligations) or any other indemnitee hereunder or any participant, in each case, arising out of, under, or in connection with, any Loan Document, whether direct or indirect (regardless of whether acquired by assignment), absolute or contingent, due or to become due, whether liquidated or not, now existing or hereafter arising and however acquired, and whether or not evidenced by any instrument or for the payment of money, including, without duplication, (i) if such Obligor is the Borrower, all Loans, (ii) all interest, whether or not accruing after the filing of any petition in bankruptcy or after the commencement of any insolvency, reorganization or similar proceeding, and whether or not a claim for post-filing or post-petition interest is allowed in any such proceeding, and (iii) all other fees, expenses (including fees, charges and disbursement of counsel), interest, Commitment Fees, Yield Protection Premium, Exit Fee, commissions, charges, costs, disbursements, indemnities and reimbursement of amounts paid and other sums chargeable to such Obligor under any Loan Document. Notwithstanding the foregoing, amounts, obligations and liabilities under the Warrants or any other right to invest in the Equity Interests of the Borrower shall not be included in the defined term “Obligations.”</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Obligors</w:t>
      </w:r>
      <w:r>
        <w:rPr>
          <w:rFonts w:ascii="Times New Roman;Times;Serif" w:hAnsi="Times New Roman;Times;Serif"/>
          <w:b w:val="false"/>
          <w:i w:val="false"/>
          <w:caps w:val="false"/>
          <w:smallCaps w:val="false"/>
          <w:sz w:val="20"/>
        </w:rPr>
        <w:t>” means, collectively, the Borrower and the Subsidiary Guarantors and their respective successors and permitted assigns.</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OFAC</w:t>
      </w:r>
      <w:r>
        <w:rPr>
          <w:rFonts w:ascii="Times New Roman;Times;Serif" w:hAnsi="Times New Roman;Times;Serif"/>
          <w:b w:val="false"/>
          <w:i w:val="false"/>
          <w:caps w:val="false"/>
          <w:smallCaps w:val="false"/>
          <w:sz w:val="20"/>
        </w:rPr>
        <w:t>” has the meaning assigned to such term in the definition of “Anti-Terrorism Laws”.</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Ordinary Course</w:t>
      </w:r>
      <w:r>
        <w:rPr>
          <w:rFonts w:ascii="Times New Roman;Times;Serif" w:hAnsi="Times New Roman;Times;Serif"/>
          <w:b w:val="false"/>
          <w:i w:val="false"/>
          <w:caps w:val="false"/>
          <w:smallCaps w:val="false"/>
          <w:sz w:val="20"/>
        </w:rPr>
        <w:t>” means ordinary course of business or ordinary trade activities that are customary for similar businesses in the normal course of their ordinary operations and not while in financial distress.</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Organic Document</w:t>
      </w:r>
      <w:r>
        <w:rPr>
          <w:rFonts w:ascii="Times New Roman;Times;Serif" w:hAnsi="Times New Roman;Times;Serif"/>
          <w:b w:val="false"/>
          <w:i w:val="false"/>
          <w:caps w:val="false"/>
          <w:smallCaps w:val="false"/>
          <w:sz w:val="20"/>
        </w:rPr>
        <w:t>” means, for any Person, such Person’s formation documents, including, as applicable, its certificate of incorporation, by-laws, certificate of partnership, partnership agreement, certificate of formation, limited liability agreement, operating agreement and all shareholder agreements, voting trusts and similar arrangements applicable to such Person’s Equity Interests, or any equivalent document of any of the foregoing.</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Other Connection Taxes</w:t>
      </w:r>
      <w:r>
        <w:rPr>
          <w:rFonts w:ascii="Times New Roman;Times;Serif" w:hAnsi="Times New Roman;Times;Serif"/>
          <w:b w:val="false"/>
          <w:i w:val="false"/>
          <w:caps w:val="false"/>
          <w:smallCaps w:val="false"/>
          <w:sz w:val="20"/>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Other Taxes</w:t>
      </w:r>
      <w:r>
        <w:rPr>
          <w:rFonts w:ascii="Times New Roman;Times;Serif" w:hAnsi="Times New Roman;Times;Serif"/>
          <w:b w:val="false"/>
          <w:i w:val="false"/>
          <w:caps w:val="false"/>
          <w:smallCaps w:val="false"/>
          <w:sz w:val="20"/>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Times;Serif" w:hAnsi="Times New Roman;Times;Serif"/>
          <w:b/>
          <w:i w:val="false"/>
          <w:caps w:val="false"/>
          <w:smallCaps w:val="false"/>
          <w:sz w:val="20"/>
        </w:rPr>
        <w:t>Section 5.04</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Participant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14.05(e)</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Participant Register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14.05(e)</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Patents</w:t>
      </w:r>
      <w:r>
        <w:rPr>
          <w:rFonts w:ascii="Times New Roman;Times;Serif" w:hAnsi="Times New Roman;Times;Serif"/>
          <w:b w:val="false"/>
          <w:i w:val="false"/>
          <w:caps w:val="false"/>
          <w:smallCaps w:val="false"/>
          <w:sz w:val="20"/>
        </w:rPr>
        <w:t>” means all patents and patent applications, including the Inventions and improvements described and claimed therein, the reissues, divisionals, continuations, renewals, extensions, and continuations in part thereof, and all rights whatsoever accruing thereunder or pertaining to the foregoing throughout the world.</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Patriot Act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14.19</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Payment Date</w:t>
      </w:r>
      <w:r>
        <w:rPr>
          <w:rFonts w:ascii="Times New Roman;Times;Serif" w:hAnsi="Times New Roman;Times;Serif"/>
          <w:b w:val="false"/>
          <w:i w:val="false"/>
          <w:caps w:val="false"/>
          <w:smallCaps w:val="false"/>
          <w:sz w:val="20"/>
        </w:rPr>
        <w:t>” means (i) the last Business Day of each March, June, September and December of each year, commencing on the first such date to occur after the Closing Date; and (ii) the Maturity Date.</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Payment Recipient</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i w:val="false"/>
          <w:caps w:val="false"/>
          <w:smallCaps w:val="false"/>
          <w:sz w:val="20"/>
        </w:rPr>
        <w:t>Section 12.13(a)</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Payor</w:t>
      </w:r>
      <w:r>
        <w:rPr>
          <w:rFonts w:ascii="Times New Roman;Times;Serif" w:hAnsi="Times New Roman;Times;Serif"/>
          <w:b w:val="false"/>
          <w:i w:val="false"/>
          <w:caps w:val="false"/>
          <w:smallCaps w:val="false"/>
          <w:sz w:val="20"/>
        </w:rPr>
        <w:t>” means any health care insurance and other similar programs under which the Obligor or any of its Subsidiaries are directly or indirectly receiving payments, including any federal or state healthcare program, Medicare, Medicaid, the TRICARE program, the Veterans Health Administration, private or commercial insurance programs, third-party administrators, preferred provider organizations, managed care organizations, health maintenance organizations, health plans, self-insured health plans, or any fiscal intermediary or contractor of any of the foregoing.</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PBGC</w:t>
      </w:r>
      <w:r>
        <w:rPr>
          <w:rFonts w:ascii="Times New Roman;Times;Serif" w:hAnsi="Times New Roman;Times;Serif"/>
          <w:b w:val="false"/>
          <w:i w:val="false"/>
          <w:caps w:val="false"/>
          <w:smallCaps w:val="false"/>
          <w:sz w:val="20"/>
        </w:rPr>
        <w:t>” means the United States Pension Benefit Guaranty Corporation referred to and defined in ERISA and any successor entity performing similar functions.</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PDMA</w:t>
      </w:r>
      <w:r>
        <w:rPr>
          <w:rFonts w:ascii="Times New Roman;Times;Serif" w:hAnsi="Times New Roman;Times;Serif"/>
          <w:b w:val="false"/>
          <w:i w:val="false"/>
          <w:caps w:val="false"/>
          <w:smallCaps w:val="false"/>
          <w:sz w:val="20"/>
        </w:rPr>
        <w:t>” means the Prescription Drug Marketing Act of 1987, 21 U.S.C. §§ 321 et seq. (or any successor thereto), as amended from time to time, and the rules, regulations, guidelines, guidance documents and compliance policy guides issued or promulgated thereunder.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Perfection Certificate</w:t>
      </w:r>
      <w:r>
        <w:rPr>
          <w:rFonts w:ascii="Times New Roman;Times;Serif" w:hAnsi="Times New Roman;Times;Serif"/>
          <w:b w:val="false"/>
          <w:i w:val="false"/>
          <w:caps w:val="false"/>
          <w:smallCaps w:val="false"/>
          <w:sz w:val="20"/>
        </w:rPr>
        <w:t xml:space="preserve">” means the Perfection Certificate, delivered pursuant to </w:t>
      </w:r>
      <w:r>
        <w:rPr>
          <w:rFonts w:ascii="Times New Roman;Times;Serif" w:hAnsi="Times New Roman;Times;Serif"/>
          <w:b/>
          <w:i w:val="false"/>
          <w:caps w:val="false"/>
          <w:smallCaps w:val="false"/>
          <w:sz w:val="20"/>
        </w:rPr>
        <w:t>Section 6.01(h)</w:t>
      </w:r>
      <w:r>
        <w:rPr>
          <w:rFonts w:ascii="Times New Roman;Times;Serif" w:hAnsi="Times New Roman;Times;Serif"/>
          <w:b w:val="false"/>
          <w:i w:val="false"/>
          <w:caps w:val="false"/>
          <w:smallCaps w:val="false"/>
          <w:sz w:val="20"/>
        </w:rPr>
        <w:t xml:space="preserve"> to the Administrative Agent, as amended, restated, supplemented or otherwise modified from time to time.</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Permitted Acquisition</w:t>
      </w:r>
      <w:r>
        <w:rPr>
          <w:rFonts w:ascii="Times New Roman;Times;Serif" w:hAnsi="Times New Roman;Times;Serif"/>
          <w:b w:val="false"/>
          <w:i w:val="false"/>
          <w:caps w:val="false"/>
          <w:smallCaps w:val="false"/>
          <w:sz w:val="20"/>
        </w:rPr>
        <w:t xml:space="preserve">” means any Acquisition by the Borrower or any of its Subsidiaries, whether by purchase, merger or otherwise;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w:t>
      </w:r>
    </w:p>
    <w:p>
      <w:pPr>
        <w:pStyle w:val="TextBody"/>
        <w:bidi w:val="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immediately prior to, and immediately after giving effect thereto, no Default or Event of Default shall have occurred and be continuing or would reasonably be expected to result therefrom;</w:t>
      </w:r>
    </w:p>
    <w:p>
      <w:pPr>
        <w:pStyle w:val="TextBody"/>
        <w:bidi w:val="0"/>
        <w:ind w:left="36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360" w:right="0" w:hanging="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Acquisition shall comply in all material respects with all applicable Laws and all applicable Governmental Approvals;</w:t>
      </w:r>
    </w:p>
    <w:p>
      <w:pPr>
        <w:pStyle w:val="TextBody"/>
        <w:bidi w:val="0"/>
        <w:ind w:left="360" w:right="0" w:hanging="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the case of any Acquisition of Equity Interests of another Person, after giving effect to such Acquisition, all Equity Interests of such other Person acquired by any Subsidiary of the Borrower shall be owned, directly or indirectly, beneficially and of record, by the Borrower or any of its Subsidiaries, and the Borrower shall cause such acquired Person to satisfy each of the actions set forth in </w:t>
      </w:r>
      <w:r>
        <w:rPr>
          <w:rFonts w:ascii="Times New Roman;Times;Serif" w:hAnsi="Times New Roman;Times;Serif"/>
          <w:b/>
          <w:i w:val="false"/>
          <w:caps w:val="false"/>
          <w:smallCaps w:val="false"/>
          <w:sz w:val="20"/>
        </w:rPr>
        <w:t>Section 8.11</w:t>
      </w:r>
      <w:r>
        <w:rPr>
          <w:rFonts w:ascii="Times New Roman;Times;Serif" w:hAnsi="Times New Roman;Times;Serif"/>
          <w:b w:val="false"/>
          <w:i w:val="false"/>
          <w:caps w:val="false"/>
          <w:smallCaps w:val="false"/>
          <w:sz w:val="20"/>
        </w:rPr>
        <w:t xml:space="preserve"> as and when required by such Section;</w:t>
      </w:r>
    </w:p>
    <w:p>
      <w:pPr>
        <w:pStyle w:val="TextBody"/>
        <w:bidi w:val="0"/>
        <w:ind w:left="360" w:right="0" w:hanging="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on a Pro Forma Basis after giving effect to such Acquisition, the Borrower and its Subsidiaries shall be in compliance with the financial covenants set forth in </w:t>
      </w:r>
      <w:r>
        <w:rPr>
          <w:rFonts w:ascii="Times New Roman;Times;Serif" w:hAnsi="Times New Roman;Times;Serif"/>
          <w:b/>
          <w:i w:val="false"/>
          <w:caps w:val="false"/>
          <w:smallCaps w:val="false"/>
          <w:sz w:val="20"/>
        </w:rPr>
        <w:t>Section 10</w:t>
      </w:r>
      <w:r>
        <w:rPr>
          <w:rFonts w:ascii="Times New Roman;Times;Serif" w:hAnsi="Times New Roman;Times;Serif"/>
          <w:b w:val="false"/>
          <w:i w:val="false"/>
          <w:caps w:val="false"/>
          <w:smallCaps w:val="false"/>
          <w:sz w:val="20"/>
        </w:rPr>
        <w:t>;</w:t>
      </w:r>
    </w:p>
    <w:p>
      <w:pPr>
        <w:pStyle w:val="TextBody"/>
        <w:bidi w:val="0"/>
        <w:ind w:left="360" w:right="0" w:hanging="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to the extent that all or any portion of the purchase price (including reasonable estimates of any Deferred Acquisition Consideration) for any such Acquisition is paid in cash, the amount thereof shall not exceed (x) $5,000,000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(y) the amount of any substantially concurrent contributions to the common equity of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any such contribution must be used within thirty (30) days of such contribution to pay the acquisition costs of such Permitted Acquisition, (ii) the Administrative Agent’s prior written consent (which shall not be unreasonably delayed, withheld, or conditioned) shall be required if the amount of any such common equity contribution exceeds $20,000,000 in the aggregate with any other such Acquisitions in any fiscal year;</w:t>
      </w:r>
    </w:p>
    <w:p>
      <w:pPr>
        <w:pStyle w:val="TextBody"/>
        <w:bidi w:val="0"/>
        <w:ind w:left="360" w:right="0" w:hanging="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the extent that all or any portion of the purchase price for any such Acquisition is paid in Equity Interests, all such Equity Interests shall be Qualified Equity Interests;</w:t>
      </w:r>
    </w:p>
    <w:p>
      <w:pPr>
        <w:pStyle w:val="TextBody"/>
        <w:bidi w:val="0"/>
        <w:ind w:left="360" w:right="0" w:hanging="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 any Person acquired in such Acquisition shall be formed or organized, as applicable, in the U.S. or any state thereof, and (ii) other than assets with respect to which the book value of such assets does not exceed $100,000 in the aggregate for such Acquisition, all of the assets acquired in such Acquisition (whether directly or through the Acquisition of any Person) shall be located in the U.S.;</w:t>
      </w:r>
    </w:p>
    <w:p>
      <w:pPr>
        <w:pStyle w:val="TextBody"/>
        <w:bidi w:val="0"/>
        <w:ind w:left="360" w:right="0" w:hanging="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in the case of any such Acquisition that has a purchase price (including reasonable estimates of any Deferred Acquisition Consideration) in excess of $5,000,000, (A) the Borrower shall provide to the Administrative Agent (i) at least ten (10) Business Day’s prior written notice of any such Acquisition, together with summaries, prepared in reasonable detail, of all due diligence conducted by or on behalf of the Borrower or the applicable Subsidiary, as applicable, prior to such Acquisition, in each case subject to customary confidentiality restrictions, (ii) subject to customary confidentiality restrictions, a copy of the draft purchase agreement related to the proposed Acquisition (and any related documents reasonably requested by the Administrative Agent), (iii) pro forma financial statements of the Borrower and its Subsidiaries (as of the last day of the most recently ended fiscal quarter prior to the date of consummation of such Acquisition for which financial statements are required to be delivered pursuant to </w:t>
      </w:r>
      <w:r>
        <w:rPr>
          <w:rFonts w:ascii="Times New Roman;Times;Serif" w:hAnsi="Times New Roman;Times;Serif"/>
          <w:b/>
          <w:i w:val="false"/>
          <w:caps w:val="false"/>
          <w:smallCaps w:val="false"/>
          <w:sz w:val="20"/>
        </w:rPr>
        <w:t xml:space="preserve">Section 8.01(a)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after giving effect to such Acquisition, and (iv) subject to customary confidentiality restrictions, any other information reasonably requested (to the extent available), by the Administrative Agent and available to the Obligors and (B) to the extent the cash purchase price exceeds $5,000,000, the Administrative Agent shall have consented in writing to such Acquisition (such consent not to be unreasonably delayed, withheld, or conditioned); and</w:t>
      </w:r>
    </w:p>
    <w:p>
      <w:pPr>
        <w:pStyle w:val="TextBody"/>
        <w:bidi w:val="0"/>
        <w:ind w:left="36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360" w:right="0" w:hanging="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no Obligor or any of its Subsidiaries (including any acquired Person) shall, in connection with any such Acquisition, assume or remain liable with respect to (x) any Indebtedness of the related seller or the business, Person or assets acquired, except to the extent permitted pursuant to </w:t>
      </w:r>
      <w:r>
        <w:rPr>
          <w:rFonts w:ascii="Times New Roman;Times;Serif" w:hAnsi="Times New Roman;Times;Serif"/>
          <w:b/>
          <w:i w:val="false"/>
          <w:caps w:val="false"/>
          <w:smallCaps w:val="false"/>
          <w:sz w:val="20"/>
        </w:rPr>
        <w:t>Section 9.01(i)</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Section 9.01(k)</w:t>
      </w:r>
      <w:r>
        <w:rPr>
          <w:rFonts w:ascii="Times New Roman;Times;Serif" w:hAnsi="Times New Roman;Times;Serif"/>
          <w:b w:val="false"/>
          <w:i w:val="false"/>
          <w:caps w:val="false"/>
          <w:smallCaps w:val="false"/>
          <w:sz w:val="20"/>
        </w:rPr>
        <w:t xml:space="preserve">, (y) any Lien on any business, Person or assets acquired, except to the extent permitted pursuant to </w:t>
      </w:r>
      <w:r>
        <w:rPr>
          <w:rFonts w:ascii="Times New Roman;Times;Serif" w:hAnsi="Times New Roman;Times;Serif"/>
          <w:b/>
          <w:i w:val="false"/>
          <w:caps w:val="false"/>
          <w:smallCaps w:val="false"/>
          <w:sz w:val="20"/>
        </w:rPr>
        <w:t>Section 9.02</w:t>
      </w:r>
      <w:r>
        <w:rPr>
          <w:rFonts w:ascii="Times New Roman;Times;Serif" w:hAnsi="Times New Roman;Times;Serif"/>
          <w:b w:val="false"/>
          <w:i w:val="false"/>
          <w:caps w:val="false"/>
          <w:smallCaps w:val="false"/>
          <w:sz w:val="20"/>
        </w:rPr>
        <w:t xml:space="preserve">, (z) any other liabilities that are not Indebtedness (including Tax, ERISA and environmental liabilities) and that are not otherwise prohibited under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assumed liabilities exceed $5,000,000 in the aggregate, the Administrative Agent shall have consented in writing to such Acquisition (such consent not to be unreasonably delayed, withheld, or conditioned). Any other such Indebtedness, liabilities or Liens not permitted to be assumed, continued or otherwise supported by any Obligor or Subsidiary thereof hereunder shall be paid in full or released within sixty (60) days of the acquisition date (or such longer period of time as agreed by the Administrative Agent in its reasonable discretion) as to the business, Persons or properties being so acquired on or before the consummation of such Acquisition.</w:t>
      </w:r>
    </w:p>
    <w:p>
      <w:pPr>
        <w:pStyle w:val="TextBody"/>
        <w:bidi w:val="0"/>
        <w:ind w:left="360" w:right="0" w:hanging="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Permitted Cash Equivalent Investments</w:t>
      </w:r>
      <w:r>
        <w:rPr>
          <w:rFonts w:ascii="Times New Roman;Times;Serif" w:hAnsi="Times New Roman;Times;Serif"/>
          <w:b w:val="false"/>
          <w:i w:val="false"/>
          <w:caps w:val="false"/>
          <w:smallCaps w:val="false"/>
          <w:sz w:val="20"/>
        </w:rPr>
        <w:t>” means (i) marketable direct obligations issued or unconditionally guaranteed by the United States or any member states of the European Union or any agency or any state thereof having maturities of not more than two (2) years from the date of acquisition, (ii) commercial paper maturing no more than three-hundred sixty-five (365) days after the date of acquisition thereof and having the highest rating from either Standard &amp; Poor’s Ratings Group or Moody’s Investors Service, Inc., (iii) certificates of deposit maturing no more than one (1) year after issue that are issued by any bank organized under the Laws of the United States, or any state thereof, or the District of Columbia, or any U.S. branch of a foreign bank having, at the date of acquisition thereof, combined capital and surplus of not less than $500,000,000, (iv) any money market or similar funds that exclusively hold any of the foregoing, and (v) any other short term liquid investments approved in writing by the Administrative Agent in its sole discretion.</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Permitted Hedging Agreement</w:t>
      </w:r>
      <w:r>
        <w:rPr>
          <w:rFonts w:ascii="Times New Roman;Times;Serif" w:hAnsi="Times New Roman;Times;Serif"/>
          <w:b w:val="false"/>
          <w:i w:val="false"/>
          <w:caps w:val="false"/>
          <w:smallCaps w:val="false"/>
          <w:sz w:val="20"/>
        </w:rPr>
        <w:t>” means a Hedging Agreement entered into by any Obligor in such Obligor’s Ordinary Course for the purpose of hedging currency risks or interest rate risks (and not for speculative purposes) and (x) with respect to hedging currency risks, in an aggregate notional amount for all such Hedging Agreements not in excess of $10,000,000 and (y) with respect to hedging interest rate risks, in an aggregate notional amount for all such Hedging Agreements not in excess of 100% of the aggregate principal amount of Loans outstanding at such time.</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Permitted Indebtedness</w:t>
      </w:r>
      <w:r>
        <w:rPr>
          <w:rFonts w:ascii="Times New Roman;Times;Serif" w:hAnsi="Times New Roman;Times;Serif"/>
          <w:b w:val="false"/>
          <w:i w:val="false"/>
          <w:caps w:val="false"/>
          <w:smallCaps w:val="false"/>
          <w:sz w:val="20"/>
        </w:rPr>
        <w:t xml:space="preserve">” means any Indebtedness permitted under </w:t>
      </w:r>
      <w:r>
        <w:rPr>
          <w:rFonts w:ascii="Times New Roman;Times;Serif" w:hAnsi="Times New Roman;Times;Serif"/>
          <w:b/>
          <w:i w:val="false"/>
          <w:caps w:val="false"/>
          <w:smallCaps w:val="false"/>
          <w:sz w:val="20"/>
        </w:rPr>
        <w:t>Section 9.01</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Permitted Licenses</w:t>
      </w:r>
      <w:r>
        <w:rPr>
          <w:rFonts w:ascii="Times New Roman;Times;Serif" w:hAnsi="Times New Roman;Times;Serif"/>
          <w:b w:val="false"/>
          <w:i w:val="false"/>
          <w:caps w:val="false"/>
          <w:smallCaps w:val="false"/>
          <w:sz w:val="20"/>
        </w:rPr>
        <w:t xml:space="preserve">” means: (i) licenses of off-the-shelf software that is commercially available to the public, (ii) non-exclusive intercompany licenses or grants of rights for development, manufacture, production, commercialization (including commercial sales to end users), marketing, promotion, co-promotion, sales or distribution among the Obligors, (iii) any outbound non-exclusive license for the use of Intellectual Property of any Obligor for development, manufacture, production, commercialization (including commercial sales to end users), marketing, promotion, co-promotion, sales or distribution of any Product, in each case, entered into in the Ordinary Course;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each such license or grant described in this clause (iii), (A) no Event of Default has occurred or is continuing at the time such license or grant, or the agreement governing such license or grant is entered into and (B) such license or grant constitutes an Arm’s Length Transaction, the terms of which do not provide for a sale or assignment of Intellectual Property, (iv) any non-exclusive or exclusive license of Intellectual Property or technology or a grant of rights for development, manufacture, production, commercialization (including commercial sales to end users), marketing, co-promotion, sales, or distribution;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with respect to each such license described in this clause (iv), (A) no Event of Default has occurred or is continuing at the time such license or grant, or the agreement governing such license or grant is entered into, (B) such license or grant constitutes an Arm’s Length Transaction, the terms of which do not provide for a sale or assignment of Intellectual Property, and (C) in the case of any exclusive license, any such license could not result in a legal transfer of the title of the licensed property but may be exclusive in respects other than territory and may be exclusive as to territory only as to discrete geographic areas and/or regions outside of the United States, and (v) other licenses to which the Administrative Agent shall have consented to in writing.</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Permitted Liens</w:t>
      </w:r>
      <w:r>
        <w:rPr>
          <w:rFonts w:ascii="Times New Roman;Times;Serif" w:hAnsi="Times New Roman;Times;Serif"/>
          <w:b w:val="false"/>
          <w:i w:val="false"/>
          <w:caps w:val="false"/>
          <w:smallCaps w:val="false"/>
          <w:sz w:val="20"/>
        </w:rPr>
        <w:t xml:space="preserve">” means any Liens permitted under </w:t>
      </w:r>
      <w:r>
        <w:rPr>
          <w:rFonts w:ascii="Times New Roman;Times;Serif" w:hAnsi="Times New Roman;Times;Serif"/>
          <w:b/>
          <w:i w:val="false"/>
          <w:caps w:val="false"/>
          <w:smallCaps w:val="false"/>
          <w:sz w:val="20"/>
        </w:rPr>
        <w:t>Section 9.02</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Permitted Minority Investments</w:t>
      </w:r>
      <w:r>
        <w:rPr>
          <w:rFonts w:ascii="Times New Roman;Times;Serif" w:hAnsi="Times New Roman;Times;Serif"/>
          <w:b w:val="false"/>
          <w:i w:val="false"/>
          <w:caps w:val="false"/>
          <w:smallCaps w:val="false"/>
          <w:sz w:val="20"/>
        </w:rPr>
        <w:t>” means the Borrower’s minority Investments in the Equity Interests of each of Eton Pharmaceuticals, Inc., Surface Pharmaceuticals, Inc., and Melt Pharmaceuticals, Inc. in existence as of the Closing Date and, with respect to the Equity Interests of Melt Pharmaceuticals, Inc., any additional Investments received in full or partial satisfaction of the Indebtedness evidenced by the Melt Note (as in existence on the Closing Date).</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Permitted Refinancing</w:t>
      </w:r>
      <w:r>
        <w:rPr>
          <w:rFonts w:ascii="Times New Roman;Times;Serif" w:hAnsi="Times New Roman;Times;Serif"/>
          <w:b w:val="false"/>
          <w:i w:val="false"/>
          <w:caps w:val="false"/>
          <w:smallCaps w:val="false"/>
          <w:sz w:val="20"/>
        </w:rPr>
        <w:t xml:space="preserve">” means, with respect to any Indebtedness permitted to be refinanced, extended, renewed or replaced hereunder, any refinancings, extensions, renewals and replacements of such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refinancing, extension, renewal or replacement shall not (i) increase the outstanding principal amount of the Indebtedness being refinanced, extended, renewed or replaced, except by an amount equal to accrued interest, any required prepayment premium, and customary fees and expenses reasonably incurred in connection therewith, (ii) contain terms relating to outstanding principal amount, amortization, maturity, collateral security (if any) or subordination (if any), or other material terms that, taken as a whole, are materially less favorable to the Obligors and their respective Subsidiaries or the Secured Parties than the terms of any agreement or instrument governing such existing Indebtedness, (iii) have an applicable interest rate which does not exceed the greater of (A) the rate of interest of the Indebtedness being replaced and (B) the then applicable market interest rate, (iv) contain any new requirement to grant any Lien or to give any Guarantee that was not an existing requirement of such Indebtedness and (v) after giving effect to such refinancing, extension, renewal or replacement, no Default or Event of Default shall have occurred or would reasonably be expected to occur as a result thereof.</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means any individual, corporation, company, voluntary association, partnership, limited liability company, joint venture, trust, unincorporated organization or Governmental Authority or other entity of whatever nature.</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means any employee pension benefit plan (as defined in Section 3(2) of ERISA)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Prepayment Price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3.03(a)(i)</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Pro Forma Basis</w:t>
      </w:r>
      <w:r>
        <w:rPr>
          <w:rFonts w:ascii="Times New Roman;Times;Serif" w:hAnsi="Times New Roman;Times;Serif"/>
          <w:b w:val="false"/>
          <w:i w:val="false"/>
          <w:caps w:val="false"/>
          <w:smallCaps w:val="false"/>
          <w:sz w:val="20"/>
        </w:rPr>
        <w:t xml:space="preserve">” shall mean, with respect to the calculation of any financial ratio, as of any date, that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effect will be given to the Transactions, any Acquisition, any issuance, incurrence, assumption or permanent repayment of Indebtedness (including Indebtedness issued, incurred or assumed as a result of, or to finance, any relevant transaction and for which any such financial ratio is being calculated), all sales, transfers and other dispositions or discontinuance of any Subsidiary, line of business or division, or any conversion of a Subsidiary Guarantor to a non-Guarantor Subsidiary or of a non-Guarantor Subsidiary to a Subsidiary Guarantor, in each case that have occurred during the four consecutive fiscal quarter period of the Borrower being used to calculate such financial ratio (the “</w:t>
      </w:r>
      <w:r>
        <w:rPr>
          <w:rFonts w:ascii="Times New Roman;Times;Serif" w:hAnsi="Times New Roman;Times;Serif"/>
          <w:b/>
          <w:i/>
          <w:caps w:val="false"/>
          <w:smallCaps w:val="false"/>
          <w:sz w:val="20"/>
        </w:rPr>
        <w:t>Reference Period</w:t>
      </w:r>
      <w:r>
        <w:rPr>
          <w:rFonts w:ascii="Times New Roman;Times;Serif" w:hAnsi="Times New Roman;Times;Serif"/>
          <w:b w:val="false"/>
          <w:i w:val="false"/>
          <w:caps w:val="false"/>
          <w:smallCaps w:val="false"/>
          <w:sz w:val="20"/>
        </w:rPr>
        <w:t>”), or subsequent to the end of the Reference Period but prior to such date or prior to or simultaneously with the event for which a determination under this definition is made (including any such event occurring at an entity that became a Subsidiary after the commencement of the Reference Period), as if each such event occurred on the first day of the Reference Period.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Product</w:t>
      </w:r>
      <w:r>
        <w:rPr>
          <w:rFonts w:ascii="Times New Roman;Times;Serif" w:hAnsi="Times New Roman;Times;Serif"/>
          <w:b w:val="false"/>
          <w:i w:val="false"/>
          <w:caps w:val="false"/>
          <w:smallCaps w:val="false"/>
          <w:sz w:val="20"/>
        </w:rPr>
        <w:t xml:space="preserve">” means (i) those pharmaceutical or biological products (and described in reasonable detail) on </w:t>
      </w:r>
      <w:r>
        <w:rPr>
          <w:rFonts w:ascii="Times New Roman;Times;Serif" w:hAnsi="Times New Roman;Times;Serif"/>
          <w:b/>
          <w:i w:val="false"/>
          <w:caps w:val="false"/>
          <w:smallCaps w:val="false"/>
          <w:sz w:val="20"/>
        </w:rPr>
        <w:t xml:space="preserve">Schedule 4 </w:t>
      </w:r>
      <w:r>
        <w:rPr>
          <w:rFonts w:ascii="Times New Roman;Times;Serif" w:hAnsi="Times New Roman;Times;Serif"/>
          <w:b w:val="false"/>
          <w:i w:val="false"/>
          <w:caps w:val="false"/>
          <w:smallCaps w:val="false"/>
          <w:sz w:val="20"/>
        </w:rPr>
        <w:t>attached hereto as of the Closing Date, and (ii) any material current or future pharmaceutical or biological product developed, compounded, distributed, dispensed, imported, exported, labeled, promoted, manufactured, licensed, marketed, sold or otherwise commercialized by any Obligor or any of its Subsidiaries, including any such product in development or which may be developed.</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Product Authorizations</w:t>
      </w:r>
      <w:r>
        <w:rPr>
          <w:rFonts w:ascii="Times New Roman;Times;Serif" w:hAnsi="Times New Roman;Times;Serif"/>
          <w:b w:val="false"/>
          <w:i w:val="false"/>
          <w:caps w:val="false"/>
          <w:smallCaps w:val="false"/>
          <w:sz w:val="20"/>
        </w:rPr>
        <w:t>” means any and all Governmental Approvals, whether U.S. or non-U.S. (including all applicable ANDAs, NDAs, BLAs, INDs, Product Standards, supplements, amendments, pre- and post- approvals, governmental price and reimbursement approvals and approvals of applications for regulatory exclusivity) of any Regulatory Authority, in each case, necessary to be held or maintained by, or for the benefit of, any Obligor or any of its Subsidiaries for the ownership, use or commercialization of any Product or for any Product Commercialization and Development Activities with respect thereto in any country or jurisdiction.</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Product Commercialization and Development Activities</w:t>
      </w:r>
      <w:r>
        <w:rPr>
          <w:rFonts w:ascii="Times New Roman;Times;Serif" w:hAnsi="Times New Roman;Times;Serif"/>
          <w:b w:val="false"/>
          <w:i w:val="false"/>
          <w:caps w:val="false"/>
          <w:smallCaps w:val="false"/>
          <w:sz w:val="20"/>
        </w:rPr>
        <w:t>” means, with respect to any Product, any combination of research, development, testing, manufacture, formulation, import, use, sale, licensing, importation, exportation, shipping, storage, handling, design, labeling, marketing, promotion, supply, distribution, packaging, purchasing or other commercialization activities, receipt of payment in respect of any of the foregoing (including, without limitation, in respect of licensing, royalty or similar payments), or any similar or other activities the purpose of which is to commercially exploit such Product.</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Product Related Information</w:t>
      </w:r>
      <w:r>
        <w:rPr>
          <w:rFonts w:ascii="Times New Roman;Times;Serif" w:hAnsi="Times New Roman;Times;Serif"/>
          <w:b w:val="false"/>
          <w:i w:val="false"/>
          <w:caps w:val="false"/>
          <w:smallCaps w:val="false"/>
          <w:sz w:val="20"/>
        </w:rPr>
        <w:t>” means, with respect to any Product, all books, records, lists, ledgers, files, manuals, correspondence, reports, plans, drawings, data and other information of every kind (in any form or medium), and all techniques and other know-how, owned or possessed by the Obligors or any of their respective Subsidiaries that are necessary or useful for any Product Commercialization and Development Activities relating to such Product, including (i) brand materials and packaging, customer targeting and other marketing, promotion and sales materials and information, referral, customer, supplier and other contact lists and information, product, business, marketing and sales plans, research, studies and reports, sales, maintenance and production records, training materials and other marketing, sales and promotional information and (ii) clinical data, information included or supporting any Product Authorization, any regulatory filings, updates, notices and correspondence (including adverse event and other pharmacovigilance and other post-marketing reports and information, etc.), technical information, product development and operational data and records, and all other documents, records, files, data and other information, used in connection with the Product Commercialization and Development Activities for such Product.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Product Standards</w:t>
      </w:r>
      <w:r>
        <w:rPr>
          <w:rFonts w:ascii="Times New Roman;Times;Serif" w:hAnsi="Times New Roman;Times;Serif"/>
          <w:b w:val="false"/>
          <w:i w:val="false"/>
          <w:caps w:val="false"/>
          <w:smallCaps w:val="false"/>
          <w:sz w:val="20"/>
        </w:rPr>
        <w:t>” means all safety, quality and other specifications and standards applicable to any Product, including all pharmaceutical, biological and other standards promulgated by Standards Bodies.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Prohibited Payment</w:t>
      </w:r>
      <w:r>
        <w:rPr>
          <w:rFonts w:ascii="Times New Roman;Times;Serif" w:hAnsi="Times New Roman;Times;Serif"/>
          <w:b w:val="false"/>
          <w:i w:val="false"/>
          <w:caps w:val="false"/>
          <w:smallCaps w:val="false"/>
          <w:sz w:val="20"/>
        </w:rPr>
        <w:t>” means any bribe, rebate, payoff, influence payment, kickback or other payment or gift of money or anything of value (including meals or entertainment) to any officer, employee or ceremonial office holder of any government or instrumentality thereof, political party or supra-national organization (such as the United Nations), any political candidate, any royal family member or any other person who is connected or associated personally with any of the foregoing that is prohibited under any Law for the purpose of influencing any act or decision of such payee in his official capacity, inducing such payee to do or omit to do any act in violation of his lawful duty, securing any improper advantage or inducing such payee to use his influence with a government or instrumentality thereof to affect or influence any act or decision of such government or instrumentality.</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Proportionate Share</w:t>
      </w:r>
      <w:r>
        <w:rPr>
          <w:rFonts w:ascii="Times New Roman;Times;Serif" w:hAnsi="Times New Roman;Times;Serif"/>
          <w:b w:val="false"/>
          <w:i w:val="false"/>
          <w:caps w:val="false"/>
          <w:smallCaps w:val="false"/>
          <w:sz w:val="20"/>
        </w:rPr>
        <w:t>” means, with respect to any Lender, the percentage obtained by dividing (i) the sum of the Commitments (or, if the Commitments are terminated, the outstanding principal amount of the Loans) of such Lender then in effect by (ii) the sum of the Commitments (or, if the Commitments are terminated, the outstanding principal amount of the Loans) of all Lenders then in effect.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Qualified Equity Interest</w:t>
      </w:r>
      <w:r>
        <w:rPr>
          <w:rFonts w:ascii="Times New Roman;Times;Serif" w:hAnsi="Times New Roman;Times;Serif"/>
          <w:b w:val="false"/>
          <w:i w:val="false"/>
          <w:caps w:val="false"/>
          <w:smallCaps w:val="false"/>
          <w:sz w:val="20"/>
        </w:rPr>
        <w:t>” means, with respect to any Person, any Equity Interest of such Person that is not a Disqualified Equity Interest.</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Qualified Plan</w:t>
      </w:r>
      <w:r>
        <w:rPr>
          <w:rFonts w:ascii="Times New Roman;Times;Serif" w:hAnsi="Times New Roman;Times;Serif"/>
          <w:b w:val="false"/>
          <w:i w:val="false"/>
          <w:caps w:val="false"/>
          <w:smallCaps w:val="false"/>
          <w:sz w:val="20"/>
        </w:rPr>
        <w:t>” means an employee pension benefit plan (as defined in Section 3(2) of ERISA) other than a Multiemployer Plan (i) that is or was at any time within the preceding five years maintained or sponsored by any Obligor or any ERISA Affiliate thereof or to which any Obligor or any ERISA Affiliate thereof has within the preceding five years ever made, or was within the preceding five years ever obligated to make, contributions, and (ii) that is intended to be tax qualified under Section 401(a) of the Code.</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Real Property Security Documents</w:t>
      </w:r>
      <w:r>
        <w:rPr>
          <w:rFonts w:ascii="Times New Roman;Times;Serif" w:hAnsi="Times New Roman;Times;Serif"/>
          <w:b w:val="false"/>
          <w:i w:val="false"/>
          <w:caps w:val="false"/>
          <w:smallCaps w:val="false"/>
          <w:sz w:val="20"/>
        </w:rPr>
        <w:t>” means any Landlord Consents or Bailee Letters.</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Recipient</w:t>
      </w:r>
      <w:r>
        <w:rPr>
          <w:rFonts w:ascii="Times New Roman;Times;Serif" w:hAnsi="Times New Roman;Times;Serif"/>
          <w:b w:val="false"/>
          <w:i w:val="false"/>
          <w:caps w:val="false"/>
          <w:smallCaps w:val="false"/>
          <w:sz w:val="20"/>
        </w:rPr>
        <w:t>” means any Lender or any other recipient of any payment to be made by or on account of any Obligation.</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Referral Source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7.07(b)</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Refinanced Facility</w:t>
      </w:r>
      <w:r>
        <w:rPr>
          <w:rFonts w:ascii="Times New Roman;Times;Serif" w:hAnsi="Times New Roman;Times;Serif"/>
          <w:b w:val="false"/>
          <w:i w:val="false"/>
          <w:caps w:val="false"/>
          <w:smallCaps w:val="false"/>
          <w:sz w:val="20"/>
        </w:rPr>
        <w:t xml:space="preserve">” means, collectively, the Indebtedness of the Obligors as set forth on </w:t>
      </w:r>
      <w:r>
        <w:rPr>
          <w:rFonts w:ascii="Times New Roman;Times;Serif" w:hAnsi="Times New Roman;Times;Serif"/>
          <w:b/>
          <w:i w:val="false"/>
          <w:caps w:val="false"/>
          <w:smallCaps w:val="false"/>
          <w:sz w:val="20"/>
        </w:rPr>
        <w:t>Schedule 5</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Register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14.05(d)</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Regulation T</w:t>
      </w:r>
      <w:r>
        <w:rPr>
          <w:rFonts w:ascii="Times New Roman;Times;Serif" w:hAnsi="Times New Roman;Times;Serif"/>
          <w:b w:val="false"/>
          <w:i w:val="false"/>
          <w:caps w:val="false"/>
          <w:smallCaps w:val="false"/>
          <w:sz w:val="20"/>
        </w:rPr>
        <w:t>” means Regulation T of the Board of Governors of the Federal Reserve System, as amended.</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Regulation U</w:t>
      </w:r>
      <w:r>
        <w:rPr>
          <w:rFonts w:ascii="Times New Roman;Times;Serif" w:hAnsi="Times New Roman;Times;Serif"/>
          <w:b w:val="false"/>
          <w:i w:val="false"/>
          <w:caps w:val="false"/>
          <w:smallCaps w:val="false"/>
          <w:sz w:val="20"/>
        </w:rPr>
        <w:t>” means Regulation U of the Board of Governors of the Federal Reserve System, as amended.</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Regulation X</w:t>
      </w:r>
      <w:r>
        <w:rPr>
          <w:rFonts w:ascii="Times New Roman;Times;Serif" w:hAnsi="Times New Roman;Times;Serif"/>
          <w:b w:val="false"/>
          <w:i w:val="false"/>
          <w:caps w:val="false"/>
          <w:smallCaps w:val="false"/>
          <w:sz w:val="20"/>
        </w:rPr>
        <w:t>” means Regulation X of the Board of Governors of the Federal Reserve System, as amended.</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Regulatory Authority</w:t>
      </w:r>
      <w:r>
        <w:rPr>
          <w:rFonts w:ascii="Times New Roman;Times;Serif" w:hAnsi="Times New Roman;Times;Serif"/>
          <w:b w:val="false"/>
          <w:i w:val="false"/>
          <w:caps w:val="false"/>
          <w:smallCaps w:val="false"/>
          <w:sz w:val="20"/>
        </w:rPr>
        <w:t>” means any Governmental Authority, whether U.S. or non-U.S., that is concerned with or has regulatory or supervisory oversight with respect to any Product or any Product Commercialization and Development Activities relating to any Product, including the FDA and all equivalent Governmental Authorities, whether U.S. or non-U.S.</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Reinvestment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3.03(b)(i)(C)</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Reinvestment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3.03(b)(i)(B)</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Related Parties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14.16</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Resignation Effective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12.09</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Resolution Authority</w:t>
      </w:r>
      <w:r>
        <w:rPr>
          <w:rFonts w:ascii="Times New Roman;Times;Serif" w:hAnsi="Times New Roman;Times;Serif"/>
          <w:b w:val="false"/>
          <w:i w:val="false"/>
          <w:caps w:val="false"/>
          <w:smallCaps w:val="false"/>
          <w:sz w:val="20"/>
        </w:rPr>
        <w:t>” means an EEA Resolution Authority or, with respect to any U.K. Financial Institution, a U.K. Resolution Authority.</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Responsible Officer</w:t>
      </w:r>
      <w:r>
        <w:rPr>
          <w:rFonts w:ascii="Times New Roman;Times;Serif" w:hAnsi="Times New Roman;Times;Serif"/>
          <w:b w:val="false"/>
          <w:i w:val="false"/>
          <w:caps w:val="false"/>
          <w:smallCaps w:val="false"/>
          <w:sz w:val="20"/>
        </w:rPr>
        <w:t>” of any Person means each of the president, chief executive officer, chief financial officer, general counsel and similar officer of such Person.</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Restricted Payment</w:t>
      </w:r>
      <w:r>
        <w:rPr>
          <w:rFonts w:ascii="Times New Roman;Times;Serif" w:hAnsi="Times New Roman;Times;Serif"/>
          <w:b w:val="false"/>
          <w:i w:val="false"/>
          <w:caps w:val="false"/>
          <w:smallCaps w:val="false"/>
          <w:sz w:val="20"/>
        </w:rPr>
        <w:t>” means (i) any dividend or other distribution (whether in cash, Equity Interests or other property) with respect to any Equity Interests of any Obligor or any of its Subsidiaries, (ii) any payment (whether in cash, Equity Interests or other property), including any sinking fund or similar deposit, on account of the purchase, redemption, retirement, defeasance, acquisition, cancellation or termination of any such Equity Interests of any Obligor or any of its Subsidiaries, or on account of any return of capital to any Obligor’s stockholders, partners or members (or the equivalent of any thereof), or any option, warrant or other right to acquire any such dividend or other distribution or payment, or (iii) any payment of interest, principal or fees in respect of any Indebtedness owed by any Obligor or any of its Subsidiaries to an Affiliate of any Obligor or to a holder of more than ten percent (10%) of the Equity Interests of any Obligor or any of its Subsidiaries.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Restrictive Agreement</w:t>
      </w:r>
      <w:r>
        <w:rPr>
          <w:rFonts w:ascii="Times New Roman;Times;Serif" w:hAnsi="Times New Roman;Times;Serif"/>
          <w:b w:val="false"/>
          <w:i w:val="false"/>
          <w:caps w:val="false"/>
          <w:smallCaps w:val="false"/>
          <w:sz w:val="20"/>
        </w:rPr>
        <w:t xml:space="preserve">” means any Contract or other arrangement that prohibits, restricts or imposes any condition upon (i) the ability of any Obligor or any of its Subsidiaries to create, incur or permit to exist any Lien upon any of its properties or assets (other than (x) customary provisions in Contracts restricting the assignment thereof (including, without limitation, any leases and in-bound licenses of Intellectual Property) and (y) restrictions or conditions imposed by any Contract governing secured Permitted Indebtedness permitted under </w:t>
      </w:r>
      <w:r>
        <w:rPr>
          <w:rFonts w:ascii="Times New Roman;Times;Serif" w:hAnsi="Times New Roman;Times;Serif"/>
          <w:b/>
          <w:i w:val="false"/>
          <w:caps w:val="false"/>
          <w:smallCaps w:val="false"/>
          <w:sz w:val="20"/>
        </w:rPr>
        <w:t>Section 9.01(i)</w:t>
      </w:r>
      <w:r>
        <w:rPr>
          <w:rFonts w:ascii="Times New Roman;Times;Serif" w:hAnsi="Times New Roman;Times;Serif"/>
          <w:b w:val="false"/>
          <w:i w:val="false"/>
          <w:caps w:val="false"/>
          <w:smallCaps w:val="false"/>
          <w:sz w:val="20"/>
        </w:rPr>
        <w:t>, to the extent that such restrictions or conditions apply only to the property or assets securing such Indebtedness), or (ii) the ability of any Subsidiary of an Obligor to make Restricted Payments to such Obligor or of any Obligor or any of its Subsidiaries to make or repay loans or advances to any other Obligor or to Guarantee Indebtedness of any other Obligor.</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Sanction</w:t>
      </w:r>
      <w:r>
        <w:rPr>
          <w:rFonts w:ascii="Times New Roman;Times;Serif" w:hAnsi="Times New Roman;Times;Serif"/>
          <w:b w:val="false"/>
          <w:i w:val="false"/>
          <w:caps w:val="false"/>
          <w:smallCaps w:val="false"/>
          <w:sz w:val="20"/>
        </w:rPr>
        <w:t>” means any international economic or financial sanction or trade embargo imposed, administered or enforced from time to time by the United States Government (including, without limitation, OFAC), the United Nations Security Council, the European Union or its Member States, His Majesty’s Treasury or other relevant sanctions authority where the Borrower or any of its Subsidiaries is located or conducts business.</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Sanctioned Person</w:t>
      </w:r>
      <w:r>
        <w:rPr>
          <w:rFonts w:ascii="Times New Roman;Times;Serif" w:hAnsi="Times New Roman;Times;Serif"/>
          <w:b w:val="false"/>
          <w:i w:val="false"/>
          <w:caps w:val="false"/>
          <w:smallCaps w:val="false"/>
          <w:sz w:val="20"/>
        </w:rPr>
        <w:t>” means, at any time, (i) any Person listed in any Sanctions-related list of designated Persons maintained by the United States Government (including, without limitation, OFAC), the United Nations Security Council, the European Union or its Member States, His Majesty’s Treasury or other relevant sanctions authority, (ii) any Person organized or resident in a Designated Jurisdiction or (iii) any Person fifty percent (50%) or more owned or is controlled by any such Person or Persons described in the foregoing clauses (i) or (ii).</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Scheduled Unavailability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5.05(a)(ii)</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Secured Parties</w:t>
      </w:r>
      <w:r>
        <w:rPr>
          <w:rFonts w:ascii="Times New Roman;Times;Serif" w:hAnsi="Times New Roman;Times;Serif"/>
          <w:b w:val="false"/>
          <w:i w:val="false"/>
          <w:caps w:val="false"/>
          <w:smallCaps w:val="false"/>
          <w:sz w:val="20"/>
        </w:rPr>
        <w:t>” means the Lenders, the Administrative Agent and any of their respective permitted transferees or assigns.</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Security Agreement</w:t>
      </w:r>
      <w:r>
        <w:rPr>
          <w:rFonts w:ascii="Times New Roman;Times;Serif" w:hAnsi="Times New Roman;Times;Serif"/>
          <w:b w:val="false"/>
          <w:i w:val="false"/>
          <w:caps w:val="false"/>
          <w:smallCaps w:val="false"/>
          <w:sz w:val="20"/>
        </w:rPr>
        <w:t xml:space="preserve">” means the Security Agreement, delivered pursuant to </w:t>
      </w:r>
      <w:r>
        <w:rPr>
          <w:rFonts w:ascii="Times New Roman;Times;Serif" w:hAnsi="Times New Roman;Times;Serif"/>
          <w:b/>
          <w:i w:val="false"/>
          <w:caps w:val="false"/>
          <w:smallCaps w:val="false"/>
          <w:sz w:val="20"/>
        </w:rPr>
        <w:t>Section 6.01(h)</w:t>
      </w:r>
      <w:r>
        <w:rPr>
          <w:rFonts w:ascii="Times New Roman;Times;Serif" w:hAnsi="Times New Roman;Times;Serif"/>
          <w:b w:val="false"/>
          <w:i w:val="false"/>
          <w:caps w:val="false"/>
          <w:smallCaps w:val="false"/>
          <w:sz w:val="20"/>
        </w:rPr>
        <w:t>, among the Obligors and the Administrative Agent, granting a security interest in the Obligors’ Collateral in favor of the Administrative Agent, for the benefit of the Secured Parties.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Security Documents</w:t>
      </w:r>
      <w:r>
        <w:rPr>
          <w:rFonts w:ascii="Times New Roman;Times;Serif" w:hAnsi="Times New Roman;Times;Serif"/>
          <w:b w:val="false"/>
          <w:i w:val="false"/>
          <w:caps w:val="false"/>
          <w:smallCaps w:val="false"/>
          <w:sz w:val="20"/>
        </w:rPr>
        <w:t>” means, collectively, the Security Agreement, each Short-Form IP Security Agreement, each Real Property Security Document, and each other security document, control agreement or financing statement required or recommended to perfect Liens in favor of the Secured Parties for purposes of securing the Obligations.</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Short-Form IP Security Agreements</w:t>
      </w:r>
      <w:r>
        <w:rPr>
          <w:rFonts w:ascii="Times New Roman;Times;Serif" w:hAnsi="Times New Roman;Times;Serif"/>
          <w:b w:val="false"/>
          <w:i w:val="false"/>
          <w:caps w:val="false"/>
          <w:smallCaps w:val="false"/>
          <w:sz w:val="20"/>
        </w:rPr>
        <w:t>” means short-form Copyright, Patent or Trademark (as the case may be) security agreements, substantially in the form of Exhibit C, D and E to the Security Agreement, entered into by one or more Obligors in favor of the Secured Parties, each in form and substance reasonably satisfactory to the Administrative Agent (and as amended, modified or replaced from time to time).</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Solvent</w:t>
      </w:r>
      <w:r>
        <w:rPr>
          <w:rFonts w:ascii="Times New Roman;Times;Serif" w:hAnsi="Times New Roman;Times;Serif"/>
          <w:b w:val="false"/>
          <w:i w:val="false"/>
          <w:caps w:val="false"/>
          <w:smallCaps w:val="false"/>
          <w:sz w:val="20"/>
        </w:rPr>
        <w:t>” means, as to any Person as of any date of determination, that on such date (i) the fair value of the property of such Person is greater than the total amount of liabilities, including contingent liabilities, of such Person, (ii) the present fair saleable value of such Person is not less than the amount that will be required to pay the probable liability of such Person on its debts as they become absolute and matured in the Ordinary Course, (iii) such Person does not intend to, and does not believe that it will, incur debts or liabilities beyond such Person’s ability to pay such debts and liabilities as they mature in the ordinary course and (iv) such Person is not engaged in a business or transaction, and is not about to engage in a business or transaction, for which such Person’s property would constitute an unreasonably small capital after giving due consideration to the prevailing practice in the industry in which such Person is engaged or is to engage. The amount of any contingent liability at any time shall be computed as the amount that, in light of all of the facts and circumstances existing at such time, represents the amount that can reasonably be expected to become an actual or matured liability.</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Standards Bodies</w:t>
      </w:r>
      <w:r>
        <w:rPr>
          <w:rFonts w:ascii="Times New Roman;Times;Serif" w:hAnsi="Times New Roman;Times;Serif"/>
          <w:b w:val="false"/>
          <w:i w:val="false"/>
          <w:caps w:val="false"/>
          <w:smallCaps w:val="false"/>
          <w:sz w:val="20"/>
        </w:rPr>
        <w:t>” means any of the organizations that create, sponsor or maintain safety, quality or other standards, including FDA, USP, ISO, ANSI, CEN and SCC and the like.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means, with respect to any Person (the “</w:t>
      </w:r>
      <w:r>
        <w:rPr>
          <w:rFonts w:ascii="Times New Roman;Times;Serif" w:hAnsi="Times New Roman;Times;Serif"/>
          <w:b/>
          <w:i/>
          <w:caps w:val="false"/>
          <w:smallCaps w:val="false"/>
          <w:sz w:val="20"/>
        </w:rPr>
        <w:t>parent</w:t>
      </w:r>
      <w:r>
        <w:rPr>
          <w:rFonts w:ascii="Times New Roman;Times;Serif" w:hAnsi="Times New Roman;Times;Serif"/>
          <w:b w:val="false"/>
          <w:i w:val="false"/>
          <w:caps w:val="false"/>
          <w:smallCaps w:val="false"/>
          <w:sz w:val="20"/>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(i) of which securities or other ownership interests representing more than fifty percent (50%) of the equity or more than fifty percent (50%) of the ordinary voting power or, in the case of a partnership, more than fifty percent (50%) of the general partnership interests are, as of such date, owned, controlled or held, directly or indirectly, or (ii) that is, as of such date, otherwise Controlled, by the parent or one or more direct or indirect subsidiaries of the parent or by the parent and one or more direct or indirect subsidiaries of the parent. Unless otherwise specified, all references herein to a “Subsidiary” or to “Subsidiaries” shall refer to a Subsidiary or Subsidiaries of the Borrower.</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Subsidiary Guarantors</w:t>
      </w:r>
      <w:r>
        <w:rPr>
          <w:rFonts w:ascii="Times New Roman;Times;Serif" w:hAnsi="Times New Roman;Times;Serif"/>
          <w:b w:val="false"/>
          <w:i w:val="false"/>
          <w:caps w:val="false"/>
          <w:smallCaps w:val="false"/>
          <w:sz w:val="20"/>
        </w:rPr>
        <w:t xml:space="preserve">” means each Subsidiary of the Borrower identified under the caption “SUBSIDIARY GUARANTORS” on the signature pages hereto and each Subsidiary of the Borrower that becomes, or is required to become, a “Subsidiary Guarantor” after the date hereof pursuant to </w:t>
      </w:r>
      <w:r>
        <w:rPr>
          <w:rFonts w:ascii="Times New Roman;Times;Serif" w:hAnsi="Times New Roman;Times;Serif"/>
          <w:b/>
          <w:i w:val="false"/>
          <w:caps w:val="false"/>
          <w:smallCaps w:val="false"/>
          <w:sz w:val="20"/>
        </w:rPr>
        <w:t>Section 8.11</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Successor Rate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5.05(a)(ii)(B)</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Taxes</w:t>
      </w:r>
      <w:r>
        <w:rPr>
          <w:rFonts w:ascii="Times New Roman;Times;Serif" w:hAnsi="Times New Roman;Times;Serif"/>
          <w:b w:val="false"/>
          <w:i w:val="false"/>
          <w:caps w:val="false"/>
          <w:smallCaps w:val="false"/>
          <w:sz w:val="20"/>
        </w:rPr>
        <w:t>” 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Technical Information</w:t>
      </w:r>
      <w:r>
        <w:rPr>
          <w:rFonts w:ascii="Times New Roman;Times;Serif" w:hAnsi="Times New Roman;Times;Serif"/>
          <w:b w:val="false"/>
          <w:i w:val="false"/>
          <w:caps w:val="false"/>
          <w:smallCaps w:val="false"/>
          <w:sz w:val="20"/>
        </w:rPr>
        <w:t>” means all (i) Product Related Information and (ii) all other know-how, information of a scientific, technical, or business nature in any form or medium, Invention disclosures, documented research, developmental, demonstration or engineering work, in each case that is proprietary, confidential, or that constitutes trade secrets under applicable Laws.</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Term SOFR</w:t>
      </w:r>
      <w:r>
        <w:rPr>
          <w:rFonts w:ascii="Times New Roman;Times;Serif" w:hAnsi="Times New Roman;Times;Serif"/>
          <w:b w:val="false"/>
          <w:i w:val="false"/>
          <w:caps w:val="false"/>
          <w:smallCaps w:val="false"/>
          <w:sz w:val="20"/>
        </w:rPr>
        <w:t xml:space="preserve">” means for any Interest Period the rate per annum equal to the Term SOFR Screen Rate two U.S. Government Securities Business Days prior to the commencement of such Interest Period with a term equivalent to such Interest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rate is not published prior to 11:00 a.m. on such determination date then Term SOFR means the Term SOFR Screen Rate on the first U.S. Government Securities Business Day immediately prior thereto, in each case,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the Credit Spread Adjustment for such Interest Period.</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Term SOFR Replacement Date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i w:val="false"/>
          <w:caps w:val="false"/>
          <w:smallCaps w:val="false"/>
          <w:sz w:val="20"/>
        </w:rPr>
        <w:t>Section 5.05(a)(ii)(A)</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Term SOFR Screen Rate</w:t>
      </w:r>
      <w:r>
        <w:rPr>
          <w:rFonts w:ascii="Times New Roman;Times;Serif" w:hAnsi="Times New Roman;Times;Serif"/>
          <w:b w:val="false"/>
          <w:i w:val="false"/>
          <w:caps w:val="false"/>
          <w:smallCaps w:val="false"/>
          <w:sz w:val="20"/>
        </w:rPr>
        <w:t>” means the forward-looking SOFR term rate administered by CME (or any successor administrator satisfactory to the Administrative Agent) and published on the applicable Bloomberg screen page (or such other commercially available source providing such quotations as may be designated by the Administrative Agent from time to time).</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Termination Conditions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13.03</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Three-Month Term SOFR</w:t>
      </w:r>
      <w:r>
        <w:rPr>
          <w:rFonts w:ascii="Times New Roman;Times;Serif" w:hAnsi="Times New Roman;Times;Serif"/>
          <w:b w:val="false"/>
          <w:i w:val="false"/>
          <w:caps w:val="false"/>
          <w:smallCaps w:val="false"/>
          <w:sz w:val="20"/>
        </w:rPr>
        <w:t xml:space="preserve">” means a rate per annum equal to the greater of (i) two and three quarters percent (2.75%) per annum and (ii) the Term SOFR for a three-month interest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if the Three-Month Term SOFR as so determined would be greater than six percent (6.00%) per annum, Three-Month Term SOFR shall be deemed to equal six percent (6.00%) per annum for purposes of this Agreement.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Title IV Plan</w:t>
      </w:r>
      <w:r>
        <w:rPr>
          <w:rFonts w:ascii="Times New Roman;Times;Serif" w:hAnsi="Times New Roman;Times;Serif"/>
          <w:b w:val="false"/>
          <w:i w:val="false"/>
          <w:caps w:val="false"/>
          <w:smallCaps w:val="false"/>
          <w:sz w:val="20"/>
        </w:rPr>
        <w:t>” means an employee benefit plan (as defined in Section 3(3) of ERISA) other than a Multiemployer Plan (i) that is or was at any time within the preceding five years maintained or sponsored by any Obligor or any ERISA Affiliate thereof or to which any Obligor or any ERISA Affiliate thereof has within the preceding five years ever made, or was within the preceding five years obligated to make, contributions, and (ii) that is or was subject to Section 412 of the Code, Section 302 of ERISA or Title IV of ERISA.</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Total Debt</w:t>
      </w:r>
      <w:r>
        <w:rPr>
          <w:rFonts w:ascii="Times New Roman;Times;Serif" w:hAnsi="Times New Roman;Times;Serif"/>
          <w:b w:val="false"/>
          <w:i w:val="false"/>
          <w:caps w:val="false"/>
          <w:smallCaps w:val="false"/>
          <w:sz w:val="20"/>
        </w:rPr>
        <w:t xml:space="preserve">” means, as of any date of determination, the aggregate principal amount of Indebtedness of the Borrower and its Subsidiaries outstanding on such date, determined on a consolidated basis in accordance with GAAP (but excluding the effects of any discounting of Indebtedness resulting from the application of purchase accounting in connection with the Transactions or any Permitted Acquisition), consisting of Indebtedness for borrowed money, Capital Lease Obligations and debt obligations evidenced by bonds, debentures, notes, loan agreements or other similar instruments;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Total Debt shall not include (x) obligations under Hedging Agreements entered into in the Ordinary Course and not for speculative purposes or (y) undrawn letters of credit.</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Total Leverage Ratio</w:t>
      </w:r>
      <w:r>
        <w:rPr>
          <w:rFonts w:ascii="Times New Roman;Times;Serif" w:hAnsi="Times New Roman;Times;Serif"/>
          <w:b w:val="false"/>
          <w:i w:val="false"/>
          <w:caps w:val="false"/>
          <w:smallCaps w:val="false"/>
          <w:sz w:val="20"/>
        </w:rPr>
        <w:t>” means, at any time of determination, the ratio of (a) Total Debt at such time to (b) EBITDA of the Borrower and its Subsidiaries for the four consecutive fiscal quarter period ended as of such date.</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Trademarks</w:t>
      </w:r>
      <w:r>
        <w:rPr>
          <w:rFonts w:ascii="Times New Roman;Times;Serif" w:hAnsi="Times New Roman;Times;Serif"/>
          <w:b w:val="false"/>
          <w:i w:val="false"/>
          <w:caps w:val="false"/>
          <w:smallCaps w:val="false"/>
          <w:sz w:val="20"/>
        </w:rPr>
        <w:t>” means all trade names, trademarks and service marks, corporate names, logos, Internet domain names and other indicia of origin, in each case, whether or not registered, trademark and service mark registrations, and applications for trademark and service mark registrations, including (i) all renewals of trademark and service mark registrations and (ii) all rights whatsoever accruing thereunder or pertaining thereto throughout the world (including common law rights), together, in each case, with the goodwill associated therewith or symbolized thereby.</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Tranche A Commitment</w:t>
      </w:r>
      <w:r>
        <w:rPr>
          <w:rFonts w:ascii="Times New Roman;Times;Serif" w:hAnsi="Times New Roman;Times;Serif"/>
          <w:b w:val="false"/>
          <w:i w:val="false"/>
          <w:caps w:val="false"/>
          <w:smallCaps w:val="false"/>
          <w:sz w:val="20"/>
        </w:rPr>
        <w:t xml:space="preserve">” means, with respect to each Lender, the obligation of such Lender to make Tranche A Term Loans to the Borrower on the Closing Date in accordance with the terms and conditions of this Agreement, which commitment is in the amount set forth opposite such Lender’s name on </w:t>
      </w:r>
      <w:r>
        <w:rPr>
          <w:rFonts w:ascii="Times New Roman;Times;Serif" w:hAnsi="Times New Roman;Times;Serif"/>
          <w:b/>
          <w:i w:val="false"/>
          <w:caps w:val="false"/>
          <w:smallCaps w:val="false"/>
          <w:sz w:val="20"/>
        </w:rPr>
        <w:t xml:space="preserve">Schedule 1 </w:t>
      </w:r>
      <w:r>
        <w:rPr>
          <w:rFonts w:ascii="Times New Roman;Times;Serif" w:hAnsi="Times New Roman;Times;Serif"/>
          <w:b w:val="false"/>
          <w:i w:val="false"/>
          <w:caps w:val="false"/>
          <w:smallCaps w:val="false"/>
          <w:sz w:val="20"/>
        </w:rPr>
        <w:t>under the caption “Applicable Commitment” for Tranche A Term Loans, as such Schedule may be amended from time to time pursuant to an Assignment and Assumption or otherwise. The aggregate amount of Tranche A Commitments on the date of this Agreement equals $65,000,000.</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Tranche A Term Loans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i w:val="false"/>
          <w:caps w:val="false"/>
          <w:smallCaps w:val="false"/>
          <w:sz w:val="20"/>
        </w:rPr>
        <w:t>Section 2.01(a)(i)</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Tranche B Availability Period</w:t>
      </w:r>
      <w:r>
        <w:rPr>
          <w:rFonts w:ascii="Times New Roman;Times;Serif" w:hAnsi="Times New Roman;Times;Serif"/>
          <w:b w:val="false"/>
          <w:i w:val="false"/>
          <w:caps w:val="false"/>
          <w:smallCaps w:val="false"/>
          <w:sz w:val="20"/>
        </w:rPr>
        <w:t>” has the meaning set forth in the Loans Schedule.</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Tranche B Commitment</w:t>
      </w:r>
      <w:r>
        <w:rPr>
          <w:rFonts w:ascii="Times New Roman;Times;Serif" w:hAnsi="Times New Roman;Times;Serif"/>
          <w:b w:val="false"/>
          <w:i w:val="false"/>
          <w:caps w:val="false"/>
          <w:smallCaps w:val="false"/>
          <w:sz w:val="20"/>
        </w:rPr>
        <w:t xml:space="preserve">” means, with respect to each Lender, the obligation of such Lender to make Tranche B Term Loans to the Borrower on the Tranche B Funding Date for Tranche B Term Loans in accordance with the terms and conditions of this Agreement, which commitment is in the amount set forth opposite such Lender’s name on </w:t>
      </w:r>
      <w:r>
        <w:rPr>
          <w:rFonts w:ascii="Times New Roman;Times;Serif" w:hAnsi="Times New Roman;Times;Serif"/>
          <w:b/>
          <w:i w:val="false"/>
          <w:caps w:val="false"/>
          <w:smallCaps w:val="false"/>
          <w:sz w:val="20"/>
        </w:rPr>
        <w:t xml:space="preserve">Schedule 1 </w:t>
      </w:r>
      <w:r>
        <w:rPr>
          <w:rFonts w:ascii="Times New Roman;Times;Serif" w:hAnsi="Times New Roman;Times;Serif"/>
          <w:b w:val="false"/>
          <w:i w:val="false"/>
          <w:caps w:val="false"/>
          <w:smallCaps w:val="false"/>
          <w:sz w:val="20"/>
        </w:rPr>
        <w:t xml:space="preserve">under the caption “Applicable Commitment” for Tranche B Term Loans, as such Schedule may be amended from time to time pursuant to an Assignment and Assumption, pursuant to the following sentence, or otherwise. The aggregate amount of Tranche B Commitments on the date of this Agreement equals $35,000,000;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if the Tranche B Funding Date does not occur on or prior to March 27, 2024, the Tranche B Commitment shall automatically, and without any further action of any Person, be reduced to $30,000,000, and </w:t>
      </w:r>
      <w:r>
        <w:rPr>
          <w:rFonts w:ascii="Times New Roman;Times;Serif" w:hAnsi="Times New Roman;Times;Serif"/>
          <w:b/>
          <w:i w:val="false"/>
          <w:caps w:val="false"/>
          <w:smallCaps w:val="false"/>
          <w:sz w:val="20"/>
        </w:rPr>
        <w:t>Schedule 1</w:t>
      </w:r>
      <w:r>
        <w:rPr>
          <w:rFonts w:ascii="Times New Roman;Times;Serif" w:hAnsi="Times New Roman;Times;Serif"/>
          <w:b w:val="false"/>
          <w:i w:val="false"/>
          <w:caps w:val="false"/>
          <w:smallCaps w:val="false"/>
          <w:sz w:val="20"/>
        </w:rPr>
        <w:t xml:space="preserve"> shall be deemed amended to reflect such reduction, and to reduce each Lender’s Tranche B Commitment set forth in </w:t>
      </w:r>
      <w:r>
        <w:rPr>
          <w:rFonts w:ascii="Times New Roman;Times;Serif" w:hAnsi="Times New Roman;Times;Serif"/>
          <w:b/>
          <w:i w:val="false"/>
          <w:caps w:val="false"/>
          <w:smallCaps w:val="false"/>
          <w:sz w:val="20"/>
        </w:rPr>
        <w:t xml:space="preserve">Schedule 1 </w:t>
      </w:r>
      <w:r>
        <w:rPr>
          <w:rFonts w:ascii="Times New Roman;Times;Serif" w:hAnsi="Times New Roman;Times;Serif"/>
          <w:b w:val="false"/>
          <w:i w:val="false"/>
          <w:caps w:val="false"/>
          <w:smallCaps w:val="false"/>
          <w:sz w:val="20"/>
        </w:rPr>
        <w:t>on a pro rata basis.</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Tranche B Funding Condition</w:t>
      </w:r>
      <w:r>
        <w:rPr>
          <w:rFonts w:ascii="Times New Roman;Times;Serif" w:hAnsi="Times New Roman;Times;Serif"/>
          <w:b w:val="false"/>
          <w:i w:val="false"/>
          <w:caps w:val="false"/>
          <w:smallCaps w:val="false"/>
          <w:sz w:val="20"/>
        </w:rPr>
        <w:t>” has the meaning set forth in the Loans Schedule.</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Tranche B Funding Date</w:t>
      </w:r>
      <w:r>
        <w:rPr>
          <w:rFonts w:ascii="Times New Roman;Times;Serif" w:hAnsi="Times New Roman;Times;Serif"/>
          <w:b w:val="false"/>
          <w:i w:val="false"/>
          <w:caps w:val="false"/>
          <w:smallCaps w:val="false"/>
          <w:sz w:val="20"/>
        </w:rPr>
        <w:t xml:space="preserve">” means the date on or prior to the expiration of the Tranche B Availability Period on which all conditions precedent set forth in </w:t>
      </w:r>
      <w:r>
        <w:rPr>
          <w:rFonts w:ascii="Times New Roman;Times;Serif" w:hAnsi="Times New Roman;Times;Serif"/>
          <w:b/>
          <w:i w:val="false"/>
          <w:caps w:val="false"/>
          <w:smallCaps w:val="false"/>
          <w:sz w:val="20"/>
        </w:rPr>
        <w:t>Section 6.02</w:t>
      </w:r>
      <w:r>
        <w:rPr>
          <w:rFonts w:ascii="Times New Roman;Times;Serif" w:hAnsi="Times New Roman;Times;Serif"/>
          <w:b w:val="false"/>
          <w:i w:val="false"/>
          <w:caps w:val="false"/>
          <w:smallCaps w:val="false"/>
          <w:sz w:val="20"/>
        </w:rPr>
        <w:t xml:space="preserve"> for the borrowing of Tranche B Term Loans are satisfied or waived in accordance with the terms of this Agreement.</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Tranche B Term Loans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i w:val="false"/>
          <w:caps w:val="false"/>
          <w:smallCaps w:val="false"/>
          <w:sz w:val="20"/>
        </w:rPr>
        <w:t>Section 2.01(a)(ii)</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Transactions</w:t>
      </w:r>
      <w:r>
        <w:rPr>
          <w:rFonts w:ascii="Times New Roman;Times;Serif" w:hAnsi="Times New Roman;Times;Serif"/>
          <w:b w:val="false"/>
          <w:i w:val="false"/>
          <w:caps w:val="false"/>
          <w:smallCaps w:val="false"/>
          <w:sz w:val="20"/>
        </w:rPr>
        <w:t>” means (a) the negotiation, preparation, execution, delivery and performance by each Obligor of this Agreement and the other Loan Documents to which such Obligor is (or is intended to be) a party, the making of the Loans hereunder, and all other transactions contemplated pursuant to this Agreement and the other Loan Documents, including the creation of the Liens pursuant to the Security Documents and (b) the payment of all fees and expenses incurred or paid by the Obligors in connection with the foregoing.</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UCC</w:t>
      </w:r>
      <w:r>
        <w:rPr>
          <w:rFonts w:ascii="Times New Roman;Times;Serif" w:hAnsi="Times New Roman;Times;Serif"/>
          <w:b w:val="false"/>
          <w:i w:val="false"/>
          <w:caps w:val="false"/>
          <w:smallCaps w:val="false"/>
          <w:sz w:val="20"/>
        </w:rPr>
        <w:t>” means, with respect to any applicable jurisdictions, the Uniform Commercial Code as in effect in such jurisdiction, as may be modified from time to time.</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TRIESENCE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Schedule 4</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U.K. Financial Institution</w:t>
      </w:r>
      <w:r>
        <w:rPr>
          <w:rFonts w:ascii="Times New Roman;Times;Serif" w:hAnsi="Times New Roman;Times;Serif"/>
          <w:b w:val="false"/>
          <w:i w:val="false"/>
          <w:caps w:val="false"/>
          <w:smallCaps w:val="false"/>
          <w:sz w:val="20"/>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U.K. Resolution Authority</w:t>
      </w:r>
      <w:r>
        <w:rPr>
          <w:rFonts w:ascii="Times New Roman;Times;Serif" w:hAnsi="Times New Roman;Times;Serif"/>
          <w:b w:val="false"/>
          <w:i w:val="false"/>
          <w:caps w:val="false"/>
          <w:smallCaps w:val="false"/>
          <w:sz w:val="20"/>
        </w:rPr>
        <w:t>” means the Bank of England or any other public administrative authority having responsibility for the resolution of any U.K. Financial Institution.</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United States</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U.S.</w:t>
      </w:r>
      <w:r>
        <w:rPr>
          <w:rFonts w:ascii="Times New Roman;Times;Serif" w:hAnsi="Times New Roman;Times;Serif"/>
          <w:b w:val="false"/>
          <w:i w:val="false"/>
          <w:caps w:val="false"/>
          <w:smallCaps w:val="false"/>
          <w:sz w:val="20"/>
        </w:rPr>
        <w:t>” means the United States of America, its fifty states and the District of Columbia.</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U.S. Government Securities Business Day</w:t>
      </w:r>
      <w:r>
        <w:rPr>
          <w:rFonts w:ascii="Times New Roman;Times;Serif" w:hAnsi="Times New Roman;Times;Serif"/>
          <w:b w:val="false"/>
          <w:i w:val="false"/>
          <w:caps w:val="false"/>
          <w:smallCaps w:val="false"/>
          <w:sz w:val="20"/>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U.S. Person</w:t>
      </w:r>
      <w:r>
        <w:rPr>
          <w:rFonts w:ascii="Times New Roman;Times;Serif" w:hAnsi="Times New Roman;Times;Serif"/>
          <w:b w:val="false"/>
          <w:i w:val="false"/>
          <w:caps w:val="false"/>
          <w:smallCaps w:val="false"/>
          <w:sz w:val="20"/>
        </w:rPr>
        <w:t>” means a “United States Person” within the meaning of Section 7701(a)(30) of the Code.</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U.S. Tax Compliance Certificate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5.03(f)(ii)(B)(3)</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VCOC Lender</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i w:val="false"/>
          <w:caps w:val="false"/>
          <w:smallCaps w:val="false"/>
          <w:sz w:val="20"/>
        </w:rPr>
        <w:t>Section 8.19</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VIGAMOX</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Schedule 4</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Warrant</w:t>
      </w:r>
      <w:r>
        <w:rPr>
          <w:rFonts w:ascii="Times New Roman;Times;Serif" w:hAnsi="Times New Roman;Times;Serif"/>
          <w:b w:val="false"/>
          <w:i w:val="false"/>
          <w:caps w:val="false"/>
          <w:smallCaps w:val="false"/>
          <w:sz w:val="20"/>
        </w:rPr>
        <w:t xml:space="preserve">” means each Warrant (if any) delivered pursuant to </w:t>
      </w:r>
      <w:r>
        <w:rPr>
          <w:rFonts w:ascii="Times New Roman;Times;Serif" w:hAnsi="Times New Roman;Times;Serif"/>
          <w:b/>
          <w:i w:val="false"/>
          <w:caps w:val="false"/>
          <w:smallCaps w:val="false"/>
          <w:sz w:val="20"/>
        </w:rPr>
        <w:t>Section 8.18</w:t>
      </w:r>
      <w:r>
        <w:rPr>
          <w:rFonts w:ascii="Times New Roman;Times;Serif" w:hAnsi="Times New Roman;Times;Serif"/>
          <w:b w:val="false"/>
          <w:i w:val="false"/>
          <w:caps w:val="false"/>
          <w:smallCaps w:val="false"/>
          <w:sz w:val="20"/>
        </w:rPr>
        <w:t xml:space="preserve"> in substantially the form attached hereto as </w:t>
      </w:r>
      <w:r>
        <w:rPr>
          <w:rFonts w:ascii="Times New Roman;Times;Serif" w:hAnsi="Times New Roman;Times;Serif"/>
          <w:b/>
          <w:i w:val="false"/>
          <w:caps w:val="false"/>
          <w:smallCaps w:val="false"/>
          <w:sz w:val="20"/>
        </w:rPr>
        <w:t>Exhibit I</w:t>
      </w:r>
      <w:r>
        <w:rPr>
          <w:rFonts w:ascii="Times New Roman;Times;Serif" w:hAnsi="Times New Roman;Times;Serif"/>
          <w:b w:val="false"/>
          <w:i w:val="false"/>
          <w:caps w:val="false"/>
          <w:smallCaps w:val="false"/>
          <w:sz w:val="20"/>
        </w:rPr>
        <w:t>, as amended, replaced or otherwise modified pursuant to the terms thereof.</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Withholding Agent</w:t>
      </w:r>
      <w:r>
        <w:rPr>
          <w:rFonts w:ascii="Times New Roman;Times;Serif" w:hAnsi="Times New Roman;Times;Serif"/>
          <w:b w:val="false"/>
          <w:i w:val="false"/>
          <w:caps w:val="false"/>
          <w:smallCaps w:val="false"/>
          <w:sz w:val="20"/>
        </w:rPr>
        <w:t>” means the Borrower and the Administrative Agent.</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Write-Down and Conversion Powers</w:t>
      </w:r>
      <w:r>
        <w:rPr>
          <w:rFonts w:ascii="Times New Roman;Times;Serif" w:hAnsi="Times New Roman;Times;Serif"/>
          <w:b w:val="false"/>
          <w:i w:val="false"/>
          <w:caps w:val="false"/>
          <w:smallCaps w:val="false"/>
          <w:sz w:val="20"/>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Yield Protection Premium</w:t>
      </w:r>
      <w:r>
        <w:rPr>
          <w:rFonts w:ascii="Times New Roman;Times;Serif" w:hAnsi="Times New Roman;Times;Serif"/>
          <w:b w:val="false"/>
          <w:i w:val="false"/>
          <w:caps w:val="false"/>
          <w:smallCaps w:val="false"/>
          <w:sz w:val="20"/>
        </w:rPr>
        <w:t xml:space="preserve">” means with respect to any prepayment of all or any portion of the Loans, whether by optional or mandatory prepayment, acceleration or otherwise, an amount equal to the Make-Whole Discounted Value of the Make-Whole Remaining Scheduled Payments as calculated by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amount shall in no event be less than zero.</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1.02 Accounting Terms and Principles</w:t>
      </w:r>
      <w:r>
        <w:rPr>
          <w:rFonts w:ascii="Times New Roman;Times;Serif" w:hAnsi="Times New Roman;Times;Serif"/>
          <w:b w:val="false"/>
          <w:i w:val="false"/>
          <w:caps w:val="false"/>
          <w:smallCaps w:val="false"/>
          <w:sz w:val="20"/>
        </w:rPr>
        <w:t xml:space="preserve">. Unless otherwise specified, all accounting terms used in each Loan Document shall be interpreted, and all accounting determinations and computations thereunder (including under </w:t>
      </w:r>
      <w:r>
        <w:rPr>
          <w:rFonts w:ascii="Times New Roman;Times;Serif" w:hAnsi="Times New Roman;Times;Serif"/>
          <w:b/>
          <w:i w:val="false"/>
          <w:caps w:val="false"/>
          <w:smallCaps w:val="false"/>
          <w:sz w:val="20"/>
        </w:rPr>
        <w:t>Section 10</w:t>
      </w:r>
      <w:r>
        <w:rPr>
          <w:rFonts w:ascii="Times New Roman;Times;Serif" w:hAnsi="Times New Roman;Times;Serif"/>
          <w:b w:val="false"/>
          <w:i w:val="false"/>
          <w:caps w:val="false"/>
          <w:smallCaps w:val="false"/>
          <w:sz w:val="20"/>
        </w:rPr>
        <w:t xml:space="preserve"> and any definitions used in such calculations) shall be made, in accordance with GAAP. Unless otherwise expressly provided, all financial covenants and defined financial terms shall be computed on a consolidated basis for the Borrower and its Subsidiaries, in each case without duplication. If the Borrower requests an amendment to any provision hereof to eliminate the effect of (a) any change in GAAP or the application thereof or (b) the issuance of any new accounting rule or guidance or in the application thereof, in each case, occurring after the date of this Agreement, then the Lenders and Borrower agree that they will negotiate in good faith amendments to the provisions of this Agreement that are directly affected by such change or issuance with the intent of having the respective positions of the Lenders and Borrower after such change or issuance conform as nearly as possible to their respective positions as of the date of this Agreement and, until any such amendments have been agreed upon, (i) the provisions in this Agreement shall be calculated as if no such change or issuance has occurred and (ii) the Borrower shall provide to the Lenders a written reconciliation in form and substance reasonably satisfactory to the Lenders, between calculations of any baskets and other requirements hereunder before and after giving effect to such change or issuance.</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1.03 Interpretation</w:t>
      </w:r>
      <w:r>
        <w:rPr>
          <w:rFonts w:ascii="Times New Roman;Times;Serif" w:hAnsi="Times New Roman;Times;Serif"/>
          <w:b w:val="false"/>
          <w:i w:val="false"/>
          <w:caps w:val="false"/>
          <w:smallCaps w:val="false"/>
          <w:sz w:val="20"/>
        </w:rPr>
        <w:t>. For all purposes of this Agreement, except as otherwise expressly provided herein or unless the context otherwise requires,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terms defined in this Agreement include the plural as well as the singular and vice versa;</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words importing gender include all genders;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reference to a Section, Annex, Schedule or Exhibit refers to a Section of, or Annex, Schedule or Exhibit to, this Agreement;</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reference to “this Agreement” refers to this Agreement, including all Annexes, Schedules and Exhibits hereto, and the words herein, hereof, hereto and hereunder and words of similar import refer to this Agreement and its Annexes, Schedules and Exhibits as a whole and not to any particular Section, Annex, Schedule, Exhibit or any other subdivision;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references to days, months and years refer to calendar days, months and years, respectively;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references herein to “include” or “including” shall be deemed to be followed by the words “without limitation”;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word “from” when used in connection with a period of time means “from and including” and the word “until” means “to but not including”;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words “asset” and “property” shall be construed to have the same meaning and effect and to refer broadly to any and all assets and properties, whether tangible or intangible, real or personal, including cash, securities, rights under contractual obligations and permits and any right or interest in any such assets or property;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accounting terms not specifically defined herein (other than “property” and “asset”) shall be construed in accordance with GAAP, subject to </w:t>
      </w:r>
      <w:r>
        <w:rPr>
          <w:rFonts w:ascii="Times New Roman;Times;Serif" w:hAnsi="Times New Roman;Times;Serif"/>
          <w:b/>
          <w:i w:val="false"/>
          <w:caps w:val="false"/>
          <w:smallCaps w:val="false"/>
          <w:sz w:val="20"/>
        </w:rPr>
        <w:t>Section 1.02</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word “will” shall have the same meaning as the word “shall”;</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where any provision in this Agreement or any other Loan Document refers to an action to be taken by any Person, or an action which such Person is prohibited from taking, such provision shall be applicable whether such action is taken directly or, to the knowledge of such Person, indirectly; and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references to any Lien granted or created hereunder or pursuant to any other Loan Document securing any Obligations shall deemed to be a Lien for the benefit of the Secured Parties.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expressly provided herein, references to organizational documents, agreements (including the Loan Documents, including any schedules and exhibits thereto) and other contractual instruments shall be deemed to include all subsequent amendments, restatements, extensions, supplements and other modifications thereto permitted by the Loan Documents. Any definition or reference to any Law shall include all statutory and regulatory provisions consolidating, amending, replacing, supplementing or interpreting such Law.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payment required to be made pursuant to the terms and conditions of any Loan Document falls due on a day which is not a Business Day, then such required payment date shall be extended to the immediately following Business Day. For purposes of determining compliance with any covenant (including the computation of any financial covenant) contained herein, Indebtedness of the Obligors and their Subsidiaries will be deemed to be equal to 100% of the outstanding principal amount thereof or payment obligations with respect thereto at the time of determination thereof, or with respect to any Hedging Agreements, the amount that would be payable if the agreement governing such Hedging Agreements were terminated on the date of termination.</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1.04 Division</w:t>
      </w:r>
      <w:r>
        <w:rPr>
          <w:rFonts w:ascii="Times New Roman;Times;Serif" w:hAnsi="Times New Roman;Times;Serif"/>
          <w:b w:val="false"/>
          <w:i w:val="false"/>
          <w:caps w:val="false"/>
          <w:smallCaps w:val="false"/>
          <w:sz w:val="20"/>
        </w:rPr>
        <w:t>. For all purposes under the Loan Documents, in connection with any division or plan of division under Delaware law (or any comparable event under a different jurisdiction’s laws) (a “</w:t>
      </w:r>
      <w:r>
        <w:rPr>
          <w:rFonts w:ascii="Times New Roman;Times;Serif" w:hAnsi="Times New Roman;Times;Serif"/>
          <w:b/>
          <w:i/>
          <w:caps w:val="false"/>
          <w:smallCaps w:val="false"/>
          <w:sz w:val="20"/>
        </w:rPr>
        <w:t>Division</w:t>
      </w:r>
      <w:r>
        <w:rPr>
          <w:rFonts w:ascii="Times New Roman;Times;Serif" w:hAnsi="Times New Roman;Times;Serif"/>
          <w:b w:val="false"/>
          <w:i w:val="false"/>
          <w:caps w:val="false"/>
          <w:smallCaps w:val="false"/>
          <w:sz w:val="20"/>
        </w:rPr>
        <w:t>”), if (a) any asset, right, obligation or liability of any Person becomes the asset, right, obligation or liability of a different Person, then it shall be deemed to have been transferred from the original Person to the subsequent Person, and (b) any new Person comes into existence, such new Person shall be deemed to have been organized on the first date of its existence by the holders of its Equity Interests at such time.</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1.05 Currency Generally</w:t>
      </w:r>
      <w:r>
        <w:rPr>
          <w:rFonts w:ascii="Times New Roman;Times;Serif" w:hAnsi="Times New Roman;Times;Serif"/>
          <w:b w:val="false"/>
          <w:i w:val="false"/>
          <w:caps w:val="false"/>
          <w:smallCaps w:val="false"/>
          <w:sz w:val="20"/>
        </w:rPr>
        <w:t xml:space="preserve">. For purposes of determining compliance with </w:t>
      </w:r>
      <w:r>
        <w:rPr>
          <w:rFonts w:ascii="Times New Roman;Times;Serif" w:hAnsi="Times New Roman;Times;Serif"/>
          <w:b/>
          <w:i w:val="false"/>
          <w:caps w:val="false"/>
          <w:smallCaps w:val="false"/>
          <w:sz w:val="20"/>
        </w:rPr>
        <w:t>Section 9</w:t>
      </w:r>
      <w:r>
        <w:rPr>
          <w:rFonts w:ascii="Times New Roman;Times;Serif" w:hAnsi="Times New Roman;Times;Serif"/>
          <w:b w:val="false"/>
          <w:i w:val="false"/>
          <w:caps w:val="false"/>
          <w:smallCaps w:val="false"/>
          <w:sz w:val="20"/>
        </w:rPr>
        <w:t xml:space="preserve"> with respect to the amount of any Indebtedness or Investment in a currency other than Dollars, no Default or Event of Default shall be deemed to have occurred solely as a result of changes in rates of currency exchange occurring after the time such Indebtedness or Investment is incurred, made or acquired (so long as such Indebtedness or Investment, at the time incurred, made or acquired, was permitted hereunder).</w:t>
      </w:r>
    </w:p>
    <w:p>
      <w:pPr>
        <w:pStyle w:val="TextBody"/>
        <w:bidi w:val="0"/>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Section 2.</w:t>
      </w:r>
      <w:r>
        <w:rPr>
          <w:rFonts w:ascii="Times New Roman;Times;Serif" w:hAnsi="Times New Roman;Times;Serif"/>
          <w:b/>
          <w:i w:val="false"/>
          <w:caps w:val="false"/>
          <w:smallCaps w:val="false"/>
          <w:sz w:val="20"/>
        </w:rPr>
        <w:br/>
        <w:t>THE COMMITMENT AND THE LOANS</w:t>
      </w:r>
    </w:p>
    <w:p>
      <w:pPr>
        <w:pStyle w:val="TextBody"/>
        <w:bidi w:val="0"/>
        <w:ind w:left="0" w:right="0" w:hanging="0"/>
        <w:jc w:val="center"/>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2.01 Loans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the terms and subject to the conditions of this Agreement, each Lender agrees:</w:t>
      </w:r>
    </w:p>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make Loans to the Borrower in a principal amount equal to the amount of such Lender’s Tranche A Commitment on the Closing Date (“</w:t>
            </w:r>
            <w:r>
              <w:rPr>
                <w:rFonts w:ascii="Times New Roman;Times;Serif" w:hAnsi="Times New Roman;Times;Serif"/>
                <w:b/>
                <w:i/>
                <w:caps w:val="false"/>
                <w:smallCaps w:val="false"/>
                <w:sz w:val="20"/>
              </w:rPr>
              <w:t>Tranche A Term Loans</w:t>
            </w:r>
            <w:r>
              <w:rPr>
                <w:rFonts w:ascii="Times New Roman;Times;Serif" w:hAnsi="Times New Roman;Times;Serif"/>
                <w:b w:val="false"/>
                <w:i w:val="false"/>
                <w:caps w:val="false"/>
                <w:smallCaps w:val="false"/>
                <w:sz w:val="20"/>
              </w:rPr>
              <w:t>”); and</w:t>
            </w:r>
          </w:p>
        </w:tc>
      </w:tr>
    </w:tbl>
    <w:p>
      <w:pPr>
        <w:pStyle w:val="TextBody"/>
        <w:bidi w:val="0"/>
        <w:ind w:left="1980" w:right="0" w:hanging="4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make Loans to the Borrower in a principal amount equal to the amount of such Lender’s Tranche B Commitment (“</w:t>
            </w:r>
            <w:r>
              <w:rPr>
                <w:rFonts w:ascii="Times New Roman;Times;Serif" w:hAnsi="Times New Roman;Times;Serif"/>
                <w:b/>
                <w:i/>
                <w:caps w:val="false"/>
                <w:smallCaps w:val="false"/>
                <w:sz w:val="20"/>
              </w:rPr>
              <w:t>Tranche B Term Loans</w:t>
            </w:r>
            <w:r>
              <w:rPr>
                <w:rFonts w:ascii="Times New Roman;Times;Serif" w:hAnsi="Times New Roman;Times;Serif"/>
                <w:b w:val="false"/>
                <w:i w:val="false"/>
                <w:caps w:val="false"/>
                <w:smallCaps w:val="false"/>
                <w:sz w:val="20"/>
              </w:rPr>
              <w:t xml:space="preserve">”), on a date specified by the Borrower in accordance with </w:t>
            </w:r>
            <w:r>
              <w:rPr>
                <w:rFonts w:ascii="Times New Roman;Times;Serif" w:hAnsi="Times New Roman;Times;Serif"/>
                <w:b/>
                <w:i w:val="false"/>
                <w:caps w:val="false"/>
                <w:smallCaps w:val="false"/>
                <w:sz w:val="20"/>
              </w:rPr>
              <w:t>Section 2.02</w:t>
            </w:r>
            <w:r>
              <w:rPr>
                <w:rFonts w:ascii="Times New Roman;Times;Serif" w:hAnsi="Times New Roman;Times;Serif"/>
                <w:b w:val="false"/>
                <w:i w:val="false"/>
                <w:caps w:val="false"/>
                <w:smallCaps w:val="false"/>
                <w:sz w:val="20"/>
              </w:rPr>
              <w:t xml:space="preserve"> during the Tranche B Availability Period for the Tranche B Loans.</w:t>
            </w:r>
          </w:p>
        </w:tc>
      </w:tr>
    </w:tbl>
    <w:p>
      <w:pPr>
        <w:pStyle w:val="TextBody"/>
        <w:bidi w:val="0"/>
        <w:ind w:left="1980" w:right="0" w:hanging="45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amounts paid or prepaid with respect to any Loan may be reborrowed.</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term or provision hereof (or of any other Loan Document) to the contrary notwithstanding, Loans made to the Borrower will be denominated solely in Dollars and will be repayable solely in Dollars and no other currency.</w:t>
      </w:r>
    </w:p>
    <w:p>
      <w:pPr>
        <w:pStyle w:val="TextBody"/>
        <w:bidi w:val="0"/>
        <w:ind w:left="0" w:right="0" w:firstLine="72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2.02 Borrowing Procedures</w:t>
      </w:r>
      <w:r>
        <w:rPr>
          <w:rFonts w:ascii="Times New Roman;Times;Serif" w:hAnsi="Times New Roman;Times;Serif"/>
          <w:b w:val="false"/>
          <w:i w:val="false"/>
          <w:caps w:val="false"/>
          <w:smallCaps w:val="false"/>
          <w:sz w:val="20"/>
        </w:rPr>
        <w:t xml:space="preserve">. At least five (5) Business Days prior any Applicable Funding Date (or such shorter period agreed by the Administrative Agent), the Borrower shall deliver to the Administrative Agent an irrevocable Borrowing Notice in the form of </w:t>
      </w:r>
      <w:r>
        <w:rPr>
          <w:rFonts w:ascii="Times New Roman;Times;Serif" w:hAnsi="Times New Roman;Times;Serif"/>
          <w:b/>
          <w:i w:val="false"/>
          <w:caps w:val="false"/>
          <w:smallCaps w:val="false"/>
          <w:sz w:val="20"/>
        </w:rPr>
        <w:t>Exhibit B</w:t>
      </w:r>
      <w:r>
        <w:rPr>
          <w:rFonts w:ascii="Times New Roman;Times;Serif" w:hAnsi="Times New Roman;Times;Serif"/>
          <w:b w:val="false"/>
          <w:i w:val="false"/>
          <w:caps w:val="false"/>
          <w:smallCaps w:val="false"/>
          <w:sz w:val="20"/>
        </w:rPr>
        <w:t xml:space="preserve"> signed by a duly authorized representative of the Borrower (which notice, if received by the Administrative Agent on a day that is not a Business Day or after 10:00 A.M. (Eastern time) on a Business Day, shall be deemed to have been delivered on the next Business Day). Each Borrowing Notice shall be for the full amount of each of the Applicable Commitments and no Borrowing Notice for less than such full amount shall be permitted.</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2.03 Funding of Borrowings</w:t>
      </w:r>
      <w:r>
        <w:rPr>
          <w:rFonts w:ascii="Times New Roman;Times;Serif" w:hAnsi="Times New Roman;Times;Serif"/>
          <w:b w:val="false"/>
          <w:i w:val="false"/>
          <w:caps w:val="false"/>
          <w:smallCaps w:val="false"/>
          <w:sz w:val="20"/>
        </w:rPr>
        <w:t>. Promptly following receipt of any written Borrowing Notice the Administrative Agent shall advise each Lender of the details thereof and of the amount of such Lender’s Loan to be made as part of the requested Borrowing. Each Lender shall make each Loan to be made by it hereunder on the proposed date thereof solely by wire transfer of immediately available funds, by 2:00 p.m. New York City time, to the account of the Administrative Agent most recently designated by it for such purpose by notice to the Lenders. Upon receipt of all funds the Administrative Agent will make such Loans available to the Borrower promptly by wire transfer of the amounts so received, in like funds, to an account designated by the Borrower in the applicable Borrowing Notice.</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2.04 Notes</w:t>
      </w:r>
      <w:r>
        <w:rPr>
          <w:rFonts w:ascii="Times New Roman;Times;Serif" w:hAnsi="Times New Roman;Times;Serif"/>
          <w:b w:val="false"/>
          <w:i w:val="false"/>
          <w:caps w:val="false"/>
          <w:smallCaps w:val="false"/>
          <w:sz w:val="20"/>
        </w:rPr>
        <w:t xml:space="preserve">. If requested by any Lender, the Loan of such Lender shall be evidenced by one or more Notes. The Borrower shall prepare, execute and deliver to the Lender such promissory note(s) substantially in the form attached hereto as </w:t>
      </w:r>
      <w:r>
        <w:rPr>
          <w:rFonts w:ascii="Times New Roman;Times;Serif" w:hAnsi="Times New Roman;Times;Serif"/>
          <w:b/>
          <w:i w:val="false"/>
          <w:caps w:val="false"/>
          <w:smallCaps w:val="false"/>
          <w:sz w:val="20"/>
        </w:rPr>
        <w:t>Exhibit H</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2.05 Use of Proceeds</w:t>
      </w:r>
      <w:r>
        <w:rPr>
          <w:rFonts w:ascii="Times New Roman;Times;Serif" w:hAnsi="Times New Roman;Times;Serif"/>
          <w:b w:val="false"/>
          <w:i w:val="false"/>
          <w:caps w:val="false"/>
          <w:smallCaps w:val="false"/>
          <w:sz w:val="20"/>
        </w:rPr>
        <w:t xml:space="preserve">. The Borrower shall use the proceeds of the Tranche A Term Loans to refinance the Refinanced Facility in the aggregate amount set forth on </w:t>
      </w:r>
      <w:r>
        <w:rPr>
          <w:rFonts w:ascii="Times New Roman;Times;Serif" w:hAnsi="Times New Roman;Times;Serif"/>
          <w:b/>
          <w:i w:val="false"/>
          <w:caps w:val="false"/>
          <w:smallCaps w:val="false"/>
          <w:sz w:val="20"/>
        </w:rPr>
        <w:t>Schedule 5</w:t>
      </w:r>
      <w:r>
        <w:rPr>
          <w:rFonts w:ascii="Times New Roman;Times;Serif" w:hAnsi="Times New Roman;Times;Serif"/>
          <w:b w:val="false"/>
          <w:i w:val="false"/>
          <w:caps w:val="false"/>
          <w:smallCaps w:val="false"/>
          <w:sz w:val="20"/>
        </w:rPr>
        <w:t>, and for other working capital and general corporate purposes, including the payment of fees and expenses associated with this Agreement. The Borrower shall use all of the proceeds of the Tranche B Term Loans to fund a portion of the Novartis Milestone Payment substantially concurrently with the funding of the Tranche B Term Loans on the Tranche B Funding Date.</w:t>
      </w:r>
    </w:p>
    <w:p>
      <w:pPr>
        <w:pStyle w:val="TextBody"/>
        <w:bidi w:val="0"/>
        <w:ind w:left="1440" w:right="0" w:hanging="144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2.06 Commitment Fees</w:t>
      </w:r>
      <w:r>
        <w:rPr>
          <w:rFonts w:ascii="Times New Roman;Times;Serif" w:hAnsi="Times New Roman;Times;Serif"/>
          <w:b w:val="false"/>
          <w:i w:val="false"/>
          <w:caps w:val="false"/>
          <w:smallCaps w:val="false"/>
          <w:sz w:val="20"/>
        </w:rPr>
        <w:t>. The Borrower shall pay to the Administrative Agent for the account of the Lenders the Commitment Fee as set forth in the Fee Letter.</w:t>
      </w:r>
    </w:p>
    <w:p>
      <w:pPr>
        <w:pStyle w:val="TextBody"/>
        <w:bidi w:val="0"/>
        <w:jc w:val="both"/>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2.07 Defaulting Lenders.</w:t>
      </w:r>
    </w:p>
    <w:p>
      <w:pPr>
        <w:pStyle w:val="TextBody"/>
        <w:bidi w:val="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Adjustments</w:t>
      </w:r>
      <w:r>
        <w:rPr>
          <w:rFonts w:ascii="Times New Roman;Times;Serif" w:hAnsi="Times New Roman;Times;Serif"/>
          <w:b w:val="false"/>
          <w:i w:val="false"/>
          <w:caps w:val="false"/>
          <w:smallCaps w:val="false"/>
          <w:sz w:val="20"/>
        </w:rPr>
        <w:t>. Notwithstanding anything to the contrary contained in this Agreement, if any Lender becomes a Defaulting Lender, then, until such time as that Lender is no longer a Defaulting Lender, to the extent permitted by applicable Law,</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i w:val="false"/>
          <w:caps w:val="false"/>
          <w:smallCaps w:val="false"/>
          <w:sz w:val="20"/>
        </w:rPr>
        <w:t>Waivers and Amendment</w:t>
      </w:r>
      <w:r>
        <w:rPr>
          <w:rFonts w:ascii="Times New Roman;Times;Serif" w:hAnsi="Times New Roman;Times;Serif"/>
          <w:b w:val="false"/>
          <w:i w:val="false"/>
          <w:caps w:val="false"/>
          <w:smallCaps w:val="false"/>
          <w:sz w:val="20"/>
        </w:rPr>
        <w:t xml:space="preserve">. The Defaulting Lender’s right to approve or disapprove any amendment, waiver or consent with respect to this Agreement shall be restricted as set forth in </w:t>
      </w:r>
      <w:r>
        <w:rPr>
          <w:rFonts w:ascii="Times New Roman;Times;Serif" w:hAnsi="Times New Roman;Times;Serif"/>
          <w:b/>
          <w:i w:val="false"/>
          <w:caps w:val="false"/>
          <w:smallCaps w:val="false"/>
          <w:sz w:val="20"/>
        </w:rPr>
        <w:t>Section 14.04</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i w:val="false"/>
          <w:caps w:val="false"/>
          <w:smallCaps w:val="false"/>
          <w:sz w:val="20"/>
        </w:rPr>
        <w:t>Reallocation of Payments</w:t>
      </w:r>
      <w:r>
        <w:rPr>
          <w:rFonts w:ascii="Times New Roman;Times;Serif" w:hAnsi="Times New Roman;Times;Serif"/>
          <w:b w:val="false"/>
          <w:i w:val="false"/>
          <w:caps w:val="false"/>
          <w:smallCaps w:val="false"/>
          <w:sz w:val="20"/>
        </w:rPr>
        <w:t xml:space="preserve">. Any payment of principal, interest, fees or other amounts received by the Administrative Agent for the account of that Defaulting Lender (whether voluntary or mandatory, at maturity, pursuant to </w:t>
      </w:r>
      <w:r>
        <w:rPr>
          <w:rFonts w:ascii="Times New Roman;Times;Serif" w:hAnsi="Times New Roman;Times;Serif"/>
          <w:b/>
          <w:i w:val="false"/>
          <w:caps w:val="false"/>
          <w:smallCaps w:val="false"/>
          <w:sz w:val="20"/>
        </w:rPr>
        <w:t>Section 11</w:t>
      </w:r>
      <w:r>
        <w:rPr>
          <w:rFonts w:ascii="Times New Roman;Times;Serif" w:hAnsi="Times New Roman;Times;Serif"/>
          <w:b w:val="false"/>
          <w:i w:val="false"/>
          <w:caps w:val="false"/>
          <w:smallCaps w:val="false"/>
          <w:sz w:val="20"/>
        </w:rPr>
        <w:t xml:space="preserve"> or otherwise, and including any amounts made available to the Administrative Agent by that Defaulting Lender pursuant to </w:t>
      </w:r>
      <w:r>
        <w:rPr>
          <w:rFonts w:ascii="Times New Roman;Times;Serif" w:hAnsi="Times New Roman;Times;Serif"/>
          <w:b/>
          <w:i w:val="false"/>
          <w:caps w:val="false"/>
          <w:smallCaps w:val="false"/>
          <w:sz w:val="20"/>
        </w:rPr>
        <w:t>Section 4.03</w:t>
      </w:r>
      <w:r>
        <w:rPr>
          <w:rFonts w:ascii="Times New Roman;Times;Serif" w:hAnsi="Times New Roman;Times;Serif"/>
          <w:b w:val="false"/>
          <w:i w:val="false"/>
          <w:caps w:val="false"/>
          <w:smallCaps w:val="false"/>
          <w:sz w:val="20"/>
        </w:rPr>
        <w:t xml:space="preserve">), shall be applied at such time or times as may be determined by the Administrative Agent as follows: first, to the payment of any amounts owing by that Defaulting Lender to the Administrative Agent hereunder; second, as the Borrower may request (so long as no Default or Event of Default exists), to the funding of any Loan in respect of which that Defaulting Lender has failed to fund its portion thereof as required by this Agreement, as determined by the Administrative Agent; third, if so determined by the Administrative Agent and the Borrower, to be held in a non-interest bearing deposit account and released in order to satisfy obligations of that Defaulting Lender to fund Loans under this Agreement; fourth, to the payment of any amounts owing to the Lenders as a result of any judgment of a court of competent jurisdiction obtained by any Lender against that Defaulting Lender as a result of that Defaulting Lender’s breach of its obligations under this Agreement; fifth, so long as no Default or Event of Default exists, to the payment of any amounts owing to the Borrower as a result of any judgment of a court of competent jurisdiction obtained by the Borrower against that Defaulting Lender as a result of that Defaulting Lender’s breach of its obligations under this Agreement; and sixth, to that Defaulting Lender or as otherwise directed by a court of competent jurisdiction; provided, that, if (x) such payment is a payment of the principal amount of any Loans in respect of which that Defaulting Lender has not fully funded its appropriate share and (y) such Loans were made at a time when the conditions set forth in </w:t>
      </w:r>
      <w:r>
        <w:rPr>
          <w:rFonts w:ascii="Times New Roman;Times;Serif" w:hAnsi="Times New Roman;Times;Serif"/>
          <w:b/>
          <w:i w:val="false"/>
          <w:caps w:val="false"/>
          <w:smallCaps w:val="false"/>
          <w:sz w:val="20"/>
        </w:rPr>
        <w:t>Section 6.02</w:t>
      </w:r>
      <w:r>
        <w:rPr>
          <w:rFonts w:ascii="Times New Roman;Times;Serif" w:hAnsi="Times New Roman;Times;Serif"/>
          <w:b w:val="false"/>
          <w:i w:val="false"/>
          <w:caps w:val="false"/>
          <w:smallCaps w:val="false"/>
          <w:sz w:val="20"/>
        </w:rPr>
        <w:t xml:space="preserve"> were satisfied or waived, such payment shall be applied solely to pay the Loans of all non-Defaulting Lenders on a pro rata basis prior to being applied to the payment of any Loans of that Defaulting Lender. Any payments, prepayments, repayments or other amounts paid or payable to a Defaulting Lender that are applied (or held) to pay amounts owed by a Defaulting Lender pursuant to this </w:t>
      </w:r>
      <w:r>
        <w:rPr>
          <w:rFonts w:ascii="Times New Roman;Times;Serif" w:hAnsi="Times New Roman;Times;Serif"/>
          <w:b/>
          <w:i w:val="false"/>
          <w:caps w:val="false"/>
          <w:smallCaps w:val="false"/>
          <w:sz w:val="20"/>
        </w:rPr>
        <w:t xml:space="preserve">Section 2.07(a)(ii) </w:t>
      </w:r>
      <w:r>
        <w:rPr>
          <w:rFonts w:ascii="Times New Roman;Times;Serif" w:hAnsi="Times New Roman;Times;Serif"/>
          <w:b w:val="false"/>
          <w:i w:val="false"/>
          <w:caps w:val="false"/>
          <w:smallCaps w:val="false"/>
          <w:sz w:val="20"/>
        </w:rPr>
        <w:t>shall be deemed paid to and redirected by that Defaulting Lender, and each Lender irrevocably consents hereto.</w:t>
      </w:r>
    </w:p>
    <w:p>
      <w:pPr>
        <w:pStyle w:val="TextBody"/>
        <w:bidi w:val="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Defaulting Lender Cure</w:t>
      </w:r>
      <w:r>
        <w:rPr>
          <w:rFonts w:ascii="Times New Roman;Times;Serif" w:hAnsi="Times New Roman;Times;Serif"/>
          <w:b w:val="false"/>
          <w:i w:val="false"/>
          <w:caps w:val="false"/>
          <w:smallCaps w:val="false"/>
          <w:sz w:val="20"/>
        </w:rPr>
        <w:t xml:space="preserve">. If the Borrower and the Administrative Agent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that Lender will cease to be a Defaulting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that</w:t>
      </w:r>
      <w:r>
        <w:rPr>
          <w:rFonts w:ascii="Times New Roman;Times;Serif" w:hAnsi="Times New Roman;Times;Serif"/>
          <w:b w:val="false"/>
          <w:i w:val="false"/>
          <w:caps w:val="false"/>
          <w:smallCaps w:val="false"/>
          <w:sz w:val="20"/>
        </w:rPr>
        <w:t xml:space="preserve">, no adjustments will be made retroactively with respect to fees accrued or payments made by or on behalf of the Borrower while that Lender was a Defaulting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that</w:t>
      </w:r>
      <w:r>
        <w:rPr>
          <w:rFonts w:ascii="Times New Roman;Times;Serif" w:hAnsi="Times New Roman;Times;Serif"/>
          <w:b w:val="false"/>
          <w:i w:val="false"/>
          <w:caps w:val="false"/>
          <w:smallCaps w:val="false"/>
          <w:sz w:val="20"/>
        </w:rPr>
        <w:t>, except to the extent otherwise expressly agreed by the affected parties, no change hereunder from Defaulting Lender to Lender will constitute a waiver or release of any claim of any party hereunder arising from that Lender having been a Defaulting Lender.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Certain Fees</w:t>
      </w:r>
      <w:r>
        <w:rPr>
          <w:rFonts w:ascii="Times New Roman;Times;Serif" w:hAnsi="Times New Roman;Times;Serif"/>
          <w:b w:val="false"/>
          <w:i w:val="false"/>
          <w:caps w:val="false"/>
          <w:smallCaps w:val="false"/>
          <w:sz w:val="20"/>
        </w:rPr>
        <w:t xml:space="preserve">. No Defaulting Lender shall be entitled to receive any Commitment Fee payable under </w:t>
      </w:r>
      <w:r>
        <w:rPr>
          <w:rFonts w:ascii="Times New Roman;Times;Serif" w:hAnsi="Times New Roman;Times;Serif"/>
          <w:b/>
          <w:i w:val="false"/>
          <w:caps w:val="false"/>
          <w:smallCaps w:val="false"/>
          <w:sz w:val="20"/>
        </w:rPr>
        <w:t>Section 2.06</w:t>
      </w:r>
      <w:r>
        <w:rPr>
          <w:rFonts w:ascii="Times New Roman;Times;Serif" w:hAnsi="Times New Roman;Times;Serif"/>
          <w:b w:val="false"/>
          <w:i w:val="false"/>
          <w:caps w:val="false"/>
          <w:smallCaps w:val="false"/>
          <w:sz w:val="20"/>
        </w:rPr>
        <w:t xml:space="preserve"> or any upfront fee set forth in the Fee Letter for any period during which that Lender is a Defaulting Lender (and the Borrower shall not be required to pay any such Commitment Fee or upfront fee that otherwise would have been required to have been paid to that Defaulting Lender).</w:t>
      </w:r>
    </w:p>
    <w:p>
      <w:pPr>
        <w:pStyle w:val="TextBody"/>
        <w:bidi w:val="0"/>
        <w:ind w:left="0" w:right="0" w:firstLine="720"/>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Section 3.</w:t>
      </w:r>
      <w:r>
        <w:rPr>
          <w:rFonts w:ascii="Times New Roman;Times;Serif" w:hAnsi="Times New Roman;Times;Serif"/>
          <w:b/>
          <w:i w:val="false"/>
          <w:caps w:val="false"/>
          <w:smallCaps w:val="false"/>
          <w:sz w:val="20"/>
        </w:rPr>
        <w:br/>
        <w:t>PAYMENTS OF PRINCIPAL AND INTEREST, ETC.</w:t>
      </w:r>
    </w:p>
    <w:p>
      <w:pPr>
        <w:pStyle w:val="TextBody"/>
        <w:bidi w:val="0"/>
        <w:ind w:left="0" w:right="0" w:hanging="0"/>
        <w:jc w:val="center"/>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3.01 Scheduled Repayments and Prepayments Generally; Application</w:t>
      </w:r>
      <w:r>
        <w:rPr>
          <w:rFonts w:ascii="Times New Roman;Times;Serif" w:hAnsi="Times New Roman;Times;Serif"/>
          <w:b w:val="false"/>
          <w:i w:val="false"/>
          <w:caps w:val="false"/>
          <w:smallCaps w:val="false"/>
          <w:sz w:val="20"/>
        </w:rPr>
        <w:t xml:space="preserve">. The Borrower hereby promises to pay to the Administrative Agent for the account of each Lender (as such amounts may in each case be reduced from time to time in accordance with </w:t>
      </w:r>
      <w:r>
        <w:rPr>
          <w:rFonts w:ascii="Times New Roman;Times;Serif" w:hAnsi="Times New Roman;Times;Serif"/>
          <w:b/>
          <w:i w:val="false"/>
          <w:caps w:val="false"/>
          <w:smallCaps w:val="false"/>
          <w:sz w:val="20"/>
        </w:rPr>
        <w:t>Section 3.03</w:t>
      </w:r>
      <w:r>
        <w:rPr>
          <w:rFonts w:ascii="Times New Roman;Times;Serif" w:hAnsi="Times New Roman;Times;Serif"/>
          <w:b w:val="false"/>
          <w:i w:val="false"/>
          <w:caps w:val="false"/>
          <w:smallCaps w:val="false"/>
          <w:sz w:val="20"/>
        </w:rPr>
        <w:t>), on the Maturity Date, all outstanding Obligations in full (including, without limitation, the Exit Fee, accrued and unpaid interest, any accrued and unpaid Commitment Fee and any other accrued and unpaid charges thereon and all other obligations due and payable by the Borrower under this Agreement (other than inchoate indemnification obligations for which no claim has been made)). Except as otherwise provided in this Agreement, each payment (including each repayment and prepayment) by the Borrower (other than fees payable pursuant to the Fee Letter) will be deemed to be made ratably in accordance with the Lenders’ Proportionate Shares and applied ratably among each tranche of the Loans. On any date occurring prior to October 21, 2025, that payment or prepayment in full of the Loans hereunder occurs, the Borrower shall pay in full all outstanding Obligations (other than any inchoate indemnification obligations for which no claim has been made), which shall include the Yield Protection Premium, if applicable, any accrued and unpaid Commitment Fee and the Exit Fee. On any date occurring on or after October 21, 2025 to the Maturity Date, that payment or prepayment in full of the Loans hereunder occurs, the Borrower shall pay in full all outstanding Obligations (other than any inchoate indemnification obligations for which no claim has been made), which shall include any accrued and unpaid Commitment Fee and the Exit Fee, but for purposes of clarity, not the Yield Protection Premium.</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3.02 Interest</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Interest Generally</w:t>
      </w:r>
      <w:r>
        <w:rPr>
          <w:rFonts w:ascii="Times New Roman;Times;Serif" w:hAnsi="Times New Roman;Times;Serif"/>
          <w:b w:val="false"/>
          <w:i w:val="false"/>
          <w:caps w:val="false"/>
          <w:smallCaps w:val="false"/>
          <w:sz w:val="20"/>
        </w:rPr>
        <w:t>. The outstanding principal amount of the Loans shall accrue interest from the date made until the date of repayment (whether by acceleration or otherwise and whether voluntary or mandatory) at the Interest Rate.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Default Interest</w:t>
      </w:r>
      <w:r>
        <w:rPr>
          <w:rFonts w:ascii="Times New Roman;Times;Serif" w:hAnsi="Times New Roman;Times;Serif"/>
          <w:b w:val="false"/>
          <w:i w:val="false"/>
          <w:caps w:val="false"/>
          <w:smallCaps w:val="false"/>
          <w:sz w:val="20"/>
        </w:rPr>
        <w:t xml:space="preserve">. Notwithstanding the foregoing, upon the occurrence and during the continuance of any Event of Default, the Interest Rate shall increase (i) automatically, in the case of any Event of Default under </w:t>
      </w:r>
      <w:r>
        <w:rPr>
          <w:rFonts w:ascii="Times New Roman;Times;Serif" w:hAnsi="Times New Roman;Times;Serif"/>
          <w:b/>
          <w:i w:val="false"/>
          <w:caps w:val="false"/>
          <w:smallCaps w:val="false"/>
          <w:sz w:val="20"/>
        </w:rPr>
        <w:t>Section 11.01(a)</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(h)</w:t>
      </w:r>
      <w:r>
        <w:rPr>
          <w:rFonts w:ascii="Times New Roman;Times;Serif" w:hAnsi="Times New Roman;Times;Serif"/>
          <w:b w:val="false"/>
          <w:i w:val="false"/>
          <w:caps w:val="false"/>
          <w:smallCaps w:val="false"/>
          <w:sz w:val="20"/>
        </w:rPr>
        <w:t xml:space="preserve"> and (ii) upon the request of the Majority Lenders, in the case of any other Event of Default, by two percent (2.0%) </w:t>
      </w:r>
      <w:r>
        <w:rPr>
          <w:rFonts w:ascii="Times New Roman;Times;Serif" w:hAnsi="Times New Roman;Times;Serif"/>
          <w:b w:val="false"/>
          <w:i/>
          <w:caps w:val="false"/>
          <w:smallCaps w:val="false"/>
          <w:sz w:val="20"/>
        </w:rPr>
        <w:t xml:space="preserve">per annum </w:t>
      </w:r>
      <w:r>
        <w:rPr>
          <w:rFonts w:ascii="Times New Roman;Times;Serif" w:hAnsi="Times New Roman;Times;Serif"/>
          <w:b w:val="false"/>
          <w:i w:val="false"/>
          <w:caps w:val="false"/>
          <w:smallCaps w:val="false"/>
          <w:sz w:val="20"/>
        </w:rPr>
        <w:t xml:space="preserve">(the Interest Rate, as increased pursuant to this </w:t>
      </w:r>
      <w:r>
        <w:rPr>
          <w:rFonts w:ascii="Times New Roman;Times;Serif" w:hAnsi="Times New Roman;Times;Serif"/>
          <w:b/>
          <w:i w:val="false"/>
          <w:caps w:val="false"/>
          <w:smallCaps w:val="false"/>
          <w:sz w:val="20"/>
        </w:rPr>
        <w:t>Section 3.02(b)</w:t>
      </w:r>
      <w:r>
        <w:rPr>
          <w:rFonts w:ascii="Times New Roman;Times;Serif" w:hAnsi="Times New Roman;Times;Serif"/>
          <w:b w:val="false"/>
          <w:i w:val="false"/>
          <w:caps w:val="false"/>
          <w:smallCaps w:val="false"/>
          <w:sz w:val="20"/>
        </w:rPr>
        <w:t>, being the “</w:t>
      </w:r>
      <w:r>
        <w:rPr>
          <w:rFonts w:ascii="Times New Roman;Times;Serif" w:hAnsi="Times New Roman;Times;Serif"/>
          <w:b/>
          <w:i/>
          <w:caps w:val="false"/>
          <w:smallCaps w:val="false"/>
          <w:sz w:val="20"/>
        </w:rPr>
        <w:t>Default Rate</w:t>
      </w:r>
      <w:r>
        <w:rPr>
          <w:rFonts w:ascii="Times New Roman;Times;Serif" w:hAnsi="Times New Roman;Times;Serif"/>
          <w:b w:val="false"/>
          <w:i w:val="false"/>
          <w:caps w:val="false"/>
          <w:smallCaps w:val="false"/>
          <w:sz w:val="20"/>
        </w:rPr>
        <w:t>”). If any Obligation (including, without limitation, fees, costs and expenses payable hereunder) is not paid when due (giving effect to any applicable grace period) under any applicable Loan Document, the amount thereof shall accrue interest at the Default Rate.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Interest Payment Dates</w:t>
      </w:r>
      <w:r>
        <w:rPr>
          <w:rFonts w:ascii="Times New Roman;Times;Serif" w:hAnsi="Times New Roman;Times;Serif"/>
          <w:b w:val="false"/>
          <w:i w:val="false"/>
          <w:caps w:val="false"/>
          <w:smallCaps w:val="false"/>
          <w:sz w:val="20"/>
        </w:rPr>
        <w:t xml:space="preserve">. Accrued interest on the Loans shall be payable in arrears on each Payment Date in cash, and upon the payment or prepayment of the Loans (on the principal amount being so paid or prepaid);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interest payable at the Default Rate shall also be payable in cash from time to time on demand by the Administrative Agent.</w:t>
      </w:r>
    </w:p>
    <w:p>
      <w:pPr>
        <w:pStyle w:val="TextBody"/>
        <w:bidi w:val="0"/>
        <w:ind w:left="0" w:right="0" w:firstLine="72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3.03 Prepayments</w:t>
      </w:r>
      <w:r>
        <w:rPr>
          <w:rFonts w:ascii="Times New Roman;Times;Serif" w:hAnsi="Times New Roman;Times;Serif"/>
          <w:b w:val="false"/>
          <w:i w:val="false"/>
          <w:caps w:val="false"/>
          <w:smallCaps w:val="false"/>
          <w:sz w:val="20"/>
        </w:rPr>
        <w:t>.</w:t>
      </w:r>
    </w:p>
    <w:p>
      <w:pPr>
        <w:pStyle w:val="TextBody"/>
        <w:bidi w:val="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Optional Prepayments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Subject to prior written notice pursuant to </w:t>
      </w:r>
      <w:r>
        <w:rPr>
          <w:rFonts w:ascii="Times New Roman;Times;Serif" w:hAnsi="Times New Roman;Times;Serif"/>
          <w:b/>
          <w:i w:val="false"/>
          <w:caps w:val="false"/>
          <w:smallCaps w:val="false"/>
          <w:sz w:val="20"/>
        </w:rPr>
        <w:t xml:space="preserve">clause (ii) </w:t>
      </w:r>
      <w:r>
        <w:rPr>
          <w:rFonts w:ascii="Times New Roman;Times;Serif" w:hAnsi="Times New Roman;Times;Serif"/>
          <w:b w:val="false"/>
          <w:i w:val="false"/>
          <w:caps w:val="false"/>
          <w:smallCaps w:val="false"/>
          <w:sz w:val="20"/>
        </w:rPr>
        <w:t>below, the Borrower shall have the right to optionally prepay in whole or in part the outstanding principal amount of the Loans and/or any tranche thereof (i.e., any of the Tranche A Term Loans and/or the Tranche B Term Loans) on any Business Day for an amount equal to the sum of (A) the aggregate principal amount of the Loans being prepaid, (B) any accrued but unpaid interest on the principal amount of the Loans being prepaid, (C) any applicable Yield Protection Premium, (D) the Exit Fee and (E) any other unpaid amounts then due and owing pursuant to this Agreement and the other Loan Documents (such aggregate amount, the “</w:t>
      </w:r>
      <w:r>
        <w:rPr>
          <w:rFonts w:ascii="Times New Roman;Times;Serif" w:hAnsi="Times New Roman;Times;Serif"/>
          <w:b/>
          <w:i/>
          <w:caps w:val="false"/>
          <w:smallCaps w:val="false"/>
          <w:sz w:val="20"/>
        </w:rPr>
        <w:t>Prepayment Price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partial prepayment of principal of Loans shall be in an aggregate amount at least equal to $5,000,000 and integral multiples of $1,000,000 in excess thereof (or, if less, any remaining outstanding principal amount of the Loans and/or any tranche thereof).</w:t>
      </w:r>
    </w:p>
    <w:p>
      <w:pPr>
        <w:pStyle w:val="TextBody"/>
        <w:bidi w:val="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 notice of optional prepayment shall be effective only if received by the Administrative Agent not later than 2:00 p.m. (Eastern time) on a date not less than three (3) (nor more than five (5)) Business Days prior to the proposed prepayment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notice of optional prepayment may state that such notice is conditional upon the effectiveness of other credit facilities or the receipt of the proceeds from the issuance of other Indebtedness or the occurrence of some other identifiable event or condition, in which case such notice of prepayment may be revoked by the Borrower (by notice to the Administrative Agent on or prior to the specified date of prepayment) if such condition is not satisfied. Each notice of optional prepayment shall specify the proposed prepayment date, the Prepayment Price, the principal amount to be prepaid, the applicable tranche or tranches to be prepaid (if a partial prepayment) and any conditions to prepayment (if applicable).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Mandatory Prepayments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i w:val="false"/>
          <w:caps w:val="false"/>
          <w:smallCaps w:val="false"/>
          <w:sz w:val="20"/>
        </w:rPr>
        <w:t>Mandatory Prepayments for Casualty Events or Asset Sales</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Within five (5) Business Days following the receipt of Net Cash Proceeds from the occurrence of any Casualty Event or Asset Sale (other than pursuant to </w:t>
      </w:r>
      <w:r>
        <w:rPr>
          <w:rFonts w:ascii="Times New Roman;Times;Serif" w:hAnsi="Times New Roman;Times;Serif"/>
          <w:b/>
          <w:i w:val="false"/>
          <w:caps w:val="false"/>
          <w:smallCaps w:val="false"/>
          <w:sz w:val="20"/>
        </w:rPr>
        <w:t xml:space="preserve">Section 9.09 (a), (b), (c), (d), (e), (f), (i), (m),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val="false"/>
          <w:caps w:val="false"/>
          <w:smallCaps w:val="false"/>
          <w:sz w:val="20"/>
        </w:rPr>
        <w:t xml:space="preserve">(n) </w:t>
      </w:r>
      <w:r>
        <w:rPr>
          <w:rFonts w:ascii="Times New Roman;Times;Serif" w:hAnsi="Times New Roman;Times;Serif"/>
          <w:b w:val="false"/>
          <w:i w:val="false"/>
          <w:caps w:val="false"/>
          <w:smallCaps w:val="false"/>
          <w:sz w:val="20"/>
        </w:rPr>
        <w:t xml:space="preserve">or an Asset Sale of the Permitted Minority Investments) for which the Net Cash Proceeds from such individual Casualty Event or Asset Sale exceeds $2,000,000, or which causes the aggregate total of Net Cash Proceeds that have not been applied as a prepayment pursuant to this </w:t>
      </w:r>
      <w:r>
        <w:rPr>
          <w:rFonts w:ascii="Times New Roman;Times;Serif" w:hAnsi="Times New Roman;Times;Serif"/>
          <w:b/>
          <w:i w:val="false"/>
          <w:caps w:val="false"/>
          <w:smallCaps w:val="false"/>
          <w:sz w:val="20"/>
        </w:rPr>
        <w:t>Section 3.03(b)(i)</w:t>
      </w:r>
      <w:r>
        <w:rPr>
          <w:rFonts w:ascii="Times New Roman;Times;Serif" w:hAnsi="Times New Roman;Times;Serif"/>
          <w:b w:val="false"/>
          <w:i w:val="false"/>
          <w:caps w:val="false"/>
          <w:smallCaps w:val="false"/>
          <w:sz w:val="20"/>
        </w:rPr>
        <w:t xml:space="preserve"> from all such Casualty Events or Asset Sales to exceed $5,000,000 in any fiscal year, the Borrower shall make a mandatory prepayment of the Loans, together with any accrued but unpaid interest on any principal amount of the Loans being prepaid and any applicable Yield Protection Premium and Exit Fee (collectively, the “</w:t>
      </w:r>
      <w:r>
        <w:rPr>
          <w:rFonts w:ascii="Times New Roman;Times;Serif" w:hAnsi="Times New Roman;Times;Serif"/>
          <w:b/>
          <w:i/>
          <w:caps w:val="false"/>
          <w:smallCaps w:val="false"/>
          <w:sz w:val="20"/>
        </w:rPr>
        <w:t>Mandatory Prepayment</w:t>
      </w:r>
      <w:r>
        <w:rPr>
          <w:rFonts w:ascii="Times New Roman;Times;Serif" w:hAnsi="Times New Roman;Times;Serif"/>
          <w:b w:val="false"/>
          <w:i w:val="false"/>
          <w:caps w:val="false"/>
          <w:smallCaps w:val="false"/>
          <w:sz w:val="20"/>
        </w:rPr>
        <w:t>”), which Mandatory Prepayment shall be in an amount equal to one hundred percent (100%) of the Net Cash Proceeds received by the Borrower or any of its Subsidiaries with respect to such Asset Sale or insurance proceeds or condemnation awards in respect of such Casualty Event, as the case may be.</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the foregoing </w:t>
      </w:r>
      <w:r>
        <w:rPr>
          <w:rFonts w:ascii="Times New Roman;Times;Serif" w:hAnsi="Times New Roman;Times;Serif"/>
          <w:b/>
          <w:i w:val="false"/>
          <w:caps w:val="false"/>
          <w:smallCaps w:val="false"/>
          <w:sz w:val="20"/>
        </w:rPr>
        <w:t>Section 3.03(b)(i)(A)</w:t>
      </w:r>
      <w:r>
        <w:rPr>
          <w:rFonts w:ascii="Times New Roman;Times;Serif" w:hAnsi="Times New Roman;Times;Serif"/>
          <w:b w:val="false"/>
          <w:i w:val="false"/>
          <w:caps w:val="false"/>
          <w:smallCaps w:val="false"/>
          <w:sz w:val="20"/>
        </w:rPr>
        <w:t>, so long as no Default has occurred and is continuing or shall immediately result therefrom, if, within five (5) Business Days following the receipt of Net Cash Proceeds from a Casualty Event at or in connection with the Borrower’s manufacturing facility in Ledgewood, New Jersey, a Responsible Officer of the Borrower delivers to the Administrative Agent a written notice to the effect that the Borrower intends to apply the insurance proceeds or condemnation awards in respect of such Casualty Event, to the costs of replacement of the properties or assets that are the subject of such Casualty Event (the “</w:t>
      </w:r>
      <w:r>
        <w:rPr>
          <w:rFonts w:ascii="Times New Roman;Times;Serif" w:hAnsi="Times New Roman;Times;Serif"/>
          <w:b/>
          <w:i/>
          <w:caps w:val="false"/>
          <w:smallCaps w:val="false"/>
          <w:sz w:val="20"/>
        </w:rPr>
        <w:t>NJ Reinvestment</w:t>
      </w:r>
      <w:r>
        <w:rPr>
          <w:rFonts w:ascii="Times New Roman;Times;Serif" w:hAnsi="Times New Roman;Times;Serif"/>
          <w:b w:val="false"/>
          <w:i w:val="false"/>
          <w:caps w:val="false"/>
          <w:smallCaps w:val="false"/>
          <w:sz w:val="20"/>
        </w:rPr>
        <w:t xml:space="preserve">”), then such insurance proceeds or condemnation awards in respect of such Casualty Event may be applied for such purpose in lieu of such mandatory prepayment to the extent such insurance proceeds or condemnation awards in respect of such Casualty Event are actually applied for such purposes;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in the event that such insurance proceeds or condemnation awards have not been so applied within three hundred and sixty five (365) days following the receipt of such insurance proceeds or condemnation awards (such applicable period, the “</w:t>
      </w:r>
      <w:r>
        <w:rPr>
          <w:rFonts w:ascii="Times New Roman;Times;Serif" w:hAnsi="Times New Roman;Times;Serif"/>
          <w:b/>
          <w:i/>
          <w:caps w:val="false"/>
          <w:smallCaps w:val="false"/>
          <w:sz w:val="20"/>
        </w:rPr>
        <w:t>Reinvestment Period</w:t>
      </w:r>
      <w:r>
        <w:rPr>
          <w:rFonts w:ascii="Times New Roman;Times;Serif" w:hAnsi="Times New Roman;Times;Serif"/>
          <w:b w:val="false"/>
          <w:i w:val="false"/>
          <w:caps w:val="false"/>
          <w:smallCaps w:val="false"/>
          <w:sz w:val="20"/>
        </w:rPr>
        <w:t>”) (or, if the Borrower has entered into a binding commitment prior to the last day of such Reinvestment Period to reinvest such proceeds no later than ninety five (95) days after the expiry of the Reinvestment Period), the Borrower shall no later than the end of such period make a Mandatory Prepayment (which, for the avoidance of doubt, shall include any accrued but unpaid interest on any principal amount of the Loans being prepaid and any applicable Yield Protection Premium and Exit Fee) in an aggregate amount equal to one hundred percent (100%) of the unused balance of such Net Cash Proceeds received by any Obligor or any of its Subsidiaries with respect to such insurance proceeds or condemnation awards in respect of such Casualty Event.</w:t>
      </w:r>
    </w:p>
    <w:p>
      <w:pPr>
        <w:pStyle w:val="TextBody"/>
        <w:bidi w:val="0"/>
        <w:ind w:left="14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the foregoing </w:t>
      </w:r>
      <w:r>
        <w:rPr>
          <w:rFonts w:ascii="Times New Roman;Times;Serif" w:hAnsi="Times New Roman;Times;Serif"/>
          <w:b/>
          <w:i w:val="false"/>
          <w:caps w:val="false"/>
          <w:smallCaps w:val="false"/>
          <w:sz w:val="20"/>
        </w:rPr>
        <w:t>Section 3.03(b)(i)(A)</w:t>
      </w:r>
      <w:r>
        <w:rPr>
          <w:rFonts w:ascii="Times New Roman;Times;Serif" w:hAnsi="Times New Roman;Times;Serif"/>
          <w:b w:val="false"/>
          <w:i w:val="false"/>
          <w:caps w:val="false"/>
          <w:smallCaps w:val="false"/>
          <w:sz w:val="20"/>
        </w:rPr>
        <w:t>, so long as no Default has occurred and is continuing or shall immediately result therefrom, if, within five (5) Business Days following the receipt of Net Cash Proceeds from a Casualty Event (other than at or in connection with the Borrower’s manufacturing facility in Ledgewood, New Jersey), a Responsible Officer of the Borrower delivers to the Administrative Agent a written notice to the effect that the Borrower or the applicable Subsidiary intends to apply the insurance proceeds or condemnation awards in respect of such Casualty Event, to the costs of replacement of the properties or assets that are the subject of such Casualty Event (a “</w:t>
      </w:r>
      <w:r>
        <w:rPr>
          <w:rFonts w:ascii="Times New Roman;Times;Serif" w:hAnsi="Times New Roman;Times;Serif"/>
          <w:b/>
          <w:i/>
          <w:caps w:val="false"/>
          <w:smallCaps w:val="false"/>
          <w:sz w:val="20"/>
        </w:rPr>
        <w:t>Reinvestment</w:t>
      </w:r>
      <w:r>
        <w:rPr>
          <w:rFonts w:ascii="Times New Roman;Times;Serif" w:hAnsi="Times New Roman;Times;Serif"/>
          <w:b w:val="false"/>
          <w:i w:val="false"/>
          <w:caps w:val="false"/>
          <w:smallCaps w:val="false"/>
          <w:sz w:val="20"/>
        </w:rPr>
        <w:t xml:space="preserve">”), then such insurance proceeds or condemnation awards in respect of such Casualty Event in an aggregate amount not to exceed $1,500,000 in any fiscal year may be applied for such purpose in lieu of such mandatory prepayment to the extent such insurance proceeds or condemnation awards in respect of such Casualty Event are actually applied for such purposes;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if such Casualty Event occurs with respect to any Obligor, such Reinvestment shall be made in the business of an Obligor;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further, that in the event that such insurance proceeds or condemnation awards have not been so applied within the Reinvestment Period (or, if the Borrower or any of its Subsidiaries has entered into a binding commitment prior to the last day of such Reinvestment Period to reinvest such proceeds no later than ninety five (95) days after the expiry of the Reinvestment Period), the Borrower shall no later than the end of such period make a Mandatory Prepayment (which, for the avoidance of doubt, shall include any accrued but unpaid interest on any principal amount of the Loans being prepaid and any applicable Yield Protection Premium and Exit Fee) in an aggregate amount equal to one hundred percent (100%) of the unused balance of such Net Cash Proceeds received by any Obligor or any of its Subsidiaries with respect to such insurance proceeds or condemnation awards in respect of such Casualty Event.</w:t>
      </w:r>
    </w:p>
    <w:p>
      <w:pPr>
        <w:pStyle w:val="TextBody"/>
        <w:bidi w:val="0"/>
        <w:ind w:left="144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i w:val="false"/>
          <w:caps w:val="false"/>
          <w:smallCaps w:val="false"/>
          <w:sz w:val="20"/>
        </w:rPr>
        <w:t>Mandatory Prepayments for Debt Issuances</w:t>
      </w:r>
      <w:r>
        <w:rPr>
          <w:rFonts w:ascii="Times New Roman;Times;Serif" w:hAnsi="Times New Roman;Times;Serif"/>
          <w:b w:val="false"/>
          <w:i w:val="false"/>
          <w:caps w:val="false"/>
          <w:smallCaps w:val="false"/>
          <w:sz w:val="20"/>
        </w:rPr>
        <w:t xml:space="preserve">. Immediately upon receipt by any Obligor or any of its Subsidiaries of proceeds from any issuance, incurrence or assumption of Indebtedness other than Indebtedness permitted by </w:t>
      </w:r>
      <w:r>
        <w:rPr>
          <w:rFonts w:ascii="Times New Roman;Times;Serif" w:hAnsi="Times New Roman;Times;Serif"/>
          <w:b/>
          <w:i w:val="false"/>
          <w:caps w:val="false"/>
          <w:smallCaps w:val="false"/>
          <w:sz w:val="20"/>
        </w:rPr>
        <w:t>Section 9.01</w:t>
      </w:r>
      <w:r>
        <w:rPr>
          <w:rFonts w:ascii="Times New Roman;Times;Serif" w:hAnsi="Times New Roman;Times;Serif"/>
          <w:b w:val="false"/>
          <w:i w:val="false"/>
          <w:caps w:val="false"/>
          <w:smallCaps w:val="false"/>
          <w:sz w:val="20"/>
        </w:rPr>
        <w:t xml:space="preserve">, on or after the Closing Date, the Borrower shall prepay the Loans and other Obligations in an amount equal to 100% of the cash proceeds received,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any accrued but unpaid interest on the principal amount of the Loans being prepaid, the Yield Protection Premium, if applicable, any accrued and unpaid Commitment Fee, and the Exit Fee.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i w:val="false"/>
          <w:caps w:val="false"/>
          <w:smallCaps w:val="false"/>
          <w:sz w:val="20"/>
        </w:rPr>
        <w:t>Mandatory Prepayment for Change of Control</w:t>
      </w:r>
      <w:r>
        <w:rPr>
          <w:rFonts w:ascii="Times New Roman;Times;Serif" w:hAnsi="Times New Roman;Times;Serif"/>
          <w:b w:val="false"/>
          <w:i w:val="false"/>
          <w:caps w:val="false"/>
          <w:smallCaps w:val="false"/>
          <w:sz w:val="20"/>
        </w:rPr>
        <w:t>. Upon the occurrence of any Change of Control, the Borrower shall prepay all of the Loans and the other Obligations, including any accrued but unpaid interest on the principal amount of the Loans being prepaid, any applicable Yield Protection Premium, any accrued and unpaid Commitment Fee and the Exit Fee.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i w:val="false"/>
          <w:caps w:val="false"/>
          <w:smallCaps w:val="false"/>
          <w:sz w:val="20"/>
        </w:rPr>
        <w:t>Mandatory Prepayment for Net Revenues Cure Payment</w:t>
      </w:r>
      <w:r>
        <w:rPr>
          <w:rFonts w:ascii="Times New Roman;Times;Serif" w:hAnsi="Times New Roman;Times;Serif"/>
          <w:b w:val="false"/>
          <w:i w:val="false"/>
          <w:caps w:val="false"/>
          <w:smallCaps w:val="false"/>
          <w:sz w:val="20"/>
        </w:rPr>
        <w:t>. Any Net Revenues Cure Payment shall be applied to the prepayment of all outstanding Obligations, including any accrued but unpaid interest on any principal amount of the Loans being prepaid, any applicable Yield Protection Premium, any accrued and unpaid Commitment Fee and the Exit Fee.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A notice of mandatory prepayment shall be effective only if received by the Administrative Agent not later than 2:00 p.m. (New York City time) on a date not less than one (1) Business Day (or such shorter period agreed by the Administrative Agent) prior to the proposed prepayment date. Each notice of mandatory prepayment shall specify the proposed prepayment date, the amount of the mandatory prepayment, the principal amount to be prepaid and the subsection under which the prepayment is required.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Application</w:t>
      </w:r>
      <w:r>
        <w:rPr>
          <w:rFonts w:ascii="Times New Roman;Times;Serif" w:hAnsi="Times New Roman;Times;Serif"/>
          <w:b w:val="false"/>
          <w:i w:val="false"/>
          <w:caps w:val="false"/>
          <w:smallCaps w:val="false"/>
          <w:sz w:val="20"/>
        </w:rPr>
        <w:t xml:space="preserve">. So long as no Event of Default has occurred and is continuing, any mandatory prepayment made in accordance with </w:t>
      </w:r>
      <w:r>
        <w:rPr>
          <w:rFonts w:ascii="Times New Roman;Times;Serif" w:hAnsi="Times New Roman;Times;Serif"/>
          <w:b/>
          <w:i w:val="false"/>
          <w:caps w:val="false"/>
          <w:smallCaps w:val="false"/>
          <w:sz w:val="20"/>
        </w:rPr>
        <w:t>Section 3.03(b)</w:t>
      </w:r>
      <w:r>
        <w:rPr>
          <w:rFonts w:ascii="Times New Roman;Times;Serif" w:hAnsi="Times New Roman;Times;Serif"/>
          <w:b w:val="false"/>
          <w:i w:val="false"/>
          <w:caps w:val="false"/>
          <w:smallCaps w:val="false"/>
          <w:sz w:val="20"/>
        </w:rPr>
        <w:t xml:space="preserve"> shall be applied as follows: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to any accrued and unpaid interest, accrued and unpaid Commitment Fee, any applicable Yield Protection Premium and the Exit Fee; and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xml:space="preserve"> to prepay the outstanding principal balance of the Loans on a pro rata basis.</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Yield Protection Premium</w:t>
      </w:r>
      <w:r>
        <w:rPr>
          <w:rFonts w:ascii="Times New Roman;Times;Serif" w:hAnsi="Times New Roman;Times;Serif"/>
          <w:b w:val="false"/>
          <w:i w:val="false"/>
          <w:caps w:val="false"/>
          <w:smallCaps w:val="false"/>
          <w:sz w:val="20"/>
        </w:rPr>
        <w:t>. Without limiting the foregoing, whenever the Yield Protection Premium is in effect and payable pursuant to the terms hereof or any other Loan Document, such Yield Protection Premium shall be payable on each prepayment of all or any portion of the Loans, whether by optional or mandatory prepayment, acceleration or otherwise (other than any prepayment pursuant to any scheduled amortization payment). Notwithstanding the foregoing, no Yield Protection Premium shall be due and payable in connection with a Mandatory Prepayment required hereunder as a result of a Casualty Event.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Partial Prepayments</w:t>
      </w:r>
      <w:r>
        <w:rPr>
          <w:rFonts w:ascii="Times New Roman;Times;Serif" w:hAnsi="Times New Roman;Times;Serif"/>
          <w:b w:val="false"/>
          <w:i w:val="false"/>
          <w:caps w:val="false"/>
          <w:smallCaps w:val="false"/>
          <w:sz w:val="20"/>
        </w:rPr>
        <w:t>. Prepayments shall be accompanied by accrued and unpaid interest and the Exit Fee.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val="false"/>
          <w:caps w:val="false"/>
          <w:smallCaps w:val="false"/>
          <w:sz w:val="20"/>
        </w:rPr>
        <w:t>Declined Payment</w:t>
      </w:r>
      <w:r>
        <w:rPr>
          <w:rFonts w:ascii="Times New Roman;Times;Serif" w:hAnsi="Times New Roman;Times;Serif"/>
          <w:b w:val="false"/>
          <w:i w:val="false"/>
          <w:caps w:val="false"/>
          <w:smallCaps w:val="false"/>
          <w:sz w:val="20"/>
        </w:rPr>
        <w:t xml:space="preserve">. Notwithstanding anything in this </w:t>
      </w:r>
      <w:r>
        <w:rPr>
          <w:rFonts w:ascii="Times New Roman;Times;Serif" w:hAnsi="Times New Roman;Times;Serif"/>
          <w:b/>
          <w:i w:val="false"/>
          <w:caps w:val="false"/>
          <w:smallCaps w:val="false"/>
          <w:sz w:val="20"/>
        </w:rPr>
        <w:t>Section 3.03</w:t>
      </w:r>
      <w:r>
        <w:rPr>
          <w:rFonts w:ascii="Times New Roman;Times;Serif" w:hAnsi="Times New Roman;Times;Serif"/>
          <w:b w:val="false"/>
          <w:i w:val="false"/>
          <w:caps w:val="false"/>
          <w:smallCaps w:val="false"/>
          <w:sz w:val="20"/>
        </w:rPr>
        <w:t xml:space="preserve"> to the contrary, the Oaktree Lender may elect, by notice to the Administrative Agent prior to 12:00 p.m. (Eastern Time) at least one (1) Business Day prior to the required prepayment date, to decline all or any portion of any mandatory prepayment of its Loans pursuant to this </w:t>
      </w:r>
      <w:r>
        <w:rPr>
          <w:rFonts w:ascii="Times New Roman;Times;Serif" w:hAnsi="Times New Roman;Times;Serif"/>
          <w:b/>
          <w:i w:val="false"/>
          <w:caps w:val="false"/>
          <w:smallCaps w:val="false"/>
          <w:sz w:val="20"/>
        </w:rPr>
        <w:t>Section 3.03</w:t>
      </w:r>
      <w:r>
        <w:rPr>
          <w:rFonts w:ascii="Times New Roman;Times;Serif" w:hAnsi="Times New Roman;Times;Serif"/>
          <w:b w:val="false"/>
          <w:i w:val="false"/>
          <w:caps w:val="false"/>
          <w:smallCaps w:val="false"/>
          <w:sz w:val="20"/>
        </w:rPr>
        <w:t>, in which case the aggregate amount of the prepayment that would have been applied to prepay Loans but was so declined may be retained by the Borrower and used for any purpose not prohibited by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3.04 Commitment Termination</w:t>
      </w:r>
      <w:r>
        <w:rPr>
          <w:rFonts w:ascii="Times New Roman;Times;Serif" w:hAnsi="Times New Roman;Times;Serif"/>
          <w:b w:val="false"/>
          <w:i w:val="false"/>
          <w:caps w:val="false"/>
          <w:smallCaps w:val="false"/>
          <w:sz w:val="20"/>
        </w:rPr>
        <w:t xml:space="preserve">. Each Applicable Commitment shall terminate automatically without further action upon the earlier of (i) the making by the Lenders of the Loans to which such Applicable Commitment relates on the Applicable Funding Date and (ii) with respect to the Tranche B Commitment, the last day of the Tranche B Availability Period. The Borrower shall have the right at any time or from time to time to terminate in full (but not in part) all of the then outstanding Applicable Commitments with respect to the Tranche B Term Loans;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give the Lender and the Administrative Agent at least three (3) Business Days’ prior written notice of each such termination. Any notice of termination delivered pursuant to this </w:t>
      </w:r>
      <w:r>
        <w:rPr>
          <w:rFonts w:ascii="Times New Roman;Times;Serif" w:hAnsi="Times New Roman;Times;Serif"/>
          <w:b/>
          <w:i w:val="false"/>
          <w:caps w:val="false"/>
          <w:smallCaps w:val="false"/>
          <w:sz w:val="20"/>
        </w:rPr>
        <w:t>Section 3.04</w:t>
      </w:r>
      <w:r>
        <w:rPr>
          <w:rFonts w:ascii="Times New Roman;Times;Serif" w:hAnsi="Times New Roman;Times;Serif"/>
          <w:b w:val="false"/>
          <w:i w:val="false"/>
          <w:caps w:val="false"/>
          <w:smallCaps w:val="false"/>
          <w:sz w:val="20"/>
        </w:rPr>
        <w:t xml:space="preserve"> may state that such notice is conditional upon the effectiveness of other credit facilities or the receipt of the proceeds from the issuance of other Indebtedness or the occurrence of some other identifiable event or condition, in which case such notice of termination may be revoked by the Borrower (by written notice to the Administrative Agent on or prior to the specified date of termination) if such condition is not satisfied. The termination of the Tranche B Commitment pursuant to this </w:t>
      </w:r>
      <w:r>
        <w:rPr>
          <w:rFonts w:ascii="Times New Roman;Times;Serif" w:hAnsi="Times New Roman;Times;Serif"/>
          <w:b/>
          <w:i w:val="false"/>
          <w:caps w:val="false"/>
          <w:smallCaps w:val="false"/>
          <w:sz w:val="20"/>
        </w:rPr>
        <w:t xml:space="preserve">Section 3.04 </w:t>
      </w:r>
      <w:r>
        <w:rPr>
          <w:rFonts w:ascii="Times New Roman;Times;Serif" w:hAnsi="Times New Roman;Times;Serif"/>
          <w:b w:val="false"/>
          <w:i w:val="false"/>
          <w:caps w:val="false"/>
          <w:smallCaps w:val="false"/>
          <w:sz w:val="20"/>
        </w:rPr>
        <w:t>shall be permanent.</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3.05 Exit Fee</w:t>
      </w:r>
      <w:r>
        <w:rPr>
          <w:rFonts w:ascii="Times New Roman;Times;Serif" w:hAnsi="Times New Roman;Times;Serif"/>
          <w:b w:val="false"/>
          <w:i w:val="false"/>
          <w:caps w:val="false"/>
          <w:smallCaps w:val="false"/>
          <w:sz w:val="20"/>
        </w:rPr>
        <w:t>. Upon any payment or prepayment in full or in part of the Loans hereunder, whether voluntary or involuntary, prior to, on or after the Maturity Date or following the acceleration of the Obligations hereunder, including as a result of the commencement of any Insolvency Proceeding, the Borrower shall pay to each of the Lenders for its own account a fee equal to 3.50% of the aggregate principal amount of such Loans to be paid or prepaid (the “</w:t>
      </w:r>
      <w:r>
        <w:rPr>
          <w:rFonts w:ascii="Times New Roman;Times;Serif" w:hAnsi="Times New Roman;Times;Serif"/>
          <w:b/>
          <w:i/>
          <w:caps w:val="false"/>
          <w:smallCaps w:val="false"/>
          <w:sz w:val="20"/>
        </w:rPr>
        <w:t>Exit Fee</w:t>
      </w:r>
      <w:r>
        <w:rPr>
          <w:rFonts w:ascii="Times New Roman;Times;Serif" w:hAnsi="Times New Roman;Times;Serif"/>
          <w:b w:val="false"/>
          <w:i w:val="false"/>
          <w:caps w:val="false"/>
          <w:smallCaps w:val="false"/>
          <w:sz w:val="20"/>
        </w:rPr>
        <w:t>”). The Exit Fee shall be earned, due and payable immediately upon any such payment or prepayment, and shall be in addition to any accrued and unpaid interest, reimbursement obligations, Yield Protection Premium or other amounts payable in connection therewith.</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3.06 Original Issue Discount</w:t>
      </w:r>
      <w:r>
        <w:rPr>
          <w:rFonts w:ascii="Times New Roman;Times;Serif" w:hAnsi="Times New Roman;Times;Serif"/>
          <w:b w:val="false"/>
          <w:i w:val="false"/>
          <w:caps w:val="false"/>
          <w:smallCaps w:val="false"/>
          <w:sz w:val="20"/>
        </w:rPr>
        <w:t>. The Borrower and the Lenders acknowledge that the Loans will be treated as issued with original issue discount for U.S. federal tax purposes, within the meaning of section 1273 of the Code. The issue price, amount of original issue discount, issue date and yield to maturity for the Loans may be obtained by submitting a written request for such information to the Borrower care of Andrew Boll at 102 Woodmont Blvd., Suite 610, Nashville, TN 37205 (which request shall also be sent via email to ).</w:t>
      </w:r>
    </w:p>
    <w:p>
      <w:pPr>
        <w:pStyle w:val="TextBody"/>
        <w:bidi w:val="0"/>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Section 4.</w:t>
      </w:r>
      <w:r>
        <w:rPr>
          <w:rFonts w:ascii="Times New Roman;Times;Serif" w:hAnsi="Times New Roman;Times;Serif"/>
          <w:b/>
          <w:i w:val="false"/>
          <w:caps w:val="false"/>
          <w:smallCaps w:val="false"/>
          <w:sz w:val="20"/>
        </w:rPr>
        <w:br/>
        <w:t>PAYMENTS, ETC.</w:t>
      </w:r>
    </w:p>
    <w:p>
      <w:pPr>
        <w:pStyle w:val="TextBody"/>
        <w:bidi w:val="0"/>
        <w:ind w:left="0" w:right="0" w:hanging="0"/>
        <w:jc w:val="center"/>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4.01 Payments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Payments Generally</w:t>
      </w:r>
      <w:r>
        <w:rPr>
          <w:rFonts w:ascii="Times New Roman;Times;Serif" w:hAnsi="Times New Roman;Times;Serif"/>
          <w:b w:val="false"/>
          <w:i w:val="false"/>
          <w:caps w:val="false"/>
          <w:smallCaps w:val="false"/>
          <w:sz w:val="20"/>
        </w:rPr>
        <w:t>. Each payment of principal, interest and other amounts to be made by the Obligors under this Agreement or any other Loan Document shall be made (i) in Dollars, in immediately available funds, without deduction, set off or counterclaim, to the Administrative Agent, for the account of the respective Lenders to which such payment is owed, to the deposit account of the Administrative Agent designated by the Administrative Agent by notice to the Borrower, and (ii) not later than 2:00 p.m. (Eastern time) on the date on which such payment is due (each such payment made after such time on such due date may, in the Administrative Agent’s discretion, be deemed to have been made on the next succeeding Business Day).</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Application of Payments</w:t>
      </w:r>
      <w:r>
        <w:rPr>
          <w:rFonts w:ascii="Times New Roman;Times;Serif" w:hAnsi="Times New Roman;Times;Serif"/>
          <w:b w:val="false"/>
          <w:i w:val="false"/>
          <w:caps w:val="false"/>
          <w:smallCaps w:val="false"/>
          <w:sz w:val="20"/>
        </w:rPr>
        <w:t>. Notwithstanding anything herein to the contrary, following the occurrence and continuance of an Event of Default, all payments shall be applied as follows: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to the payment of that portion of the Obligations constituting unpaid fees, indemnities, expenses or other amounts (including fees and disbursements and other charges of counsel payable under </w:t>
      </w:r>
      <w:r>
        <w:rPr>
          <w:rFonts w:ascii="Times New Roman;Times;Serif" w:hAnsi="Times New Roman;Times;Serif"/>
          <w:b/>
          <w:i w:val="false"/>
          <w:caps w:val="false"/>
          <w:smallCaps w:val="false"/>
          <w:sz w:val="20"/>
        </w:rPr>
        <w:t>Section 14.03</w:t>
      </w:r>
      <w:r>
        <w:rPr>
          <w:rFonts w:ascii="Times New Roman;Times;Serif" w:hAnsi="Times New Roman;Times;Serif"/>
          <w:b w:val="false"/>
          <w:i w:val="false"/>
          <w:caps w:val="false"/>
          <w:smallCaps w:val="false"/>
          <w:sz w:val="20"/>
        </w:rPr>
        <w:t>) payable to the Administrative Agent in its capacity as such;</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xml:space="preserve">, to the payment of that portion of the Obligations constituting unpaid fees, indemnities, costs, expenses and other amounts (other than principal and interest, but including fees and disbursements and other charges of counsel payable under </w:t>
      </w:r>
      <w:r>
        <w:rPr>
          <w:rFonts w:ascii="Times New Roman;Times;Serif" w:hAnsi="Times New Roman;Times;Serif"/>
          <w:b/>
          <w:i w:val="false"/>
          <w:caps w:val="false"/>
          <w:smallCaps w:val="false"/>
          <w:sz w:val="20"/>
        </w:rPr>
        <w:t>Section 14.03</w:t>
      </w:r>
      <w:r>
        <w:rPr>
          <w:rFonts w:ascii="Times New Roman;Times;Serif" w:hAnsi="Times New Roman;Times;Serif"/>
          <w:b w:val="false"/>
          <w:i w:val="false"/>
          <w:caps w:val="false"/>
          <w:smallCaps w:val="false"/>
          <w:sz w:val="20"/>
        </w:rPr>
        <w:t>, any Commitment Fees, Yield Protection Premium and any Exit Fees) payable to the Lenders arising under the Loan Documents, ratably among them in proportion to the respective amounts described in this clause (B) payable to them;</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to the payment of that portion of the Obligations constituting accrued and unpaid interest on the Loans, ratably among the Lenders in proportion to the respective amounts described in this clause (C) payable to them;</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u w:val="single"/>
        </w:rPr>
        <w:t>fourth</w:t>
      </w:r>
      <w:r>
        <w:rPr>
          <w:rFonts w:ascii="Times New Roman;Times;Serif" w:hAnsi="Times New Roman;Times;Serif"/>
          <w:b w:val="false"/>
          <w:i w:val="false"/>
          <w:caps w:val="false"/>
          <w:smallCaps w:val="false"/>
          <w:sz w:val="20"/>
        </w:rPr>
        <w:t>, to the payment of that portion of the Obligations constituting unpaid principal of the Loans, ratably among the Lenders in proportion to the respective amounts described in this clause (D) payable to them;</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u w:val="single"/>
        </w:rPr>
        <w:t>fifth</w:t>
      </w:r>
      <w:r>
        <w:rPr>
          <w:rFonts w:ascii="Times New Roman;Times;Serif" w:hAnsi="Times New Roman;Times;Serif"/>
          <w:b w:val="false"/>
          <w:i w:val="false"/>
          <w:caps w:val="false"/>
          <w:smallCaps w:val="false"/>
          <w:sz w:val="20"/>
        </w:rPr>
        <w:t>, in reduction of any other Obligation then due and owing, ratably among the Administrative Agent and the Lenders based upon the respective aggregate amount of all such Obligations owing to them in accordance with the respective amounts thereof then due and payable; and</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u w:val="single"/>
        </w:rPr>
        <w:t>sixth</w:t>
      </w:r>
      <w:r>
        <w:rPr>
          <w:rFonts w:ascii="Times New Roman;Times;Serif" w:hAnsi="Times New Roman;Times;Serif"/>
          <w:b w:val="false"/>
          <w:i w:val="false"/>
          <w:caps w:val="false"/>
          <w:smallCaps w:val="false"/>
          <w:sz w:val="20"/>
        </w:rPr>
        <w:t>, the balance, if any, after all Obligations have been indefeasibly paid in full, to the Borrower or such other Person as may be lawfully entitled to or directed by the Borrower to receive the remainder.</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Non-Business Days</w:t>
      </w:r>
      <w:r>
        <w:rPr>
          <w:rFonts w:ascii="Times New Roman;Times;Serif" w:hAnsi="Times New Roman;Times;Serif"/>
          <w:b w:val="false"/>
          <w:i w:val="false"/>
          <w:caps w:val="false"/>
          <w:smallCaps w:val="false"/>
          <w:sz w:val="20"/>
        </w:rPr>
        <w:t xml:space="preserve">. If the due date of any payment under this Agreement (whether in respect of principal, interest, fees, costs or otherwise) would otherwise fall on a day that is not a Business Day, such date shall be extended to the next succeeding Business Day, and, in the case of any payment accruing interest, interest thereon shall continue to accrue and be payable for the period of such extension;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if such next succeeding Business Day would fall after the Maturity Date, payment shall be made on the immediately preceding Business Day.</w:t>
      </w:r>
    </w:p>
    <w:p>
      <w:pPr>
        <w:pStyle w:val="TextBody"/>
        <w:bidi w:val="0"/>
        <w:ind w:left="0" w:right="0" w:firstLine="72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4.02 Computations</w:t>
      </w:r>
      <w:r>
        <w:rPr>
          <w:rFonts w:ascii="Times New Roman;Times;Serif" w:hAnsi="Times New Roman;Times;Serif"/>
          <w:b w:val="false"/>
          <w:i w:val="false"/>
          <w:caps w:val="false"/>
          <w:smallCaps w:val="false"/>
          <w:sz w:val="20"/>
        </w:rPr>
        <w:t>. All computations of interest and fees hereunder shall be computed on the basis of a year of three hundred and sixty (360) days and actual days elapsed during the period for which payable.</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4.03 Set-Off</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Set-Off Generally</w:t>
      </w:r>
      <w:r>
        <w:rPr>
          <w:rFonts w:ascii="Times New Roman;Times;Serif" w:hAnsi="Times New Roman;Times;Serif"/>
          <w:b w:val="false"/>
          <w:i w:val="false"/>
          <w:caps w:val="false"/>
          <w:smallCaps w:val="false"/>
          <w:sz w:val="20"/>
        </w:rPr>
        <w:t xml:space="preserve">. Upon the occurrence and during the continuance of any Event of Default, the Administrative Agent, each of the Lenders and each of their Affiliates is hereby authorized at any time and from time to time, to the fullest extent permitted by law, to set off and apply any and all deposits (general or special, time or demand, provisional or final) at any time held and other indebtedness at any time owing by the Administrative Agent, any Lender and any of their Affiliates to or for the credit or the account of any Obligor against any and all of the Obligations, whether or not such Person shall have made any demand and although such obligations may be unmatured; provided, that, in the event that any Defaulting Lender shall exercise any such right of setoff, (x) all amounts so set off shall be paid over immediately to the Administrative Agent for further application in accordance with the provisions of </w:t>
      </w:r>
      <w:r>
        <w:rPr>
          <w:rFonts w:ascii="Times New Roman;Times;Serif" w:hAnsi="Times New Roman;Times;Serif"/>
          <w:b/>
          <w:i w:val="false"/>
          <w:caps w:val="false"/>
          <w:smallCaps w:val="false"/>
          <w:sz w:val="20"/>
        </w:rPr>
        <w:t>Section 2.07</w:t>
      </w:r>
      <w:r>
        <w:rPr>
          <w:rFonts w:ascii="Times New Roman;Times;Serif" w:hAnsi="Times New Roman;Times;Serif"/>
          <w:b w:val="false"/>
          <w:i w:val="false"/>
          <w:caps w:val="false"/>
          <w:smallCaps w:val="false"/>
          <w:sz w:val="20"/>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Any Person exercising rights of set off hereunder agrees promptly to notify the Borrower after any such set-off and application;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to give such notice shall not affect the validity of such set-off and application. The rights of the Administrative Agent, the Lenders and each of their Affiliates under this </w:t>
      </w:r>
      <w:r>
        <w:rPr>
          <w:rFonts w:ascii="Times New Roman;Times;Serif" w:hAnsi="Times New Roman;Times;Serif"/>
          <w:b/>
          <w:i w:val="false"/>
          <w:caps w:val="false"/>
          <w:smallCaps w:val="false"/>
          <w:sz w:val="20"/>
        </w:rPr>
        <w:t>Section 4.03</w:t>
      </w:r>
      <w:r>
        <w:rPr>
          <w:rFonts w:ascii="Times New Roman;Times;Serif" w:hAnsi="Times New Roman;Times;Serif"/>
          <w:b w:val="false"/>
          <w:i w:val="false"/>
          <w:caps w:val="false"/>
          <w:smallCaps w:val="false"/>
          <w:sz w:val="20"/>
        </w:rPr>
        <w:t xml:space="preserve"> are in addition to other rights and remedies (including other rights of set-off) that such Persons may have.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Exercise of Rights Not Required</w:t>
      </w:r>
      <w:r>
        <w:rPr>
          <w:rFonts w:ascii="Times New Roman;Times;Serif" w:hAnsi="Times New Roman;Times;Serif"/>
          <w:b w:val="false"/>
          <w:i w:val="false"/>
          <w:caps w:val="false"/>
          <w:smallCaps w:val="false"/>
          <w:sz w:val="20"/>
        </w:rPr>
        <w:t xml:space="preserve">. Nothing contained in </w:t>
      </w:r>
      <w:r>
        <w:rPr>
          <w:rFonts w:ascii="Times New Roman;Times;Serif" w:hAnsi="Times New Roman;Times;Serif"/>
          <w:b/>
          <w:i w:val="false"/>
          <w:caps w:val="false"/>
          <w:smallCaps w:val="false"/>
          <w:sz w:val="20"/>
        </w:rPr>
        <w:t>Section 4.03(a)</w:t>
      </w:r>
      <w:r>
        <w:rPr>
          <w:rFonts w:ascii="Times New Roman;Times;Serif" w:hAnsi="Times New Roman;Times;Serif"/>
          <w:b w:val="false"/>
          <w:i w:val="false"/>
          <w:caps w:val="false"/>
          <w:smallCaps w:val="false"/>
          <w:sz w:val="20"/>
        </w:rPr>
        <w:t xml:space="preserve"> shall require the Administrative Agent, any Lender or any of their Affiliates to exercise any such right or shall affect the right of such Persons to exercise, and retain the benefits of exercising, any such right with respect to any other indebtedness or obligation of any Obligor.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 xml:space="preserve">Payments Set Aside. </w:t>
      </w:r>
      <w:r>
        <w:rPr>
          <w:rFonts w:ascii="Times New Roman;Times;Serif" w:hAnsi="Times New Roman;Times;Serif"/>
          <w:b w:val="false"/>
          <w:i w:val="false"/>
          <w:caps w:val="false"/>
          <w:smallCaps w:val="false"/>
          <w:sz w:val="20"/>
        </w:rPr>
        <w:t xml:space="preserve">To the extent that any payment by or on behalf of any Obligor is made to the Administrative Agent or any Lender, or the Administrative Agent, any Lender or any Affiliate of the foregoing exercises its right of setoff pursuant to this </w:t>
      </w:r>
      <w:r>
        <w:rPr>
          <w:rFonts w:ascii="Times New Roman;Times;Serif" w:hAnsi="Times New Roman;Times;Serif"/>
          <w:b/>
          <w:i w:val="false"/>
          <w:caps w:val="false"/>
          <w:smallCaps w:val="false"/>
          <w:sz w:val="20"/>
        </w:rPr>
        <w:t>Section 4.03</w:t>
      </w:r>
      <w:r>
        <w:rPr>
          <w:rFonts w:ascii="Times New Roman;Times;Serif" w:hAnsi="Times New Roman;Times;Serif"/>
          <w:b w:val="false"/>
          <w:i w:val="false"/>
          <w:caps w:val="false"/>
          <w:smallCaps w:val="false"/>
          <w:sz w:val="20"/>
        </w:rPr>
        <w:t>, and such payment or the proceeds of such setoff or any part thereof is subsequently invalidated, declared to be fraudulent or preferential, set aside or required (including pursuant to any settlement entered into by the Administrative Agent, such Lender or such Affiliate in its discretion) to be repaid to a trustee, receiver or any other party, in connection with any Insolvency Proceeding or otherwise, then (i) to the extent of such recovery, the obligation or part thereof originally intended to be satisfied shall be revived and continued in full force and effect as if such payment had not been made or such setoff had not occurred, and (ii) each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Effective Rate from time to time in effect.</w:t>
      </w:r>
    </w:p>
    <w:p>
      <w:pPr>
        <w:pStyle w:val="TextBody"/>
        <w:bidi w:val="0"/>
        <w:ind w:left="1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120" w:right="0" w:firstLine="720"/>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Section 5.</w:t>
      </w:r>
      <w:r>
        <w:rPr>
          <w:rFonts w:ascii="Times New Roman;Times;Serif" w:hAnsi="Times New Roman;Times;Serif"/>
          <w:b/>
          <w:i w:val="false"/>
          <w:caps w:val="false"/>
          <w:smallCaps w:val="false"/>
          <w:sz w:val="20"/>
        </w:rPr>
        <w:br/>
        <w:t>YIELD PROTECTION, TAXES, ETC.</w:t>
      </w:r>
    </w:p>
    <w:p>
      <w:pPr>
        <w:pStyle w:val="TextBody"/>
        <w:bidi w:val="0"/>
        <w:ind w:left="0" w:right="0" w:hanging="0"/>
        <w:jc w:val="center"/>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5.01 Additional Costs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Change in Law Generally</w:t>
      </w:r>
      <w:r>
        <w:rPr>
          <w:rFonts w:ascii="Times New Roman;Times;Serif" w:hAnsi="Times New Roman;Times;Serif"/>
          <w:b w:val="false"/>
          <w:i w:val="false"/>
          <w:caps w:val="false"/>
          <w:smallCaps w:val="false"/>
          <w:sz w:val="20"/>
        </w:rPr>
        <w:t xml:space="preserve">. If, on or after the date hereof (or, with respect to any Lender, such later date on which such Lender becomes a party to this Agreement), the adoption of any Law, or any change in any Law, or any change in the interpretation or administration thereof by any court or other Governmental Authority charged with the interpretation or administration thereof, or compliance by the Administrative Agent or any of the Lenders (or its lending office) with any request or directive (whether or not having the force of law) of any such Governmental Authority, shall impose, modify or deem applicable any reserve (including any such requirement imposed by the Board of Governors of the Federal Reserve System), special deposit, contribution, insurance assessment or similar requirement, in each case that becomes effective after the date hereof (or, with respect to any Lender, such later date on which such Lender becomes a party to this Agreement), against assets of, deposits with or for the account of, or credit extended by, a Lender (or its lending office) or shall impose on a Lender (or its lending office) any other condition affecting the Loans or the Commitment, and the result of any of the foregoing is to increase the cost to such Lender of making or maintaining the Loans, or to reduce the amount of any sum received or receivable by such Lender under this Agreement or any other Loan Document, or subject any Lender to any Taxes on its Loan, Commitment or other obligations, or its deposits, reserves, other liabilities or capital (if any) attributable thereto by an amount reasonably deemed by such Lender in good faith to be material (other than (i) Indemnified Taxes, (ii) Taxes described in </w:t>
      </w:r>
      <w:r>
        <w:rPr>
          <w:rFonts w:ascii="Times New Roman;Times;Serif" w:hAnsi="Times New Roman;Times;Serif"/>
          <w:b/>
          <w:i w:val="false"/>
          <w:caps w:val="false"/>
          <w:smallCaps w:val="false"/>
          <w:sz w:val="20"/>
        </w:rPr>
        <w:t xml:space="preserve">clauses (ii) </w:t>
      </w:r>
      <w:r>
        <w:rPr>
          <w:rFonts w:ascii="Times New Roman;Times;Serif" w:hAnsi="Times New Roman;Times;Serif"/>
          <w:b w:val="false"/>
          <w:i w:val="false"/>
          <w:caps w:val="false"/>
          <w:smallCaps w:val="false"/>
          <w:sz w:val="20"/>
        </w:rPr>
        <w:t xml:space="preserve">through </w:t>
      </w:r>
      <w:r>
        <w:rPr>
          <w:rFonts w:ascii="Times New Roman;Times;Serif" w:hAnsi="Times New Roman;Times;Serif"/>
          <w:b/>
          <w:i w:val="false"/>
          <w:caps w:val="false"/>
          <w:smallCaps w:val="false"/>
          <w:sz w:val="20"/>
        </w:rPr>
        <w:t xml:space="preserve">(iv) </w:t>
      </w:r>
      <w:r>
        <w:rPr>
          <w:rFonts w:ascii="Times New Roman;Times;Serif" w:hAnsi="Times New Roman;Times;Serif"/>
          <w:b w:val="false"/>
          <w:i w:val="false"/>
          <w:caps w:val="false"/>
          <w:smallCaps w:val="false"/>
          <w:sz w:val="20"/>
        </w:rPr>
        <w:t xml:space="preserve">of the definition of Excluded Taxes and (iii) Connection Income Taxes), then the Borrower shall pay to such Lender, within five (5) Business Days of receipt of the certificate contemplated by </w:t>
      </w:r>
      <w:r>
        <w:rPr>
          <w:rFonts w:ascii="Times New Roman;Times;Serif" w:hAnsi="Times New Roman;Times;Serif"/>
          <w:b/>
          <w:i w:val="false"/>
          <w:caps w:val="false"/>
          <w:smallCaps w:val="false"/>
          <w:sz w:val="20"/>
        </w:rPr>
        <w:t>Section 5.01(c)</w:t>
      </w:r>
      <w:r>
        <w:rPr>
          <w:rFonts w:ascii="Times New Roman;Times;Serif" w:hAnsi="Times New Roman;Times;Serif"/>
          <w:b w:val="false"/>
          <w:i w:val="false"/>
          <w:caps w:val="false"/>
          <w:smallCaps w:val="false"/>
          <w:sz w:val="20"/>
        </w:rPr>
        <w:t>, such additional amount or amounts as will compensate such Lender for such increased cost or reduction.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Change in Capital Requirements</w:t>
      </w:r>
      <w:r>
        <w:rPr>
          <w:rFonts w:ascii="Times New Roman;Times;Serif" w:hAnsi="Times New Roman;Times;Serif"/>
          <w:b w:val="false"/>
          <w:i w:val="false"/>
          <w:caps w:val="false"/>
          <w:smallCaps w:val="false"/>
          <w:sz w:val="20"/>
        </w:rPr>
        <w:t xml:space="preserve">. If a Lender shall have determined that, on or after the date hereof (or, with respect to any Lender, such later date on which such Lender becomes a party to this Agreement), the adoption of any Law regarding capital adequacy, or any change therein, or any change in the interpretation or administration thereof by any Governmental Authority charged with the interpretation or administration thereof, or any request or directive regarding capital adequacy (whether or not having the force of law) of any such Governmental Authority, in each case that becomes effective after the date hereof (or, with respect to any Lender, such later date on which such Lender becomes a party to this Agreement), has or would have the effect of reducing the rate of return on capital of a Lender (or its parent) as a consequence of a Lender’s obligations hereunder or the Loans to a level below that which a Lender (or its parent) could have achieved but for such adoption, change, request or directive by an amount reasonably deemed by it to be material, then the Borrower shall pay to such Lender, within five (5) Business Days of receipt of the certificate contemplated by </w:t>
      </w:r>
      <w:r>
        <w:rPr>
          <w:rFonts w:ascii="Times New Roman;Times;Serif" w:hAnsi="Times New Roman;Times;Serif"/>
          <w:b/>
          <w:i w:val="false"/>
          <w:caps w:val="false"/>
          <w:smallCaps w:val="false"/>
          <w:sz w:val="20"/>
        </w:rPr>
        <w:t>Section 5.01(c)</w:t>
      </w:r>
      <w:r>
        <w:rPr>
          <w:rFonts w:ascii="Times New Roman;Times;Serif" w:hAnsi="Times New Roman;Times;Serif"/>
          <w:b w:val="false"/>
          <w:i w:val="false"/>
          <w:caps w:val="false"/>
          <w:smallCaps w:val="false"/>
          <w:sz w:val="20"/>
        </w:rPr>
        <w:t>, such additional amount or amounts as will compensate such Lender (or its parent) for such reduction.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Notification by Lender</w:t>
      </w:r>
      <w:r>
        <w:rPr>
          <w:rFonts w:ascii="Times New Roman;Times;Serif" w:hAnsi="Times New Roman;Times;Serif"/>
          <w:b w:val="false"/>
          <w:i w:val="false"/>
          <w:caps w:val="false"/>
          <w:smallCaps w:val="false"/>
          <w:sz w:val="20"/>
        </w:rPr>
        <w:t xml:space="preserve">. Each Lender promptly will notify the Borrower of any event of which it has knowledge, occurring after the date hereof (or, with respect to any Lender, such later date on which such Lender becomes a party to this Agreement), which will entitle such Lender to compensation pursuant to this </w:t>
      </w:r>
      <w:r>
        <w:rPr>
          <w:rFonts w:ascii="Times New Roman;Times;Serif" w:hAnsi="Times New Roman;Times;Serif"/>
          <w:b/>
          <w:i w:val="false"/>
          <w:caps w:val="false"/>
          <w:smallCaps w:val="false"/>
          <w:sz w:val="20"/>
        </w:rPr>
        <w:t>Section 5.01</w:t>
      </w:r>
      <w:r>
        <w:rPr>
          <w:rFonts w:ascii="Times New Roman;Times;Serif" w:hAnsi="Times New Roman;Times;Serif"/>
          <w:b w:val="false"/>
          <w:i w:val="false"/>
          <w:caps w:val="false"/>
          <w:smallCaps w:val="false"/>
          <w:sz w:val="20"/>
        </w:rPr>
        <w:t xml:space="preserve">. Before giving any such notice pursuant to this </w:t>
      </w:r>
      <w:r>
        <w:rPr>
          <w:rFonts w:ascii="Times New Roman;Times;Serif" w:hAnsi="Times New Roman;Times;Serif"/>
          <w:b/>
          <w:i w:val="false"/>
          <w:caps w:val="false"/>
          <w:smallCaps w:val="false"/>
          <w:sz w:val="20"/>
        </w:rPr>
        <w:t>Section 5.01(c)</w:t>
      </w:r>
      <w:r>
        <w:rPr>
          <w:rFonts w:ascii="Times New Roman;Times;Serif" w:hAnsi="Times New Roman;Times;Serif"/>
          <w:b w:val="false"/>
          <w:i w:val="false"/>
          <w:caps w:val="false"/>
          <w:smallCaps w:val="false"/>
          <w:sz w:val="20"/>
        </w:rPr>
        <w:t xml:space="preserve"> such Lender shall designate a different lending office if such designation (x) will, in the reasonable judgment of such Lender, avoid the need for, or reduce the amount of, such compensation and (y) will not, in the reasonable judgment of such Lender, be materially disadvantageous to such Lender. A certificate of such Lender claiming compensation under this </w:t>
      </w:r>
      <w:r>
        <w:rPr>
          <w:rFonts w:ascii="Times New Roman;Times;Serif" w:hAnsi="Times New Roman;Times;Serif"/>
          <w:b/>
          <w:i w:val="false"/>
          <w:caps w:val="false"/>
          <w:smallCaps w:val="false"/>
          <w:sz w:val="20"/>
        </w:rPr>
        <w:t>Section 5.01</w:t>
      </w:r>
      <w:r>
        <w:rPr>
          <w:rFonts w:ascii="Times New Roman;Times;Serif" w:hAnsi="Times New Roman;Times;Serif"/>
          <w:b w:val="false"/>
          <w:i w:val="false"/>
          <w:caps w:val="false"/>
          <w:smallCaps w:val="false"/>
          <w:sz w:val="20"/>
        </w:rPr>
        <w:t xml:space="preserve">, setting forth the additional amount or amounts to be paid to it hereunder, shall be conclusive and binding on the Borrower in the absence of manifest error. The Borrower shall not be required to compensate a Lender pursuant to the foregoing provisions of this </w:t>
      </w:r>
      <w:r>
        <w:rPr>
          <w:rFonts w:ascii="Times New Roman;Times;Serif" w:hAnsi="Times New Roman;Times;Serif"/>
          <w:b/>
          <w:i w:val="false"/>
          <w:caps w:val="false"/>
          <w:smallCaps w:val="false"/>
          <w:sz w:val="20"/>
        </w:rPr>
        <w:t>Section 5.01</w:t>
      </w:r>
      <w:r>
        <w:rPr>
          <w:rFonts w:ascii="Times New Roman;Times;Serif" w:hAnsi="Times New Roman;Times;Serif"/>
          <w:b w:val="false"/>
          <w:i w:val="false"/>
          <w:caps w:val="false"/>
          <w:smallCaps w:val="false"/>
          <w:sz w:val="20"/>
        </w:rPr>
        <w:t xml:space="preserve"> for any increased costs incurred or reductions suffered more than six (6)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six-month period referred to above shall be extended to include the period of retroactive effect thereof).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constitute a change in Law for all purposes of this </w:t>
      </w:r>
      <w:r>
        <w:rPr>
          <w:rFonts w:ascii="Times New Roman;Times;Serif" w:hAnsi="Times New Roman;Times;Serif"/>
          <w:b/>
          <w:i w:val="false"/>
          <w:caps w:val="false"/>
          <w:smallCaps w:val="false"/>
          <w:sz w:val="20"/>
        </w:rPr>
        <w:t>Section 5.01</w:t>
      </w:r>
      <w:r>
        <w:rPr>
          <w:rFonts w:ascii="Times New Roman;Times;Serif" w:hAnsi="Times New Roman;Times;Serif"/>
          <w:b w:val="false"/>
          <w:i w:val="false"/>
          <w:caps w:val="false"/>
          <w:smallCaps w:val="false"/>
          <w:sz w:val="20"/>
        </w:rPr>
        <w:t>, regardless of the date enacted, adopted or issued.</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5.02 [Reserved]</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5.03 Taxes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Payments Free of Taxes</w:t>
      </w:r>
      <w:r>
        <w:rPr>
          <w:rFonts w:ascii="Times New Roman;Times;Serif" w:hAnsi="Times New Roman;Times;Serif"/>
          <w:b w:val="false"/>
          <w:i w:val="false"/>
          <w:caps w:val="false"/>
          <w:smallCaps w:val="false"/>
          <w:sz w:val="20"/>
        </w:rPr>
        <w:t xml:space="preserve">. Any and all payments by or on account of any Obligation shall be made without deduction or withholding for any Taxes, except as required by any Law. If any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Laws and, if such Tax is an Indemnified Tax, then the sum payable by such Obligor shall be increased as necessary so that after such deduction or withholding has been made (including such deductions and withholdings applicable to additional sums payable under this </w:t>
      </w:r>
      <w:r>
        <w:rPr>
          <w:rFonts w:ascii="Times New Roman;Times;Serif" w:hAnsi="Times New Roman;Times;Serif"/>
          <w:b/>
          <w:i w:val="false"/>
          <w:caps w:val="false"/>
          <w:smallCaps w:val="false"/>
          <w:sz w:val="20"/>
        </w:rPr>
        <w:t>Section 5.03</w:t>
      </w:r>
      <w:r>
        <w:rPr>
          <w:rFonts w:ascii="Times New Roman;Times;Serif" w:hAnsi="Times New Roman;Times;Serif"/>
          <w:b w:val="false"/>
          <w:i w:val="false"/>
          <w:caps w:val="false"/>
          <w:smallCaps w:val="false"/>
          <w:sz w:val="20"/>
        </w:rPr>
        <w:t>) the applicable Recipient receives an amount equal to the sum it would have received had no such deduction or withholding been made.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Payment of Other Taxes by the Borrower</w:t>
      </w:r>
      <w:r>
        <w:rPr>
          <w:rFonts w:ascii="Times New Roman;Times;Serif" w:hAnsi="Times New Roman;Times;Serif"/>
          <w:b w:val="false"/>
          <w:i w:val="false"/>
          <w:caps w:val="false"/>
          <w:smallCaps w:val="false"/>
          <w:sz w:val="20"/>
        </w:rPr>
        <w:t>. The Borrower shall timely pay to the relevant Governmental Authority in accordance with applicable Laws, or at the option of the Administrative Agent, timely reimburse it for the payment of any Other Taxes.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Evidence of Payments</w:t>
      </w:r>
      <w:r>
        <w:rPr>
          <w:rFonts w:ascii="Times New Roman;Times;Serif" w:hAnsi="Times New Roman;Times;Serif"/>
          <w:b w:val="false"/>
          <w:i w:val="false"/>
          <w:caps w:val="false"/>
          <w:smallCaps w:val="false"/>
          <w:sz w:val="20"/>
        </w:rPr>
        <w:t xml:space="preserve">. As soon as practicable after any payment of Taxes by the Borrower to a Governmental Authority pursuant to this </w:t>
      </w:r>
      <w:r>
        <w:rPr>
          <w:rFonts w:ascii="Times New Roman;Times;Serif" w:hAnsi="Times New Roman;Times;Serif"/>
          <w:b/>
          <w:i w:val="false"/>
          <w:caps w:val="false"/>
          <w:smallCaps w:val="false"/>
          <w:sz w:val="20"/>
        </w:rPr>
        <w:t>Section 5.03</w:t>
      </w:r>
      <w:r>
        <w:rPr>
          <w:rFonts w:ascii="Times New Roman;Times;Serif" w:hAnsi="Times New Roman;Times;Serif"/>
          <w:b w:val="false"/>
          <w:i w:val="false"/>
          <w:caps w:val="false"/>
          <w:smallCaps w:val="false"/>
          <w:sz w:val="20"/>
        </w:rPr>
        <w:t>,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Indemnification by the Borrower</w:t>
      </w:r>
      <w:r>
        <w:rPr>
          <w:rFonts w:ascii="Times New Roman;Times;Serif" w:hAnsi="Times New Roman;Times;Serif"/>
          <w:b w:val="false"/>
          <w:i w:val="false"/>
          <w:caps w:val="false"/>
          <w:smallCaps w:val="false"/>
          <w:sz w:val="20"/>
        </w:rPr>
        <w:t xml:space="preserve">. The Borrower shall reimburse and indemnify each Recipient, within ten (10) days after demand therefor, for the full amount of any Indemnified Taxes (including Indemnified Taxes imposed or asserted on or attributable to amounts payable under this </w:t>
      </w:r>
      <w:r>
        <w:rPr>
          <w:rFonts w:ascii="Times New Roman;Times;Serif" w:hAnsi="Times New Roman;Times;Serif"/>
          <w:b/>
          <w:i w:val="false"/>
          <w:caps w:val="false"/>
          <w:smallCaps w:val="false"/>
          <w:sz w:val="20"/>
        </w:rPr>
        <w:t>Section 5.03</w:t>
      </w:r>
      <w:r>
        <w:rPr>
          <w:rFonts w:ascii="Times New Roman;Times;Serif" w:hAnsi="Times New Roman;Times;Serif"/>
          <w:b w:val="false"/>
          <w:i w:val="false"/>
          <w:caps w:val="false"/>
          <w:smallCaps w:val="false"/>
          <w:sz w:val="20"/>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Indemnification by the Lender</w:t>
      </w:r>
      <w:r>
        <w:rPr>
          <w:rFonts w:ascii="Times New Roman;Times;Serif" w:hAnsi="Times New Roman;Times;Serif"/>
          <w:b w:val="false"/>
          <w:i w:val="false"/>
          <w:caps w:val="false"/>
          <w:smallCaps w:val="false"/>
          <w:sz w:val="20"/>
        </w:rPr>
        <w:t xml:space="preserve">. Each Lender shall severally indemnify the Administrative Agent, within ten (10) days after demand therefor,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Times New Roman;Times;Serif" w:hAnsi="Times New Roman;Times;Serif"/>
          <w:b/>
          <w:i w:val="false"/>
          <w:caps w:val="false"/>
          <w:smallCaps w:val="false"/>
          <w:sz w:val="20"/>
        </w:rPr>
        <w:t>Section 14.05(e)</w:t>
      </w:r>
      <w:r>
        <w:rPr>
          <w:rFonts w:ascii="Times New Roman;Times;Serif" w:hAnsi="Times New Roman;Times;Serif"/>
          <w:b w:val="false"/>
          <w:i w:val="false"/>
          <w:caps w:val="false"/>
          <w:smallCaps w:val="false"/>
          <w:sz w:val="20"/>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Times;Serif" w:hAnsi="Times New Roman;Times;Serif"/>
          <w:b/>
          <w:i w:val="false"/>
          <w:caps w:val="false"/>
          <w:smallCaps w:val="false"/>
          <w:sz w:val="20"/>
        </w:rPr>
        <w:t>Section 5.03(e)</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val="false"/>
          <w:caps w:val="false"/>
          <w:smallCaps w:val="false"/>
          <w:sz w:val="20"/>
        </w:rPr>
        <w:t>Status of Lenders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Law as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(2) sentences, the completion, execution and submission of such documentation (other than such documentation set forth in </w:t>
      </w:r>
      <w:r>
        <w:rPr>
          <w:rFonts w:ascii="Times New Roman;Times;Serif" w:hAnsi="Times New Roman;Times;Serif"/>
          <w:b/>
          <w:i w:val="false"/>
          <w:caps w:val="false"/>
          <w:smallCaps w:val="false"/>
          <w:sz w:val="20"/>
        </w:rPr>
        <w:t xml:space="preserve">Section 5.03(f)(ii)(A), (ii)(B),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(ii)(D)</w:t>
      </w:r>
      <w:r>
        <w:rPr>
          <w:rFonts w:ascii="Times New Roman;Times;Serif" w:hAnsi="Times New Roman;Times;Serif"/>
          <w:b w:val="false"/>
          <w:i w:val="false"/>
          <w:caps w:val="false"/>
          <w:smallCaps w:val="false"/>
          <w:sz w:val="20"/>
        </w:rPr>
        <w:t>) shall not be required if in such Lender’s reasonable judgment such completion, execution or submission would subject such Lender to any material unreimbursed cost or expense or would materially prejudice the legal or commercial position of such Lender.</w:t>
      </w:r>
    </w:p>
    <w:p>
      <w:pPr>
        <w:pStyle w:val="TextBody"/>
        <w:bidi w:val="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Without limiting the generality of the foregoing, in the event that the Borrower is a U.S. Person:</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any Lender that is a U.S. Person shall deliver to the Borrower and the Administrative Agent on or about the date on which such Lender becomes a Lender under this Agreement (and from time to time thereafter upon the reasonable request of the Borrower or the Administrative Agent), executed copies of IRS Form W-9 (or successor form) certifying that such Lender is exempt from U.S. federal backup withholding tax;</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any Foreign Lender shall, to the extent it is legally entitled to do so, deliver to the Borrower and the Administrative Agent (in such number of copies as shall be requested by the recipient) on or about the date on which such Foreign Lender becomes a Lender under this Agreement (and from time to time thereafter upon the reasonable request of the Borrower or the Administrative Agent), whichever of the following is applicable:</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(1) </w:t>
      </w:r>
      <w:r>
        <w:rPr>
          <w:rFonts w:ascii="Times New Roman;Times;Serif" w:hAnsi="Times New Roman;Times;Serif"/>
          <w:b w:val="false"/>
          <w:i w:val="false"/>
          <w:caps w:val="false"/>
          <w:smallCaps w:val="false"/>
          <w:sz w:val="20"/>
        </w:rPr>
        <w:t>in the case of a Foreign Lender claiming the benefits of an income tax treaty to which the United States is a party (x) with respect to payments of interest under any Loan Document, executed copies of IRS Form W-8BEN or IRS Form W-8BEN-E as applicable (or successor forms) establishing an exemption from, or reduction of, U.S. federal withholding Tax pursuant to the “interest” article of such tax treaty and (y) with respect to any other applicable payments under any Loan Document, IRS Form W-8BEN or IRS Form W-8BEN-E as applicable (or successor forms) establishing an exemption from, or reduction of, U.S. federal withholding Tax pursuant to the “business profits” or “other income” article of such tax treaty;</w:t>
      </w:r>
    </w:p>
    <w:p>
      <w:pPr>
        <w:pStyle w:val="TextBody"/>
        <w:bidi w:val="0"/>
        <w:ind w:left="0" w:right="0" w:firstLine="2880"/>
        <w:jc w:val="both"/>
        <w:rPr>
          <w:caps w:val="false"/>
          <w:smallCaps w:val="false"/>
        </w:rPr>
      </w:pPr>
      <w:r>
        <w:rPr>
          <w:caps w:val="false"/>
          <w:smallCaps w:val="false"/>
        </w:rPr>
        <w:t> </w:t>
      </w:r>
    </w:p>
    <w:p>
      <w:pPr>
        <w:pStyle w:val="TextBody"/>
        <w:bidi w:val="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(2) </w:t>
      </w:r>
      <w:r>
        <w:rPr>
          <w:rFonts w:ascii="Times New Roman;Times;Serif" w:hAnsi="Times New Roman;Times;Serif"/>
          <w:b w:val="false"/>
          <w:i w:val="false"/>
          <w:caps w:val="false"/>
          <w:smallCaps w:val="false"/>
          <w:sz w:val="20"/>
        </w:rPr>
        <w:t>executed copies of IRS Form W-8ECI (or successor form);</w:t>
      </w:r>
    </w:p>
    <w:p>
      <w:pPr>
        <w:pStyle w:val="TextBody"/>
        <w:bidi w:val="0"/>
        <w:ind w:left="0" w:right="0" w:firstLine="2880"/>
        <w:jc w:val="both"/>
        <w:rPr>
          <w:caps w:val="false"/>
          <w:smallCaps w:val="false"/>
        </w:rPr>
      </w:pPr>
      <w:r>
        <w:rPr>
          <w:caps w:val="false"/>
          <w:smallCaps w:val="false"/>
        </w:rPr>
        <w:t> </w:t>
      </w:r>
    </w:p>
    <w:p>
      <w:pPr>
        <w:pStyle w:val="TextBody"/>
        <w:bidi w:val="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(3) </w:t>
      </w:r>
      <w:r>
        <w:rPr>
          <w:rFonts w:ascii="Times New Roman;Times;Serif" w:hAnsi="Times New Roman;Times;Serif"/>
          <w:b w:val="false"/>
          <w:i w:val="false"/>
          <w:caps w:val="false"/>
          <w:smallCaps w:val="false"/>
          <w:sz w:val="20"/>
        </w:rPr>
        <w:t xml:space="preserve">in the case of a Foreign Lender claiming the benefits of the exemption for portfolio interest under Section 881(c) of the Code, (x) a certificate substantially in the form of </w:t>
      </w:r>
      <w:r>
        <w:rPr>
          <w:rFonts w:ascii="Times New Roman;Times;Serif" w:hAnsi="Times New Roman;Times;Serif"/>
          <w:b/>
          <w:i w:val="false"/>
          <w:caps w:val="false"/>
          <w:smallCaps w:val="false"/>
          <w:sz w:val="20"/>
        </w:rPr>
        <w:t xml:space="preserve">Exhibit J-1 </w:t>
      </w:r>
      <w:r>
        <w:rPr>
          <w:rFonts w:ascii="Times New Roman;Times;Serif" w:hAnsi="Times New Roman;Times;Serif"/>
          <w:b w:val="false"/>
          <w:i w:val="false"/>
          <w:caps w:val="false"/>
          <w:smallCaps w:val="false"/>
          <w:sz w:val="20"/>
        </w:rPr>
        <w:t>to the effect that such Foreign Lender is not a “bank” within the meaning of Section 881(c)(3)(A) of the Code, a “10 percent shareholder” of the Borrower within the meaning of Section 871(h)(3)(B) of the Code, or a “controlled foreign corporation” related to the Borrower as described in Section 881(c)(3)(C) of the Code (a “</w:t>
      </w:r>
      <w:r>
        <w:rPr>
          <w:rFonts w:ascii="Times New Roman;Times;Serif" w:hAnsi="Times New Roman;Times;Serif"/>
          <w:b/>
          <w:i/>
          <w:caps w:val="false"/>
          <w:smallCaps w:val="false"/>
          <w:sz w:val="20"/>
        </w:rPr>
        <w:t>U.S. Tax Compliance Certificate</w:t>
      </w:r>
      <w:r>
        <w:rPr>
          <w:rFonts w:ascii="Times New Roman;Times;Serif" w:hAnsi="Times New Roman;Times;Serif"/>
          <w:b w:val="false"/>
          <w:i w:val="false"/>
          <w:caps w:val="false"/>
          <w:smallCaps w:val="false"/>
          <w:sz w:val="20"/>
        </w:rPr>
        <w:t>”) and (y) executed copies of IRS Form W-8BEN or IRS Form W-8BEN-E as applicable (or successor forms); or</w:t>
      </w:r>
    </w:p>
    <w:p>
      <w:pPr>
        <w:pStyle w:val="TextBody"/>
        <w:bidi w:val="0"/>
        <w:ind w:left="0" w:right="0" w:firstLine="2880"/>
        <w:jc w:val="both"/>
        <w:rPr>
          <w:caps w:val="false"/>
          <w:smallCaps w:val="false"/>
        </w:rPr>
      </w:pPr>
      <w:r>
        <w:rPr>
          <w:caps w:val="false"/>
          <w:smallCaps w:val="false"/>
        </w:rPr>
        <w:t> </w:t>
      </w:r>
    </w:p>
    <w:p>
      <w:pPr>
        <w:pStyle w:val="TextBody"/>
        <w:bidi w:val="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(4) </w:t>
      </w:r>
      <w:r>
        <w:rPr>
          <w:rFonts w:ascii="Times New Roman;Times;Serif" w:hAnsi="Times New Roman;Times;Serif"/>
          <w:b w:val="false"/>
          <w:i w:val="false"/>
          <w:caps w:val="false"/>
          <w:smallCaps w:val="false"/>
          <w:sz w:val="20"/>
        </w:rPr>
        <w:t xml:space="preserve">to the extent a Foreign Lender is not the beneficial owner, executed copies of IRS Form W-8IMY, accompanied by IRS Form W-8ECI, IRS Form W-8BEN or IRS Form W-8BEN-E (or successor form), a U.S. Tax Compliance Certificate, substantially in the form of </w:t>
      </w:r>
      <w:r>
        <w:rPr>
          <w:rFonts w:ascii="Times New Roman;Times;Serif" w:hAnsi="Times New Roman;Times;Serif"/>
          <w:b/>
          <w:i w:val="false"/>
          <w:caps w:val="false"/>
          <w:smallCaps w:val="false"/>
          <w:sz w:val="20"/>
        </w:rPr>
        <w:t xml:space="preserve">Exhibit J-2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val="false"/>
          <w:caps w:val="false"/>
          <w:smallCaps w:val="false"/>
          <w:sz w:val="20"/>
        </w:rPr>
        <w:t>J-3</w:t>
      </w:r>
      <w:r>
        <w:rPr>
          <w:rFonts w:ascii="Times New Roman;Times;Serif" w:hAnsi="Times New Roman;Times;Serif"/>
          <w:b w:val="false"/>
          <w:i w:val="false"/>
          <w:caps w:val="false"/>
          <w:smallCaps w:val="false"/>
          <w:sz w:val="20"/>
        </w:rPr>
        <w:t xml:space="preserve">, IRS Form W-9 (or successor forms), and/or other certification documents from each beneficial owner, as applicable;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 xml:space="preserve">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Times;Serif" w:hAnsi="Times New Roman;Times;Serif"/>
          <w:b/>
          <w:i w:val="false"/>
          <w:caps w:val="false"/>
          <w:smallCaps w:val="false"/>
          <w:sz w:val="20"/>
        </w:rPr>
        <w:t xml:space="preserve">Exhibit J-4 </w:t>
      </w:r>
      <w:r>
        <w:rPr>
          <w:rFonts w:ascii="Times New Roman;Times;Serif" w:hAnsi="Times New Roman;Times;Serif"/>
          <w:b w:val="false"/>
          <w:i w:val="false"/>
          <w:caps w:val="false"/>
          <w:smallCaps w:val="false"/>
          <w:sz w:val="20"/>
        </w:rPr>
        <w:t>on behalf of each such direct and indirect partner.</w:t>
      </w:r>
    </w:p>
    <w:p>
      <w:pPr>
        <w:pStyle w:val="TextBody"/>
        <w:bidi w:val="0"/>
        <w:ind w:left="0" w:right="0" w:firstLine="288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any Foreign Lender shall, to the extent it is legally entitled to do so, deliver to the Borrower and the Administrative Agent (in such number of copies as shall be requested by the recipient) on or about the date on which such Foreign Lender becomes a Lender under this Agreement (and from time to time thereafter upon the reasonable request of the Borrower or the Administrative Agent), executed copies of any other form prescribed by applicable Laws as a basis for claiming exemption from or a reduction in U.S. federal withholding Tax, duly completed, together with such supplementary documentation as may be prescribed by applicable Laws to permit the Borrower or the Administrative Agent to determine the withholding or deduction required to be made; and</w:t>
      </w:r>
    </w:p>
    <w:p>
      <w:pPr>
        <w:pStyle w:val="TextBody"/>
        <w:bidi w:val="0"/>
        <w:ind w:left="0" w:right="0" w:firstLine="21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clause (D), “FATCA” shall include any amendments made to FATCA after the date of this Agreement.</w:t>
      </w:r>
    </w:p>
    <w:p>
      <w:pPr>
        <w:pStyle w:val="TextBody"/>
        <w:bidi w:val="0"/>
        <w:ind w:left="0" w:right="0" w:firstLine="21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i w:val="false"/>
          <w:caps w:val="false"/>
          <w:smallCaps w:val="false"/>
          <w:sz w:val="20"/>
        </w:rPr>
        <w:t>Treatment of Certain Tax Benefits</w:t>
      </w:r>
      <w:r>
        <w:rPr>
          <w:rFonts w:ascii="Times New Roman;Times;Serif" w:hAnsi="Times New Roman;Times;Serif"/>
          <w:b w:val="false"/>
          <w:i w:val="false"/>
          <w:caps w:val="false"/>
          <w:smallCaps w:val="false"/>
          <w:sz w:val="20"/>
        </w:rPr>
        <w:t xml:space="preserve">. If any party to this Agreement determines, in its sole discretion exercised in good faith, that it has received a refund of any Taxes as to which it has been indemnified pursuant to this </w:t>
      </w:r>
      <w:r>
        <w:rPr>
          <w:rFonts w:ascii="Times New Roman;Times;Serif" w:hAnsi="Times New Roman;Times;Serif"/>
          <w:b/>
          <w:i w:val="false"/>
          <w:caps w:val="false"/>
          <w:smallCaps w:val="false"/>
          <w:sz w:val="20"/>
        </w:rPr>
        <w:t>Section 5</w:t>
      </w:r>
      <w:r>
        <w:rPr>
          <w:rFonts w:ascii="Times New Roman;Times;Serif" w:hAnsi="Times New Roman;Times;Serif"/>
          <w:b w:val="false"/>
          <w:i w:val="false"/>
          <w:caps w:val="false"/>
          <w:smallCaps w:val="false"/>
          <w:sz w:val="20"/>
        </w:rPr>
        <w:t xml:space="preserve"> (including by the payment of additional amounts pursuant to this </w:t>
      </w:r>
      <w:r>
        <w:rPr>
          <w:rFonts w:ascii="Times New Roman;Times;Serif" w:hAnsi="Times New Roman;Times;Serif"/>
          <w:b/>
          <w:i w:val="false"/>
          <w:caps w:val="false"/>
          <w:smallCaps w:val="false"/>
          <w:sz w:val="20"/>
        </w:rPr>
        <w:t>Section 5</w:t>
      </w:r>
      <w:r>
        <w:rPr>
          <w:rFonts w:ascii="Times New Roman;Times;Serif" w:hAnsi="Times New Roman;Times;Serif"/>
          <w:b w:val="false"/>
          <w:i w:val="false"/>
          <w:caps w:val="false"/>
          <w:smallCaps w:val="false"/>
          <w:sz w:val="20"/>
        </w:rPr>
        <w:t xml:space="preserve">), it shall pay to the indemnifying party an amount equal to such refund (but only to the extent of indemnity payments made under this </w:t>
      </w:r>
      <w:r>
        <w:rPr>
          <w:rFonts w:ascii="Times New Roman;Times;Serif" w:hAnsi="Times New Roman;Times;Serif"/>
          <w:b/>
          <w:i w:val="false"/>
          <w:caps w:val="false"/>
          <w:smallCaps w:val="false"/>
          <w:sz w:val="20"/>
        </w:rPr>
        <w:t>Section 5</w:t>
      </w:r>
      <w:r>
        <w:rPr>
          <w:rFonts w:ascii="Times New Roman;Times;Serif" w:hAnsi="Times New Roman;Times;Serif"/>
          <w:b w:val="false"/>
          <w:i w:val="false"/>
          <w:caps w:val="false"/>
          <w:smallCaps w:val="false"/>
          <w:sz w:val="20"/>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Times;Serif" w:hAnsi="Times New Roman;Times;Serif"/>
          <w:b/>
          <w:i w:val="false"/>
          <w:caps w:val="false"/>
          <w:smallCaps w:val="false"/>
          <w:sz w:val="20"/>
        </w:rPr>
        <w:t>Section 5.03(g)</w:t>
      </w:r>
      <w:r>
        <w:rPr>
          <w:rFonts w:ascii="Times New Roman;Times;Serif" w:hAnsi="Times New Roman;Times;Serif"/>
          <w:b w:val="false"/>
          <w:i w:val="false"/>
          <w:caps w:val="false"/>
          <w:smallCaps w:val="false"/>
          <w:sz w:val="20"/>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Times;Serif" w:hAnsi="Times New Roman;Times;Serif"/>
          <w:b/>
          <w:i w:val="false"/>
          <w:caps w:val="false"/>
          <w:smallCaps w:val="false"/>
          <w:sz w:val="20"/>
        </w:rPr>
        <w:t>Section 5.03(g)</w:t>
      </w:r>
      <w:r>
        <w:rPr>
          <w:rFonts w:ascii="Times New Roman;Times;Serif" w:hAnsi="Times New Roman;Times;Serif"/>
          <w:b w:val="false"/>
          <w:i w:val="false"/>
          <w:caps w:val="false"/>
          <w:smallCaps w:val="false"/>
          <w:sz w:val="20"/>
        </w:rPr>
        <w:t xml:space="preserve">, in no event will the indemnified party be required to pay any amount to an indemnifying party pursuant to this </w:t>
      </w:r>
      <w:r>
        <w:rPr>
          <w:rFonts w:ascii="Times New Roman;Times;Serif" w:hAnsi="Times New Roman;Times;Serif"/>
          <w:b/>
          <w:i w:val="false"/>
          <w:caps w:val="false"/>
          <w:smallCaps w:val="false"/>
          <w:sz w:val="20"/>
        </w:rPr>
        <w:t>Section 5.03(g)</w:t>
      </w:r>
      <w:r>
        <w:rPr>
          <w:rFonts w:ascii="Times New Roman;Times;Serif" w:hAnsi="Times New Roman;Times;Serif"/>
          <w:b w:val="false"/>
          <w:i w:val="false"/>
          <w:caps w:val="false"/>
          <w:smallCaps w:val="false"/>
          <w:sz w:val="20"/>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Times;Serif" w:hAnsi="Times New Roman;Times;Serif"/>
          <w:b/>
          <w:i w:val="false"/>
          <w:caps w:val="false"/>
          <w:smallCaps w:val="false"/>
          <w:sz w:val="20"/>
        </w:rPr>
        <w:t>Section 5.03(g)</w:t>
      </w:r>
      <w:r>
        <w:rPr>
          <w:rFonts w:ascii="Times New Roman;Times;Serif" w:hAnsi="Times New Roman;Times;Serif"/>
          <w:b w:val="false"/>
          <w:i w:val="false"/>
          <w:caps w:val="false"/>
          <w:smallCaps w:val="false"/>
          <w:sz w:val="20"/>
        </w:rPr>
        <w:t xml:space="preserve"> shall not be construed to require any indemnified party to make available its Tax returns (or any other information relating to its Taxes that it deems confidential) to the indemnifying party or any other Person.</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5.04 Mitigation Obligations; Replacement of Lenders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the Borrower is required to pay any Indemnified Taxes or additional amounts to any Lender or to any Governmental Authority for the account of any Lender pursuant to </w:t>
      </w:r>
      <w:r>
        <w:rPr>
          <w:rFonts w:ascii="Times New Roman;Times;Serif" w:hAnsi="Times New Roman;Times;Serif"/>
          <w:b/>
          <w:i w:val="false"/>
          <w:caps w:val="false"/>
          <w:smallCaps w:val="false"/>
          <w:sz w:val="20"/>
        </w:rPr>
        <w:t>Section 5.01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Section 5.03</w:t>
      </w:r>
      <w:r>
        <w:rPr>
          <w:rFonts w:ascii="Times New Roman;Times;Serif" w:hAnsi="Times New Roman;Times;Serif"/>
          <w:b w:val="false"/>
          <w:i w:val="false"/>
          <w:caps w:val="false"/>
          <w:smallCaps w:val="false"/>
          <w:sz w:val="20"/>
        </w:rPr>
        <w:t xml:space="preserve">, then such Lender shall (at the request of the Borrower) use commercially reasonable efforts to designate a different lending office for funding or booking its Loans hereunder or to assign and delegate its rights and obligations hereunder to another of its offices, branches or Affiliates if, in the sole reasonable judgment of such Lender, such designation or assignment and delegation would (i) eliminate or reduce amounts payable pursuant to </w:t>
      </w:r>
      <w:r>
        <w:rPr>
          <w:rFonts w:ascii="Times New Roman;Times;Serif" w:hAnsi="Times New Roman;Times;Serif"/>
          <w:b/>
          <w:i w:val="false"/>
          <w:caps w:val="false"/>
          <w:smallCaps w:val="false"/>
          <w:sz w:val="20"/>
        </w:rPr>
        <w:t>Section 5.01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Section 5.03</w:t>
      </w:r>
      <w:r>
        <w:rPr>
          <w:rFonts w:ascii="Times New Roman;Times;Serif" w:hAnsi="Times New Roman;Times;Serif"/>
          <w:b w:val="false"/>
          <w:i w:val="false"/>
          <w:caps w:val="false"/>
          <w:smallCaps w:val="false"/>
          <w:sz w:val="20"/>
        </w:rPr>
        <w:t>, as the case may be, in the future, (ii) not subject such Lender to any unreimbursed cost or expense and (iii) not otherwise be disadvantageous to such Lender. The Borrower hereby agrees to pay all reasonable costs and expenses incurred by any Lender in connection with any such designation or assignment and delegation.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any Lender requests compensation pursuant to </w:t>
      </w:r>
      <w:r>
        <w:rPr>
          <w:rFonts w:ascii="Times New Roman;Times;Serif" w:hAnsi="Times New Roman;Times;Serif"/>
          <w:b/>
          <w:i w:val="false"/>
          <w:caps w:val="false"/>
          <w:smallCaps w:val="false"/>
          <w:sz w:val="20"/>
        </w:rPr>
        <w:t>Section 5.01</w:t>
      </w:r>
      <w:r>
        <w:rPr>
          <w:rFonts w:ascii="Times New Roman;Times;Serif" w:hAnsi="Times New Roman;Times;Serif"/>
          <w:b w:val="false"/>
          <w:i w:val="false"/>
          <w:caps w:val="false"/>
          <w:smallCaps w:val="false"/>
          <w:sz w:val="20"/>
        </w:rPr>
        <w:t xml:space="preserve">, or if the Borrower is required to pay any Indemnified Taxes or additional amounts to any Lender or to any Governmental Authority for the account of any Lender pursuant to </w:t>
      </w:r>
      <w:r>
        <w:rPr>
          <w:rFonts w:ascii="Times New Roman;Times;Serif" w:hAnsi="Times New Roman;Times;Serif"/>
          <w:b/>
          <w:i w:val="false"/>
          <w:caps w:val="false"/>
          <w:smallCaps w:val="false"/>
          <w:sz w:val="20"/>
        </w:rPr>
        <w:t>Section 5.01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Section 5.03</w:t>
      </w:r>
      <w:r>
        <w:rPr>
          <w:rFonts w:ascii="Times New Roman;Times;Serif" w:hAnsi="Times New Roman;Times;Serif"/>
          <w:b w:val="false"/>
          <w:i w:val="false"/>
          <w:caps w:val="false"/>
          <w:smallCaps w:val="false"/>
          <w:sz w:val="20"/>
        </w:rPr>
        <w:t xml:space="preserve">, and such Lender has declined or is unable to designate a different lending office in accordance with </w:t>
      </w:r>
      <w:r>
        <w:rPr>
          <w:rFonts w:ascii="Times New Roman;Times;Serif" w:hAnsi="Times New Roman;Times;Serif"/>
          <w:b/>
          <w:i w:val="false"/>
          <w:caps w:val="false"/>
          <w:smallCaps w:val="false"/>
          <w:sz w:val="20"/>
        </w:rPr>
        <w:t>Section 5.04(a)</w:t>
      </w:r>
      <w:r>
        <w:rPr>
          <w:rFonts w:ascii="Times New Roman;Times;Serif" w:hAnsi="Times New Roman;Times;Serif"/>
          <w:b w:val="false"/>
          <w:i w:val="false"/>
          <w:caps w:val="false"/>
          <w:smallCaps w:val="false"/>
          <w:sz w:val="20"/>
        </w:rPr>
        <w:t xml:space="preserve">, or if any Lender is a Defaulting Lender, then the Borrower may, at such Lender’s sole expense and effort, upon notice to such Lender and the Administrative Agent, require such Lender to assign and delegate, without recourse (in accordance with and subject to the restrictions contained in, and consents required by, </w:t>
      </w:r>
      <w:r>
        <w:rPr>
          <w:rFonts w:ascii="Times New Roman;Times;Serif" w:hAnsi="Times New Roman;Times;Serif"/>
          <w:b/>
          <w:i w:val="false"/>
          <w:caps w:val="false"/>
          <w:smallCaps w:val="false"/>
          <w:sz w:val="20"/>
        </w:rPr>
        <w:t>Section 14.05(b)</w:t>
      </w:r>
      <w:r>
        <w:rPr>
          <w:rFonts w:ascii="Times New Roman;Times;Serif" w:hAnsi="Times New Roman;Times;Serif"/>
          <w:b w:val="false"/>
          <w:i w:val="false"/>
          <w:caps w:val="false"/>
          <w:smallCaps w:val="false"/>
          <w:sz w:val="20"/>
        </w:rPr>
        <w:t xml:space="preserve"> (other than such Lender’s consent)), all of its interests, rights (other than its existing rights to payments pursuant to </w:t>
      </w:r>
      <w:r>
        <w:rPr>
          <w:rFonts w:ascii="Times New Roman;Times;Serif" w:hAnsi="Times New Roman;Times;Serif"/>
          <w:b/>
          <w:i w:val="false"/>
          <w:caps w:val="false"/>
          <w:smallCaps w:val="false"/>
          <w:sz w:val="20"/>
        </w:rPr>
        <w:t>Section 5.01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Section 5.03</w:t>
      </w:r>
      <w:r>
        <w:rPr>
          <w:rFonts w:ascii="Times New Roman;Times;Serif" w:hAnsi="Times New Roman;Times;Serif"/>
          <w:b w:val="false"/>
          <w:i w:val="false"/>
          <w:caps w:val="false"/>
          <w:smallCaps w:val="false"/>
          <w:sz w:val="20"/>
        </w:rPr>
        <w:t xml:space="preserve">) and obligations under this Agreement and the related Loan Documents to an Eligible Transferee that shall assume such obligations (which assignee may be another Lender, if a Lender accepts such assignment);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the Borrower shall have provided all of the documentation and information in accordance with </w:t>
      </w:r>
      <w:r>
        <w:rPr>
          <w:rFonts w:ascii="Times New Roman;Times;Serif" w:hAnsi="Times New Roman;Times;Serif"/>
          <w:b/>
          <w:i w:val="false"/>
          <w:caps w:val="false"/>
          <w:smallCaps w:val="false"/>
          <w:sz w:val="20"/>
        </w:rPr>
        <w:t>Section 14.05(b)</w:t>
      </w:r>
      <w:r>
        <w:rPr>
          <w:rFonts w:ascii="Times New Roman;Times;Serif" w:hAnsi="Times New Roman;Times;Serif"/>
          <w:b w:val="false"/>
          <w:i w:val="false"/>
          <w:caps w:val="false"/>
          <w:smallCaps w:val="false"/>
          <w:sz w:val="20"/>
        </w:rPr>
        <w:t xml:space="preserve">; (ii) such Lender shall have received payment of an amount equal to (A) the outstanding principal of its Loans, (B) accrued interest thereon, (C) accrued fees and (D) all other amounts payable to it hereunder and under the other Loan Documents from the assignee (to the extent of such outstanding principal and accrued interest and fees) or the Borrower (in the case of all other amounts); (iii) in the case of any such assignment resulting from a claim for compensation under </w:t>
      </w:r>
      <w:r>
        <w:rPr>
          <w:rFonts w:ascii="Times New Roman;Times;Serif" w:hAnsi="Times New Roman;Times;Serif"/>
          <w:b/>
          <w:i w:val="false"/>
          <w:caps w:val="false"/>
          <w:smallCaps w:val="false"/>
          <w:sz w:val="20"/>
        </w:rPr>
        <w:t>Section 5.01</w:t>
      </w:r>
      <w:r>
        <w:rPr>
          <w:rFonts w:ascii="Times New Roman;Times;Serif" w:hAnsi="Times New Roman;Times;Serif"/>
          <w:b w:val="false"/>
          <w:i w:val="false"/>
          <w:caps w:val="false"/>
          <w:smallCaps w:val="false"/>
          <w:sz w:val="20"/>
        </w:rPr>
        <w:t xml:space="preserve"> or payments required to be made pursuant to </w:t>
      </w:r>
      <w:r>
        <w:rPr>
          <w:rFonts w:ascii="Times New Roman;Times;Serif" w:hAnsi="Times New Roman;Times;Serif"/>
          <w:b/>
          <w:i w:val="false"/>
          <w:caps w:val="false"/>
          <w:smallCaps w:val="false"/>
          <w:sz w:val="20"/>
        </w:rPr>
        <w:t>Section 5.03</w:t>
      </w:r>
      <w:r>
        <w:rPr>
          <w:rFonts w:ascii="Times New Roman;Times;Serif" w:hAnsi="Times New Roman;Times;Serif"/>
          <w:b w:val="false"/>
          <w:i w:val="false"/>
          <w:caps w:val="false"/>
          <w:smallCaps w:val="false"/>
          <w:sz w:val="20"/>
        </w:rPr>
        <w:t>, such assignment will result in a reduction in such compensation or payments thereafter; and (iv) such assignment does not conflict with applicable Law. A Lender shall not be required to make any such assignment or delegation if, prior thereto, as a result of a waiver by such Lender or otherwise, the circumstances entitling the Borrower to require such assignment and delegation cease to apply.</w:t>
      </w:r>
    </w:p>
    <w:p>
      <w:pPr>
        <w:pStyle w:val="TextBody"/>
        <w:bidi w:val="0"/>
        <w:ind w:left="0" w:right="0" w:firstLine="72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5.05 Inability to Determine Rates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Replacement of Term SOFR or Successor Rate</w:t>
      </w:r>
      <w:r>
        <w:rPr>
          <w:rFonts w:ascii="Times New Roman;Times;Serif" w:hAnsi="Times New Roman;Times;Serif"/>
          <w:b w:val="false"/>
          <w:i w:val="false"/>
          <w:caps w:val="false"/>
          <w:smallCaps w:val="false"/>
          <w:sz w:val="20"/>
        </w:rPr>
        <w:t>. Notwithstanding anything to the contrary in this Agreement or any other Loan Documents, if the Administrative Agent determines (which determination shall be conclusive absent manifest error), or the Borrower or Majority Lenders notify the Administrative Agent (with, in the case of the Majority Lenders, a copy to the Borrower) that the Borrower or Majority Lenders (as applicable) have determined, that: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adequate and reasonable means do not exist for ascertaining Term SOFR pursuant to the definition thereof, including because the Term SOFR Screen Rate is not available or published on a current basis and such circumstances are unlikely to be temporary; or</w:t>
      </w:r>
    </w:p>
    <w:p>
      <w:pPr>
        <w:pStyle w:val="TextBody"/>
        <w:bidi w:val="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three month interest periods of Term SOFR or the Term SOFR Screen Rate shall or will no longer be representative or made available, or permitted to be used for determining the interest rate of U.S. dollar denominated syndicated loans or shall or will otherwise cease,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the time of such statement, there is no successor administrator that is reasonably satisfactory to the Administrative Agent that will continue to provide such interest periods of Term SOFR after such specific date, (the latest date on which such interest periods of Term SOFR or the Term SOFR Screen Rate are no longer representative or available permanently or indefinitely, the “</w:t>
      </w:r>
      <w:r>
        <w:rPr>
          <w:rFonts w:ascii="Times New Roman;Times;Serif" w:hAnsi="Times New Roman;Times;Serif"/>
          <w:b/>
          <w:i/>
          <w:caps w:val="false"/>
          <w:smallCaps w:val="false"/>
          <w:sz w:val="20"/>
        </w:rPr>
        <w:t>Scheduled Unavailability Date</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w:t>
      </w:r>
    </w:p>
    <w:p>
      <w:pPr>
        <w:pStyle w:val="TextBody"/>
        <w:bidi w:val="0"/>
        <w:ind w:left="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 xml:space="preserve">in the case of events or circumstances of the type described in </w:t>
      </w:r>
      <w:r>
        <w:rPr>
          <w:rFonts w:ascii="Times New Roman;Times;Serif" w:hAnsi="Times New Roman;Times;Serif"/>
          <w:b/>
          <w:i w:val="false"/>
          <w:caps w:val="false"/>
          <w:smallCaps w:val="false"/>
          <w:sz w:val="20"/>
        </w:rPr>
        <w:t>Section 5.05(a)(i)</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(ii)</w:t>
      </w:r>
      <w:r>
        <w:rPr>
          <w:rFonts w:ascii="Times New Roman;Times;Serif" w:hAnsi="Times New Roman;Times;Serif"/>
          <w:b w:val="false"/>
          <w:i w:val="false"/>
          <w:caps w:val="false"/>
          <w:smallCaps w:val="false"/>
          <w:sz w:val="20"/>
        </w:rPr>
        <w:t xml:space="preserve"> affecting Term SOFR, on a date and time determined by the Administrative Agent (any such date, the “</w:t>
      </w:r>
      <w:r>
        <w:rPr>
          <w:rFonts w:ascii="Times New Roman;Times;Serif" w:hAnsi="Times New Roman;Times;Serif"/>
          <w:b/>
          <w:i/>
          <w:caps w:val="false"/>
          <w:smallCaps w:val="false"/>
          <w:sz w:val="20"/>
        </w:rPr>
        <w:t>Term SOFR Replacement Date</w:t>
      </w:r>
      <w:r>
        <w:rPr>
          <w:rFonts w:ascii="Times New Roman;Times;Serif" w:hAnsi="Times New Roman;Times;Serif"/>
          <w:b w:val="false"/>
          <w:i w:val="false"/>
          <w:caps w:val="false"/>
          <w:smallCaps w:val="false"/>
          <w:sz w:val="20"/>
        </w:rPr>
        <w:t xml:space="preserve">”), which date shall be at the end of an Interest Period or on the relevant interest payment date, as applicable, for interest calculated and, solely with respect to </w:t>
      </w:r>
      <w:r>
        <w:rPr>
          <w:rFonts w:ascii="Times New Roman;Times;Serif" w:hAnsi="Times New Roman;Times;Serif"/>
          <w:b/>
          <w:i w:val="false"/>
          <w:caps w:val="false"/>
          <w:smallCaps w:val="false"/>
          <w:sz w:val="20"/>
        </w:rPr>
        <w:t>clause (ii)</w:t>
      </w:r>
      <w:r>
        <w:rPr>
          <w:rFonts w:ascii="Times New Roman;Times;Serif" w:hAnsi="Times New Roman;Times;Serif"/>
          <w:b w:val="false"/>
          <w:i w:val="false"/>
          <w:caps w:val="false"/>
          <w:smallCaps w:val="false"/>
          <w:sz w:val="20"/>
        </w:rPr>
        <w:t xml:space="preserve"> above, no later than the Scheduled Unavailability Date, Term SOFR will be replaced hereunder and under any other Loan Document with Daily Simple SOFR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the Credit Spread Adjustment, in each case, without any amendment to, or further action or consent of any other party to, this Agreement or any other Loan Document, and all interest payments on Loans with a Successor Rate of Daily Simple SOFR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the Credit Spread Adjustment will be payable on the next Payment Date; or</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(x) if the Administrative Agent reasonably determines that Daily Simple SOFR is not available on or prior to the Term SOFR Replacement Date, or (y) if the events or circumstances of the type described in </w:t>
      </w:r>
      <w:r>
        <w:rPr>
          <w:rFonts w:ascii="Times New Roman;Times;Serif" w:hAnsi="Times New Roman;Times;Serif"/>
          <w:b/>
          <w:i w:val="false"/>
          <w:caps w:val="false"/>
          <w:smallCaps w:val="false"/>
          <w:sz w:val="20"/>
        </w:rPr>
        <w:t>Section 5.05(a)(i)</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(ii)</w:t>
      </w:r>
      <w:r>
        <w:rPr>
          <w:rFonts w:ascii="Times New Roman;Times;Serif" w:hAnsi="Times New Roman;Times;Serif"/>
          <w:b w:val="false"/>
          <w:i w:val="false"/>
          <w:caps w:val="false"/>
          <w:smallCaps w:val="false"/>
          <w:sz w:val="20"/>
        </w:rPr>
        <w:t xml:space="preserve"> affecting any Successor Rate are then in effect, then, the Administrative Agent and the Borrower may amend this Agreement solely for the purpose of replacing the Interest Rate or any then current Successor Rate in accordance with this </w:t>
      </w:r>
      <w:r>
        <w:rPr>
          <w:rFonts w:ascii="Times New Roman;Times;Serif" w:hAnsi="Times New Roman;Times;Serif"/>
          <w:b/>
          <w:i w:val="false"/>
          <w:caps w:val="false"/>
          <w:smallCaps w:val="false"/>
          <w:sz w:val="20"/>
        </w:rPr>
        <w:t>Section 5.05</w:t>
      </w:r>
      <w:r>
        <w:rPr>
          <w:rFonts w:ascii="Times New Roman;Times;Serif" w:hAnsi="Times New Roman;Times;Serif"/>
          <w:b w:val="false"/>
          <w:i w:val="false"/>
          <w:caps w:val="false"/>
          <w:smallCaps w:val="false"/>
          <w:sz w:val="20"/>
        </w:rPr>
        <w:t xml:space="preserve"> with an alternative benchmark rate giving due consideration to any evolving or then existing convention for similar credit facilities syndicated and agented in the U.S. and denominated in Dollars for such alternative benchmarks, and, in each case, including any mathematical or other adjustments to such benchmark giving due consideration to any evolving or then existing convention for similar credit facilities syndicated and agented in the U.S. and denominated in Dollars for such benchmarks, which adjustment or method for calculating such adjustment shall be published on an information service as selected by the Administrative Agent from time to time in its reasonable discretion and may be periodically updated (and any such proposed rate, including for the avoidance of doubt, any adjustment thereto, a “</w:t>
      </w:r>
      <w:r>
        <w:rPr>
          <w:rFonts w:ascii="Times New Roman;Times;Serif" w:hAnsi="Times New Roman;Times;Serif"/>
          <w:b/>
          <w:i/>
          <w:caps w:val="false"/>
          <w:smallCaps w:val="false"/>
          <w:sz w:val="20"/>
        </w:rPr>
        <w:t>Successor Rate</w:t>
      </w:r>
      <w:r>
        <w:rPr>
          <w:rFonts w:ascii="Times New Roman;Times;Serif" w:hAnsi="Times New Roman;Times;Serif"/>
          <w:b w:val="false"/>
          <w:i w:val="false"/>
          <w:caps w:val="false"/>
          <w:smallCaps w:val="false"/>
          <w:sz w:val="20"/>
        </w:rPr>
        <w:t>”), and any such amendment shall become effective at 5:00 p.m. on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Business Day after the Administrative Agent shall have posted such proposed amendment to all Lenders and the Borrower unless, prior to such time, Lenders comprising the Majority Lenders have delivered to the Administrative Agent written notice that such Majority Lenders object to such amendment.</w:t>
      </w:r>
    </w:p>
    <w:p>
      <w:pPr>
        <w:pStyle w:val="TextBody"/>
        <w:bidi w:val="0"/>
        <w:ind w:left="72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72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Administrative Agent will promptly (in one or more notices) notify the Borrower and each Lender of the implementation of any Successor Rate.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Successor Rate shall be applied in a manner consistent with market practice;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 the extent such market practice is not administratively feasible for the Administrative Agent, such Successor Rate shall be applied in a manner as otherwise reasonably determined by the Administrative Agent (in consultation with the Borrower).</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anything else herein, if at any time any Successor Rate as so determined would otherwise be less than zero, the Successor Rate will be deemed to be zero for the purposes of this Agreement and the other Loan Documents.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any such amendment effected, the Administrative Agent shall post each such amendment implementing such Conforming Changes to the Borrower and the Lenders reasonably promptly after such amendment becomes effective.</w:t>
      </w:r>
    </w:p>
    <w:p>
      <w:pPr>
        <w:pStyle w:val="TextBody"/>
        <w:bidi w:val="0"/>
        <w:ind w:left="0" w:right="0" w:firstLine="144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5.06 Survival</w:t>
      </w:r>
      <w:r>
        <w:rPr>
          <w:rFonts w:ascii="Times New Roman;Times;Serif" w:hAnsi="Times New Roman;Times;Serif"/>
          <w:b w:val="false"/>
          <w:i w:val="false"/>
          <w:caps w:val="false"/>
          <w:smallCaps w:val="false"/>
          <w:sz w:val="20"/>
        </w:rPr>
        <w:t xml:space="preserve">. Each party’s obligations under this </w:t>
      </w:r>
      <w:r>
        <w:rPr>
          <w:rFonts w:ascii="Times New Roman;Times;Serif" w:hAnsi="Times New Roman;Times;Serif"/>
          <w:b/>
          <w:i w:val="false"/>
          <w:caps w:val="false"/>
          <w:smallCaps w:val="false"/>
          <w:sz w:val="20"/>
        </w:rPr>
        <w:t>Section 5</w:t>
      </w:r>
      <w:r>
        <w:rPr>
          <w:rFonts w:ascii="Times New Roman;Times;Serif" w:hAnsi="Times New Roman;Times;Serif"/>
          <w:b w:val="false"/>
          <w:i w:val="false"/>
          <w:caps w:val="false"/>
          <w:smallCaps w:val="false"/>
          <w:sz w:val="20"/>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pStyle w:val="TextBody"/>
        <w:bidi w:val="0"/>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Section 6.</w:t>
      </w:r>
      <w:r>
        <w:rPr>
          <w:rFonts w:ascii="Times New Roman;Times;Serif" w:hAnsi="Times New Roman;Times;Serif"/>
          <w:b/>
          <w:i w:val="false"/>
          <w:caps w:val="false"/>
          <w:smallCaps w:val="false"/>
          <w:sz w:val="20"/>
        </w:rPr>
        <w:br/>
        <w:t>CONDITIONS</w:t>
      </w:r>
    </w:p>
    <w:p>
      <w:pPr>
        <w:pStyle w:val="TextBody"/>
        <w:bidi w:val="0"/>
        <w:ind w:left="0" w:right="0" w:hanging="0"/>
        <w:jc w:val="center"/>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6.01 Conditions to the Closing Date</w:t>
      </w:r>
      <w:r>
        <w:rPr>
          <w:rFonts w:ascii="Times New Roman;Times;Serif" w:hAnsi="Times New Roman;Times;Serif"/>
          <w:b w:val="false"/>
          <w:i w:val="false"/>
          <w:caps w:val="false"/>
          <w:smallCaps w:val="false"/>
          <w:sz w:val="20"/>
        </w:rPr>
        <w:t xml:space="preserve">. The obligation of each Lender to make the Tranche A Terms Loans shall be subject to the delivery of a Borrowing Notice as required pursuant to </w:t>
      </w:r>
      <w:r>
        <w:rPr>
          <w:rFonts w:ascii="Times New Roman;Times;Serif" w:hAnsi="Times New Roman;Times;Serif"/>
          <w:b/>
          <w:i w:val="false"/>
          <w:caps w:val="false"/>
          <w:smallCaps w:val="false"/>
          <w:sz w:val="20"/>
        </w:rPr>
        <w:t>Section 2.02</w:t>
      </w:r>
      <w:r>
        <w:rPr>
          <w:rFonts w:ascii="Times New Roman;Times;Serif" w:hAnsi="Times New Roman;Times;Serif"/>
          <w:b w:val="false"/>
          <w:i w:val="false"/>
          <w:caps w:val="false"/>
          <w:smallCaps w:val="false"/>
          <w:sz w:val="20"/>
        </w:rPr>
        <w:t xml:space="preserve"> and the prior or concurrent satisfaction or waiver of each of the conditions precedent set forth below in this </w:t>
      </w:r>
      <w:r>
        <w:rPr>
          <w:rFonts w:ascii="Times New Roman;Times;Serif" w:hAnsi="Times New Roman;Times;Serif"/>
          <w:b/>
          <w:i w:val="false"/>
          <w:caps w:val="false"/>
          <w:smallCaps w:val="false"/>
          <w:sz w:val="20"/>
        </w:rPr>
        <w:t>Section 6.01</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Loan Documents</w:t>
      </w:r>
      <w:r>
        <w:rPr>
          <w:rFonts w:ascii="Times New Roman;Times;Serif" w:hAnsi="Times New Roman;Times;Serif"/>
          <w:b w:val="false"/>
          <w:i w:val="false"/>
          <w:caps w:val="false"/>
          <w:smallCaps w:val="false"/>
          <w:sz w:val="20"/>
        </w:rPr>
        <w:t>. The Administrative Agent shall have received each Loan Document required to be executed by the appropriate Obligor on the Closing Date and delivered by each applicable Obligor in such number as reasonably requested by the Administrative Agent (which may be delivered by electronic means for the purposes of satisfying this clause (a) on the Closing Date) and such Loan Documents shall be in form and substance satisfactory to the Administrative Agent and the Lenders and their respective counsels.</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 xml:space="preserve">Secretary’s Certificate, Etc. </w:t>
      </w:r>
      <w:r>
        <w:rPr>
          <w:rFonts w:ascii="Times New Roman;Times;Serif" w:hAnsi="Times New Roman;Times;Serif"/>
          <w:b w:val="false"/>
          <w:i w:val="false"/>
          <w:caps w:val="false"/>
          <w:smallCaps w:val="false"/>
          <w:sz w:val="20"/>
        </w:rPr>
        <w:t>The Administrative Agent shall have received from each Obligor (x) a copy of a good standing certificate, dated a date reasonably close to the Closing Date, for each such Person (other than Visionology, Inc.) and (y) a certificate, dated as of the Closing Date, duly executed and delivered by such Person’s Responsible Officer, as to:</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resolutions of each such Person’s Board then in full force and effect authorizing the execution, delivery and performance of each Loan Document to be executed by such Person and the Transactions;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incumbency and signatures of Responsible Officers authorized to execute and deliver each Loan Document to be executed by such Person; and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full force and validity of each Organic Document of such Person and copies thereof,</w:t>
      </w:r>
    </w:p>
    <w:p>
      <w:pPr>
        <w:pStyle w:val="TextBody"/>
        <w:bidi w:val="0"/>
        <w:ind w:left="0" w:right="0" w:firstLine="144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certificates shall be in form and substance reasonably satisfactory to the Administrative Agent and upon which the Administrative Agent and the Lenders may conclusively rely until they shall have received a further certificate of the Responsible Officer of any such Person updating the prior certificate of such Person.</w:t>
      </w:r>
    </w:p>
    <w:p>
      <w:pPr>
        <w:pStyle w:val="TextBody"/>
        <w:bidi w:val="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Perfection Certificate</w:t>
      </w:r>
      <w:r>
        <w:rPr>
          <w:rFonts w:ascii="Times New Roman;Times;Serif" w:hAnsi="Times New Roman;Times;Serif"/>
          <w:b w:val="false"/>
          <w:i w:val="false"/>
          <w:caps w:val="false"/>
          <w:smallCaps w:val="false"/>
          <w:sz w:val="20"/>
        </w:rPr>
        <w:t>. The Administrative Agent shall have received a fully completed Perfection Certificate in form and substance reasonably satisfactory to the Administrative Agent, dated as of the Closing Date, duly executed and delivered by a Responsible Officer of the Borrower. All documents and agreements required to be appended to the Perfection Certificate, shall be in form and substance reasonably satisfactory to the Administrative Agent, shall have been executed and delivered by the requisite parties and shall be in full force and effect.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Funding Date Certificate</w:t>
      </w:r>
      <w:r>
        <w:rPr>
          <w:rFonts w:ascii="Times New Roman;Times;Serif" w:hAnsi="Times New Roman;Times;Serif"/>
          <w:b w:val="false"/>
          <w:i w:val="false"/>
          <w:caps w:val="false"/>
          <w:smallCaps w:val="false"/>
          <w:sz w:val="20"/>
        </w:rPr>
        <w:t xml:space="preserve">. The Administrative Agent shall have received a Funding Date Certificate, dated as of the Closing Date and substantially in the form of </w:t>
      </w:r>
      <w:r>
        <w:rPr>
          <w:rFonts w:ascii="Times New Roman;Times;Serif" w:hAnsi="Times New Roman;Times;Serif"/>
          <w:b/>
          <w:i w:val="false"/>
          <w:caps w:val="false"/>
          <w:smallCaps w:val="false"/>
          <w:sz w:val="20"/>
        </w:rPr>
        <w:t>Exhibit C</w:t>
      </w:r>
      <w:r>
        <w:rPr>
          <w:rFonts w:ascii="Times New Roman;Times;Serif" w:hAnsi="Times New Roman;Times;Serif"/>
          <w:b w:val="false"/>
          <w:i w:val="false"/>
          <w:caps w:val="false"/>
          <w:smallCaps w:val="false"/>
          <w:sz w:val="20"/>
        </w:rPr>
        <w:t>, duly executed and delivered by a Responsible Officer of the Borrower.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Delivery of Notes</w:t>
      </w:r>
      <w:r>
        <w:rPr>
          <w:rFonts w:ascii="Times New Roman;Times;Serif" w:hAnsi="Times New Roman;Times;Serif"/>
          <w:b w:val="false"/>
          <w:i w:val="false"/>
          <w:caps w:val="false"/>
          <w:smallCaps w:val="false"/>
          <w:sz w:val="20"/>
        </w:rPr>
        <w:t xml:space="preserve">. Each Lender shall have received a Note for the Tranche A Term Loans to the extent requested by such Lender pursuant to </w:t>
      </w:r>
      <w:r>
        <w:rPr>
          <w:rFonts w:ascii="Times New Roman;Times;Serif" w:hAnsi="Times New Roman;Times;Serif"/>
          <w:b/>
          <w:i w:val="false"/>
          <w:caps w:val="false"/>
          <w:smallCaps w:val="false"/>
          <w:sz w:val="20"/>
        </w:rPr>
        <w:t>Section 2.04</w:t>
      </w:r>
      <w:r>
        <w:rPr>
          <w:rFonts w:ascii="Times New Roman;Times;Serif" w:hAnsi="Times New Roman;Times;Serif"/>
          <w:b w:val="false"/>
          <w:i w:val="false"/>
          <w:caps w:val="false"/>
          <w:smallCaps w:val="false"/>
          <w:sz w:val="20"/>
        </w:rPr>
        <w:t>, duly executed and delivered by a Responsible Officer of the Borrower.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val="false"/>
          <w:caps w:val="false"/>
          <w:smallCaps w:val="false"/>
          <w:sz w:val="20"/>
        </w:rPr>
        <w:t xml:space="preserve">Financial Information, Etc. </w:t>
      </w:r>
      <w:r>
        <w:rPr>
          <w:rFonts w:ascii="Times New Roman;Times;Serif" w:hAnsi="Times New Roman;Times;Serif"/>
          <w:b w:val="false"/>
          <w:i w:val="false"/>
          <w:caps w:val="false"/>
          <w:smallCaps w:val="false"/>
          <w:sz w:val="20"/>
        </w:rPr>
        <w:t>The Administrative Agent shall have received, or such information shall be publicly available on “EDGAR”, (i) audited consolidated financial statements of the Borrower and its Subsidiaries for the fiscal year ended December 31, 2021 and (ii) unaudited consolidated balance sheets of the Borrower and its Subsidiaries for each fiscal quarter ended after December 31, 2021 through December 31, 2022, together with the related consolidated statement of operations and cash flows for such fiscal quarter.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i w:val="false"/>
          <w:caps w:val="false"/>
          <w:smallCaps w:val="false"/>
          <w:sz w:val="20"/>
        </w:rPr>
        <w:t>Solvency</w:t>
      </w:r>
      <w:r>
        <w:rPr>
          <w:rFonts w:ascii="Times New Roman;Times;Serif" w:hAnsi="Times New Roman;Times;Serif"/>
          <w:b w:val="false"/>
          <w:i w:val="false"/>
          <w:caps w:val="false"/>
          <w:smallCaps w:val="false"/>
          <w:sz w:val="20"/>
        </w:rPr>
        <w:t xml:space="preserve">. The Administrative Agent shall have received a solvency certificate, substantially in the form of </w:t>
      </w:r>
      <w:r>
        <w:rPr>
          <w:rFonts w:ascii="Times New Roman;Times;Serif" w:hAnsi="Times New Roman;Times;Serif"/>
          <w:b/>
          <w:i w:val="false"/>
          <w:caps w:val="false"/>
          <w:smallCaps w:val="false"/>
          <w:sz w:val="20"/>
        </w:rPr>
        <w:t>Exhibit K</w:t>
      </w:r>
      <w:r>
        <w:rPr>
          <w:rFonts w:ascii="Times New Roman;Times;Serif" w:hAnsi="Times New Roman;Times;Serif"/>
          <w:b w:val="false"/>
          <w:i w:val="false"/>
          <w:caps w:val="false"/>
          <w:smallCaps w:val="false"/>
          <w:sz w:val="20"/>
        </w:rPr>
        <w:t xml:space="preserve"> duly executed and delivered by the chief financial officer of the Borrower, dated as of the Closing Date, in form and substance reasonably satisfactory to the Administrative Agent.</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i w:val="false"/>
          <w:caps w:val="false"/>
          <w:smallCaps w:val="false"/>
          <w:sz w:val="20"/>
        </w:rPr>
        <w:t>Security Documents</w:t>
      </w:r>
      <w:r>
        <w:rPr>
          <w:rFonts w:ascii="Times New Roman;Times;Serif" w:hAnsi="Times New Roman;Times;Serif"/>
          <w:b w:val="false"/>
          <w:i w:val="false"/>
          <w:caps w:val="false"/>
          <w:smallCaps w:val="false"/>
          <w:sz w:val="20"/>
        </w:rPr>
        <w:t>. The Administrative Agent shall have received executed counterparts of a Security Agreement, in form and substance reasonably acceptable to the Administrative Agent, dated as of the Closing Date, duly executed and delivered by each Obligor, together with all documents (including share certificates, transfers and stock transfer forms, notices or any other instruments) required to be delivered or filed under the Security Documents and evidence satisfactory to it that arrangements have been made with respect to all registrations, notices or actions required under the Security Documents to be effected, given or made in order to establish a valid and perfected first priority (subject to Permitted Liens) security interest in the Collateral in accordance with the terms of the Security Documents, including: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[reserved];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financing statements naming each Obligor as a debtor and the Administrative Agent as the secured party, or other similar instruments or documents, in each case suitable for filing, filed under the UCC (or equivalent law) of all jurisdictions as may be necessary or, in the opinion of the Administrative Agent, desirable to perfect the Liens of the Secured Parties pursuant to the Security Agreement;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UCC-3 termination statements, if any, necessary to release all Liens and other rights of any Person in any collateral described in the Security Agreement previously granted by any Person (other than with respect to Permitted Liens);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applicable Short-Form IP Security Agreements required to be provided under the Security Agreement, each dated as of the Closing Date, duly executed and delivered by each applicable Obligor; and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Intercompany Subordination Agreement or such other subordination agreement in form and substance reasonably satisfactory to the Administrative Agent.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i w:val="false"/>
          <w:caps w:val="false"/>
          <w:smallCaps w:val="false"/>
          <w:sz w:val="20"/>
        </w:rPr>
        <w:t>Lien Searches</w:t>
      </w:r>
      <w:r>
        <w:rPr>
          <w:rFonts w:ascii="Times New Roman;Times;Serif" w:hAnsi="Times New Roman;Times;Serif"/>
          <w:b w:val="false"/>
          <w:i w:val="false"/>
          <w:caps w:val="false"/>
          <w:smallCaps w:val="false"/>
          <w:sz w:val="20"/>
        </w:rPr>
        <w:t>. The Administrative Agent shall be satisfied with Lien searches regarding the Borrower and the Subsidiary Guarantors made as of a date reasonably close to the Closing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i w:val="false"/>
          <w:caps w:val="false"/>
          <w:smallCaps w:val="false"/>
          <w:sz w:val="20"/>
        </w:rPr>
        <w:t>Evidence of Insurance</w:t>
      </w:r>
      <w:r>
        <w:rPr>
          <w:rFonts w:ascii="Times New Roman;Times;Serif" w:hAnsi="Times New Roman;Times;Serif"/>
          <w:b w:val="false"/>
          <w:i w:val="false"/>
          <w:caps w:val="false"/>
          <w:smallCaps w:val="false"/>
          <w:sz w:val="20"/>
        </w:rPr>
        <w:t>. Receipt by the Administrative Agent of copies of insurance policies and certificates of insurance of the Obligors evidencing liability and casualty insurance meeting the requirements set forth in the Loan Documents, including, but not limited to, naming the Administrative Agent as additional insured (in the case of liability insurance) or lender loss payee (in the case of hazard insurance) on behalf of the Secured Parties.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i w:val="false"/>
          <w:caps w:val="false"/>
          <w:smallCaps w:val="false"/>
          <w:sz w:val="20"/>
        </w:rPr>
        <w:t>Payoff of Existing Credit Facility</w:t>
      </w:r>
      <w:r>
        <w:rPr>
          <w:rFonts w:ascii="Times New Roman;Times;Serif" w:hAnsi="Times New Roman;Times;Serif"/>
          <w:b w:val="false"/>
          <w:i w:val="false"/>
          <w:caps w:val="false"/>
          <w:smallCaps w:val="false"/>
          <w:sz w:val="20"/>
        </w:rPr>
        <w:t>. The Refinanced Facility shall have been (or substantially concurrently with the Closing Date shall be) repaid or satisfied and discharged, and in connection therewith all Guarantees and Liens shall have been released, on or prior to the Closing Date, on terms reasonably acceptable to the Administrative Agent and the Administrative Agent shall have received an executed payoff letter and related Lien release documentation in connection therewith, in each case in form and substance reasonably acceptable to the Administrative Agent.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i w:val="false"/>
          <w:caps w:val="false"/>
          <w:smallCaps w:val="false"/>
          <w:sz w:val="20"/>
        </w:rPr>
        <w:t>Due Diligence Review</w:t>
      </w:r>
      <w:r>
        <w:rPr>
          <w:rFonts w:ascii="Times New Roman;Times;Serif" w:hAnsi="Times New Roman;Times;Serif"/>
          <w:b w:val="false"/>
          <w:i w:val="false"/>
          <w:caps w:val="false"/>
          <w:smallCaps w:val="false"/>
          <w:sz w:val="20"/>
        </w:rPr>
        <w:t>. The Administrative Agent and the Lenders shall have completed and be satisfied with all legal due diligence and business due diligence (including, without limitation, due diligence related to third party reports, and completion of any studies and/or consultant projects), and the Administrative Agent and the Lenders shall be satisfied with the Obligors’ capital, legal and organizational structure.</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i w:val="false"/>
          <w:caps w:val="false"/>
          <w:smallCaps w:val="false"/>
          <w:sz w:val="20"/>
        </w:rPr>
        <w:t>Opinions of Counsel</w:t>
      </w:r>
      <w:r>
        <w:rPr>
          <w:rFonts w:ascii="Times New Roman;Times;Serif" w:hAnsi="Times New Roman;Times;Serif"/>
          <w:b w:val="false"/>
          <w:i w:val="false"/>
          <w:caps w:val="false"/>
          <w:smallCaps w:val="false"/>
          <w:sz w:val="20"/>
        </w:rPr>
        <w:t>. The Administrative Agent shall have received duly executed legal opinions of counsel to the Obligors (including, as appropriate, local counsel to the Obligors) dated as of the Closing Date, in form and substance reasonably acceptable to the Administrative Agent.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i w:val="false"/>
          <w:caps w:val="false"/>
          <w:smallCaps w:val="false"/>
          <w:sz w:val="20"/>
        </w:rPr>
        <w:t>Fee Letter</w:t>
      </w:r>
      <w:r>
        <w:rPr>
          <w:rFonts w:ascii="Times New Roman;Times;Serif" w:hAnsi="Times New Roman;Times;Serif"/>
          <w:b w:val="false"/>
          <w:i w:val="false"/>
          <w:caps w:val="false"/>
          <w:smallCaps w:val="false"/>
          <w:sz w:val="20"/>
        </w:rPr>
        <w:t>. The Administrative Agent shall have received an executed counterpart of the Fee Letter, duly executed and delivered by the Borrower.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i w:val="false"/>
          <w:caps w:val="false"/>
          <w:smallCaps w:val="false"/>
          <w:sz w:val="20"/>
        </w:rPr>
        <w:t>Closing Fees, Expenses, Etc</w:t>
      </w:r>
      <w:r>
        <w:rPr>
          <w:rFonts w:ascii="Times New Roman;Times;Serif" w:hAnsi="Times New Roman;Times;Serif"/>
          <w:b w:val="false"/>
          <w:i w:val="false"/>
          <w:caps w:val="false"/>
          <w:smallCaps w:val="false"/>
          <w:sz w:val="20"/>
        </w:rPr>
        <w:t xml:space="preserve">. Each of the Administrative Agent and each Lender shall have received for its own account, (i) the upfront fee as set forth in the Fee Letter, which shall be paid by way of the Administrative Agent retaining such amount from the proceeds of the Loan and (ii) all fees, costs and expenses due and payable to it pursuant to the Fee Letter and </w:t>
      </w:r>
      <w:r>
        <w:rPr>
          <w:rFonts w:ascii="Times New Roman;Times;Serif" w:hAnsi="Times New Roman;Times;Serif"/>
          <w:b/>
          <w:i w:val="false"/>
          <w:caps w:val="false"/>
          <w:smallCaps w:val="false"/>
          <w:sz w:val="20"/>
        </w:rPr>
        <w:t>Section 14.03</w:t>
      </w:r>
      <w:r>
        <w:rPr>
          <w:rFonts w:ascii="Times New Roman;Times;Serif" w:hAnsi="Times New Roman;Times;Serif"/>
          <w:b w:val="false"/>
          <w:i w:val="false"/>
          <w:caps w:val="false"/>
          <w:smallCaps w:val="false"/>
          <w:sz w:val="20"/>
        </w:rPr>
        <w:t>, including all reasonable closing costs and fees and all unpaid reasonable and documented expenses of the Administrative Agent incurred in connection with the Transactions (including the Administrative Agent’s reasonable and documented legal fees and expenses), plus fees and expenses of any local counsel, plus all collateral filing fees and security fees, in each case, (A) to the extent invoiced (or as to which a good faith estimate has been provided to the Borrower) at least two (2) Business Days prior to the Closing Date and (B) in the case of the fees, costs and expenses pursuant to clause (ii), net of any amounts previously paid by the Borrower to the Administrative Agent as a deposit against such fees, costs and expenses.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i w:val="false"/>
          <w:caps w:val="false"/>
          <w:smallCaps w:val="false"/>
          <w:sz w:val="20"/>
        </w:rPr>
        <w:t>Material Adverse Change</w:t>
      </w:r>
      <w:r>
        <w:rPr>
          <w:rFonts w:ascii="Times New Roman;Times;Serif" w:hAnsi="Times New Roman;Times;Serif"/>
          <w:b w:val="false"/>
          <w:i w:val="false"/>
          <w:caps w:val="false"/>
          <w:smallCaps w:val="false"/>
          <w:sz w:val="20"/>
        </w:rPr>
        <w:t>. Since December 31, 2021, no event, circumstance or change shall have occurred that has caused or would reasonably be expected to cause, either individually or in the aggregate, a Material Adverse Change, both before and after giving effect to the Loans to be made on the Closing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i w:val="false"/>
          <w:caps w:val="false"/>
          <w:smallCaps w:val="false"/>
          <w:sz w:val="20"/>
        </w:rPr>
        <w:t>FDA Enforcement Actions</w:t>
      </w:r>
      <w:r>
        <w:rPr>
          <w:rFonts w:ascii="Times New Roman;Times;Serif" w:hAnsi="Times New Roman;Times;Serif"/>
          <w:b w:val="false"/>
          <w:i w:val="false"/>
          <w:caps w:val="false"/>
          <w:smallCaps w:val="false"/>
          <w:sz w:val="20"/>
        </w:rPr>
        <w:t>. With respect to each warning letter, untitled letter, inspection or investigation by a Governmental Authority directed at the Borrower or any of its Subsidiaries, the Borrower or the applicable Subsidiaries have disclosed all material documentation and materials (including all written communications to and from FDA) with respect to such warning letter, untitled letter, inspection or investigation as of the Closing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i w:val="false"/>
          <w:caps w:val="false"/>
          <w:smallCaps w:val="false"/>
          <w:sz w:val="20"/>
        </w:rPr>
        <w:t>No Default</w:t>
      </w:r>
      <w:r>
        <w:rPr>
          <w:rFonts w:ascii="Times New Roman;Times;Serif" w:hAnsi="Times New Roman;Times;Serif"/>
          <w:b w:val="false"/>
          <w:i w:val="false"/>
          <w:caps w:val="false"/>
          <w:smallCaps w:val="false"/>
          <w:sz w:val="20"/>
        </w:rPr>
        <w:t>. No event shall have occurred or be continuing that would constitute a Default or Event of Default.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i w:val="false"/>
          <w:caps w:val="false"/>
          <w:smallCaps w:val="false"/>
          <w:sz w:val="20"/>
        </w:rPr>
        <w:t>Representations and Warranties</w:t>
      </w:r>
      <w:r>
        <w:rPr>
          <w:rFonts w:ascii="Times New Roman;Times;Serif" w:hAnsi="Times New Roman;Times;Serif"/>
          <w:b w:val="false"/>
          <w:i w:val="false"/>
          <w:caps w:val="false"/>
          <w:smallCaps w:val="false"/>
          <w:sz w:val="20"/>
        </w:rPr>
        <w:t xml:space="preserve">. The representations and warranties contained in this Agreement and in the other Loan Documents delivered pursuant to </w:t>
      </w:r>
      <w:r>
        <w:rPr>
          <w:rFonts w:ascii="Times New Roman;Times;Serif" w:hAnsi="Times New Roman;Times;Serif"/>
          <w:b/>
          <w:i w:val="false"/>
          <w:caps w:val="false"/>
          <w:smallCaps w:val="false"/>
          <w:sz w:val="20"/>
        </w:rPr>
        <w:t>Section 6.01</w:t>
      </w:r>
      <w:r>
        <w:rPr>
          <w:rFonts w:ascii="Times New Roman;Times;Serif" w:hAnsi="Times New Roman;Times;Serif"/>
          <w:b w:val="false"/>
          <w:i w:val="false"/>
          <w:caps w:val="false"/>
          <w:smallCaps w:val="false"/>
          <w:sz w:val="20"/>
        </w:rPr>
        <w:t xml:space="preserve"> shall be true and correct in all material respects (unless such representations are already qualified by reference to materiality, Material Adverse Effect or similar language, in which case such representations and warranties shall be true and correct in all respects) on and as of the Closing Date, except to the extent such representations and warranties specifically relate to an earlier date, in which case such representations and warranties shall have been true and correct in all material respects on and as of such earlier date.</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i w:val="false"/>
          <w:caps w:val="false"/>
          <w:smallCaps w:val="false"/>
          <w:sz w:val="20"/>
        </w:rPr>
        <w:t>Minimum Liquidity</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i w:val="false"/>
          <w:caps w:val="false"/>
          <w:smallCaps w:val="false"/>
          <w:sz w:val="20"/>
        </w:rPr>
        <w:t xml:space="preserve">Section 8.17(d)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(f)</w:t>
      </w:r>
      <w:r>
        <w:rPr>
          <w:rFonts w:ascii="Times New Roman;Times;Serif" w:hAnsi="Times New Roman;Times;Serif"/>
          <w:b w:val="false"/>
          <w:i w:val="false"/>
          <w:caps w:val="false"/>
          <w:smallCaps w:val="false"/>
          <w:sz w:val="20"/>
        </w:rPr>
        <w:t xml:space="preserve">, the Administrative Agent shall have received written evidence reasonably satisfactory to it that, as of the Closing Date, the Borrower is in pro forma compliance with </w:t>
      </w:r>
      <w:r>
        <w:rPr>
          <w:rFonts w:ascii="Times New Roman;Times;Serif" w:hAnsi="Times New Roman;Times;Serif"/>
          <w:b/>
          <w:i w:val="false"/>
          <w:caps w:val="false"/>
          <w:smallCaps w:val="false"/>
          <w:sz w:val="20"/>
        </w:rPr>
        <w:t>Section 10.01</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i w:val="false"/>
          <w:caps w:val="false"/>
          <w:smallCaps w:val="false"/>
          <w:sz w:val="20"/>
        </w:rPr>
        <w:t>Beneficial Ownership Certificate; KYC</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To the extent requested by any Lender or the Administrative Agent at least three (3) Business Days prior to the Closing Date, the Borrower shall have provided to such Lender and the Administrative Agent all documentation and other information so requested, including a duly executed IRS Form W-9 of the Borrower (or such other applicable tax form), in connection with applicable “know your customer” and anti-money laundering rules and regulations, including the Patriot Act, and if the Borrower qualifies as a “legal entity customer” under the Beneficial Ownership Regulation, a Beneficial Ownership Certification, in each case prior to the Closing Date.</w:t>
      </w:r>
    </w:p>
    <w:p>
      <w:pPr>
        <w:pStyle w:val="TextBody"/>
        <w:bidi w:val="0"/>
        <w:ind w:left="0" w:right="0" w:firstLine="72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6.02 Conditions to the Borrowing of Tranche B Term Loans</w:t>
      </w:r>
      <w:r>
        <w:rPr>
          <w:rFonts w:ascii="Times New Roman;Times;Serif" w:hAnsi="Times New Roman;Times;Serif"/>
          <w:b w:val="false"/>
          <w:i w:val="false"/>
          <w:caps w:val="false"/>
          <w:smallCaps w:val="false"/>
          <w:sz w:val="20"/>
        </w:rPr>
        <w:t xml:space="preserve">. The obligation of each Lender to make Tranche B Term Loans shall be subject to the delivery of a Borrowing Notice as required pursuant to </w:t>
      </w:r>
      <w:r>
        <w:rPr>
          <w:rFonts w:ascii="Times New Roman;Times;Serif" w:hAnsi="Times New Roman;Times;Serif"/>
          <w:b/>
          <w:i w:val="false"/>
          <w:caps w:val="false"/>
          <w:smallCaps w:val="false"/>
          <w:sz w:val="20"/>
        </w:rPr>
        <w:t>Section 2.02</w:t>
      </w:r>
      <w:r>
        <w:rPr>
          <w:rFonts w:ascii="Times New Roman;Times;Serif" w:hAnsi="Times New Roman;Times;Serif"/>
          <w:b w:val="false"/>
          <w:i w:val="false"/>
          <w:caps w:val="false"/>
          <w:smallCaps w:val="false"/>
          <w:sz w:val="20"/>
        </w:rPr>
        <w:t xml:space="preserve">, and the prior or concurrent satisfaction or waiver of each of the conditions precedent set forth below in this </w:t>
      </w:r>
      <w:r>
        <w:rPr>
          <w:rFonts w:ascii="Times New Roman;Times;Serif" w:hAnsi="Times New Roman;Times;Serif"/>
          <w:b/>
          <w:i w:val="false"/>
          <w:caps w:val="false"/>
          <w:smallCaps w:val="false"/>
          <w:sz w:val="20"/>
        </w:rPr>
        <w:t>Section 6.02</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Funding Date Certificate</w:t>
      </w:r>
      <w:r>
        <w:rPr>
          <w:rFonts w:ascii="Times New Roman;Times;Serif" w:hAnsi="Times New Roman;Times;Serif"/>
          <w:b w:val="false"/>
          <w:i w:val="false"/>
          <w:caps w:val="false"/>
          <w:smallCaps w:val="false"/>
          <w:sz w:val="20"/>
        </w:rPr>
        <w:t xml:space="preserve">. The Administrative Agent shall have received a Funding Date Certificate substantially in the form of </w:t>
      </w:r>
      <w:r>
        <w:rPr>
          <w:rFonts w:ascii="Times New Roman;Times;Serif" w:hAnsi="Times New Roman;Times;Serif"/>
          <w:b/>
          <w:i w:val="false"/>
          <w:caps w:val="false"/>
          <w:smallCaps w:val="false"/>
          <w:sz w:val="20"/>
        </w:rPr>
        <w:t>Exhibit C</w:t>
      </w:r>
      <w:r>
        <w:rPr>
          <w:rFonts w:ascii="Times New Roman;Times;Serif" w:hAnsi="Times New Roman;Times;Serif"/>
          <w:b w:val="false"/>
          <w:i w:val="false"/>
          <w:caps w:val="false"/>
          <w:smallCaps w:val="false"/>
          <w:sz w:val="20"/>
        </w:rPr>
        <w:t xml:space="preserve"> dated as of the Applicable Funding Date, duly executed and delivered by a Responsible Officer of the Borrower.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Delivery of Notes</w:t>
      </w:r>
      <w:r>
        <w:rPr>
          <w:rFonts w:ascii="Times New Roman;Times;Serif" w:hAnsi="Times New Roman;Times;Serif"/>
          <w:b w:val="false"/>
          <w:i w:val="false"/>
          <w:caps w:val="false"/>
          <w:smallCaps w:val="false"/>
          <w:sz w:val="20"/>
        </w:rPr>
        <w:t xml:space="preserve">. The Administrative Agent shall have received a Note to the extent requested by any Lender pursuant to </w:t>
      </w:r>
      <w:r>
        <w:rPr>
          <w:rFonts w:ascii="Times New Roman;Times;Serif" w:hAnsi="Times New Roman;Times;Serif"/>
          <w:b/>
          <w:i w:val="false"/>
          <w:caps w:val="false"/>
          <w:smallCaps w:val="false"/>
          <w:sz w:val="20"/>
        </w:rPr>
        <w:t>Section 2.04</w:t>
      </w:r>
      <w:r>
        <w:rPr>
          <w:rFonts w:ascii="Times New Roman;Times;Serif" w:hAnsi="Times New Roman;Times;Serif"/>
          <w:b w:val="false"/>
          <w:i w:val="false"/>
          <w:caps w:val="false"/>
          <w:smallCaps w:val="false"/>
          <w:sz w:val="20"/>
        </w:rPr>
        <w:t xml:space="preserve"> for the Tranche B Term Loans made on the Tranche B Funding Date duly executed and delivered by a Responsible Officer of the Borrower.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Solvency</w:t>
      </w:r>
      <w:r>
        <w:rPr>
          <w:rFonts w:ascii="Times New Roman;Times;Serif" w:hAnsi="Times New Roman;Times;Serif"/>
          <w:b w:val="false"/>
          <w:i w:val="false"/>
          <w:caps w:val="false"/>
          <w:smallCaps w:val="false"/>
          <w:sz w:val="20"/>
        </w:rPr>
        <w:t xml:space="preserve">. The Administrative Agent shall have received a solvency certificate, substantially in the form of </w:t>
      </w:r>
      <w:r>
        <w:rPr>
          <w:rFonts w:ascii="Times New Roman;Times;Serif" w:hAnsi="Times New Roman;Times;Serif"/>
          <w:b/>
          <w:i w:val="false"/>
          <w:caps w:val="false"/>
          <w:smallCaps w:val="false"/>
          <w:sz w:val="20"/>
        </w:rPr>
        <w:t>Exhibit K</w:t>
      </w:r>
      <w:r>
        <w:rPr>
          <w:rFonts w:ascii="Times New Roman;Times;Serif" w:hAnsi="Times New Roman;Times;Serif"/>
          <w:b w:val="false"/>
          <w:i w:val="false"/>
          <w:caps w:val="false"/>
          <w:smallCaps w:val="false"/>
          <w:sz w:val="20"/>
        </w:rPr>
        <w:t>, duly executed and delivered by the chief financial officer of the Borrower, dated as of the Tranche B Funding Date, in form and substance reasonably satisfactory to the Administrative Agent.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Fees, Expenses, Etc.</w:t>
      </w:r>
      <w:r>
        <w:rPr>
          <w:rFonts w:ascii="Times New Roman;Times;Serif" w:hAnsi="Times New Roman;Times;Serif"/>
          <w:b w:val="false"/>
          <w:i w:val="false"/>
          <w:caps w:val="false"/>
          <w:smallCaps w:val="false"/>
          <w:sz w:val="20"/>
        </w:rPr>
        <w:t xml:space="preserve"> Each of the Administrative Agent and each Lender shall have received for its own account all Commitment Fees and other fees, costs and expenses due and payable to it on or prior to the Tranche B Funding Date pursuant to the Fee Letter, </w:t>
      </w:r>
      <w:r>
        <w:rPr>
          <w:rFonts w:ascii="Times New Roman;Times;Serif" w:hAnsi="Times New Roman;Times;Serif"/>
          <w:b/>
          <w:i w:val="false"/>
          <w:caps w:val="false"/>
          <w:smallCaps w:val="false"/>
          <w:sz w:val="20"/>
        </w:rPr>
        <w:t xml:space="preserve">Section 2.06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Section 14.03</w:t>
      </w:r>
      <w:r>
        <w:rPr>
          <w:rFonts w:ascii="Times New Roman;Times;Serif" w:hAnsi="Times New Roman;Times;Serif"/>
          <w:b w:val="false"/>
          <w:i w:val="false"/>
          <w:caps w:val="false"/>
          <w:smallCaps w:val="false"/>
          <w:sz w:val="20"/>
        </w:rPr>
        <w:t>, including all reasonable and documented closing costs and fees and all unpaid reasonable and documented expenses of the Administrative Agent incurred in connection with the Transactions (including the Administrative Agent’s reasonable and documented legal fees and expenses) in each case, to the extent invoiced (or as to which a good faith estimate has been provided to the Borrower) at least two (2) Business Days prior to the Tranche B Funding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Material Adverse Change</w:t>
      </w:r>
      <w:r>
        <w:rPr>
          <w:rFonts w:ascii="Times New Roman;Times;Serif" w:hAnsi="Times New Roman;Times;Serif"/>
          <w:b w:val="false"/>
          <w:i w:val="false"/>
          <w:caps w:val="false"/>
          <w:smallCaps w:val="false"/>
          <w:sz w:val="20"/>
        </w:rPr>
        <w:t>. Since December 31, 2021, no event, circumstance or change shall have occurred that has caused or would reasonably be expected to cause, either individually or in the aggregate, a Material Adverse Change, both before and after giving effect to the Tranche B Term Loans to be made on the Tranche B Funding Date.</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val="false"/>
          <w:caps w:val="false"/>
          <w:smallCaps w:val="false"/>
          <w:sz w:val="20"/>
        </w:rPr>
        <w:t>No Default</w:t>
      </w:r>
      <w:r>
        <w:rPr>
          <w:rFonts w:ascii="Times New Roman;Times;Serif" w:hAnsi="Times New Roman;Times;Serif"/>
          <w:b w:val="false"/>
          <w:i w:val="false"/>
          <w:caps w:val="false"/>
          <w:smallCaps w:val="false"/>
          <w:sz w:val="20"/>
        </w:rPr>
        <w:t>. No event shall have occurred or be continuing or would result from the making of the Tranche B Term Loans on the Tranche B Funding Date that would constitute a Default or Event of Default.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i w:val="false"/>
          <w:caps w:val="false"/>
          <w:smallCaps w:val="false"/>
          <w:sz w:val="20"/>
        </w:rPr>
        <w:t>Representations and Warranties; Updated Schedules</w:t>
      </w:r>
      <w:r>
        <w:rPr>
          <w:rFonts w:ascii="Times New Roman;Times;Serif" w:hAnsi="Times New Roman;Times;Serif"/>
          <w:b w:val="false"/>
          <w:i w:val="false"/>
          <w:caps w:val="false"/>
          <w:smallCaps w:val="false"/>
          <w:sz w:val="20"/>
        </w:rPr>
        <w:t xml:space="preserve">. The representations and warranties contained in this Agreement and in the other Loan Documents delivered pursuant to </w:t>
      </w:r>
      <w:r>
        <w:rPr>
          <w:rFonts w:ascii="Times New Roman;Times;Serif" w:hAnsi="Times New Roman;Times;Serif"/>
          <w:b/>
          <w:i w:val="false"/>
          <w:caps w:val="false"/>
          <w:smallCaps w:val="false"/>
          <w:sz w:val="20"/>
        </w:rPr>
        <w:t>Section 6.01(a)</w:t>
      </w:r>
      <w:r>
        <w:rPr>
          <w:rFonts w:ascii="Times New Roman;Times;Serif" w:hAnsi="Times New Roman;Times;Serif"/>
          <w:b w:val="false"/>
          <w:i w:val="false"/>
          <w:caps w:val="false"/>
          <w:smallCaps w:val="false"/>
          <w:sz w:val="20"/>
        </w:rPr>
        <w:t xml:space="preserve"> shall be true and correct in all material respects (unless such representations are already qualified by reference to materiality, Material Adverse Effect or similar language, in which case such representations and warranties shall be true and correct in all respects) on and as of the Tranche B Funding Date, except to the extent such representations and warranties specifically relate to an earlier date, in which case such representations and warranties shall have been true and correct in all material respects on and as of such earlier date. The Borrower shall have delivered to the Administrative Agent updated copies of </w:t>
      </w:r>
      <w:r>
        <w:rPr>
          <w:rFonts w:ascii="Times New Roman;Times;Serif" w:hAnsi="Times New Roman;Times;Serif"/>
          <w:b/>
          <w:i w:val="false"/>
          <w:caps w:val="false"/>
          <w:smallCaps w:val="false"/>
          <w:sz w:val="20"/>
        </w:rPr>
        <w:t>Schedules 7.06(c)</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7.12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7.16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7.17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7.23</w:t>
      </w:r>
      <w:r>
        <w:rPr>
          <w:rFonts w:ascii="Times New Roman;Times;Serif" w:hAnsi="Times New Roman;Times;Serif"/>
          <w:b w:val="false"/>
          <w:i w:val="false"/>
          <w:caps w:val="false"/>
          <w:smallCaps w:val="false"/>
          <w:sz w:val="20"/>
        </w:rPr>
        <w:t xml:space="preserve">, to the extent required to satisfy the foregoing requirements set forth in this </w:t>
      </w:r>
      <w:r>
        <w:rPr>
          <w:rFonts w:ascii="Times New Roman;Times;Serif" w:hAnsi="Times New Roman;Times;Serif"/>
          <w:b/>
          <w:i w:val="false"/>
          <w:caps w:val="false"/>
          <w:smallCaps w:val="false"/>
          <w:sz w:val="20"/>
        </w:rPr>
        <w:t>Section 6.02(g)</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i w:val="false"/>
          <w:caps w:val="false"/>
          <w:smallCaps w:val="false"/>
          <w:sz w:val="20"/>
        </w:rPr>
        <w:t>Tranche B Funding Condition</w:t>
      </w:r>
      <w:r>
        <w:rPr>
          <w:rFonts w:ascii="Times New Roman;Times;Serif" w:hAnsi="Times New Roman;Times;Serif"/>
          <w:b w:val="false"/>
          <w:i w:val="false"/>
          <w:caps w:val="false"/>
          <w:smallCaps w:val="false"/>
          <w:sz w:val="20"/>
        </w:rPr>
        <w:t>. The Tranche B Funding Condition shall have been satisfied as set forth on the Loans Schedule.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i w:val="false"/>
          <w:caps w:val="false"/>
          <w:smallCaps w:val="false"/>
          <w:sz w:val="20"/>
        </w:rPr>
        <w:t>Tranche B Availability Period</w:t>
      </w:r>
      <w:r>
        <w:rPr>
          <w:rFonts w:ascii="Times New Roman;Times;Serif" w:hAnsi="Times New Roman;Times;Serif"/>
          <w:b w:val="false"/>
          <w:i w:val="false"/>
          <w:caps w:val="false"/>
          <w:smallCaps w:val="false"/>
          <w:sz w:val="20"/>
        </w:rPr>
        <w:t>. The Tranche B Term Loans shall be borrowed on or prior to the last day of the Tranche B Availability Period.</w:t>
      </w:r>
    </w:p>
    <w:p>
      <w:pPr>
        <w:pStyle w:val="TextBody"/>
        <w:bidi w:val="0"/>
        <w:ind w:left="0" w:right="0" w:firstLine="720"/>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Section 7.</w:t>
      </w:r>
      <w:r>
        <w:rPr>
          <w:rFonts w:ascii="Times New Roman;Times;Serif" w:hAnsi="Times New Roman;Times;Serif"/>
          <w:b/>
          <w:i w:val="false"/>
          <w:caps w:val="false"/>
          <w:smallCaps w:val="false"/>
          <w:sz w:val="20"/>
        </w:rPr>
        <w:br/>
        <w:t>REPRESENTATIONS AND WARRANTIES</w:t>
      </w:r>
    </w:p>
    <w:p>
      <w:pPr>
        <w:pStyle w:val="TextBody"/>
        <w:bidi w:val="0"/>
        <w:ind w:left="0" w:right="0" w:hanging="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and each other Obligor hereby jointly and severally represents and warrants to the Administrative Agent and each Lender on the Closing Date and each Bringdown Date, as set forth below:</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7.01 Power and Authority</w:t>
      </w:r>
      <w:r>
        <w:rPr>
          <w:rFonts w:ascii="Times New Roman;Times;Serif" w:hAnsi="Times New Roman;Times;Serif"/>
          <w:b w:val="false"/>
          <w:i w:val="false"/>
          <w:caps w:val="false"/>
          <w:smallCaps w:val="false"/>
          <w:sz w:val="20"/>
        </w:rPr>
        <w:t>. Each Obligor and each of its Subsidiaries (i) is duly incorporated or organized and validly existing under the laws of its jurisdiction of incorporation or organization, (ii) has all requisite corporate or other power, and has all Governmental Approvals necessary to own its assets and carry on its business as now being or as proposed to be conducted, except to the extent that failure to have the same would not, individually or in the aggregate, reasonably be expected to result in a Material Adverse Effect, (iii) is qualified to do business and is in good standing in all jurisdictions in which the nature of the business conducted by it makes such qualification necessary except where failure so to qualify would not, individually or in the aggregate, reasonably be expected to result in a Material Adverse Effect, and (iv) has full power, authority and legal right to enter into and perform its obligations under each of the Loan Documents to which it is a party and, in the case of the Borrower, to borrow the Loans hereunder.</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7.02 Authorization; Enforceability</w:t>
      </w:r>
      <w:r>
        <w:rPr>
          <w:rFonts w:ascii="Times New Roman;Times;Serif" w:hAnsi="Times New Roman;Times;Serif"/>
          <w:b w:val="false"/>
          <w:i w:val="false"/>
          <w:caps w:val="false"/>
          <w:smallCaps w:val="false"/>
          <w:sz w:val="20"/>
        </w:rPr>
        <w:t>. Each Transaction to which an Obligor is a party (or to which it or any of its assets or properties is subject) are within such Obligor’s corporate or other organizational powers and have been duly authorized by all necessary corporate or other organizational action including, if required, approval by all necessary holders of its Equity Interests. This Agreement has been duly executed and delivered by each Obligor and constitutes, and each of the other Loan Documents to which it is a party when executed and delivered by such Obligor will constitute, a legal, valid and binding obligation of such Obligor, enforceable against such Obligor in accordance with its terms, except as such enforceability may be limited by (i) bankruptcy, insolvency, reorganization, moratorium or similar laws of general applicability affecting the enforcement of creditors’ rights and (ii) the application of general principles of equity (regardless of whether such enforceability is considered in a proceeding in equity or at law).</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7.03 Governmental and Other Approvals; No Conflicts</w:t>
      </w:r>
      <w:r>
        <w:rPr>
          <w:rFonts w:ascii="Times New Roman;Times;Serif" w:hAnsi="Times New Roman;Times;Serif"/>
          <w:b w:val="false"/>
          <w:i w:val="false"/>
          <w:caps w:val="false"/>
          <w:smallCaps w:val="false"/>
          <w:sz w:val="20"/>
        </w:rPr>
        <w:t>. None of the execution, delivery and performance by each Obligor of the Loan Documents to which it is a party or the consummation by each Obligor of the Transactions (i) requires any Governmental Approval of, registration or filing with, or any other action by, any Governmental Authority or any other Person, except for (x) such as have been obtained or made and are in full force and effect, (y) filings and recordings in respect of perfecting or recording the Liens created pursuant to the Security Documents, and (z) filings required under applicable securities Laws, (ii) will violate (1) any Law, (2) any Organic Document of any Obligor or any of its Subsidiaries or (3) any order of any Governmental Authority, that in the case of clause (ii)(1) or clause (ii)(3), individually or in the aggregate, would reasonably be expected to result in a Material Adverse Effect, (iii) will violate or result in a default under any Material Agreement binding upon any Obligor or any of its Subsidiaries that, individually or in the aggregate, would reasonably be expected to result in a Material Adverse Effect or (iv) will result in the creation or imposition of any Lien (other than Permitted Liens) on any asset of any Obligor or any of its Subsidiaries.</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7.04 Financial Statements; Material Adverse Change</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Financial Statements</w:t>
      </w:r>
      <w:r>
        <w:rPr>
          <w:rFonts w:ascii="Times New Roman;Times;Serif" w:hAnsi="Times New Roman;Times;Serif"/>
          <w:b w:val="false"/>
          <w:i w:val="false"/>
          <w:caps w:val="false"/>
          <w:smallCaps w:val="false"/>
          <w:sz w:val="20"/>
        </w:rPr>
        <w:t xml:space="preserve">. The Borrower has heretofore furnished to the Administrative Agent (who shall forward to the Lenders) consolidated financial statements required to be delivered pursuant to this Agreement. Such financial statements present fairly, in all material respects, the consolidated financial position and results of operations and cash flows of the Borrower and its Subsidiaries as of such dates and for such periods in accordance with GAAP, subject to year-end audit adjustments and the absence of footnotes in the case of the statements of the type described in </w:t>
      </w:r>
      <w:r>
        <w:rPr>
          <w:rFonts w:ascii="Times New Roman;Times;Serif" w:hAnsi="Times New Roman;Times;Serif"/>
          <w:b/>
          <w:i w:val="false"/>
          <w:caps w:val="false"/>
          <w:smallCaps w:val="false"/>
          <w:sz w:val="20"/>
        </w:rPr>
        <w:t xml:space="preserve">Section 8.01(a)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No Material Adverse Change</w:t>
      </w:r>
      <w:r>
        <w:rPr>
          <w:rFonts w:ascii="Times New Roman;Times;Serif" w:hAnsi="Times New Roman;Times;Serif"/>
          <w:b w:val="false"/>
          <w:i w:val="false"/>
          <w:caps w:val="false"/>
          <w:smallCaps w:val="false"/>
          <w:sz w:val="20"/>
        </w:rPr>
        <w:t>. Since December 31, 2021, no event, circumstance or change has occurred that has caused or would reasonably be expected to cause, individually or in the aggregate, a Material Adverse Change.</w:t>
      </w:r>
    </w:p>
    <w:p>
      <w:pPr>
        <w:pStyle w:val="TextBody"/>
        <w:bidi w:val="0"/>
        <w:ind w:left="0" w:right="0" w:firstLine="72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7.05 Properties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Property Generally</w:t>
      </w:r>
      <w:r>
        <w:rPr>
          <w:rFonts w:ascii="Times New Roman;Times;Serif" w:hAnsi="Times New Roman;Times;Serif"/>
          <w:b w:val="false"/>
          <w:i w:val="false"/>
          <w:caps w:val="false"/>
          <w:smallCaps w:val="false"/>
          <w:sz w:val="20"/>
        </w:rPr>
        <w:t>. Each Obligor and each of its Subsidiaries has good and marketable title to, or valid leasehold interests in, or license to, all its real and personal property material to its business, including (i) all properties and assets, whether tangible or intangible, relating to its Products or Product Commercialization and Development Activities and (ii) all Material Intellectual Property, in each case, subject only to Permitted Liens.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Except as set forth in </w:t>
      </w:r>
      <w:r>
        <w:rPr>
          <w:rFonts w:ascii="Times New Roman;Times;Serif" w:hAnsi="Times New Roman;Times;Serif"/>
          <w:b/>
          <w:i w:val="false"/>
          <w:caps w:val="false"/>
          <w:smallCaps w:val="false"/>
          <w:sz w:val="20"/>
        </w:rPr>
        <w:t>Schedule 7.05(b)(i)</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144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the Obligors are the sole and exclusive legal and beneficial owners of all right, title and interest in and to all Material Intellectual Property and all other Intellectual Property that is, in each case owned or purported to be owned by Borrower or any of its Subsidiaries, free and clear of:</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(1) </w:t>
      </w:r>
      <w:r>
        <w:rPr>
          <w:rFonts w:ascii="Times New Roman;Times;Serif" w:hAnsi="Times New Roman;Times;Serif"/>
          <w:b w:val="false"/>
          <w:i w:val="false"/>
          <w:caps w:val="false"/>
          <w:smallCaps w:val="false"/>
          <w:sz w:val="20"/>
        </w:rPr>
        <w:t>any Claims that would reasonably be expected to result in material liability to any of the Obligors or have a material adverse effect on any Product Commercialization and Development Activities with respect to any Product;</w:t>
      </w:r>
    </w:p>
    <w:p>
      <w:pPr>
        <w:pStyle w:val="TextBody"/>
        <w:bidi w:val="0"/>
        <w:ind w:left="0" w:right="0" w:firstLine="2880"/>
        <w:jc w:val="both"/>
        <w:rPr>
          <w:caps w:val="false"/>
          <w:smallCaps w:val="false"/>
        </w:rPr>
      </w:pPr>
      <w:r>
        <w:rPr>
          <w:caps w:val="false"/>
          <w:smallCaps w:val="false"/>
        </w:rPr>
        <w:t> </w:t>
      </w:r>
    </w:p>
    <w:p>
      <w:pPr>
        <w:pStyle w:val="TextBody"/>
        <w:bidi w:val="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(2) </w:t>
      </w:r>
      <w:r>
        <w:rPr>
          <w:rFonts w:ascii="Times New Roman;Times;Serif" w:hAnsi="Times New Roman;Times;Serif"/>
          <w:b w:val="false"/>
          <w:i w:val="false"/>
          <w:caps w:val="false"/>
          <w:smallCaps w:val="false"/>
          <w:sz w:val="20"/>
        </w:rPr>
        <w:t>any Liens other than Permitted Liens; and</w:t>
      </w:r>
    </w:p>
    <w:p>
      <w:pPr>
        <w:pStyle w:val="TextBody"/>
        <w:bidi w:val="0"/>
        <w:ind w:left="0" w:right="0" w:firstLine="288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the Obligors own or have sufficient and valid written rights to use all Material Intellectual Property.</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Without limiting </w:t>
      </w:r>
      <w:r>
        <w:rPr>
          <w:rFonts w:ascii="Times New Roman;Times;Serif" w:hAnsi="Times New Roman;Times;Serif"/>
          <w:b/>
          <w:i w:val="false"/>
          <w:caps w:val="false"/>
          <w:smallCaps w:val="false"/>
          <w:sz w:val="20"/>
        </w:rPr>
        <w:t>Section 7.05(b)(i)</w:t>
      </w:r>
      <w:r>
        <w:rPr>
          <w:rFonts w:ascii="Times New Roman;Times;Serif" w:hAnsi="Times New Roman;Times;Serif"/>
          <w:b w:val="false"/>
          <w:i w:val="false"/>
          <w:caps w:val="false"/>
          <w:smallCaps w:val="false"/>
          <w:sz w:val="20"/>
        </w:rPr>
        <w:t xml:space="preserve">, and except as set forth in </w:t>
      </w:r>
      <w:r>
        <w:rPr>
          <w:rFonts w:ascii="Times New Roman;Times;Serif" w:hAnsi="Times New Roman;Times;Serif"/>
          <w:b/>
          <w:i w:val="false"/>
          <w:caps w:val="false"/>
          <w:smallCaps w:val="false"/>
          <w:sz w:val="20"/>
        </w:rPr>
        <w:t>Schedule 7.05(b)(ii)</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 xml:space="preserve">other than (1) customary restrictions in in-bound licenses of Material Intellectual Property and non-disclosure Contracts, or (2) as would have been or is permitted by </w:t>
      </w:r>
      <w:r>
        <w:rPr>
          <w:rFonts w:ascii="Times New Roman;Times;Serif" w:hAnsi="Times New Roman;Times;Serif"/>
          <w:b/>
          <w:i w:val="false"/>
          <w:caps w:val="false"/>
          <w:smallCaps w:val="false"/>
          <w:sz w:val="20"/>
        </w:rPr>
        <w:t>Section 9.09</w:t>
      </w:r>
      <w:r>
        <w:rPr>
          <w:rFonts w:ascii="Times New Roman;Times;Serif" w:hAnsi="Times New Roman;Times;Serif"/>
          <w:b w:val="false"/>
          <w:i w:val="false"/>
          <w:caps w:val="false"/>
          <w:smallCaps w:val="false"/>
          <w:sz w:val="20"/>
        </w:rPr>
        <w:t>, there are no judgments, licenses, covenants not to sue, grants, Liens (other than Permitted Liens), or other Claims or Contracts relating to any Material Intellectual Property, which materially restrict any Obligor with respect to its use, enforcement, or other exploitation of any Material Intellectual Property or in connection with Product Commercialization and Development Activities with respect to any Product;</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the operation and conduct of the business of the Borrower or any of its Subsidiaries, including their exploitation of Material Intellectual Property in such Person’s Ordinary Course, does not violate, infringe or constitute a misappropriation of any valid rights arising under any Intellectual Property rights of any other Person in a manner that has resulted in, or would reasonably be expected to result in, material liability or disruption to the businesses of the Borrower or any of its Subsidiaries (including any Product Commercialization and Development Activities);</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(1) there are no material pending Claims, or Claims threatened in writing, against Borrower or any of its Subsidiaries asserted by any other Person relating to any of such Person’s Intellectual Property, including any material Claims alleging ownership, invalidity or unenforceability of any Material Intellectual Property, or infringement, misappropriation, or violation of such Person’s Intellectual Property; and (2) neither Borrower nor any of its Subsidiaries has received any notice from, or Claim by, any Person that the operation and conduct of the businesses of the Borrower or any of its Subsidiaries (including their exploitation of Material Intellectual Property), or any Product Commercialization and Development Activities with respect to any Product, infringes upon, violates or constitutes a misappropriation of, any Intellectual Property of any other Person that has or would reasonably be expected to result in material liability to the Borrower or any of its Subsidiaries;</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2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to the knowledge of the Obligors, no Material Intellectual Property is being infringed, violated, or misappropriated by any other Person in any material respect, and neither Borrower nor any of its Subsidiaries has put any other Person on notice of such actual or potential infringement, violation or misappropriation of any such Material Intellectual Property or initiated the enforcement of any Claim with respect to any such Material Intellectual Property;</w:t>
      </w:r>
    </w:p>
    <w:p>
      <w:pPr>
        <w:pStyle w:val="TextBody"/>
        <w:bidi w:val="0"/>
        <w:ind w:left="0" w:right="0" w:firstLine="228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228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to the knowledge of the Obligors, all current and former employees and contractors that have developed Material Intellectual Property for or on behalf of Borrower or any of its Subsidiaries have executed written confidentiality and invention assignment Contracts with Borrower or such Subsidiary, as applicable, that irrevocably and presently assign to Borrower or such Subsidiary, as applicable, all rights of such employees and contractors in or to any such Material Intellectual Property, or ownership of such Material Intellectual Property has otherwise vested automatically with an Obligor by operation of Law; and</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rPr>
        <w:t>Borrower and each of its Subsidiaries has taken reasonable precautions to protect the secrecy, confidentiality and value of its Material Intellectual Property consisting of Technical Information; and</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With respect to Material Intellectual Property consisting of Patents, except as set forth in </w:t>
      </w:r>
      <w:r>
        <w:rPr>
          <w:rFonts w:ascii="Times New Roman;Times;Serif" w:hAnsi="Times New Roman;Times;Serif"/>
          <w:b/>
          <w:i w:val="false"/>
          <w:caps w:val="false"/>
          <w:smallCaps w:val="false"/>
          <w:sz w:val="20"/>
        </w:rPr>
        <w:t>Schedule 7.05(b)(iii)</w:t>
      </w:r>
      <w:r>
        <w:rPr>
          <w:rFonts w:ascii="Times New Roman;Times;Serif" w:hAnsi="Times New Roman;Times;Serif"/>
          <w:b w:val="false"/>
          <w:i w:val="false"/>
          <w:caps w:val="false"/>
          <w:smallCaps w:val="false"/>
          <w:sz w:val="20"/>
        </w:rPr>
        <w:t xml:space="preserve">, and without limiting the representations and warranties in </w:t>
      </w:r>
      <w:r>
        <w:rPr>
          <w:rFonts w:ascii="Times New Roman;Times;Serif" w:hAnsi="Times New Roman;Times;Serif"/>
          <w:b/>
          <w:i w:val="false"/>
          <w:caps w:val="false"/>
          <w:smallCaps w:val="false"/>
          <w:sz w:val="20"/>
        </w:rPr>
        <w:t>Section 7.05(b)(i)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Section 7.05(b)(ii)</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each of the issued claims in such Patents is valid and enforceable;</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subsequent to the issuance of such Patents, neither Borrower nor any of its Subsidiaries or, to the knowledge of Obligors, any of its or their predecessors-in-interest, has filed any disclaimer or made or permitted any other voluntary reduction in the scope of the Inventions claimed in such Patents;</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 xml:space="preserve">to the knowledge of the Obligors, (1) no allowable or allowed subject matter of such Patents is subject to any competing conception claims of allowable or allowed subject matter of any patent applications or patents of any third party or has been the subject of any interference, re-examination, opposition, or any other post-grant proceedings, and (2) there is no basis for any such interference, re-examination, opposition, </w:t>
      </w:r>
      <w:r>
        <w:rPr>
          <w:rFonts w:ascii="Times New Roman;Times;Serif" w:hAnsi="Times New Roman;Times;Serif"/>
          <w:b w:val="false"/>
          <w:i/>
          <w:caps w:val="false"/>
          <w:smallCaps w:val="false"/>
          <w:sz w:val="20"/>
        </w:rPr>
        <w:t xml:space="preserve">inter partes </w:t>
      </w:r>
      <w:r>
        <w:rPr>
          <w:rFonts w:ascii="Times New Roman;Times;Serif" w:hAnsi="Times New Roman;Times;Serif"/>
          <w:b w:val="false"/>
          <w:i w:val="false"/>
          <w:caps w:val="false"/>
          <w:smallCaps w:val="false"/>
          <w:sz w:val="20"/>
        </w:rPr>
        <w:t>review, post grant review, or any other post-grant proceedings, in each case of (1) and (2), (x) as of the Closing Date and (y) as of any Bringdown Date that would not reasonably be expected to result in a Material Adverse Effect or a material adverse effect on any Product Commercialization and Development Activities with respect to any Product;</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all material maintenance fees, annuities, and the like due and payable on or with respect to any such Patents have been timely paid.</w:t>
      </w:r>
    </w:p>
    <w:p>
      <w:pPr>
        <w:pStyle w:val="TextBody"/>
        <w:bidi w:val="0"/>
        <w:ind w:left="0" w:right="0" w:firstLine="216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7.06 No Actions or Proceedings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Litigation</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i w:val="false"/>
          <w:caps w:val="false"/>
          <w:smallCaps w:val="false"/>
          <w:sz w:val="20"/>
        </w:rPr>
        <w:t>Schedule 7.06(a)</w:t>
      </w:r>
      <w:r>
        <w:rPr>
          <w:rFonts w:ascii="Times New Roman;Times;Serif" w:hAnsi="Times New Roman;Times;Serif"/>
          <w:b w:val="false"/>
          <w:i w:val="false"/>
          <w:caps w:val="false"/>
          <w:smallCaps w:val="false"/>
          <w:sz w:val="20"/>
        </w:rPr>
        <w:t>, there is no litigation, investigation or proceeding pending or, to the knowledge of any Obligor threatened in writing, with respect to such Obligor or any such Subsidiaries by or before any Governmental Authority or arbitrator that, (i) individually or in the aggregate, would reasonably be expected to have a Material Adverse Effect or (ii) involves this Agreement or any other Loan Document.</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Environmental Matters</w:t>
      </w:r>
      <w:r>
        <w:rPr>
          <w:rFonts w:ascii="Times New Roman;Times;Serif" w:hAnsi="Times New Roman;Times;Serif"/>
          <w:b w:val="false"/>
          <w:i w:val="false"/>
          <w:caps w:val="false"/>
          <w:smallCaps w:val="false"/>
          <w:sz w:val="20"/>
        </w:rPr>
        <w:t>. Except with respect to any matters that (either individually or in the aggregate) would not reasonably be expected to result in a Material Adverse Effect, no Obligor nor any of its Subsidiaries (i) has failed to comply with any Environmental Law in all material respects or to obtain, maintain or comply with any material permit, license or other approval required under any Environmental Law, (ii) has become subject to any material Environmental Liability, (iii) has received any material Environmental Claim, or has knowledge that any is threatened, (iv) has entered into any agreement in which such Obligor or any Subsidiary has assumed or undertaken material responsibility or obligations of any other person with respect to any Environmental Liability or (v) has knowledge of any basis for any other material Environmental Liability.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Labor Matters</w:t>
      </w:r>
      <w:r>
        <w:rPr>
          <w:rFonts w:ascii="Times New Roman;Times;Serif" w:hAnsi="Times New Roman;Times;Serif"/>
          <w:b w:val="false"/>
          <w:i w:val="false"/>
          <w:caps w:val="false"/>
          <w:smallCaps w:val="false"/>
          <w:sz w:val="20"/>
        </w:rPr>
        <w:t xml:space="preserve">. No Obligor or any of its Subsidiaries has engaged in unfair labor practices as defined in 29 U.S.C. § §152(8) and 158 of the National Labor Relations Act and there are no pending or, to the knowledge of any Obligor, threatened in writing labor actions, disputes, grievances, arbitration proceedings, or similar Claims or actions involving the employees of any Obligor or any of its Subsidiaries, in each case, that would reasonably be expected to have a Material Adverse Effect. There are no strike or work stoppages in existence or, to the knowledge of any Obligor, threatened in writing against such Obligor and to the knowledge of such Obligor, no union organizing activity is taking place, in each case, that would reasonably be expected to have a Material Adverse Effect. Except as set forth on </w:t>
      </w:r>
      <w:r>
        <w:rPr>
          <w:rFonts w:ascii="Times New Roman;Times;Serif" w:hAnsi="Times New Roman;Times;Serif"/>
          <w:b/>
          <w:i w:val="false"/>
          <w:caps w:val="false"/>
          <w:smallCaps w:val="false"/>
          <w:sz w:val="20"/>
        </w:rPr>
        <w:t>Schedule 7.06(c)</w:t>
      </w:r>
      <w:r>
        <w:rPr>
          <w:rFonts w:ascii="Times New Roman;Times;Serif" w:hAnsi="Times New Roman;Times;Serif"/>
          <w:b w:val="false"/>
          <w:i w:val="false"/>
          <w:caps w:val="false"/>
          <w:smallCaps w:val="false"/>
          <w:sz w:val="20"/>
        </w:rPr>
        <w:t xml:space="preserve"> (as such schedule may be updated on any Bringdown Date), there are no collective bargaining agreements covering employees of any Obligor or any of its Subsidiaries</w:t>
      </w:r>
      <w:r>
        <w:rPr>
          <w:rFonts w:ascii="Times New Roman;Times;Serif" w:hAnsi="Times New Roman;Times;Serif"/>
          <w:b w:val="false"/>
          <w:i/>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7.07 Compliance with Laws and Agreements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Each Obligor is and, during the past three (3) years, has been in compliance with all applicable Laws and all Contracts binding upon it or its property, except, in each case, where the failure to do so would not, individually or in the aggregate, reasonably be expected to result in a Material Adverse Effect, (ii) no Default has occurred and is continuing, and (iii) the Obligors and their Subsidiaries are and, during the past three (3) years have been, and all Product Commercialization and Development Activities of such Persons are being and, during the past three (3) years have been, conducted in compliance with all applicable Healthcare Laws, except where such failure to comply would not, individually or in the aggregate, reasonably be expected to result in a Material Adverse Effect.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knowledge of the Obligors, any physician, other licensed healthcare professional, or any other Person who is in a position to refer patients or other business to the Borrower, any other Obligor or any Subsidiaries (collectively, a “</w:t>
      </w:r>
      <w:r>
        <w:rPr>
          <w:rFonts w:ascii="Times New Roman;Times;Serif" w:hAnsi="Times New Roman;Times;Serif"/>
          <w:b/>
          <w:i/>
          <w:caps w:val="false"/>
          <w:smallCaps w:val="false"/>
          <w:sz w:val="20"/>
        </w:rPr>
        <w:t>Referral Source</w:t>
      </w:r>
      <w:r>
        <w:rPr>
          <w:rFonts w:ascii="Times New Roman;Times;Serif" w:hAnsi="Times New Roman;Times;Serif"/>
          <w:b w:val="false"/>
          <w:i w:val="false"/>
          <w:caps w:val="false"/>
          <w:smallCaps w:val="false"/>
          <w:sz w:val="20"/>
        </w:rPr>
        <w:t>”) who has a direct ownership, investment, or financial interest in the Borrower, any other Obligor or any such Subsidiary paid fair market value for such ownership, investment or financial interest; any ownership or investment returns distributed to any Referral Source is in proportion to such Referral Source’s ownership, investment or financial interest; and no preferential treatment or more favorable terms were or are offered to such Referral Source compared to investors or owners who are not in a position to refer patients or other business. No Obligor, nor any of its Subsidiaries, directly or indirectly, has or will guarantee a loan, make a payment toward a loan or otherwise subsidize a loan for any Referral Source including, without limitation, any loans related to financing the Referral Source’s ownership, investment or financial interest in the Borrower, any other Obligor or any such Subsidiary.</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Without limiting the generality of the foregoing: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Except where the failure to do so would not reasonably be expected to have any Material Adverse Effect, to the knowledge of the Obligors, (a) each Referral Source arrangement complies with the Federal Anti-Kickback Statute, the Stark Law and all other applicable Healthcare Laws, whether U.S., or non-U.S.;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Obligor and each of its Subsidiaries shall have implemented policies and procedures to monitor, collect, and report any payments or transfers of value to certain healthcare providers and teaching hospitals, in accordance, in all material respects, with industry standards and the Affordable Care Act of 2010 and the Physician Payments Sunshine Act and their implementing regulations and state disclosure and transparency laws; and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Obligor and each of its Subsidiaries, as applicable, meet all applicable Payor requirements and conditions of participation and are a party to valid participation or other agreements required for payment by such Payors in all material respects. All billing, claims, reporting and documentation practices of each Obligor and each of its Subsidiaries, as applicable are and, during the past three (3) years, have been in compliance with all Healthcare Laws and legally enforceable Payor requirements in all material respects. Neither the Obligor nor any of its Subsidiaries has billed, received or retained any payment or reimbursement in violation of applicable Healthcare Laws or legally enforceable Payor requirements in any material respects. There are no pending audits, recoupments, appeals, or challenges in excess of $1,000,000 with respect to any billings or claims submissions. No audit, investigation, validation review or program integrity review related to the Obligor or any of its Subsidiaries has been conducted by any Payor or Governmental Authority within the past three (3) years which would, individually or in the aggregate, reasonably be expected to have a Material Adverse Effect.</w:t>
      </w:r>
    </w:p>
    <w:p>
      <w:pPr>
        <w:pStyle w:val="TextBody"/>
        <w:bidi w:val="0"/>
        <w:ind w:left="0" w:right="0" w:firstLine="144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7.08 Taxes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i w:val="false"/>
          <w:caps w:val="false"/>
          <w:smallCaps w:val="false"/>
          <w:sz w:val="20"/>
        </w:rPr>
        <w:t>Schedule 7.08</w:t>
      </w:r>
      <w:r>
        <w:rPr>
          <w:rFonts w:ascii="Times New Roman;Times;Serif" w:hAnsi="Times New Roman;Times;Serif"/>
          <w:b w:val="false"/>
          <w:i w:val="false"/>
          <w:caps w:val="false"/>
          <w:smallCaps w:val="false"/>
          <w:sz w:val="20"/>
        </w:rPr>
        <w:t>, each Obligor and its Subsidiaries has timely filed or caused to be filed all tax returns and reports required to have been filed and has paid or caused to be paid all taxes required to have been paid by it, except (a) taxes that are being contested in good faith by appropriate proceedings and for which such Obligor or such Subsidiary, as applicable, has set aside on its books adequate reserves with respect thereto in accordance with GAAP or (b) to the extent that the failure to do so would not reasonably be expected to have a Material Adverse Effect.</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7.09 Full Disclosure</w:t>
      </w:r>
      <w:r>
        <w:rPr>
          <w:rFonts w:ascii="Times New Roman;Times;Serif" w:hAnsi="Times New Roman;Times;Serif"/>
          <w:b w:val="false"/>
          <w:i w:val="false"/>
          <w:caps w:val="false"/>
          <w:smallCaps w:val="false"/>
          <w:sz w:val="20"/>
        </w:rPr>
        <w:t xml:space="preserve">. None of the reports, financial statements, certificates or other written information (other than projections, forward-looking information, budgets, estimates and information of a general economic or industry specific nature) furnished by or on behalf of the Obligors to the Administrative Agent (on behalf of itself and the Lenders) in connection with the negotiation of this Agreement and the other Loan Documents or delivered hereunder or thereunder (as modified or supplemented by other information so furnished) contains when furnished any material misstatement of material fact or omits to state any material fact necessary to make the statements therein, in the light of the circumstances under which they were made, not materially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projected financial information, the Borrower represents only that such information was prepared in good faith based upon assumptions believed to be reasonable at the time delivered, and it being understood that such projected financial information and all other forward looking information are not to be viewed as facts and are subject to uncertainties and contingencies, many of which are beyond the control of the Borrower or any of its Subsidiaries, and that actual results during the period or periods covered thereby may differ from such projected results and that the differences may be material.</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7.10 Investment Company Act and Margin Stock Regulation</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Investment Company Act</w:t>
      </w:r>
      <w:r>
        <w:rPr>
          <w:rFonts w:ascii="Times New Roman;Times;Serif" w:hAnsi="Times New Roman;Times;Serif"/>
          <w:b w:val="false"/>
          <w:i w:val="false"/>
          <w:caps w:val="false"/>
          <w:smallCaps w:val="false"/>
          <w:sz w:val="20"/>
        </w:rPr>
        <w:t>. No Obligor is an “investment company” as defined in, or subject to regulation under, the Investment Company Act of 1940, as amended.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Margin Stock</w:t>
      </w:r>
      <w:r>
        <w:rPr>
          <w:rFonts w:ascii="Times New Roman;Times;Serif" w:hAnsi="Times New Roman;Times;Serif"/>
          <w:b w:val="false"/>
          <w:i w:val="false"/>
          <w:caps w:val="false"/>
          <w:smallCaps w:val="false"/>
          <w:sz w:val="20"/>
        </w:rPr>
        <w:t>. No Obligor is engaged principally, or as one of its important activities, in the business of extending credit for the purpose, whether immediate, incidental or ultimate, of buying or carrying Margin Stock, and no part of the proceeds of the Loans will be used, whether immediately, incidentally or ultimately, to buy or carry any Margin Stock, to extend credit to others for the purpose of buying or carrying any Margin Stock, or in any way that is in violation of Regulation T, U or X.</w:t>
      </w:r>
    </w:p>
    <w:p>
      <w:pPr>
        <w:pStyle w:val="TextBody"/>
        <w:bidi w:val="0"/>
        <w:ind w:left="0" w:right="0" w:firstLine="72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7.11 Solvency</w:t>
      </w:r>
      <w:r>
        <w:rPr>
          <w:rFonts w:ascii="Times New Roman;Times;Serif" w:hAnsi="Times New Roman;Times;Serif"/>
          <w:b w:val="false"/>
          <w:i w:val="false"/>
          <w:caps w:val="false"/>
          <w:smallCaps w:val="false"/>
          <w:sz w:val="20"/>
        </w:rPr>
        <w:t>. The Obligors, on a consolidated basis, are and, immediately after giving effect to the making of the Loans, the use of proceeds thereof, and the consummation of the Transactions, will be, Solvent.</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7.12 Subsidiaries</w:t>
      </w:r>
      <w:r>
        <w:rPr>
          <w:rFonts w:ascii="Times New Roman;Times;Serif" w:hAnsi="Times New Roman;Times;Serif"/>
          <w:b w:val="false"/>
          <w:i w:val="false"/>
          <w:caps w:val="false"/>
          <w:smallCaps w:val="false"/>
          <w:sz w:val="20"/>
        </w:rPr>
        <w:t xml:space="preserve">. Set forth on </w:t>
      </w:r>
      <w:r>
        <w:rPr>
          <w:rFonts w:ascii="Times New Roman;Times;Serif" w:hAnsi="Times New Roman;Times;Serif"/>
          <w:b/>
          <w:i w:val="false"/>
          <w:caps w:val="false"/>
          <w:smallCaps w:val="false"/>
          <w:sz w:val="20"/>
        </w:rPr>
        <w:t>Schedule 7.12</w:t>
      </w:r>
      <w:r>
        <w:rPr>
          <w:rFonts w:ascii="Times New Roman;Times;Serif" w:hAnsi="Times New Roman;Times;Serif"/>
          <w:b w:val="false"/>
          <w:i w:val="false"/>
          <w:caps w:val="false"/>
          <w:smallCaps w:val="false"/>
          <w:sz w:val="20"/>
        </w:rPr>
        <w:t xml:space="preserve"> is a complete and correct list of all direct and indirect Subsidiaries of the Borrower (as such schedule may be updated on any Bringdown Date). Each such Subsidiary is duly organized and validly existing under the jurisdiction of its organization shown in said </w:t>
      </w:r>
      <w:r>
        <w:rPr>
          <w:rFonts w:ascii="Times New Roman;Times;Serif" w:hAnsi="Times New Roman;Times;Serif"/>
          <w:b/>
          <w:i w:val="false"/>
          <w:caps w:val="false"/>
          <w:smallCaps w:val="false"/>
          <w:sz w:val="20"/>
        </w:rPr>
        <w:t>Schedule 7.12</w:t>
      </w:r>
      <w:r>
        <w:rPr>
          <w:rFonts w:ascii="Times New Roman;Times;Serif" w:hAnsi="Times New Roman;Times;Serif"/>
          <w:b w:val="false"/>
          <w:i w:val="false"/>
          <w:caps w:val="false"/>
          <w:smallCaps w:val="false"/>
          <w:sz w:val="20"/>
        </w:rPr>
        <w:t xml:space="preserve">, and the percentage ownership by each Obligor of each such Subsidiary thereof is as shown in said </w:t>
      </w:r>
      <w:r>
        <w:rPr>
          <w:rFonts w:ascii="Times New Roman;Times;Serif" w:hAnsi="Times New Roman;Times;Serif"/>
          <w:b/>
          <w:i w:val="false"/>
          <w:caps w:val="false"/>
          <w:smallCaps w:val="false"/>
          <w:sz w:val="20"/>
        </w:rPr>
        <w:t>Schedule 7.12</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7.13 Excluded Subsidiaries</w:t>
      </w:r>
      <w:r>
        <w:rPr>
          <w:rFonts w:ascii="Times New Roman;Times;Serif" w:hAnsi="Times New Roman;Times;Serif"/>
          <w:b w:val="false"/>
          <w:i w:val="false"/>
          <w:caps w:val="false"/>
          <w:smallCaps w:val="false"/>
          <w:sz w:val="20"/>
        </w:rPr>
        <w:t xml:space="preserve">. Each of the Excluded Subsidiaries as of the Closing Date (a) holds no assets or property (other than </w:t>
      </w:r>
      <w:r>
        <w:rPr>
          <w:rFonts w:ascii="Times New Roman;Times;Serif" w:hAnsi="Times New Roman;Times;Serif"/>
          <w:b w:val="false"/>
          <w:i/>
          <w:caps w:val="false"/>
          <w:smallCaps w:val="false"/>
          <w:sz w:val="20"/>
        </w:rPr>
        <w:t xml:space="preserve">de minimis </w:t>
      </w:r>
      <w:r>
        <w:rPr>
          <w:rFonts w:ascii="Times New Roman;Times;Serif" w:hAnsi="Times New Roman;Times;Serif"/>
          <w:b w:val="false"/>
          <w:i w:val="false"/>
          <w:caps w:val="false"/>
          <w:smallCaps w:val="false"/>
          <w:sz w:val="20"/>
        </w:rPr>
        <w:t>assets or property necessary to maintain its corporate existence or otherwise comply with applicable Law) and (b) has no revenue.</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7.14 Material Agreements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i w:val="false"/>
          <w:caps w:val="false"/>
          <w:smallCaps w:val="false"/>
          <w:sz w:val="20"/>
        </w:rPr>
        <w:t>Schedule 7.14</w:t>
      </w:r>
      <w:r>
        <w:rPr>
          <w:rFonts w:ascii="Times New Roman;Times;Serif" w:hAnsi="Times New Roman;Times;Serif"/>
          <w:b w:val="false"/>
          <w:i w:val="false"/>
          <w:caps w:val="false"/>
          <w:smallCaps w:val="false"/>
          <w:sz w:val="20"/>
        </w:rPr>
        <w:t>, no Obligor nor any of its Subsidiaries is in default under any Material Agreement (x) as of the Closing Date, in any material respect and (y) as of any Bringdown Date, that would reasonably be expected to result in a Material Adverse Effect or a material adverse effect on any Product Commercialization and Development Activities with respect to any Product, nor does any Obligor have knowledge of any Claim against it or any of its Subsidiaries for any breach of any such Material Agreement in any material respect.</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7.15 Restrictive Agreements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i w:val="false"/>
          <w:caps w:val="false"/>
          <w:smallCaps w:val="false"/>
          <w:sz w:val="20"/>
        </w:rPr>
        <w:t>Schedule 7.15</w:t>
      </w:r>
      <w:r>
        <w:rPr>
          <w:rFonts w:ascii="Times New Roman;Times;Serif" w:hAnsi="Times New Roman;Times;Serif"/>
          <w:b w:val="false"/>
          <w:i w:val="false"/>
          <w:caps w:val="false"/>
          <w:smallCaps w:val="false"/>
          <w:sz w:val="20"/>
        </w:rPr>
        <w:t xml:space="preserve">, as of the Closing Date, no Obligor or any of its Subsidiaries is subject to any Restrictive Agreement, except (i) those permitted under </w:t>
      </w:r>
      <w:r>
        <w:rPr>
          <w:rFonts w:ascii="Times New Roman;Times;Serif" w:hAnsi="Times New Roman;Times;Serif"/>
          <w:b/>
          <w:i w:val="false"/>
          <w:caps w:val="false"/>
          <w:smallCaps w:val="false"/>
          <w:sz w:val="20"/>
        </w:rPr>
        <w:t>Section 9.11</w:t>
      </w:r>
      <w:r>
        <w:rPr>
          <w:rFonts w:ascii="Times New Roman;Times;Serif" w:hAnsi="Times New Roman;Times;Serif"/>
          <w:b w:val="false"/>
          <w:i w:val="false"/>
          <w:caps w:val="false"/>
          <w:smallCaps w:val="false"/>
          <w:sz w:val="20"/>
        </w:rPr>
        <w:t xml:space="preserve">, (ii) restrictions and conditions imposed by Law or by the Loan Documents, (iii) any stockholder agreement, charter, by-laws, or other organizational documents of an Obligor or any of its Subsidiaries as in effect on the date hereof, (iv) limitations associated with Permitted Liens, and (v) customary restrictions and conditions contained in agreements relating to the sale of a Subsidiary or other property pending such sale,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such restrictions and conditions apply only to the Subsidiary or other property that is subject to such agreements and each such sale is permitted hereunder.</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7.16 Real Property</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Schedule 7.16</w:t>
      </w:r>
      <w:r>
        <w:rPr>
          <w:rFonts w:ascii="Times New Roman;Times;Serif" w:hAnsi="Times New Roman;Times;Serif"/>
          <w:b w:val="false"/>
          <w:i w:val="false"/>
          <w:caps w:val="false"/>
          <w:smallCaps w:val="false"/>
          <w:sz w:val="20"/>
        </w:rPr>
        <w:t xml:space="preserve"> correctly sets forth all real property that is owned or leased by the Obligors (as such schedule may be updated on any Bringdown Date), indicating in each case whether the respective property is owned or leased, the identity of the owner and lessee (if applicable) and the location of the respective property. Except as set forth in </w:t>
      </w:r>
      <w:r>
        <w:rPr>
          <w:rFonts w:ascii="Times New Roman;Times;Serif" w:hAnsi="Times New Roman;Times;Serif"/>
          <w:b/>
          <w:i w:val="false"/>
          <w:caps w:val="false"/>
          <w:smallCaps w:val="false"/>
          <w:sz w:val="20"/>
        </w:rPr>
        <w:t>Schedule 7.16</w:t>
      </w:r>
      <w:r>
        <w:rPr>
          <w:rFonts w:ascii="Times New Roman;Times;Serif" w:hAnsi="Times New Roman;Times;Serif"/>
          <w:b w:val="false"/>
          <w:i w:val="false"/>
          <w:caps w:val="false"/>
          <w:smallCaps w:val="false"/>
          <w:sz w:val="20"/>
        </w:rPr>
        <w:t xml:space="preserve"> (as such schedule may be updated on any Bringdown Date), no Obligor owns or leases (as tenant thereof) any real property as of the Closing Date.</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7.17 Pension Matters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Schedule 7.17</w:t>
      </w:r>
      <w:r>
        <w:rPr>
          <w:rFonts w:ascii="Times New Roman;Times;Serif" w:hAnsi="Times New Roman;Times;Serif"/>
          <w:b w:val="false"/>
          <w:i w:val="false"/>
          <w:caps w:val="false"/>
          <w:smallCaps w:val="false"/>
          <w:sz w:val="20"/>
        </w:rPr>
        <w:t xml:space="preserve"> sets forth (as such schedule may be updated on any Bringdown Date), a complete and correct list of, and that separately identifies, (i) all Title IV Plans, (ii) all Multiemployer Plans and (iii) all material Benefit Plans. Each Qualified Plan, and each trust thereunder, has received a favorable determination or may rely upon an opinion letter for a prototype plan letter from the IRS or an application for such a letter is currently being processed by the IRS with respect thereto and, as of the date of this Agreement, to the knowledge of the Obligors, nothing has occurred that would reasonably be expected to prevent, or cause the loss of, such qualification. Except for those that could not, in the aggregate, reasonably be expected to result in a Material Adverse Effect, (x) each Benefit Plan is in compliance with applicable provisions of ERISA, the Code and other Laws, (y) there are no existing or pending (or to the knowledge of any Obligor, threatened) claims (other than routine claims for benefits in the normal course), sanctions, actions, lawsuits or other proceedings or investigation involving any Benefit Plan to which any Obligor or Subsidiary thereof incurs or otherwise has or could have an obligation or any liability or Claim and (z) no ERISA Event is reasonably expected to occur. The Borrower and each of its ERISA Affiliates has met all applicable requirements under the ERISA Funding Rules with respect to each Title IV Plan, and no waiver of the minimum funding standards under the ERISA Funding Rules has been applied for or obtained. As of the most recent valuation date for any Title IV Plan, the funding target attainment percentage (as defined in Section 430(d)(2) of the Code) is at least sixty percent (60%), and neither any Obligor nor any of its ERISA Affiliates knows of any facts or circumstances that would reasonably be expected to cause the funding target attainment percentage to fall below sixty percent (60%) as of the most recent valuation date. As of the Closing Date, no ERISA Event has occurred in connection with which obligations and liabilities (contingent or otherwise) remain outstanding.</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7.18 Regulatory Approvals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Obligor and each of its Subsidiaries holds, either directly or through licensees and agents, all Product Authorizations necessary or required for the Borrower and each of its Subsidiaries to conduct, their respective operations and businesses in the manner currently conducted as of the Closing Date and as of any Bringdown Date, in each case, except where the failure to hold any such Product Authorizations would not reasonably be expected to result in a Material Adverse Effect.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Obligor nor its Subsidiaries has received during the past three (3) years any written notice from the FDA or any Governmental Authority that (i) it is considering suspending, revoking or materially limiting any Product Authorization, in each case, that would reasonably be expected to result in a Material Adverse Effect, or (ii) as of the Closing Date, it is not likely to approve any applications made to such Governmental Authority with respect to any of the Products or any Material Agreement. To the knowledge of the Obligors, the Obligors and their Subsidiaries have made all required notices, registrations and reports (including field alerts or other reports of adverse drug experiences) and other filings with respect to each Product and their Product Commercialization and Development Activities, in each case, except where the failure to do so would not reasonably be expected to have a Material Adverse Effect.</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set forth on </w:t>
      </w:r>
      <w:r>
        <w:rPr>
          <w:rFonts w:ascii="Times New Roman;Times;Serif" w:hAnsi="Times New Roman;Times;Serif"/>
          <w:b/>
          <w:i w:val="false"/>
          <w:caps w:val="false"/>
          <w:smallCaps w:val="false"/>
          <w:sz w:val="20"/>
        </w:rPr>
        <w:t>Schedule 7.18(c)</w:t>
      </w:r>
      <w:r>
        <w:rPr>
          <w:rFonts w:ascii="Times New Roman;Times;Serif" w:hAnsi="Times New Roman;Times;Serif"/>
          <w:b w:val="false"/>
          <w:i w:val="false"/>
          <w:caps w:val="false"/>
          <w:smallCaps w:val="false"/>
          <w:sz w:val="20"/>
        </w:rPr>
        <w:t>, and without limiting the generality of any other representation or warranty made by any Obligor hereunder or under any other Loan Document (x) as of the Closing Date and (y) as of any Bringdown Date, in each case, except as would not reasonably be expected to have a Material Adverse Effect: (i) no Obligor, nor any of its Subsidiaries nor, to the knowledge of any Obligor, any of their respective agents, suppliers, licensors or licensees have received any inspection reports, warning letters or notices or similar documents with respect to Products or any Product Commercialization and Development Activities from any Regulatory Authority within the last three (3) years that asserts material lack of compliance with any applicable Healthcare Laws or Product Authorizations; (ii) no Obligor, nor any of its Subsidiaries nor, to the knowledge of any Obligor, any of their respective agents, suppliers, licensors or licensees have received any material notification from any Regulatory Authority within the last three (3) years, asserting that Products or any Product Commercialization and Development Activities lack a required Product Authorization; (iii) there is no pending regulatory action, investigation or inquiry (other than non-material routine or periodic inspections or reviews) against any Obligor, any of its Subsidiaries or, to the knowledge of any Obligor, any of their respective suppliers, licensors or licensees with respect to Products or any Product Commercialization and Development Activities, and, to the knowledge of any Obligor, there is no basis in fact for any material adverse regulatory action against such Obligor or any of its Subsidiaries or, to the knowledge of any Obligor, any of their respective suppliers agents, licensors or licensees with respect to Products or any Product Commercialization and Development Activities; and (iv) without limiting the foregoing, (A) (1) there have been no material product recalls, safety alerts, corrections, withdrawals, marketing suspensions, removals or the like conducted, undertaken or issued by any Obligor or any of its Subsidiaries, whether voluntary, at the request, demand or order of any Regulatory Authority or otherwise, with respect to Products, any Product Commercialization and Development Activities or any Material Product Authorization within the last three (3) years, (2) no such product recall, safety alert, correction, withdrawal, marketing suspension, removal or the like has been requested, demanded or ordered by any Regulatory Authority within the last three (3) years, and, to the knowledge of any Obligor, there is no basis in fact for the issuance of any such product recall, safety alert, correction, withdrawal, marketing suspension, removal or the like with respect to Products or any Product Commercialization and Development Activities</w:t>
      </w:r>
      <w:r>
        <w:rPr>
          <w:rFonts w:ascii="Times New Roman;Times;Serif" w:hAnsi="Times New Roman;Times;Serif"/>
          <w:b w:val="false"/>
          <w:i w:val="false"/>
          <w:caps/>
          <w:sz w:val="20"/>
        </w:rPr>
        <w:t>,</w:t>
      </w:r>
      <w:r>
        <w:rPr>
          <w:rFonts w:ascii="Times New Roman;Times;Serif" w:hAnsi="Times New Roman;Times;Serif"/>
          <w:b w:val="false"/>
          <w:i w:val="false"/>
          <w:caps w:val="false"/>
          <w:smallCaps w:val="false"/>
          <w:sz w:val="20"/>
        </w:rPr>
        <w:t xml:space="preserve"> and (B) no material criminal, injunctive, seizure, detention or civil penalty action has been commenced or threatened in writing by any Regulatory Authority within the last three (3) years with respect to or in connection with Products or any Product Commercialization and Development Activities, and there are no consent decrees (including plea agreements) that relate to Products or any Product Commercialization and Development Activities, and, to the knowledge of each Obligor, there is no basis in fact for the commencement of any material criminal injunctive, seizure, detention or civil penalty action by any Regulatory Authority relating to Products or any Product Commercialization and Development Activities or for the issuance of any consent decree. No Obligor nor any of its Subsidiaries, nor, to the knowledge of any Obligor, any of their respective agents, suppliers, licensees or licensors, is employing or utilizing the services of any individual, in connection with Product Commercialization and Development Activities with respect to Products, who has been debarred, suspended or excluded from any federal healthcare program, which would reasonably be expect to have a Material Adverse Effect.</w:t>
      </w:r>
    </w:p>
    <w:p>
      <w:pPr>
        <w:pStyle w:val="TextBody"/>
        <w:bidi w:val="0"/>
        <w:ind w:left="0" w:right="0" w:firstLine="72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7.19 [Reserved]</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7.20 OFAC; Anti-Terrorism Laws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Obligor nor any of its Subsidiaries is in violation of any Anti-Terrorism Law or engages in or conspires to engage in any transaction that evades or avoids, or has the purpose of evading or avoiding, or attempts to violate, any applicable Anti-Terrorism Laws.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Obligor nor any of its Subsidiaries, nor, to the knowledge of any Obligor, any of their respective directors, officers, or employees (i) is currently the target of any Sanctions, (ii) is located, organized or residing in any Designated Jurisdiction in violation of Sanctions, or (iii) is or has been (within the previous five (5) years) engaged in any transaction with, or for the benefit of, any Person who is now or was then the target of Sanctions or who is located, organized or residing in any Designated Jurisdiction, in violation of Sanctions. No Loan, nor the proceeds from any Loan, has been or will be used, directly or, to the knowledge of any Obligor, indirectly, to lend, contribute or provide to, or has been or will be otherwise made available for the purpose of funding, any activity or business in any Designated Jurisdiction in violation of Sanctions or for the purpose of funding any activity or business of any Person located, organized or residing in any Designated Jurisdiction or who is the subject of any Sanctions, in violation of Sanctions, or in any other manner that will result in any violation by any party to this Agreement of Sanctions.</w:t>
      </w:r>
    </w:p>
    <w:p>
      <w:pPr>
        <w:pStyle w:val="TextBody"/>
        <w:bidi w:val="0"/>
        <w:ind w:left="0" w:right="0" w:firstLine="144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7.21 Anti-Corruption</w:t>
      </w:r>
      <w:r>
        <w:rPr>
          <w:rFonts w:ascii="Times New Roman;Times;Serif" w:hAnsi="Times New Roman;Times;Serif"/>
          <w:b w:val="false"/>
          <w:i w:val="false"/>
          <w:caps w:val="false"/>
          <w:smallCaps w:val="false"/>
          <w:sz w:val="20"/>
        </w:rPr>
        <w:t>. No Obligor nor any of its Subsidiaries, nor, to the knowledge of any Obligor, any of their respective directors, officers or employees, directly or indirectly, has (i) materially violated or is in material violation of any applicable anti-corruption Law, or (ii) made, offered to make, promised to make or authorized the payment or giving of, directly or indirectly, any Prohibited Payment.</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7.22 Priority of Obligations</w:t>
      </w:r>
      <w:r>
        <w:rPr>
          <w:rFonts w:ascii="Times New Roman;Times;Serif" w:hAnsi="Times New Roman;Times;Serif"/>
          <w:b w:val="false"/>
          <w:i w:val="false"/>
          <w:caps w:val="false"/>
          <w:smallCaps w:val="false"/>
          <w:sz w:val="20"/>
        </w:rPr>
        <w:t>. Unless expressly permitted under the terms of the Loan Documents, the Obligations constitute unsubordinated obligations of the Obligors, and except for any obligations which have priority under applicable Law, rank at least pari passu in right of payment with all other unsubordinated Indebtedness of the Obligors.</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7.23 Royalty and Other Payments</w:t>
      </w:r>
      <w:r>
        <w:rPr>
          <w:rFonts w:ascii="Times New Roman;Times;Serif" w:hAnsi="Times New Roman;Times;Serif"/>
          <w:b w:val="false"/>
          <w:i w:val="false"/>
          <w:caps w:val="false"/>
          <w:smallCaps w:val="false"/>
          <w:sz w:val="20"/>
        </w:rPr>
        <w:t xml:space="preserve">. Unless expressly permitted under the terms of the Loan Documents and except as set forth on </w:t>
      </w:r>
      <w:r>
        <w:rPr>
          <w:rFonts w:ascii="Times New Roman;Times;Serif" w:hAnsi="Times New Roman;Times;Serif"/>
          <w:b/>
          <w:i w:val="false"/>
          <w:caps w:val="false"/>
          <w:smallCaps w:val="false"/>
          <w:sz w:val="20"/>
        </w:rPr>
        <w:t xml:space="preserve">Schedule 7.23 </w:t>
      </w:r>
      <w:r>
        <w:rPr>
          <w:rFonts w:ascii="Times New Roman;Times;Serif" w:hAnsi="Times New Roman;Times;Serif"/>
          <w:b w:val="false"/>
          <w:i w:val="false"/>
          <w:caps w:val="false"/>
          <w:smallCaps w:val="false"/>
          <w:sz w:val="20"/>
        </w:rPr>
        <w:t xml:space="preserve">(as such schedule may be updated on any Bringdown Date), no Obligor, nor any of its Subsidiaries, is obligated to pay any royalty, milestone payment or any other contingent payment in respect of </w:t>
      </w:r>
      <w:r>
        <w:rPr>
          <w:rFonts w:ascii="Times New Roman;Times;Serif" w:hAnsi="Times New Roman;Times;Serif"/>
          <w:b w:val="false"/>
          <w:i w:val="false"/>
          <w:caps/>
          <w:sz w:val="20"/>
        </w:rPr>
        <w:t>Ilevro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Nevanac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Maxidex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Triesence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Vigamox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Iheezo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Maxitrol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 xml:space="preserve">Iopidine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val="false"/>
          <w:caps/>
          <w:sz w:val="20"/>
        </w:rPr>
        <w:t>Moxeza.</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7.24 Non-Competes</w:t>
      </w:r>
      <w:r>
        <w:rPr>
          <w:rFonts w:ascii="Times New Roman;Times;Serif" w:hAnsi="Times New Roman;Times;Serif"/>
          <w:b w:val="false"/>
          <w:i w:val="false"/>
          <w:caps w:val="false"/>
          <w:smallCaps w:val="false"/>
          <w:sz w:val="20"/>
        </w:rPr>
        <w:t xml:space="preserve">. Neither the Borrower, any other Obligor, nor any of their respective Subsidiaries, nor any of their respective directors, officers or employees, is subject to a non-compete agreement that prohibits or will interfere in any material respect with any of the Product Commercialization and Development Activities with respect to </w:t>
      </w:r>
      <w:r>
        <w:rPr>
          <w:rFonts w:ascii="Times New Roman;Times;Serif" w:hAnsi="Times New Roman;Times;Serif"/>
          <w:b w:val="false"/>
          <w:i w:val="false"/>
          <w:caps/>
          <w:sz w:val="20"/>
        </w:rPr>
        <w:t>Ilevro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Nevanac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Maxidex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Triesence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Vigamox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Iheezo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Maxitrol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 xml:space="preserve">Iopidine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val="false"/>
          <w:caps/>
          <w:sz w:val="20"/>
        </w:rPr>
        <w:t>Moxeza</w:t>
      </w:r>
      <w:r>
        <w:rPr>
          <w:rFonts w:ascii="Times New Roman;Times;Serif" w:hAnsi="Times New Roman;Times;Serif"/>
          <w:b w:val="false"/>
          <w:i w:val="false"/>
          <w:caps w:val="false"/>
          <w:smallCaps w:val="false"/>
          <w:sz w:val="20"/>
        </w:rPr>
        <w:t xml:space="preserve">, including the development, commercialization or marketing of </w:t>
      </w:r>
      <w:r>
        <w:rPr>
          <w:rFonts w:ascii="Times New Roman;Times;Serif" w:hAnsi="Times New Roman;Times;Serif"/>
          <w:b w:val="false"/>
          <w:i w:val="false"/>
          <w:caps/>
          <w:sz w:val="20"/>
        </w:rPr>
        <w:t>Ilevro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Nevanac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Maxidex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Triesence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Vigamox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Iheezo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Maxitrol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Iopidine</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sz w:val="20"/>
        </w:rPr>
        <w:t>Moxeza.</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7.25 Reimbursement from Medical Reimbursement Programs</w:t>
      </w:r>
      <w:r>
        <w:rPr>
          <w:rFonts w:ascii="Times New Roman;Times;Serif" w:hAnsi="Times New Roman;Times;Serif"/>
          <w:b w:val="false"/>
          <w:i w:val="false"/>
          <w:caps w:val="false"/>
          <w:smallCaps w:val="false"/>
          <w:sz w:val="20"/>
        </w:rPr>
        <w:t>. There is no investigation, audit, claim review, or other action pending with respect to any Obligor or, to the knowledge of any Obligor, threatened in writing which would reasonably be expected to result in a revocation, suspension, termination, probation, restriction, limitation, or non-renewal of any provider number issued to any Obligor or result in the exclusion of any Obligor from Medicare or Medicaid, nor is there any action pending or, to the knowledge of any Obligor, threatened in writing, pursuant to which any Governmental Authority seeks to impose material sanctions with respect to such Obligor’s business, in each case that would reasonably be expected to have a Material Adverse Effect.</w:t>
      </w:r>
    </w:p>
    <w:p>
      <w:pPr>
        <w:pStyle w:val="TextBody"/>
        <w:bidi w:val="0"/>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Section 8.</w:t>
      </w:r>
      <w:r>
        <w:rPr>
          <w:rFonts w:ascii="Times New Roman;Times;Serif" w:hAnsi="Times New Roman;Times;Serif"/>
          <w:b/>
          <w:i w:val="false"/>
          <w:caps w:val="false"/>
          <w:smallCaps w:val="false"/>
          <w:sz w:val="20"/>
        </w:rPr>
        <w:br/>
        <w:t>AFFIRMATIVE COVENANTS</w:t>
      </w:r>
    </w:p>
    <w:p>
      <w:pPr>
        <w:pStyle w:val="TextBody"/>
        <w:bidi w:val="0"/>
        <w:ind w:left="0" w:right="0" w:hanging="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Obligor covenants and agrees with the Administrative Agent and the Lenders that, until the Commitments have expired or been terminated and all Obligations (other than any inchoate indemnification obligations for which no claim has been made) have been paid in full in cash:</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8.01 Financial Statements and Other Information</w:t>
      </w:r>
      <w:r>
        <w:rPr>
          <w:rFonts w:ascii="Times New Roman;Times;Serif" w:hAnsi="Times New Roman;Times;Serif"/>
          <w:b w:val="false"/>
          <w:i w:val="false"/>
          <w:caps w:val="false"/>
          <w:smallCaps w:val="false"/>
          <w:sz w:val="20"/>
        </w:rPr>
        <w:t>. The Borrower will furnish to the Administrative Agent: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as soon as available and in any event within forty-five (45) days after the end of each the first three fiscal quarters of each fiscal year (i) the consolidated balance sheets of the Borrower and its Subsidiaries as of the end of such fiscal quarter and (ii) the related consolidated statements of income, shareholders’ equity and cash flows of the Borrower and its Subsidiaries for such quarter and the portion of the fiscal year through the end of such fiscal quarter, in each case prepared in accordance with GAAP consistently applied, all in reasonable detail and setting forth in comparative form the figures for the corresponding period in the preceding fiscal year, together with (iii) a certificate of a Responsible Officer of the Borrower stating that (x) such financial statements fairly present in all material respects the financial condition of the Borrower and its Subsidiaries as at such date and (y) the results of operations of the Borrower and its Subsidiaries for the period ended on such date have been prepared in accordance with GAAP consistently applied, subject to changes resulting from normal, year-end audit adjustments and except for the absence of notes;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documents required to be furnished pursuant to this </w:t>
      </w:r>
      <w:r>
        <w:rPr>
          <w:rFonts w:ascii="Times New Roman;Times;Serif" w:hAnsi="Times New Roman;Times;Serif"/>
          <w:b/>
          <w:i w:val="false"/>
          <w:caps w:val="false"/>
          <w:smallCaps w:val="false"/>
          <w:sz w:val="20"/>
        </w:rPr>
        <w:t>Section 8.01(a)</w:t>
      </w:r>
      <w:r>
        <w:rPr>
          <w:rFonts w:ascii="Times New Roman;Times;Serif" w:hAnsi="Times New Roman;Times;Serif"/>
          <w:b w:val="false"/>
          <w:i w:val="false"/>
          <w:caps w:val="false"/>
          <w:smallCaps w:val="false"/>
          <w:sz w:val="20"/>
        </w:rPr>
        <w:t xml:space="preserve"> shall be deemed furnished on the date that such documents are publicly available on “EDGAR” or the Borrower’s website (with the related certificate separately delivered);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as soon as available, and in any event within ninety (90) days, after the end of each fiscal year (i) the consolidated balance sheets of the Borrower and its Subsidiaries as of the end of such fiscal year and (ii) the related consolidated statements of income, shareholders’ equity and cash flows of the Borrower and its Subsidiaries for such fiscal year, in each case prepared in accordance with GAAP consistently applied, all in reasonable detail and setting forth in comparative form the figures for the previous fiscal year, accompanied by a report and opinion thereon of KMJ Corbin &amp; Company LLP or another firm of independent certified public accountants of recognized national standing reasonably acceptable to the Administrative Agent, which report and opinion shall be prepared in accordance with generally accepted auditing standards and shall not be subject to any “going concern” or like qualification or exception or emphasis of matter of going concern footnote or any qualification or exception as to the scope of such audit, and in the case of such consolidated financial statements, certified by a Responsible Officer of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documents required to be furnished pursuant to this </w:t>
      </w:r>
      <w:r>
        <w:rPr>
          <w:rFonts w:ascii="Times New Roman;Times;Serif" w:hAnsi="Times New Roman;Times;Serif"/>
          <w:b/>
          <w:i w:val="false"/>
          <w:caps w:val="false"/>
          <w:smallCaps w:val="false"/>
          <w:sz w:val="20"/>
        </w:rPr>
        <w:t>Section 8.01(b)</w:t>
      </w:r>
      <w:r>
        <w:rPr>
          <w:rFonts w:ascii="Times New Roman;Times;Serif" w:hAnsi="Times New Roman;Times;Serif"/>
          <w:b w:val="false"/>
          <w:i w:val="false"/>
          <w:caps w:val="false"/>
          <w:smallCaps w:val="false"/>
          <w:sz w:val="20"/>
        </w:rPr>
        <w:t xml:space="preserve"> shall be deemed furnished on the date that such documents are publicly available on “EDGAR” or the Borrower’s website;</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together with the financial statements required pursuant to </w:t>
      </w:r>
      <w:r>
        <w:rPr>
          <w:rFonts w:ascii="Times New Roman;Times;Serif" w:hAnsi="Times New Roman;Times;Serif"/>
          <w:b/>
          <w:i w:val="false"/>
          <w:caps w:val="false"/>
          <w:smallCaps w:val="false"/>
          <w:sz w:val="20"/>
        </w:rPr>
        <w:t>Section 8.01(a)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a compliance certificate signed by a Responsible Officer of the Borrower as of the end of the applicable accounting period (which delivery may be by electronic communication including fax or email and shall be deemed to be an original, authentic counterpart thereof for all purposes) substantially in the form of </w:t>
      </w:r>
      <w:r>
        <w:rPr>
          <w:rFonts w:ascii="Times New Roman;Times;Serif" w:hAnsi="Times New Roman;Times;Serif"/>
          <w:b/>
          <w:i w:val="false"/>
          <w:caps w:val="false"/>
          <w:smallCaps w:val="false"/>
          <w:sz w:val="20"/>
        </w:rPr>
        <w:t xml:space="preserve">Exhibit L </w:t>
      </w:r>
      <w:r>
        <w:rPr>
          <w:rFonts w:ascii="Times New Roman;Times;Serif" w:hAnsi="Times New Roman;Times;Serif"/>
          <w:b w:val="false"/>
          <w:i w:val="false"/>
          <w:caps w:val="false"/>
          <w:smallCaps w:val="false"/>
          <w:sz w:val="20"/>
        </w:rPr>
        <w:t>(a “</w:t>
      </w:r>
      <w:r>
        <w:rPr>
          <w:rFonts w:ascii="Times New Roman;Times;Serif" w:hAnsi="Times New Roman;Times;Serif"/>
          <w:b/>
          <w:i/>
          <w:caps w:val="false"/>
          <w:smallCaps w:val="false"/>
          <w:sz w:val="20"/>
        </w:rPr>
        <w:t>Compliance Certificate</w:t>
      </w:r>
      <w:r>
        <w:rPr>
          <w:rFonts w:ascii="Times New Roman;Times;Serif" w:hAnsi="Times New Roman;Times;Serif"/>
          <w:b w:val="false"/>
          <w:i w:val="false"/>
          <w:caps w:val="false"/>
          <w:smallCaps w:val="false"/>
          <w:sz w:val="20"/>
        </w:rPr>
        <w:t xml:space="preserve">”) including (i) details of any issues that are material that are raised by auditors and any occurrence or existence of any event, circumstance, act or omission that would cause any representation or warranty contained in </w:t>
      </w:r>
      <w:r>
        <w:rPr>
          <w:rFonts w:ascii="Times New Roman;Times;Serif" w:hAnsi="Times New Roman;Times;Serif"/>
          <w:b/>
          <w:i w:val="false"/>
          <w:caps w:val="false"/>
          <w:smallCaps w:val="false"/>
          <w:sz w:val="20"/>
        </w:rPr>
        <w:t>Section 7.07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Section 7.18</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Section 7.22</w:t>
      </w:r>
      <w:r>
        <w:rPr>
          <w:rFonts w:ascii="Times New Roman;Times;Serif" w:hAnsi="Times New Roman;Times;Serif"/>
          <w:b w:val="false"/>
          <w:i w:val="false"/>
          <w:caps w:val="false"/>
          <w:smallCaps w:val="false"/>
          <w:sz w:val="20"/>
        </w:rPr>
        <w:t xml:space="preserve"> to be incorrect in any material respect (or in any respect if such representation or warranty is qualified by materiality or by reference to Material Adverse Effect or Material Adverse Change) if such representation or warranty were to be made at the time of delivery of a Compliance Certificate and (ii) a certification as to whether or not the Borrower is in compliance with the Minimum Net Revenues Covenant as of the last day of such period. For the avoidance of doubt, no representation or warranty contained in </w:t>
      </w:r>
      <w:r>
        <w:rPr>
          <w:rFonts w:ascii="Times New Roman;Times;Serif" w:hAnsi="Times New Roman;Times;Serif"/>
          <w:b/>
          <w:i w:val="false"/>
          <w:caps w:val="false"/>
          <w:smallCaps w:val="false"/>
          <w:sz w:val="20"/>
        </w:rPr>
        <w:t>Section 7.07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Section 7.18</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Section 7.22</w:t>
      </w:r>
      <w:r>
        <w:rPr>
          <w:rFonts w:ascii="Times New Roman;Times;Serif" w:hAnsi="Times New Roman;Times;Serif"/>
          <w:b w:val="false"/>
          <w:i w:val="false"/>
          <w:caps w:val="false"/>
          <w:smallCaps w:val="false"/>
          <w:sz w:val="20"/>
        </w:rPr>
        <w:t xml:space="preserve"> is required to be, shall be or shall be deemed to be made in connection with a delivery of any Compliance Certificate;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after being prepared by the Borrower and approved by its Board, and promptly following the Administrative Agent’s request therefor, a consolidated budget for the Borrower and its Subsidiaries for the fiscal year to which such budget relates;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each fiscal year, on or before the seventy-fifth (75th) day following the beginning of such fiscal year, the Borrower shall prepare, and its Board shall approve such consolidated budgets for such fiscal year, and the Borrower shall notify the Administrative Agent promptly after the Board has given such approval;</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promptly after the same are released, copies of all press releases (other than any press release that is immaterial, routine or administrative in nature);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documents required to be furnished pursuant to this </w:t>
      </w:r>
      <w:r>
        <w:rPr>
          <w:rFonts w:ascii="Times New Roman;Times;Serif" w:hAnsi="Times New Roman;Times;Serif"/>
          <w:b/>
          <w:i w:val="false"/>
          <w:caps w:val="false"/>
          <w:smallCaps w:val="false"/>
          <w:sz w:val="20"/>
        </w:rPr>
        <w:t>Section 8.01(e)</w:t>
      </w:r>
      <w:r>
        <w:rPr>
          <w:rFonts w:ascii="Times New Roman;Times;Serif" w:hAnsi="Times New Roman;Times;Serif"/>
          <w:b w:val="false"/>
          <w:i w:val="false"/>
          <w:caps w:val="false"/>
          <w:smallCaps w:val="false"/>
          <w:sz w:val="20"/>
        </w:rPr>
        <w:t xml:space="preserve"> shall be deemed furnished on the date that such documents are publicly available on “EDGAR” or the Borrower’s website;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promptly, and in any event within five (5) Business Days after receipt thereof by an Obligor thereof, copies of each notice or other correspondence received from any securities regulator or exchange to the authority of which any Obligor may become subject from time to time concerning any investigation or possible investigation or other inquiry by such agency regarding financial or other operational results of such Obligor, in each case, excluding any investigation or inquiry that is immaterial, routine or administrative in nature;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documents required to be furnished pursuant to this </w:t>
      </w:r>
      <w:r>
        <w:rPr>
          <w:rFonts w:ascii="Times New Roman;Times;Serif" w:hAnsi="Times New Roman;Times;Serif"/>
          <w:b/>
          <w:i w:val="false"/>
          <w:caps w:val="false"/>
          <w:smallCaps w:val="false"/>
          <w:sz w:val="20"/>
        </w:rPr>
        <w:t>Section 8.01(f)</w:t>
      </w:r>
      <w:r>
        <w:rPr>
          <w:rFonts w:ascii="Times New Roman;Times;Serif" w:hAnsi="Times New Roman;Times;Serif"/>
          <w:b w:val="false"/>
          <w:i w:val="false"/>
          <w:caps w:val="false"/>
          <w:smallCaps w:val="false"/>
          <w:sz w:val="20"/>
        </w:rPr>
        <w:t xml:space="preserve"> shall be deemed furnished on the date that such documents are publicly available on “EDGAR” or the Borrower’s website;</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promptly after the same are available, copies of each annual report, proxy or financial statement or other report or communication sent to the stockholders of each Obligor and its Subsidiaries (other than any report or any communication that is immaterial, routine or administrative in nature), and copies of all annual, regular, periodic and special reports and registration statements which any Obligor or its Subsidiaries may file or be required to file with any securities regulator or exchange to the authority of which such Obligor or such Subsidiary, as applicable, may become subject from time to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documents required to be furnished pursuant to this </w:t>
      </w:r>
      <w:r>
        <w:rPr>
          <w:rFonts w:ascii="Times New Roman;Times;Serif" w:hAnsi="Times New Roman;Times;Serif"/>
          <w:b/>
          <w:i w:val="false"/>
          <w:caps w:val="false"/>
          <w:smallCaps w:val="false"/>
          <w:sz w:val="20"/>
        </w:rPr>
        <w:t>Section 8.01(g)</w:t>
      </w:r>
      <w:r>
        <w:rPr>
          <w:rFonts w:ascii="Times New Roman;Times;Serif" w:hAnsi="Times New Roman;Times;Serif"/>
          <w:b w:val="false"/>
          <w:i w:val="false"/>
          <w:caps w:val="false"/>
          <w:smallCaps w:val="false"/>
          <w:sz w:val="20"/>
        </w:rPr>
        <w:t xml:space="preserve"> shall be deemed furnished on the date that such documents are publicly available on “EDGAR” or the Borrower’s website;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the information regarding insurance maintained by the Borrower and its Subsidiaries as and when required under </w:t>
      </w:r>
      <w:r>
        <w:rPr>
          <w:rFonts w:ascii="Times New Roman;Times;Serif" w:hAnsi="Times New Roman;Times;Serif"/>
          <w:b/>
          <w:i w:val="false"/>
          <w:caps w:val="false"/>
          <w:smallCaps w:val="false"/>
          <w:sz w:val="20"/>
        </w:rPr>
        <w:t>Section 8.05</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promptly, and in any event within five (5) Business Days after the Borrower obtains knowledge of any Claim related to any Product or inventory involving more than $1,000,000, written notice thereof from a Responsible Officer of the Borrower which notice shall include a statement setting forth details of such Claim;</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as soon as possible and in any event within ten (10) Business Days after the end of each calendar month, a certificate signed by a Responsible Officer of the Borrower certifying that as of the last day of such calendar month, the Borrower is in compliance with the minimum liquidity requirement set forth in </w:t>
      </w:r>
      <w:r>
        <w:rPr>
          <w:rFonts w:ascii="Times New Roman;Times;Serif" w:hAnsi="Times New Roman;Times;Serif"/>
          <w:b/>
          <w:i w:val="false"/>
          <w:caps w:val="false"/>
          <w:smallCaps w:val="false"/>
          <w:sz w:val="20"/>
        </w:rPr>
        <w:t>Section 10.01</w:t>
      </w:r>
      <w:r>
        <w:rPr>
          <w:rFonts w:ascii="Times New Roman;Times;Serif" w:hAnsi="Times New Roman;Times;Serif"/>
          <w:b w:val="false"/>
          <w:i w:val="false"/>
          <w:caps w:val="false"/>
          <w:smallCaps w:val="false"/>
          <w:sz w:val="20"/>
        </w:rPr>
        <w:t xml:space="preserve"> and attaching evidence reasonably satisfactory to the Administrative Agent, based upon the Borrower’s bank account statements that the Borrower has met its minimum liquidity requirement set out in </w:t>
      </w:r>
      <w:r>
        <w:rPr>
          <w:rFonts w:ascii="Times New Roman;Times;Serif" w:hAnsi="Times New Roman;Times;Serif"/>
          <w:b/>
          <w:i w:val="false"/>
          <w:caps w:val="false"/>
          <w:smallCaps w:val="false"/>
          <w:sz w:val="20"/>
        </w:rPr>
        <w:t>Section 10.01</w:t>
      </w:r>
      <w:r>
        <w:rPr>
          <w:rFonts w:ascii="Times New Roman;Times;Serif" w:hAnsi="Times New Roman;Times;Serif"/>
          <w:b w:val="false"/>
          <w:i w:val="false"/>
          <w:caps w:val="false"/>
          <w:smallCaps w:val="false"/>
          <w:sz w:val="20"/>
        </w:rPr>
        <w:t>; and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such other information respecting the businesses, financial performance, operations condition of the assets or liabilities of the Obligors (including with respect to the Collateral), taken as a whole, as the Administrative Agent may from time to time reasonably request.</w:t>
      </w:r>
    </w:p>
    <w:p>
      <w:pPr>
        <w:pStyle w:val="TextBody"/>
        <w:bidi w:val="0"/>
        <w:ind w:left="0" w:right="0" w:firstLine="72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8.02 Notices of Material Events</w:t>
      </w:r>
      <w:r>
        <w:rPr>
          <w:rFonts w:ascii="Times New Roman;Times;Serif" w:hAnsi="Times New Roman;Times;Serif"/>
          <w:b w:val="false"/>
          <w:i w:val="false"/>
          <w:caps w:val="false"/>
          <w:smallCaps w:val="false"/>
          <w:sz w:val="20"/>
        </w:rPr>
        <w:t>. The Borrower will furnish to the Administrative Agent written notice of the following (x) with respect to clause (a) below within three (3) Business Days of and (y) with respect to clause (b) through (n) below, within five (5) Business Days, in each case, after a Responsible Officer of the Borrower first learns of or acquires knowledge with respect to:</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occurrence of any Default or Event of Default;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occurrence of any event with respect to the property or assets of the Borrower or any of its Subsidiaries resulting in a Loss aggregating $2,000,000 or more;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any proposed acquisition of stock, assets or property by the Borrower or any of its Subsidiaries that would reasonably be expected to result in Material Environmental Liability, and (ii) any spillage, leakage, discharge, disposal, leaching, migration or release of any Hazardous Material by the Borrower or any of its Subsidiaries required to be reported to any Governmental Authority and that would reasonably be expected to result in Material Environmental Liability;</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assertion of any Claim under any Environmental Law by any Person against, or with respect to the activities of, the Borrower or any of its Subsidiaries and any alleged liability or non-compliance with any Environmental Laws or any permits, licenses or authorizations issued pursuant to Environmental Laws, in each case, which would reasonably be expected to result in a Material Environmental Liability;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filing or commencement of any action, suit or proceeding by or before any arbitrator or Governmental Authority against or affecting the Borrower or any of its Affiliates that would reasonably be expected to result in a Material Adverse Effect;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 the intention of any ERISA Affiliate to file any notice of intent to terminate any Title IV Plan, a copy of such notice and (ii) the filing by any ERISA Affiliate of a request for a minimum funding waiver under Section 412 of the Code with respect to any Title IV Plan or Multiemployer Plan, in each case in writing and in reasonable detail (including a description of any action that any ERISA Affiliate proposes to take with respect thereto, together with a copy of any notice filed with the PBGC or the IRS pertaining thereto);</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(i) the termination of any Material Agreement other than in accordance with its terms and not as a result of a breach or default, (ii) the receipt by the Borrower or any of its Subsidiaries of any notice of a material breach or default under any Material Agreement (and a copy thereof) asserting a default by such Obligor or any of its Subsidiaries where such alleged default would permit such counterparty to terminate such Material Agreement, (iii) the entering into of any new Material Agreement by any Obligor (and a copy thereof) or (iv) any material amendment to a Material Agreement that would be adverse in any material respect to the Lenders (and a copy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not be required to provide such notice if such documents become publicly available on “EDGAR” or the Borrower’s website within the time period notice would otherwise be required pursuant to this </w:t>
      </w:r>
      <w:r>
        <w:rPr>
          <w:rFonts w:ascii="Times New Roman;Times;Serif" w:hAnsi="Times New Roman;Times;Serif"/>
          <w:b/>
          <w:i w:val="false"/>
          <w:caps w:val="false"/>
          <w:smallCaps w:val="false"/>
          <w:sz w:val="20"/>
        </w:rPr>
        <w:t>Section 8.02</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material change in accounting policies or financial reporting practices by the Borrower or any of its Subsidiaries (other than as required under GAAP);</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labor controversy resulting in or threatening to result in any strike, work stoppage, boycott, shutdown or other material labor disruption against or involving an Obligor that would reasonably be expected to result in a Material Adverse Effect;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any Contract entered into by the Borrower or any of its Subsidiaries in connection with any material Claim of actual alleged violation, infringement or misappropriation of any Intellectual Property by or against the Borrower or any of its Subsidiaries;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the creation, development or other acquisition (including any in-bound exclusive licenses) of any Material Intellectual Property by the Borrower or any Subsidiary after the Closing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any such Material Intellectual Property created, developed or acquired (including through any in-bound exclusive license) in any fiscal year, notice thereof pursuant to this </w:t>
      </w:r>
      <w:r>
        <w:rPr>
          <w:rFonts w:ascii="Times New Roman;Times;Serif" w:hAnsi="Times New Roman;Times;Serif"/>
          <w:b/>
          <w:i w:val="false"/>
          <w:caps w:val="false"/>
          <w:smallCaps w:val="false"/>
          <w:sz w:val="20"/>
        </w:rPr>
        <w:t xml:space="preserve">Section 8.02(k) </w:t>
      </w:r>
      <w:r>
        <w:rPr>
          <w:rFonts w:ascii="Times New Roman;Times;Serif" w:hAnsi="Times New Roman;Times;Serif"/>
          <w:b w:val="false"/>
          <w:i w:val="false"/>
          <w:caps w:val="false"/>
          <w:smallCaps w:val="false"/>
          <w:sz w:val="20"/>
        </w:rPr>
        <w:t xml:space="preserve">shall be made in accordance with the timing of the financial statements for such fiscal year required pursuant to </w:t>
      </w:r>
      <w:r>
        <w:rPr>
          <w:rFonts w:ascii="Times New Roman;Times;Serif" w:hAnsi="Times New Roman;Times;Serif"/>
          <w:b/>
          <w:i w:val="false"/>
          <w:caps w:val="false"/>
          <w:smallCaps w:val="false"/>
          <w:sz w:val="20"/>
        </w:rPr>
        <w:t>Section 8.01(b)</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any change to any Obligor’s or any of its Subsidiaries’ ownership of any Controlled Account, by delivering the Administrative Agent a notice setting forth a complete and correct list of all such accounts as of the date of such change;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any warning letters, untitled letters, or other Governmental Authority correspondence regarding actions that would reasonably be expected to result in a Material Adverse Effect; and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any other development that results in, or would reasonably be expected to result in, a Material Adverse Effect.</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notice delivered under this </w:t>
      </w:r>
      <w:r>
        <w:rPr>
          <w:rFonts w:ascii="Times New Roman;Times;Serif" w:hAnsi="Times New Roman;Times;Serif"/>
          <w:b/>
          <w:i w:val="false"/>
          <w:caps w:val="false"/>
          <w:smallCaps w:val="false"/>
          <w:sz w:val="20"/>
        </w:rPr>
        <w:t>Section 8.02</w:t>
      </w:r>
      <w:r>
        <w:rPr>
          <w:rFonts w:ascii="Times New Roman;Times;Serif" w:hAnsi="Times New Roman;Times;Serif"/>
          <w:b w:val="false"/>
          <w:i w:val="false"/>
          <w:caps w:val="false"/>
          <w:smallCaps w:val="false"/>
          <w:sz w:val="20"/>
        </w:rPr>
        <w:t xml:space="preserve"> shall be accompanied by a statement of a Responsible Officer of the Borrower setting forth the details of the event or development requiring such notice and any action taken or proposed to be taken with respect thereto. Nothing in this </w:t>
      </w:r>
      <w:r>
        <w:rPr>
          <w:rFonts w:ascii="Times New Roman;Times;Serif" w:hAnsi="Times New Roman;Times;Serif"/>
          <w:b/>
          <w:i w:val="false"/>
          <w:caps w:val="false"/>
          <w:smallCaps w:val="false"/>
          <w:sz w:val="20"/>
        </w:rPr>
        <w:t>Section 8.02</w:t>
      </w:r>
      <w:r>
        <w:rPr>
          <w:rFonts w:ascii="Times New Roman;Times;Serif" w:hAnsi="Times New Roman;Times;Serif"/>
          <w:b w:val="false"/>
          <w:i w:val="false"/>
          <w:caps w:val="false"/>
          <w:smallCaps w:val="false"/>
          <w:sz w:val="20"/>
        </w:rPr>
        <w:t xml:space="preserve"> is intended to waive, consent to or otherwise permit any action or omission that is otherwise prohibited by this Agreement or any other Loan Document.</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8.03 Existence</w:t>
      </w:r>
      <w:r>
        <w:rPr>
          <w:rFonts w:ascii="Times New Roman;Times;Serif" w:hAnsi="Times New Roman;Times;Serif"/>
          <w:b w:val="false"/>
          <w:i w:val="false"/>
          <w:caps w:val="false"/>
          <w:smallCaps w:val="false"/>
          <w:sz w:val="20"/>
        </w:rPr>
        <w:t xml:space="preserve">. Such Obligor shall, and shall cause each of its Subsidiaries to, preserve, renew and maintain in full force and effect its legal existence;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prohibit any merger, amalgamation, consolidation, liquidation or dissolution permitted under </w:t>
      </w:r>
      <w:r>
        <w:rPr>
          <w:rFonts w:ascii="Times New Roman;Times;Serif" w:hAnsi="Times New Roman;Times;Serif"/>
          <w:b/>
          <w:i w:val="false"/>
          <w:caps w:val="false"/>
          <w:smallCaps w:val="false"/>
          <w:sz w:val="20"/>
        </w:rPr>
        <w:t>Section 9.03</w:t>
      </w:r>
      <w:r>
        <w:rPr>
          <w:rFonts w:ascii="Times New Roman;Times;Serif" w:hAnsi="Times New Roman;Times;Serif"/>
          <w:b w:val="false"/>
          <w:i w:val="false"/>
          <w:caps w:val="false"/>
          <w:smallCaps w:val="false"/>
          <w:sz w:val="20"/>
        </w:rPr>
        <w:t xml:space="preserve"> or any Asset Sale permitted under </w:t>
      </w:r>
      <w:r>
        <w:rPr>
          <w:rFonts w:ascii="Times New Roman;Times;Serif" w:hAnsi="Times New Roman;Times;Serif"/>
          <w:b/>
          <w:i w:val="false"/>
          <w:caps w:val="false"/>
          <w:smallCaps w:val="false"/>
          <w:sz w:val="20"/>
        </w:rPr>
        <w:t>Section 9.09</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8.04 Payment of Obligations</w:t>
      </w:r>
      <w:r>
        <w:rPr>
          <w:rFonts w:ascii="Times New Roman;Times;Serif" w:hAnsi="Times New Roman;Times;Serif"/>
          <w:b w:val="false"/>
          <w:i w:val="false"/>
          <w:caps w:val="false"/>
          <w:smallCaps w:val="false"/>
          <w:sz w:val="20"/>
        </w:rPr>
        <w:t>. Such Obligor will, and will cause each of its Subsidiaries to, pay and discharge its obligations, including (i) all material Taxes, fees, assessments and governmental charges or levies imposed upon it or upon its properties or assets prior to the date on which penalties attach thereto, and all lawful claims for labor, materials and supplies which, if unpaid, might become a Lien upon any properties or assets of such Obligor or any of its Subsidiaries not constituting a Permitted Lien, except to the extent such Taxes, fees, assessments or governmental charges or levies or such claims are being contested in good faith by appropriate proceedings and are adequately reserved against in accordance with GAAP and (ii) all lawful claims which, if unpaid, would by law become a Lien upon its property not constituting a Permitted Lien.</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8.05 Insurance</w:t>
      </w:r>
      <w:r>
        <w:rPr>
          <w:rFonts w:ascii="Times New Roman;Times;Serif" w:hAnsi="Times New Roman;Times;Serif"/>
          <w:b w:val="false"/>
          <w:i w:val="false"/>
          <w:caps w:val="false"/>
          <w:smallCaps w:val="false"/>
          <w:sz w:val="20"/>
        </w:rPr>
        <w:t xml:space="preserve">. Such Obligor will, and will cause each of its Subsidiaries to maintain, with financially sound and reputable insurance companies, insurance in such amounts and against such risks as are customarily maintained by companies engaged in the same or similar businesses operating in the same or similar locations. Upon the request of the Administrative Agent, the Borrower shall furnish the Administrative Agent from time to time with (i) material information as to the insurance carried by it and, if so requested, copies of all such insurance policies and (ii) a certificate from the Borrower’s insurance broker or other insurance specialist stating that all premiums then due on the policies relating to insurance on the Collateral have been paid and that such policies are in full force and effect. Receipt of notice of termination or cancellation of any such insurance policies or reduction of coverages or amounts thereunder to levels which do not meet the levels required pursuant to the first sentence of this </w:t>
      </w:r>
      <w:r>
        <w:rPr>
          <w:rFonts w:ascii="Times New Roman;Times;Serif" w:hAnsi="Times New Roman;Times;Serif"/>
          <w:b/>
          <w:i w:val="false"/>
          <w:caps w:val="false"/>
          <w:smallCaps w:val="false"/>
          <w:sz w:val="20"/>
        </w:rPr>
        <w:t>Section 8.05</w:t>
      </w:r>
      <w:r>
        <w:rPr>
          <w:rFonts w:ascii="Times New Roman;Times;Serif" w:hAnsi="Times New Roman;Times;Serif"/>
          <w:b w:val="false"/>
          <w:i w:val="false"/>
          <w:caps w:val="false"/>
          <w:smallCaps w:val="false"/>
          <w:sz w:val="20"/>
        </w:rPr>
        <w:t xml:space="preserve"> shall entitle the Secured Parties to renew any such policies, cause the coverages and amounts thereof to be maintained at levels required pursuant to the first sentence of this </w:t>
      </w:r>
      <w:r>
        <w:rPr>
          <w:rFonts w:ascii="Times New Roman;Times;Serif" w:hAnsi="Times New Roman;Times;Serif"/>
          <w:b/>
          <w:i w:val="false"/>
          <w:caps w:val="false"/>
          <w:smallCaps w:val="false"/>
          <w:sz w:val="20"/>
        </w:rPr>
        <w:t>Section 8.05</w:t>
      </w:r>
      <w:r>
        <w:rPr>
          <w:rFonts w:ascii="Times New Roman;Times;Serif" w:hAnsi="Times New Roman;Times;Serif"/>
          <w:b w:val="false"/>
          <w:i w:val="false"/>
          <w:caps w:val="false"/>
          <w:smallCaps w:val="false"/>
          <w:sz w:val="20"/>
        </w:rPr>
        <w:t xml:space="preserve"> or otherwise to obtain similar insurance in place of such policies, and in each case, the Borrower will be responsible for the reasonable and documented cost of such insurance (to be payable on demand). The amount of any such reasonable and documented expenses shall accrue interest at the Default Rate if not paid on demand and shall constitute “Obligations.”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8.06 Books and Records; Inspection Rights</w:t>
      </w:r>
      <w:r>
        <w:rPr>
          <w:rFonts w:ascii="Times New Roman;Times;Serif" w:hAnsi="Times New Roman;Times;Serif"/>
          <w:b w:val="false"/>
          <w:i w:val="false"/>
          <w:caps w:val="false"/>
          <w:smallCaps w:val="false"/>
          <w:sz w:val="20"/>
        </w:rPr>
        <w:t xml:space="preserve">. Such Obligor will, and will cause each of its Subsidiaries to, keep proper books of record and account in which full, true and correct (in all material respects) entries are made of all dealings and transactions in relation to its business and activities. Such Obligor will, and will cause each of its Subsidiaries to, permit any representatives designated by the Administrative Agent, upon reasonable prior notice, to visit and inspect its properties, to examine and make extracts from its books and records, and to discuss its affairs, finances and condition (financial or otherwise) with its officers and independent accountants (so long as a representative of the Borrower is provided a reasonable opportunity to participate in any such discussion), during normal business hours (but not more often than once per year in total for all such visits and inspections unless an Event of Default has occurred and is continuing) as the Administrative Agent may reasonably request;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representative shall use its commercially reasonable efforts to minimize disruption to the business and affairs of the Borrower as a result of any such visit, inspection, examination or discussion. Notwithstanding anything to the contrary contained herein or any other provision of the Loan Documents, no Obligor nor any of its Subsidiaries will be required to disclose or permit the inspection or discussion of, any document, information or other matter (i) that constitutes trade secrets or proprietary information, (ii) in respect of which disclosure to any Lender (or their respective representatives or contractors) is prohibited by any applicable Law or any binding agreement with a third party (so long as such agreement is not entered into in contemplation of this Agreement) or (iii) that is subject to attorney-client or similar privilege, which could reasonably be expected to be lost or forfeited if disclosed to the Administrative Agent or any Lender. The Borrower shall pay all reasonable and documented costs of all such inspections.</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8.07 Compliance with Laws and Other Obligations</w:t>
      </w:r>
      <w:r>
        <w:rPr>
          <w:rFonts w:ascii="Times New Roman;Times;Serif" w:hAnsi="Times New Roman;Times;Serif"/>
          <w:b w:val="false"/>
          <w:i w:val="false"/>
          <w:caps w:val="false"/>
          <w:smallCaps w:val="false"/>
          <w:sz w:val="20"/>
        </w:rPr>
        <w:t xml:space="preserve">. Such Obligor will, and will cause each of its Subsidiaries to, (i) comply with all Laws (including Anti-Terrorism Laws, Sanctions and Environmental Laws) applicable to it and its business activities, (ii) comply with all Healthcare Laws and Governmental Approvals (including Product Authorizations) applicable to it and its business activities and (iii) maintain in full force and effect (other than in accordance with its terms), remain in compliance with, and perform all obligations under all Material Agreements to which it is a party, except, in the case of </w:t>
      </w:r>
      <w:r>
        <w:rPr>
          <w:rFonts w:ascii="Times New Roman;Times;Serif" w:hAnsi="Times New Roman;Times;Serif"/>
          <w:b/>
          <w:i w:val="false"/>
          <w:caps w:val="false"/>
          <w:smallCaps w:val="false"/>
          <w:sz w:val="20"/>
        </w:rPr>
        <w:t>clauses (i)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 xml:space="preserve">(iii) </w:t>
      </w:r>
      <w:r>
        <w:rPr>
          <w:rFonts w:ascii="Times New Roman;Times;Serif" w:hAnsi="Times New Roman;Times;Serif"/>
          <w:b w:val="false"/>
          <w:i w:val="false"/>
          <w:caps w:val="false"/>
          <w:smallCaps w:val="false"/>
          <w:sz w:val="20"/>
        </w:rPr>
        <w:t>above, where the failure to do so would not, individually or in the aggregate, reasonably be expected to result in a Material Adverse Effect. Each Obligor has, and shall maintain in effect and enforce policies and procedures reasonably designed to promote compliance by such Obligor, its Subsidiaries and their respective directors, officers, employees and agents with Anti-Terrorism Laws and Sanctions.</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8.08 Maintenance of Properties, Etc.</w:t>
      </w:r>
      <w:r>
        <w:rPr>
          <w:rFonts w:ascii="Times New Roman;Times;Serif" w:hAnsi="Times New Roman;Times;Serif"/>
          <w:b w:val="false"/>
          <w:i w:val="false"/>
          <w:caps w:val="false"/>
          <w:smallCaps w:val="false"/>
          <w:sz w:val="20"/>
        </w:rPr>
        <w:t>Such Obligor shall, and shall cause each of its Subsidiaries to, maintain and preserve all of its assets and properties (including all assets and properties, whether tangible or intangible, relating to its Products or Product Commercialization and Development Activities) necessary or useful in the conduct of its business in good working order and condition in accordance with the general practice of other Persons of similar character and size, ordinary wear and tear and damage from casualty or condemnation excepted and except where the failure to do so, individually or in the aggregate, would not reasonably be expected to result in a Material Adverse Effect.</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8.09 Governmental Licenses</w:t>
      </w:r>
      <w:r>
        <w:rPr>
          <w:rFonts w:ascii="Times New Roman;Times;Serif" w:hAnsi="Times New Roman;Times;Serif"/>
          <w:b w:val="false"/>
          <w:i w:val="false"/>
          <w:caps w:val="false"/>
          <w:smallCaps w:val="false"/>
          <w:sz w:val="20"/>
        </w:rPr>
        <w:t>. Such Obligor shall, and shall cause each of its Subsidiaries to, obtain and maintain all Governmental Approvals necessary in connection with the execution, delivery and performance of the Loan Documents, the consummation of the Transactions or the operation and conduct of its business and ownership of its properties (including its Product Commercialization and Development Activities), except where the failure to do so would not reasonably be expected to have a Material Adverse Effect.</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8.10 Use of Proceeds</w:t>
      </w:r>
      <w:r>
        <w:rPr>
          <w:rFonts w:ascii="Times New Roman;Times;Serif" w:hAnsi="Times New Roman;Times;Serif"/>
          <w:b w:val="false"/>
          <w:i w:val="false"/>
          <w:caps w:val="false"/>
          <w:smallCaps w:val="false"/>
          <w:sz w:val="20"/>
        </w:rPr>
        <w:t xml:space="preserve">. The proceeds of the Loans will be used only as provided in </w:t>
      </w:r>
      <w:r>
        <w:rPr>
          <w:rFonts w:ascii="Times New Roman;Times;Serif" w:hAnsi="Times New Roman;Times;Serif"/>
          <w:b/>
          <w:i w:val="false"/>
          <w:caps w:val="false"/>
          <w:smallCaps w:val="false"/>
          <w:sz w:val="20"/>
        </w:rPr>
        <w:t>Section 2.05</w:t>
      </w:r>
      <w:r>
        <w:rPr>
          <w:rFonts w:ascii="Times New Roman;Times;Serif" w:hAnsi="Times New Roman;Times;Serif"/>
          <w:b w:val="false"/>
          <w:i w:val="false"/>
          <w:caps w:val="false"/>
          <w:smallCaps w:val="false"/>
          <w:sz w:val="20"/>
        </w:rPr>
        <w:t>. No part of the proceeds of the Loans will be used, whether directly or indirectly, for any purpose that entails a violation of any of the Regulations of the Board of Governors of the Federal Reserve System, including Regulations T, U and X.</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8.11 Certain Obligations Respecting Subsidiaries; Further Assurances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Subsidiary Guarantors, etc</w:t>
      </w:r>
      <w:r>
        <w:rPr>
          <w:rFonts w:ascii="Times New Roman;Times;Serif" w:hAnsi="Times New Roman;Times;Serif"/>
          <w:b w:val="false"/>
          <w:i w:val="false"/>
          <w:caps w:val="false"/>
          <w:smallCaps w:val="false"/>
          <w:sz w:val="20"/>
        </w:rPr>
        <w:t>. In the event that the Borrower or any of its Subsidiaries shall form or acquire any new Subsidiary (other than an Excluded Subsidiary), or any Excluded Subsidiary ceases to be an Excluded Subsidiary, the Borrower shall promptly (and in any event within forty-five (45) calendar days of such formation or acquisition or such longer period as the Administrative Agent may agree to in its sole discretion) with respect to a formed or acquired Subsidiary (other than an Excluded Subsidiary), and immediately with respect to an Excluded Subsidiary ceasing to be an Excluded Subsidiary: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cause such Subsidiary to become a “Subsidiary Guarantor” hereunder pursuant to a Guarantee Assumption Agreement and a “Grantor” under the Security Agreement;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take such action or cause such Subsidiary to take such action (including joining the Security Agreement and delivering shares of stock together with undated transfer powers executed in blank, applicable control agreements and other instruments) as shall be reasonably necessary or desirable or reasonably requested by the Administrative Agent in order to create and perfect, in favor of the Administrative Agent, for the benefit of the Secured Parties, valid and enforceable first priority Liens (subject only to Permitted Liens), on substantially all of the personal property of such Subsidiary as collateral security for the Obligations hereunder as and when required by the terms of the Security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security interest or Lien shall be subject to the relevant requirements of the Security Documents and the Intercompany Subordination Agreement;</w:t>
      </w:r>
    </w:p>
    <w:p>
      <w:pPr>
        <w:pStyle w:val="TextBody"/>
        <w:bidi w:val="0"/>
        <w:ind w:left="12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the extent that the parent of such Subsidiary is not a party to the Security Agreement or has not otherwise pledged or secured Equity Interests in its Subsidiaries in accordance with the terms of the Security Agreement and this Agreement, cause the parent (if possible) of such Subsidiary to execute and deliver a pledge or other security agreement in favor of the Administrative Agent, for the benefit of the Secured Parties, in respect of all outstanding issued shares of such Subsidiary;</w:t>
      </w:r>
    </w:p>
    <w:p>
      <w:pPr>
        <w:pStyle w:val="TextBody"/>
        <w:bidi w:val="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deliver such proof of corporate action, incumbency of officers, and other applicable documents as is consistent with those delivered by each Obligor pursuant to </w:t>
      </w:r>
      <w:r>
        <w:rPr>
          <w:rFonts w:ascii="Times New Roman;Times;Serif" w:hAnsi="Times New Roman;Times;Serif"/>
          <w:b/>
          <w:i w:val="false"/>
          <w:caps w:val="false"/>
          <w:smallCaps w:val="false"/>
          <w:sz w:val="20"/>
        </w:rPr>
        <w:t>Section 6.01</w:t>
      </w:r>
      <w:r>
        <w:rPr>
          <w:rFonts w:ascii="Times New Roman;Times;Serif" w:hAnsi="Times New Roman;Times;Serif"/>
          <w:b w:val="false"/>
          <w:i w:val="false"/>
          <w:caps w:val="false"/>
          <w:smallCaps w:val="false"/>
          <w:sz w:val="20"/>
        </w:rPr>
        <w:t xml:space="preserve"> or as the Administrative Agent shall reasonably request; and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cause each such Subsidiary (other than any Subsidiary that is not an Obligor) to become a party to the Intercompany Subordination Agreement.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or anything else herein to the contrary, neither the Borrower nor any of its Subsidiaries shall form or acquire any Foreign Subsidiary.</w:t>
      </w:r>
    </w:p>
    <w:p>
      <w:pPr>
        <w:pStyle w:val="TextBody"/>
        <w:bidi w:val="0"/>
        <w:ind w:left="0" w:right="0" w:firstLine="72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Further Assurances.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Obligor will take such action from time to time as shall reasonably be requested by the Administrative Agent to effectuate the purposes and objectives of this Agreement and the Security Agreement; and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that such Obligor creates, develops or otherwise acquires Intellectual Property or real property during the term of this Agreement, then the provisions of this Agreement and the Security Agreement shall and hereby do automatically apply thereto and any such Intellectual Property or real property shall automatically constitute and hereby does constitute part of the Collateral under the Security Documents (other than Excluded Assets (as defined in the Security Agreement)), without further action by any party, in each case from and after the date of such creation, development or acquisition; and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Without limiting the generality of the foregoing, each Obligor will, and will cause each Person that is required to be a Guarantor to, take such action from time to time (including joining the Security Agreement and delivering shares of stock together with undated transfer powers executed in blank, applicable control agreements and other instruments) as shall be required by the terms of the Security Documents or reasonably requested by the Administrative Agent to create, in favor of the Administrative Agent for the benefit of the Secured Parties, perfected security interests and Liens in substantially all of the personal property (other than Excluded Assets (as defined in the Security Agreement)) of such Obligor as collateral security for the Obligations;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security interest or Lien shall be subject to the relevant requirements of the Security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without limiting the right of the Administrative Agent to require a Lien or security interest in any newly acquired or created Subsidiary or asset, upon the prior written request of the Borrower, the Borrower and the Administrative Agent shall consult, in good faith, as to whether the cost of obtaining a Lien or security interest thereon would be unreasonably excessive relative to the benefit thereof.</w:t>
      </w:r>
    </w:p>
    <w:p>
      <w:pPr>
        <w:pStyle w:val="TextBody"/>
        <w:bidi w:val="0"/>
        <w:ind w:left="0" w:right="0" w:firstLine="144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8.12 Termination of Non-Permitted Liens</w:t>
      </w:r>
      <w:r>
        <w:rPr>
          <w:rFonts w:ascii="Times New Roman;Times;Serif" w:hAnsi="Times New Roman;Times;Serif"/>
          <w:b w:val="false"/>
          <w:i w:val="false"/>
          <w:caps w:val="false"/>
          <w:smallCaps w:val="false"/>
          <w:sz w:val="20"/>
        </w:rPr>
        <w:t>. In the event that any Obligor shall become aware of, or be notified by the Administrative Agent or any Lender of the existence of, any outstanding Lien against any assets or property of such Obligor or any of its Subsidiaries, which Lien is not a Permitted Lien, such Obligor shall use its commercially reasonable efforts to promptly terminate or cause the termination of such Lien.</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8.13 Board Materials; Lender Calls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shall deliver to the Administrative Agent: (i) copies of any agenda and other written materials provided to the Borrower’s Board (or any committee thereof) of the Borrower prior to any meeting of the board of directors (or such committee thereof), at or promptly after such materials are furnished to the members of the Borrower’s Board (or such committee thereof), (ii) copies of all minutes of meetings of the Borrower’s Board (or any committee thereof) at or promptly after such minutes are furnished to the members of the Borrower’s Board (or such committee thereof), (iii) copies of all material written consents duly passed by the Borrower’s Board (or any committee thereof) and (iv) promptly upon presentation of any regular periodic materials to the Borrower’s Board (or any committee thereof) reporting on the current, past or future financial performance and business and operations of the Borrower or any of its Subsidiaries (which shall include, among other things, development updates with respect to material Products, and updates with respect to material events relating to other Material Agreements), copies of such materials;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material may be redacted by the Borrower to (A) exclude information relating to the performance of the Administrative Agent or any Lender hereunder or to the Borrower’s strategy regarding the Loans or performance or non-performance under the Loan Documents or any information that could raise a conflict of interest with Administrative Agent or Lenders as reasonably determined based on advice of counsel, (B) preserve attorney-client privilege or required to comply with applicable laws or regulations or (C) protect individually identifiable health information (as defined under HIPAA) or other confidential information relating to healthcare patients to the extent required by applicable Healthcare Laws;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such redactions are restricted so as to be only as extensive as is reasonably necessary in order to exclude information described in clauses (A) through (C); and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dates and times to be mutually agreed upon by the Borrower and the Administrative Agent following the Administrative Agent’s request therefor (but for the avoidance of doubt, no more than once per fiscal quarter), the Borrower will hold a conference call with Administrative Agent, any Lender who chooses to attend such conference call and senior management of the Borrower, at which conference call shall be reviewed the financial results of the previous fiscal year and other material events and Administrative Agent and the Lenders shall have an opportunity to ask questions.</w:t>
      </w:r>
    </w:p>
    <w:p>
      <w:pPr>
        <w:pStyle w:val="TextBody"/>
        <w:bidi w:val="0"/>
        <w:ind w:left="0" w:right="0" w:firstLine="72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8.14 Maintenance of Regulatory Approvals, Contracts, Intellectual Property, Etc.</w:t>
      </w:r>
      <w:r>
        <w:rPr>
          <w:rFonts w:ascii="Times New Roman;Times;Serif" w:hAnsi="Times New Roman;Times;Serif"/>
          <w:b w:val="false"/>
          <w:i w:val="false"/>
          <w:caps w:val="false"/>
          <w:smallCaps w:val="false"/>
          <w:sz w:val="20"/>
        </w:rPr>
        <w:t xml:space="preserve"> Each Obligor shall, and shall cause each of its Subsidiaries (to the extent applicable) to, (i) maintain in full force and effect all Material Product Authorizations, Material Agreements, Material Intellectual Property and other rights, interests or assets (whether tangible or intangible) reasonably necessary for the business of such Obligor and its Subsidiaries, (ii) maintain in full force and effect, and pay all costs and expenses relating to, such Material Product Authorizations, Material Agreements and Material Intellectual Property owned, used or controlled by such Obligor or any such Subsidiary that are used in or necessary for any related Product Commercialization and Development Activities, except as would not be reasonably expected to have a Material Adverse Effect, (iii) promptly after obtaining knowledge thereof, notify the Administrative Agent of any material violation, misappropriation or other infringement by any Person, or any material Claim, action or proceeding brought by any Person alleging the invalidity or unenforceability, of any Material Intellectual Property, and use commercially reasonable efforts to stop, curtail or abate such violation, action, misappropriation or infringement if determined appropriate by the Borrower in the exercise of its prudent business judgment, and (iv) except as set forth on </w:t>
      </w:r>
      <w:r>
        <w:rPr>
          <w:rFonts w:ascii="Times New Roman;Times;Serif" w:hAnsi="Times New Roman;Times;Serif"/>
          <w:b/>
          <w:i w:val="false"/>
          <w:caps w:val="false"/>
          <w:smallCaps w:val="false"/>
          <w:sz w:val="20"/>
        </w:rPr>
        <w:t>Schedule 7.05(b)</w:t>
      </w:r>
      <w:r>
        <w:rPr>
          <w:rFonts w:ascii="Times New Roman;Times;Serif" w:hAnsi="Times New Roman;Times;Serif"/>
          <w:b w:val="false"/>
          <w:i w:val="false"/>
          <w:caps w:val="false"/>
          <w:smallCaps w:val="false"/>
          <w:sz w:val="20"/>
        </w:rPr>
        <w:t>, promptly after obtaining knowledge thereof, notify the Administrative Agent of any Claim by any Person that the conduct of the business of any Obligor or any of its Subsidiaries, including in connection with any Product Commercialization and Development Activities, has violated, misappropriated or otherwise infringed any Intellectual Property of such Person, where such Claim would reasonably be expected to result in a liability to any Obligor or any of their Subsidiaries of greater than $3,000,000.</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8.15 ERISA Compliance and Pension Plans</w:t>
      </w:r>
      <w:r>
        <w:rPr>
          <w:rFonts w:ascii="Times New Roman;Times;Serif" w:hAnsi="Times New Roman;Times;Serif"/>
          <w:b w:val="false"/>
          <w:i w:val="false"/>
          <w:caps w:val="false"/>
          <w:smallCaps w:val="false"/>
          <w:sz w:val="20"/>
        </w:rPr>
        <w:t>. Such Obligor shall comply, and shall cause each of its Subsidiaries to comply, with the provisions of ERISA with respect to any Benefit Plans to which such Obligor or such Subsidiary is a party as an employer, except where the failure to do so would not reasonably be expected to have a Material Adverse Effect.</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8.16 Cash Management</w:t>
      </w:r>
      <w:r>
        <w:rPr>
          <w:rFonts w:ascii="Times New Roman;Times;Serif" w:hAnsi="Times New Roman;Times;Serif"/>
          <w:b w:val="false"/>
          <w:i w:val="false"/>
          <w:caps w:val="false"/>
          <w:smallCaps w:val="false"/>
          <w:sz w:val="20"/>
        </w:rPr>
        <w:t>. Such Obligor shall, and shall cause each of its Subsidiaries to:</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w:t>
      </w:r>
      <w:r>
        <w:rPr>
          <w:rFonts w:ascii="Times New Roman;Times;Serif" w:hAnsi="Times New Roman;Times;Serif"/>
          <w:b/>
          <w:i w:val="false"/>
          <w:caps w:val="false"/>
          <w:smallCaps w:val="false"/>
          <w:sz w:val="20"/>
        </w:rPr>
        <w:t xml:space="preserve">Section 8.17(d)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(f)</w:t>
      </w:r>
      <w:r>
        <w:rPr>
          <w:rFonts w:ascii="Times New Roman;Times;Serif" w:hAnsi="Times New Roman;Times;Serif"/>
          <w:b w:val="false"/>
          <w:i w:val="false"/>
          <w:caps w:val="false"/>
          <w:smallCaps w:val="false"/>
          <w:sz w:val="20"/>
        </w:rPr>
        <w:t>, maintain an aggregate amount of cash of the Borrower and the Subsidiary Guarantors greater than or equal to the Minimum Liquidity Amount in deposit accounts, disbursement accounts, investment accounts (and other similar accounts), securities accounts and lockboxes with a bank or financial institution within the U.S. that has executed and delivered to the Administrative Agent an account control agreement, in form and substance reasonably acceptable to the Administrative Agent (each such agreement, a “</w:t>
      </w:r>
      <w:r>
        <w:rPr>
          <w:rFonts w:ascii="Times New Roman;Times;Serif" w:hAnsi="Times New Roman;Times;Serif"/>
          <w:b/>
          <w:i/>
          <w:caps w:val="false"/>
          <w:smallCaps w:val="false"/>
          <w:sz w:val="20"/>
        </w:rPr>
        <w:t>Control Agreement</w:t>
      </w:r>
      <w:r>
        <w:rPr>
          <w:rFonts w:ascii="Times New Roman;Times;Serif" w:hAnsi="Times New Roman;Times;Serif"/>
          <w:b w:val="false"/>
          <w:i w:val="false"/>
          <w:caps w:val="false"/>
          <w:smallCaps w:val="false"/>
          <w:sz w:val="20"/>
        </w:rPr>
        <w:t>” and each such deposit account, disbursement account, investment account (or similar account), securities account and lockbox, a “</w:t>
      </w:r>
      <w:r>
        <w:rPr>
          <w:rFonts w:ascii="Times New Roman;Times;Serif" w:hAnsi="Times New Roman;Times;Serif"/>
          <w:b/>
          <w:i/>
          <w:caps w:val="false"/>
          <w:smallCaps w:val="false"/>
          <w:sz w:val="20"/>
        </w:rPr>
        <w:t>Controlled Account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such Controlled Account shall be a cash collateral account, with all cash, checks and other similar items of payment in such account securing payment of the Obligations, and each Obligor shall have granted a Lien to the Administrative Agent, for the benefit of the Secured Parties, over such Controlled Accounts;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w:t>
      </w:r>
      <w:r>
        <w:rPr>
          <w:rFonts w:ascii="Times New Roman;Times;Serif" w:hAnsi="Times New Roman;Times;Serif"/>
          <w:b/>
          <w:i w:val="false"/>
          <w:caps w:val="false"/>
          <w:smallCaps w:val="false"/>
          <w:sz w:val="20"/>
        </w:rPr>
        <w:t xml:space="preserve">Section 8.17(d)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(f)</w:t>
      </w:r>
      <w:r>
        <w:rPr>
          <w:rFonts w:ascii="Times New Roman;Times;Serif" w:hAnsi="Times New Roman;Times;Serif"/>
          <w:b w:val="false"/>
          <w:i w:val="false"/>
          <w:caps w:val="false"/>
          <w:smallCaps w:val="false"/>
          <w:sz w:val="20"/>
        </w:rPr>
        <w:t>, maintain each of its deposit accounts, disbursement accounts, investment accounts (or similar accounts), securities accounts and lockboxes (other than, in each case, Excluded Accounts) as Controlled Accounts;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deposit promptly, and in any event no later than five (5) Business Days after the date of receipt thereof (or such longer period of time as agreed by the Administrative Agent in its sole discretion), all cash, checks, drafts or other similar items of payment in an amount in excess of $250,000 and relating to or constituting payments made in respect of any and all accounts and other rights and interests into Controlled Accounts; and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at any time after the occurrence and during the continuance of an Event of Default, at the request of the Administrative Agent, each Obligor shall cause all payments constituting proceeds of accounts to be directed into lockbox accounts under agreements in form and substance satisfactory to the Administrative Agent.</w:t>
      </w:r>
    </w:p>
    <w:p>
      <w:pPr>
        <w:pStyle w:val="TextBody"/>
        <w:bidi w:val="0"/>
        <w:ind w:left="0" w:right="0" w:firstLine="72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8.17 Post-Closing Obligations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seven (7) Business Days following the Closing Date (or such longer period of time as agreed by the Administrative Agent in its sole discretion), the Administrative Agent shall have received (i) all certificates (in the case of Equity Interests that are certificated securities (as defined in the UCC)) evidencing the issued and outstanding Equity Interests owned by each Obligor that are required to be pledged or otherwise secured and so delivered under the Security Documents, which certificates in each case shall be accompanied by undated instruments of transfer duly executed in blank and (ii) the original Melt Note, which note shall be accompanied by an undated allonge, duly executed in blank.</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thirty (30) days following the Closing Date (or such longer period of time as agreed by the Administrative Agent in its sole discretion), the Administrative Agent shall have received endorsements for all such insurance policies required pursuant to the Loan Documents, naming the Administrative Agent as lender loss payee or additional insured, as applicable, on behalf of the Secured Parties.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Within forty-five (45) days following the Closing Date (or such longer period of time as agreed by the Administrative Agent in its sole discretion), the Borrower shall use its commercially reasonable efforts to obtain a Landlord Consent with respect to the leased properties at (i) 102 Woodmont Blvd., (ii) 1000 Aviara Parkway, Suite 220, (iii) 1705 Route 46 W, Suite 4, and (iv) 658 Grassmere Park, Suite 104.</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Within ninety (90) days following the Closing Date (or such longer period of time as agreed by the Administrative Agent in its sole discretion), the Administrative Agent shall have received evidence that all deposit accounts, lockboxes, disbursement accounts, investment accounts, securities accounts or other similar accounts (other than Excluded Accounts and accounts located at MUFG Union Bank, N.A.) of each Obligor have either (i) been closed or (ii) are Controlled Accounts.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Within one hundred and twenty (120) days following the Closing Date (or such longer period of time as agreed by the Administrative Agent in its sole discretion), the Administrative Agent shall have received evidence that the Borrower has made commercially reasonable efforts (including by posting to customary job sites) to hire a senior counsel or other employee with a similar title and serving the customary functions of a senior counsel.</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Within one hundred and twenty (120) days following the Closing Date (or such longer period of time as agreed by the Administrative Agent in its sole discretion), the Administrative Agent shall have received evidence that all deposit accounts, lockboxes, disbursement accounts, investment accounts, securities accounts or other similar accounts (other than Excluded Accounts) of each Obligor that are located at MUFG Union Bank, N.A. either (i) have been closed or (ii) are Controlled Accounts;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during the period while such accounts are not Controlled Accounts, the aggregate balance of all such accounts shall not exceed $1,000,000 for more than three consecutive Business Days.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Within ten (10) Business Days following the Closing Date (or such longer period of time as agreed by the Administrative Agent in its sole discretion), the Administrative Agent shall have received a copy of a good standing certificate with respect to Visionology, Inc., certified as of a recent date by the Delaware Secretary of State.</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8.18 Warrants</w:t>
      </w:r>
      <w:r>
        <w:rPr>
          <w:rFonts w:ascii="Times New Roman;Times;Serif" w:hAnsi="Times New Roman;Times;Serif"/>
          <w:b w:val="false"/>
          <w:i w:val="false"/>
          <w:caps w:val="false"/>
          <w:smallCaps w:val="false"/>
          <w:sz w:val="20"/>
        </w:rPr>
        <w:t xml:space="preserve">. On or prior to the date on which financial statements for the fiscal year ending December 31, 2024 are required to be delivered pursuant to </w:t>
      </w:r>
      <w:r>
        <w:rPr>
          <w:rFonts w:ascii="Times New Roman;Times;Serif" w:hAnsi="Times New Roman;Times;Serif"/>
          <w:b/>
          <w:i w:val="false"/>
          <w:caps w:val="false"/>
          <w:smallCaps w:val="false"/>
          <w:sz w:val="20"/>
        </w:rPr>
        <w:t>Section 8.01(b)</w:t>
      </w:r>
      <w:r>
        <w:rPr>
          <w:rFonts w:ascii="Times New Roman;Times;Serif" w:hAnsi="Times New Roman;Times;Serif"/>
          <w:b w:val="false"/>
          <w:i w:val="false"/>
          <w:caps w:val="false"/>
          <w:smallCaps w:val="false"/>
          <w:sz w:val="20"/>
        </w:rPr>
        <w:t xml:space="preserve">, concurrently with the delivery of the Compliance Certificate for such fiscal year, the Borrower shall deliver to the Administrative Agent a certificate of the chief financial officer (or other equivalent financial officer) of the Borrower in form and substance reasonably satisfactory to the Administrative Agent, setting forth the Total Leverage Ratio as of the end of the fiscal quarter ending December 31, 2024, together with a reasonably detailed calculation thereof. If the Total Leverage Ratio as of the end of such fiscal quarter is greater than or equal to 5.00:1.00, then concurrently with the delivery of such certificate, the Borrower shall deliver to the Administrative Agent duly executed warrants, substantially in the form attached hereto as </w:t>
      </w:r>
      <w:r>
        <w:rPr>
          <w:rFonts w:ascii="Times New Roman;Times;Serif" w:hAnsi="Times New Roman;Times;Serif"/>
          <w:b/>
          <w:i w:val="false"/>
          <w:caps w:val="false"/>
          <w:smallCaps w:val="false"/>
          <w:sz w:val="20"/>
        </w:rPr>
        <w:t>Exhibit I</w:t>
      </w:r>
      <w:r>
        <w:rPr>
          <w:rFonts w:ascii="Times New Roman;Times;Serif" w:hAnsi="Times New Roman;Times;Serif"/>
          <w:b w:val="false"/>
          <w:i w:val="false"/>
          <w:caps w:val="false"/>
          <w:smallCaps w:val="false"/>
          <w:sz w:val="20"/>
        </w:rPr>
        <w:t xml:space="preserve"> (collectively,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for each Lender as of the end of such fiscal quarter, in an amount of common shares of the Borrower equal to each such Lender’s Proportionate Share of the aggregate amount set forth below (it being understood that such aggregate amount is subject to adjustment for stock splits, dividends, recapitalizations and any other similar event):</w:t>
      </w:r>
    </w:p>
    <w:p>
      <w:pPr>
        <w:pStyle w:val="TextBody"/>
        <w:bidi w:val="0"/>
        <w:ind w:left="0" w:right="0" w:hanging="0"/>
        <w:jc w:val="both"/>
        <w:rPr>
          <w:caps w:val="false"/>
          <w:smallCaps w:val="false"/>
        </w:rPr>
      </w:pPr>
      <w:r>
        <w:rPr>
          <w:caps w:val="false"/>
          <w:smallCaps w:val="false"/>
        </w:rPr>
        <w:t> </w:t>
      </w:r>
    </w:p>
    <w:tbl>
      <w:tblPr>
        <w:tblW w:w="9460" w:type="dxa"/>
        <w:jc w:val="left"/>
        <w:tblInd w:w="0" w:type="dxa"/>
        <w:tblLayout w:type="fixed"/>
        <w:tblCellMar>
          <w:top w:w="0" w:type="dxa"/>
          <w:left w:w="0" w:type="dxa"/>
          <w:bottom w:w="28" w:type="dxa"/>
          <w:right w:w="0" w:type="dxa"/>
        </w:tblCellMar>
      </w:tblPr>
      <w:tblGrid>
        <w:gridCol w:w="4700"/>
        <w:gridCol w:w="60"/>
        <w:gridCol w:w="4700"/>
      </w:tblGrid>
      <w:tr>
        <w:trPr/>
        <w:tc>
          <w:tcPr>
            <w:tcW w:w="470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Leverage Ratio</w:t>
            </w:r>
          </w:p>
        </w:tc>
        <w:tc>
          <w:tcPr>
            <w:tcW w:w="60" w:type="dxa"/>
            <w:tcBorders/>
            <w:tcMar>
              <w:bottom w:w="0" w:type="dxa"/>
            </w:tcMar>
            <w:vAlign w:val="center"/>
          </w:tcPr>
          <w:p>
            <w:pPr>
              <w:pStyle w:val="TableContents"/>
              <w:bidi w:val="0"/>
              <w:spacing w:before="0" w:after="283"/>
              <w:jc w:val="left"/>
              <w:rPr/>
            </w:pPr>
            <w:r>
              <w:rPr/>
              <w:t> </w:t>
            </w:r>
          </w:p>
        </w:tc>
        <w:tc>
          <w:tcPr>
            <w:tcW w:w="470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 Number of Common Shares of the Borrower</w:t>
            </w:r>
          </w:p>
        </w:tc>
      </w:tr>
      <w:tr>
        <w:trPr/>
        <w:tc>
          <w:tcPr>
            <w:tcW w:w="47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Greater than or equal to 5.00:1.00, but less than 7.00:1.00</w:t>
            </w:r>
          </w:p>
        </w:tc>
        <w:tc>
          <w:tcPr>
            <w:tcW w:w="60" w:type="dxa"/>
            <w:tcBorders/>
            <w:tcMar>
              <w:bottom w:w="0" w:type="dxa"/>
            </w:tcMar>
            <w:vAlign w:val="center"/>
          </w:tcPr>
          <w:p>
            <w:pPr>
              <w:pStyle w:val="TableContents"/>
              <w:bidi w:val="0"/>
              <w:spacing w:before="0" w:after="283"/>
              <w:jc w:val="left"/>
              <w:rPr/>
            </w:pPr>
            <w:r>
              <w:rPr/>
              <w:t> </w:t>
            </w:r>
          </w:p>
        </w:tc>
        <w:tc>
          <w:tcPr>
            <w:tcW w:w="47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375,000</w:t>
            </w:r>
          </w:p>
        </w:tc>
      </w:tr>
      <w:tr>
        <w:trPr/>
        <w:tc>
          <w:tcPr>
            <w:tcW w:w="47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Greater than or equal to 7.00:1.00</w:t>
            </w:r>
          </w:p>
        </w:tc>
        <w:tc>
          <w:tcPr>
            <w:tcW w:w="60" w:type="dxa"/>
            <w:tcBorders/>
            <w:tcMar>
              <w:bottom w:w="0" w:type="dxa"/>
            </w:tcMar>
            <w:vAlign w:val="center"/>
          </w:tcPr>
          <w:p>
            <w:pPr>
              <w:pStyle w:val="TableContents"/>
              <w:bidi w:val="0"/>
              <w:spacing w:before="0" w:after="283"/>
              <w:jc w:val="left"/>
              <w:rPr/>
            </w:pPr>
            <w:r>
              <w:rPr/>
              <w:t> </w:t>
            </w:r>
          </w:p>
        </w:tc>
        <w:tc>
          <w:tcPr>
            <w:tcW w:w="47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750,000</w:t>
            </w:r>
          </w:p>
        </w:tc>
      </w:tr>
    </w:tbl>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8.19 Certain Additional Rights of Lender (VCOC)</w:t>
      </w:r>
      <w:r>
        <w:rPr>
          <w:rFonts w:ascii="Times New Roman;Times;Serif" w:hAnsi="Times New Roman;Times;Serif"/>
          <w:b w:val="false"/>
          <w:i w:val="false"/>
          <w:caps w:val="false"/>
          <w:smallCaps w:val="false"/>
          <w:sz w:val="20"/>
        </w:rPr>
        <w:t>. The Borrower acknowledges that one of the Lenders (or its direct or indirect member or partner) intends to qualify as a “venture capital operating company” (as defined in the Department of Labor regulations located at 29 C.F.R. Section 2510.3-101, as modified by Section 3(42) of ERISA) (such Lender referred to in this paragraph as the “</w:t>
      </w:r>
      <w:r>
        <w:rPr>
          <w:rFonts w:ascii="Times New Roman;Times;Serif" w:hAnsi="Times New Roman;Times;Serif"/>
          <w:b/>
          <w:i/>
          <w:caps w:val="false"/>
          <w:smallCaps w:val="false"/>
          <w:sz w:val="20"/>
        </w:rPr>
        <w:t>VCOC Lender</w:t>
      </w:r>
      <w:r>
        <w:rPr>
          <w:rFonts w:ascii="Times New Roman;Times;Serif" w:hAnsi="Times New Roman;Times;Serif"/>
          <w:b w:val="false"/>
          <w:i w:val="false"/>
          <w:caps w:val="false"/>
          <w:smallCaps w:val="false"/>
          <w:sz w:val="20"/>
        </w:rPr>
        <w:t>”). Notwithstanding anything to the contrary contained in this Agreement, the VCOC Lender shall have the following rights: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 to consult with and advise the Borrower’s management regarding significant business activities and business and financial developments of the Borrower, with the VCOC Lender having the right to call meetings to facilitate such consultation and advice at reasonable times and upon reasonable advance notice, provided that (i) such meetings generally shall not occur more than once per quarter and (ii) such meetings may take place in person, via telephone or video conference;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right to visit and inspect the Borrower’s facilities and to inspect and examine the books and records of the Borrower in each case at reasonable times and upon reasonable advance notice, provided that (i) such visitation and inspection generally shall not occur more than once per quarter and (ii) the Borrower shall not be required to provide access to highly confidential or proprietary information;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right, in accordance with the terms of this Agreement to receive monthly, quarterly and year-end financial reports; and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Borrower shall use its reasonable best efforts to provide the VCOC Lender with true and correct copies of all documents, reports, financial data and other information regarding the Borrower as the VCOC Lender may reasonably request, provided that the Borrower shall not be required to provide access to highly confidential or proprietary information.</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agrees to cause its management to consider, in good faith, the recommendations of the VCOC Lender provided to the Borrower in connection with the exercise of the foregoing rights, provided that the Borrower retains ultimate discretion with respect to all such matters. All rights granted to the VCOC Lender under this paragraph are in addition to any rights granted to the VCOC Lender in any other capacity and nothing herein shall be construed to limit, restrict or impair any such rights of the VCOC Lender.</w:t>
      </w:r>
    </w:p>
    <w:p>
      <w:pPr>
        <w:pStyle w:val="TextBody"/>
        <w:bidi w:val="0"/>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Section 9.</w:t>
      </w:r>
      <w:r>
        <w:rPr>
          <w:rFonts w:ascii="Times New Roman;Times;Serif" w:hAnsi="Times New Roman;Times;Serif"/>
          <w:b/>
          <w:i w:val="false"/>
          <w:caps w:val="false"/>
          <w:smallCaps w:val="false"/>
          <w:sz w:val="20"/>
        </w:rPr>
        <w:br/>
        <w:t>NEGATIVE COVENANTS</w:t>
      </w:r>
    </w:p>
    <w:p>
      <w:pPr>
        <w:pStyle w:val="TextBody"/>
        <w:bidi w:val="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Obligor covenants and agrees with the Administrative Agent and the Lenders that, until the Commitments have expired or been terminated and all Obligations (other than inchoate indemnification obligations for which no claim has been made), have been paid in full in cash:</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9.01 Indebtedness</w:t>
      </w:r>
      <w:r>
        <w:rPr>
          <w:rFonts w:ascii="Times New Roman;Times;Serif" w:hAnsi="Times New Roman;Times;Serif"/>
          <w:b w:val="false"/>
          <w:i w:val="false"/>
          <w:caps w:val="false"/>
          <w:smallCaps w:val="false"/>
          <w:sz w:val="20"/>
        </w:rPr>
        <w:t>. Such Obligor will not, and will not permit any of its Subsidiaries to, create, incur, assume or permit to exist any Indebtedness, whether directly or indirectly, except: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Obligations;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Indebtedness existing on the date hereof and set forth on </w:t>
      </w:r>
      <w:r>
        <w:rPr>
          <w:rFonts w:ascii="Times New Roman;Times;Serif" w:hAnsi="Times New Roman;Times;Serif"/>
          <w:b/>
          <w:i w:val="false"/>
          <w:caps w:val="false"/>
          <w:smallCaps w:val="false"/>
          <w:sz w:val="20"/>
        </w:rPr>
        <w:t xml:space="preserve">Schedule 9.01(b) </w:t>
      </w:r>
      <w:r>
        <w:rPr>
          <w:rFonts w:ascii="Times New Roman;Times;Serif" w:hAnsi="Times New Roman;Times;Serif"/>
          <w:b w:val="false"/>
          <w:i w:val="false"/>
          <w:caps w:val="false"/>
          <w:smallCaps w:val="false"/>
          <w:sz w:val="20"/>
        </w:rPr>
        <w:t xml:space="preserve">and Permitted Refinancings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Indebtedness is intercompany Indebtedness, such Indebtedness shall be subject to the Intercompany Subordination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accounts payable to trade creditors for goods and services and current operating liabilities (not the result of the borrowing of money) incurred in the ordinary course of such Obligor’s or such Subsidiary’s business in accordance with customary terms and paid within the specified time, unless contested in good faith by appropriate proceedings and reserved for in accordance with GAAP;</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Indebtedness consisting of guarantees resulting from the endorsement of negotiable instruments for collection in the Ordinary Course;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Indebtedness of an Obligor owing to any other Obligor, in each case subject to the Intercompany Subordination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Indebtedness of any Subsidiary that is not an Obligor owing to any other Subsidiary that is not an Obligor;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Indebtedness of any Obligor (other than the Borrower) owing to any Subsidiary that is not another Obligor, in each case subject to the Intercompany Subordination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Guarantees by any Obligor of Permitted Indebtedness of another Obligor;</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equipment and software financing and leasing (including Capital Lease Obligations and purchase money Indebtedness) and Permitted Refinancings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if secured, the collateral therefor consists solely of the assets being financed, the products and proceeds thereof and books and records related thereto, and (ii) the aggregate outstanding principal amount of such Indebtedness does not exceed $3,000,000 at any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Indebtedness under Permitted Hedging Agreements;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Indebtedness assumed pursuant to any Permitted Acquisition and Permitted Refinancings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no such Indebtedness (individually) shall exceed 15% of the total purchase price paid in connection with such Permitted Acquisition, (ii) the aggregate outstanding principal amount of Indebtedness permitted pursuant to this </w:t>
      </w:r>
      <w:r>
        <w:rPr>
          <w:rFonts w:ascii="Times New Roman;Times;Serif" w:hAnsi="Times New Roman;Times;Serif"/>
          <w:b/>
          <w:i w:val="false"/>
          <w:caps w:val="false"/>
          <w:smallCaps w:val="false"/>
          <w:sz w:val="20"/>
        </w:rPr>
        <w:t>Section 9.01(k)</w:t>
      </w:r>
      <w:r>
        <w:rPr>
          <w:rFonts w:ascii="Times New Roman;Times;Serif" w:hAnsi="Times New Roman;Times;Serif"/>
          <w:b w:val="false"/>
          <w:i w:val="false"/>
          <w:caps w:val="false"/>
          <w:smallCaps w:val="false"/>
          <w:sz w:val="20"/>
        </w:rPr>
        <w:t xml:space="preserve"> shall not exceed $5,000,000 at any time outstanding and (iii) no such Indebtedness was created or incurred in connection with, or in contemplation of, such Permitted Acquisition;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unsecured Indebtedness in an aggregate outstanding principal amount not to exceed $3,500,000;</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Indebtedness in respect of letters of credit, bank guarantees, bankers’ acceptances, warehouse receipts or similar instruments issued or created, or related to obligations or liabilities incurred, in the Ordinary Course, including in respect of workers compensation claims, health, disability or other employee benefits or property, leases, commercial contracts, Indebtedness permitted pursuant to </w:t>
      </w:r>
      <w:r>
        <w:rPr>
          <w:rFonts w:ascii="Times New Roman;Times;Serif" w:hAnsi="Times New Roman;Times;Serif"/>
          <w:b/>
          <w:i w:val="false"/>
          <w:caps w:val="false"/>
          <w:smallCaps w:val="false"/>
          <w:sz w:val="20"/>
        </w:rPr>
        <w:t>Section 9.01(o)</w:t>
      </w:r>
      <w:r>
        <w:rPr>
          <w:rFonts w:ascii="Times New Roman;Times;Serif" w:hAnsi="Times New Roman;Times;Serif"/>
          <w:b w:val="false"/>
          <w:i w:val="false"/>
          <w:caps w:val="false"/>
          <w:smallCaps w:val="false"/>
          <w:sz w:val="20"/>
        </w:rPr>
        <w:t>, property, casualty or liability insurance or self-insurance or other Indebtedness with respect to reimbursement-type obligations regarding workers compensation claims;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Indebtedness arising in connection with the financing of insurance premiums in the Ordinary Course;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Indebtedness in respect of (i) performance bonds, bid bonds, appeal bonds, surety bonds, customs bonds, government bonds, performance and completion guarantees and similar obligations arising in the Ordinary Course and (ii) customary indemnification obligations to purchasers in connection with Asset Sales permitted by </w:t>
      </w:r>
      <w:r>
        <w:rPr>
          <w:rFonts w:ascii="Times New Roman;Times;Serif" w:hAnsi="Times New Roman;Times;Serif"/>
          <w:b/>
          <w:i w:val="false"/>
          <w:caps w:val="false"/>
          <w:smallCaps w:val="false"/>
          <w:sz w:val="20"/>
        </w:rPr>
        <w:t>Section 9.09</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Indebtedness in respect of netting services, overdraft protections, business credit cards, purchasing cards, payment processing, automatic clearinghouse arrangements, arrangements in respect of pooled deposit or sweep accounts, check endorsement guarantees, and otherwise in connection with deposit accounts or cash management services;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purchase price adjustments, indemnity payments, incentive, non-compete, consulting or other similar arrangements, contingent obligations and other Deferred Acquisition Consideration in connection with any Permitted Acquisition, in each case that are permitted pursuant to the definition of “Permitted Acquisition”; or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Indebtedness in respect of the Existing Notes and any refinancing, extension, renewal or replacement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any such refinancing, extension, renewal or replacement shall not (A) exceed the outstanding principal amount of the Existing Notes being refinanced, extended, renewed or replaced (including by application of any interest that may be paid-in-kind during the term of such refinanced, extended, renewed or replaced Indebtedness), (B) have a maturity date that is prior to the date that is 91 days after the Maturity Date hereunder, (C) contain any financial covenants, (D) contain any other terms that are less favorable in any material respect to the Obligors and their respective Subsidiaries, and/or to the Administrative Agent or the other Secured Parties, than the terms governing the Existing Notes being refinanced, extended, renewed or replaced, (E) have an applicable all-in yield (whether in the form of interest rate, margin, interest rate floor, upfront fees, original issue discount or any other similar fees paid to all lenders or holders generally;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upfront fees, original issue discount and other similar fees shall be equated to interest rate assuming a four (4) year life to maturity (or, if less, the stated life to maturity at the time of incurrence of the applicable Indebtedness)) which exceeds the rate of interest of the Existing Notes being refinanced, extended, renewed or replaced plus 1.00% per annum, (F) grant any Lien (and such Indebtedness shall be unsecured) or (G) give any Guarantee that was not an existing requirement of the Existing Notes and (ii) immediately prior to and immediately after such refinancing, extension, renewal or replacement, no Default or Event of Default shall exist;</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9.02 Liens</w:t>
      </w:r>
      <w:r>
        <w:rPr>
          <w:rFonts w:ascii="Times New Roman;Times;Serif" w:hAnsi="Times New Roman;Times;Serif"/>
          <w:b w:val="false"/>
          <w:i w:val="false"/>
          <w:caps w:val="false"/>
          <w:smallCaps w:val="false"/>
          <w:sz w:val="20"/>
        </w:rPr>
        <w:t>. Such Obligor will not, and will not permit any of its Subsidiaries to, create, incur, assume or permit to exist any Lien on any property now owned by it or such Subsidiary, except: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Liens securing the Obligations;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Lien on any property or asset of such Obligor or any of its Subsidiaries existing on the date hereof and set forth on </w:t>
      </w:r>
      <w:r>
        <w:rPr>
          <w:rFonts w:ascii="Times New Roman;Times;Serif" w:hAnsi="Times New Roman;Times;Serif"/>
          <w:b/>
          <w:i w:val="false"/>
          <w:caps w:val="false"/>
          <w:smallCaps w:val="false"/>
          <w:sz w:val="20"/>
        </w:rPr>
        <w:t xml:space="preserve">Schedule 9.02(b) </w:t>
      </w:r>
      <w:r>
        <w:rPr>
          <w:rFonts w:ascii="Times New Roman;Times;Serif" w:hAnsi="Times New Roman;Times;Serif"/>
          <w:b w:val="false"/>
          <w:i w:val="false"/>
          <w:caps w:val="false"/>
          <w:smallCaps w:val="false"/>
          <w:sz w:val="20"/>
        </w:rPr>
        <w:t xml:space="preserve">and renewals and extensions thereof in connection with Permitted Refinancings of the Indebtedness being secured by such Lien;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(i) no such Lien (including any renewal or extension thereof) shall extend to any other property or asset of such Obligor or any of its Subsidiaries (other than improvements and accessions to such property or asset) and (ii) any such Lien shall secure only those obligations which it secures on the date hereof and renewals, extensions and replacements thereof in connection with Permitted Refinancings of the Indebtedness being secured by such Lien that do not increase the outstanding principal amount thereof (other than by an amount equal to unpaid interest and premiums thereon, including tender premium, and required prepayment premiums, and any customary underwriting discounts, fees, commissions and expenses associated with such extension, renewal or replacement);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Liens securing Indebtedness permitted under </w:t>
      </w:r>
      <w:r>
        <w:rPr>
          <w:rFonts w:ascii="Times New Roman;Times;Serif" w:hAnsi="Times New Roman;Times;Serif"/>
          <w:b/>
          <w:i w:val="false"/>
          <w:caps w:val="false"/>
          <w:smallCaps w:val="false"/>
          <w:sz w:val="20"/>
        </w:rPr>
        <w:t>Section 9.01(i)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Liens are restricted solely to the collateral described in </w:t>
      </w:r>
      <w:r>
        <w:rPr>
          <w:rFonts w:ascii="Times New Roman;Times;Serif" w:hAnsi="Times New Roman;Times;Serif"/>
          <w:b/>
          <w:i w:val="false"/>
          <w:caps w:val="false"/>
          <w:smallCaps w:val="false"/>
          <w:sz w:val="20"/>
        </w:rPr>
        <w:t>Section 9.01(i)</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Liens imposed by any Law and arising in the Ordinary Course, including (but not limited to) carriers’, warehousemen’s, landlords’, and mechanics’ liens, liens relating to leasehold improvements and other similar Liens arising in the Ordinary Course that (x) do not in the aggregate materially detract from the value of the property subject thereto or materially impair the use thereof in the operations of the business of such Person or (y) are being contested in good faith by appropriate proceedings, which proceedings have the effect of preventing the forfeiture or sale of the property subject to such Liens and for which adequate reserves have been made if required in accordance with GAAP;</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pledges or deposits made in the Ordinary Course in connection with bids, contract leases, appeal bonds, workers’ compensation, unemployment insurance or other similar social security legislation;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Liens securing Taxes, assessments and other governmental charges, the payment of which is not past due or is being contested in good faith by appropriate proceedings promptly initiated and diligently conducted and for which such reserve or other appropriate provisions, if any, as shall be required by GAAP shall have been made;</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(i) servitudes, easements, rights of way, restrictions and other similar encumbrances on real property imposed by any Law, (ii) Liens consisting of zoning or building restrictions, (iii) easements, licenses, restrictions on the use of real property or minor imperfections in title thereto which, in the aggregate, are not material, and which do not in any case materially detract from the value of the property subject thereto or interfere with the ordinary conduct of the business of any of the Obligors or any of their Subsidiaries; and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with respect to any real property, (i) such defects or encroachments as might be revealed by an up-to-date survey of such real property; (ii) the reservations, limitations, provisos and conditions expressed in the original grant, deed or patent of such property by the original owner of such real property pursuant to all applicable Laws; and (iii) rights of expropriation, access or user or any similar right conferred or reserved by or in any Law, which, in the aggregate for </w:t>
      </w:r>
      <w:r>
        <w:rPr>
          <w:rFonts w:ascii="Times New Roman;Times;Serif" w:hAnsi="Times New Roman;Times;Serif"/>
          <w:b/>
          <w:i w:val="false"/>
          <w:caps w:val="false"/>
          <w:smallCaps w:val="false"/>
          <w:sz w:val="20"/>
        </w:rPr>
        <w:t>clauses (i)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(iii)</w:t>
      </w:r>
      <w:r>
        <w:rPr>
          <w:rFonts w:ascii="Times New Roman;Times;Serif" w:hAnsi="Times New Roman;Times;Serif"/>
          <w:b w:val="false"/>
          <w:i w:val="false"/>
          <w:caps w:val="false"/>
          <w:smallCaps w:val="false"/>
          <w:sz w:val="20"/>
        </w:rPr>
        <w:t>, are not material, and which do not in any case materially detract from the value of the property subject thereto or interfere with the ordinary conduct of the business of any of the Obligors or its Subsidiaries;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bankers liens, rights of setoff and similar Liens incurred on deposits or other assets credited to any deposit or securities account made in the Ordinary Course;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Liens securing Indebtedness permitted under </w:t>
      </w:r>
      <w:r>
        <w:rPr>
          <w:rFonts w:ascii="Times New Roman;Times;Serif" w:hAnsi="Times New Roman;Times;Serif"/>
          <w:b/>
          <w:i w:val="false"/>
          <w:caps w:val="false"/>
          <w:smallCaps w:val="false"/>
          <w:sz w:val="20"/>
        </w:rPr>
        <w:t>Section 9.01(k)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Lien is not created in contemplation of or in connection with such Permitted Acquisition pursuant to which such Indebtedness was assumed, (ii) such Lien shall not apply to any other property or assets of the Borrower or any Subsidiary other than the assets subject to such Liens immediately prior to the consummation of the Permitted Acquisition, and (iii) such Lien shall secure only those obligations that it secured immediately prior to the consummation of such Permitted Acquisition and extensions, renewals and replacements thereof that do not increase the outstanding principal amount thereof;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Liens securing Indebtedness permitted under </w:t>
      </w:r>
      <w:r>
        <w:rPr>
          <w:rFonts w:ascii="Times New Roman;Times;Serif" w:hAnsi="Times New Roman;Times;Serif"/>
          <w:b/>
          <w:i w:val="false"/>
          <w:caps w:val="false"/>
          <w:smallCaps w:val="false"/>
          <w:sz w:val="20"/>
        </w:rPr>
        <w:t>Sections 9.01(m), (n), (o)</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(p)</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any judgment Lien or Lien arising from decrees or attachments not constituting an Event of Default;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Liens arising from precautionary UCC financing statement filings regarding operating leases of personal property and consignment arrangements entered into in the Ordinary Course in an Arm’s Length Transaction;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Liens which secure obligations in an aggregate amount not to exceed $3,500,000 at any time outstanding;</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Liens in favor of customs and revenue authorities arising as a matter of law to secure payment of customs duties in connection with the importation of goods and incurred in the Ordinary Course;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Permitted Licenses;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Liens on cash and Cash Equivalent Investments securing obligations under Permitted Hedging Agreements;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(i) Liens to secure payment of workers’ compensation, employment insurance, old age pensions, social security and other like obligations incurred in the Ordinary Course (other than Liens imposed by ERISA) and (ii) deposits in respect of letters of credit, bank guarantees or similar instruments issued for the account of any Obligor or any Subsidiary in the Ordinary Course supporting obligations of the type set forth in clause (i) above;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to the extent constituting a Lien, customary cash escrow arrangements securing indemnification obligations associated with a Permitted Acquisition or any other Investment permitted under </w:t>
      </w:r>
      <w:r>
        <w:rPr>
          <w:rFonts w:ascii="Times New Roman;Times;Serif" w:hAnsi="Times New Roman;Times;Serif"/>
          <w:b/>
          <w:i w:val="false"/>
          <w:caps w:val="false"/>
          <w:smallCaps w:val="false"/>
          <w:sz w:val="20"/>
        </w:rPr>
        <w:t>Section 9.05</w:t>
      </w:r>
      <w:r>
        <w:rPr>
          <w:rFonts w:ascii="Times New Roman;Times;Serif" w:hAnsi="Times New Roman;Times;Serif"/>
          <w:b w:val="false"/>
          <w:i w:val="false"/>
          <w:caps w:val="false"/>
          <w:smallCaps w:val="false"/>
          <w:sz w:val="20"/>
        </w:rPr>
        <w:t xml:space="preserve"> not to exceed $2,500,000 in the aggregate;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Liens of a collection bank arising under Section 4-210 of the Uniform Commercial Code on items in the course of collection;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Liens of sellers of goods to the Borrower and any of its Subsidiaries arising under Article 2 of the Uniform Commercial Code or otherwise in the Ordinary Course, covering only the goods sold and securing only the unpaid purchase price for such goods and related expenses;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rights of first refusal, voting, redemption, transfer or other restrictions (including call provisions and buy-sell provisions) with respect to the Equity Interests of any Joint Venture or other Persons that are not Subsidiaries; and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any Lien arising under conditional sale, title retention, consignment or similar arrangements for the sale of goods in the Ordinary Course;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Lien attaches only to the goods subject to such sale, title retention, consignment or similar arrangement;</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 xml:space="preserve">that no Lien otherwise permitted under any of the foregoing </w:t>
      </w:r>
      <w:r>
        <w:rPr>
          <w:rFonts w:ascii="Times New Roman;Times;Serif" w:hAnsi="Times New Roman;Times;Serif"/>
          <w:b/>
          <w:i w:val="false"/>
          <w:caps w:val="false"/>
          <w:smallCaps w:val="false"/>
          <w:sz w:val="20"/>
        </w:rPr>
        <w:t>clauses (c), (d), (e)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(g)</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i w:val="false"/>
          <w:caps w:val="false"/>
          <w:smallCaps w:val="false"/>
          <w:sz w:val="20"/>
        </w:rPr>
        <w:t xml:space="preserve">(k), (m), (n), (o)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(q)</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i w:val="false"/>
          <w:caps w:val="false"/>
          <w:smallCaps w:val="false"/>
          <w:sz w:val="20"/>
        </w:rPr>
        <w:t xml:space="preserve">(w) </w:t>
      </w:r>
      <w:r>
        <w:rPr>
          <w:rFonts w:ascii="Times New Roman;Times;Serif" w:hAnsi="Times New Roman;Times;Serif"/>
          <w:b w:val="false"/>
          <w:i w:val="false"/>
          <w:caps w:val="false"/>
          <w:smallCaps w:val="false"/>
          <w:sz w:val="20"/>
        </w:rPr>
        <w:t xml:space="preserve">of this </w:t>
      </w:r>
      <w:r>
        <w:rPr>
          <w:rFonts w:ascii="Times New Roman;Times;Serif" w:hAnsi="Times New Roman;Times;Serif"/>
          <w:b/>
          <w:i w:val="false"/>
          <w:caps w:val="false"/>
          <w:smallCaps w:val="false"/>
          <w:sz w:val="20"/>
        </w:rPr>
        <w:t xml:space="preserve">Section 9.02 </w:t>
      </w:r>
      <w:r>
        <w:rPr>
          <w:rFonts w:ascii="Times New Roman;Times;Serif" w:hAnsi="Times New Roman;Times;Serif"/>
          <w:b w:val="false"/>
          <w:i w:val="false"/>
          <w:caps w:val="false"/>
          <w:smallCaps w:val="false"/>
          <w:sz w:val="20"/>
        </w:rPr>
        <w:t>shall apply to any Material Intellectual Property.</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9.03 Fundamental Changes and Acquisitions</w:t>
      </w:r>
      <w:r>
        <w:rPr>
          <w:rFonts w:ascii="Times New Roman;Times;Serif" w:hAnsi="Times New Roman;Times;Serif"/>
          <w:b w:val="false"/>
          <w:i w:val="false"/>
          <w:caps w:val="false"/>
          <w:smallCaps w:val="false"/>
          <w:sz w:val="20"/>
        </w:rPr>
        <w:t xml:space="preserve">. Such Obligor will not, and will not permit any of its Subsidiaries to, (i) enter into any transaction of merger, amalgamation or consolidation, (ii) liquidate, wind up or dissolve itself (or suffer any liquidation or dissolution), (iii) sell or issue any of its Disqualified Equity Interests or (iv) other than Permitted Acquisitions and any Acquisition permitted by </w:t>
      </w:r>
      <w:r>
        <w:rPr>
          <w:rFonts w:ascii="Times New Roman;Times;Serif" w:hAnsi="Times New Roman;Times;Serif"/>
          <w:b/>
          <w:i w:val="false"/>
          <w:caps w:val="false"/>
          <w:smallCaps w:val="false"/>
          <w:sz w:val="20"/>
        </w:rPr>
        <w:t>Section 9.05(a)</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Section 9.05(t)</w:t>
      </w:r>
      <w:r>
        <w:rPr>
          <w:rFonts w:ascii="Times New Roman;Times;Serif" w:hAnsi="Times New Roman;Times;Serif"/>
          <w:b w:val="false"/>
          <w:i w:val="false"/>
          <w:caps w:val="false"/>
          <w:smallCaps w:val="false"/>
          <w:sz w:val="20"/>
        </w:rPr>
        <w:t>, make any Acquisition or otherwise acquire any business or substantially all the property from, or Equity Interests of, or be a party to any Acquisition of, any Person, except: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merger, amalgamation, consolidation, dissolution, winding up or liquidation of any (i) Subsidiary with or into any Obligor;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with respect to any such transaction involving (x) the Borrower, the Borrower must be the surviving or successor entity of such transaction or (y) any other Obligor, an Obligor must be the surviving or successor entity of such transaction or the surviving Person shall concurrently therewith become an Obligor or (ii) Subsidiary that is not an Obligor with or into any other Subsidiary that is not an Obligor;</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sale, lease, transfer or other disposition by (i) any Obligor (other than the Borrower) of any or all of its property (upon voluntary liquidation, dissolution, winding-up or otherwise) to the any other Obligor or to any entity that concurrently therewith shall become an Obligor or (ii) any Subsidiary that not an Obligor of any or all of its property (upon voluntary liquidation, dissolution, winding-up or otherwise) to any other Subsidiary that is not an Obligor;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sale, transfer or other disposition of the Equity Interests of (i) any Subsidiary to an Obligor or (ii) any Subsidiary that is not an Obligor owned by a Subsidiary that is not an Obligor, to any other Subsidiary that is not an Obligor;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mergers, amalgamations, consolidations, dissolutions or liquidations of any Subsidiary to effectuate any Asset Sales permitted under </w:t>
      </w:r>
      <w:r>
        <w:rPr>
          <w:rFonts w:ascii="Times New Roman;Times;Serif" w:hAnsi="Times New Roman;Times;Serif"/>
          <w:b/>
          <w:i w:val="false"/>
          <w:caps w:val="false"/>
          <w:smallCaps w:val="false"/>
          <w:sz w:val="20"/>
        </w:rPr>
        <w:t>Section 9.09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be the surviving or receiving party, as applicable, with respect to any such merger, amalgamation, consolidation, dissolution or liquidation that involves the Borrower; and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in connection with any Permitted Acquisition or other Investment permitted under </w:t>
      </w:r>
      <w:r>
        <w:rPr>
          <w:rFonts w:ascii="Times New Roman;Times;Serif" w:hAnsi="Times New Roman;Times;Serif"/>
          <w:b/>
          <w:i w:val="false"/>
          <w:caps w:val="false"/>
          <w:smallCaps w:val="false"/>
          <w:sz w:val="20"/>
        </w:rPr>
        <w:t>Section 9.05</w:t>
      </w:r>
      <w:r>
        <w:rPr>
          <w:rFonts w:ascii="Times New Roman;Times;Serif" w:hAnsi="Times New Roman;Times;Serif"/>
          <w:b w:val="false"/>
          <w:i w:val="false"/>
          <w:caps w:val="false"/>
          <w:smallCaps w:val="false"/>
          <w:sz w:val="20"/>
        </w:rPr>
        <w:t>, any Obligor or any of its Subsidiaries may merge into or consolidate with any other Person or permit any other Person to merge into or consolidate with it, so long as (i) the Person surviving such merger with any Subsidiary shall be a direct or indirect wholly-owned Subsidiary of the Borrower, (ii) in the case of any such merger to which the Borrower is a party, the Borrower is the surviving Person, and (iii) in the case of any such merger to which a Subsidiary Guarantor is a party, the surviving Person is such Subsidiary Guarantor or concurrently therewith becomes a Subsidiary Guarantor.</w:t>
      </w:r>
    </w:p>
    <w:p>
      <w:pPr>
        <w:pStyle w:val="TextBody"/>
        <w:bidi w:val="0"/>
        <w:ind w:left="0" w:right="0" w:firstLine="72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9.04 Lines of Business</w:t>
      </w:r>
      <w:r>
        <w:rPr>
          <w:rFonts w:ascii="Times New Roman;Times;Serif" w:hAnsi="Times New Roman;Times;Serif"/>
          <w:b w:val="false"/>
          <w:i w:val="false"/>
          <w:caps w:val="false"/>
          <w:smallCaps w:val="false"/>
          <w:sz w:val="20"/>
        </w:rPr>
        <w:t>. Such Obligor will not, and will not permit any of its Subsidiaries to, engage in any business other than the business engaged in on the date hereof by such Persons or a business reasonably related, incidental or complementary thereto or reasonable expansions or extensions thereof.</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9.05 Investments</w:t>
      </w:r>
      <w:r>
        <w:rPr>
          <w:rFonts w:ascii="Times New Roman;Times;Serif" w:hAnsi="Times New Roman;Times;Serif"/>
          <w:b w:val="false"/>
          <w:i w:val="false"/>
          <w:caps w:val="false"/>
          <w:smallCaps w:val="false"/>
          <w:sz w:val="20"/>
        </w:rPr>
        <w:t>. Such Obligor will not, and will not permit any of its Subsidiaries to, make, directly or indirectly, or permit to remain outstanding any Investments except: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Investments (but without giving effect to the cash return provision contained in the definition thereof) outstanding on the date hereof and identified in </w:t>
      </w:r>
      <w:r>
        <w:rPr>
          <w:rFonts w:ascii="Times New Roman;Times;Serif" w:hAnsi="Times New Roman;Times;Serif"/>
          <w:b/>
          <w:i w:val="false"/>
          <w:caps w:val="false"/>
          <w:smallCaps w:val="false"/>
          <w:sz w:val="20"/>
        </w:rPr>
        <w:t xml:space="preserve">Schedule 9.05(a) </w:t>
      </w:r>
      <w:r>
        <w:rPr>
          <w:rFonts w:ascii="Times New Roman;Times;Serif" w:hAnsi="Times New Roman;Times;Serif"/>
          <w:b w:val="false"/>
          <w:i w:val="false"/>
          <w:caps w:val="false"/>
          <w:smallCaps w:val="false"/>
          <w:sz w:val="20"/>
        </w:rPr>
        <w:t>and any renewals, amendments and replacements thereof that do not increase the amount thereof of any such Investment, net of cash returns thereon, or require that any additional Investment be made (unless otherwise permitted hereunder);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deposit accounts with banks (or similar deposit-taking institutions) and securities accounts maintained by the Obligors and their respective Subsidiaries, which in the case of the Obligors shall be Controlled Accounts (unless Excluded Accounts);</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extensions of credit in the nature of accounts receivable or notes receivable arising from the sales of goods or services or the grant of trade credit in the Ordinary Course in an Arm’s Length Transaction;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Permitted Cash Equivalent Investments, which in the case of the Obligors shall be maintained in Controlled Accounts subject to </w:t>
      </w:r>
      <w:r>
        <w:rPr>
          <w:rFonts w:ascii="Times New Roman;Times;Serif" w:hAnsi="Times New Roman;Times;Serif"/>
          <w:b/>
          <w:i w:val="false"/>
          <w:caps w:val="false"/>
          <w:smallCaps w:val="false"/>
          <w:sz w:val="20"/>
        </w:rPr>
        <w:t xml:space="preserve">Section 8.17(d)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(f)</w:t>
      </w:r>
      <w:r>
        <w:rPr>
          <w:rFonts w:ascii="Times New Roman;Times;Serif" w:hAnsi="Times New Roman;Times;Serif"/>
          <w:b w:val="false"/>
          <w:i w:val="false"/>
          <w:caps w:val="false"/>
          <w:smallCaps w:val="false"/>
          <w:sz w:val="20"/>
        </w:rPr>
        <w:t xml:space="preserve"> (unless maintained in Excluded Accounts);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Investments by (i) an Obligor in another Obligor and (ii) a Subsidiary that is not an Obligor in any other Subsidiary that is not an Obligor;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Investments by a Subsidiary that is not an Obligor in an Obligor;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Investment made by any Subsidiary that is not an Obligor pursuant to this </w:t>
      </w:r>
      <w:r>
        <w:rPr>
          <w:rFonts w:ascii="Times New Roman;Times;Serif" w:hAnsi="Times New Roman;Times;Serif"/>
          <w:b/>
          <w:i w:val="false"/>
          <w:caps w:val="false"/>
          <w:smallCaps w:val="false"/>
          <w:sz w:val="20"/>
        </w:rPr>
        <w:t>clause (f)</w:t>
      </w:r>
      <w:r>
        <w:rPr>
          <w:rFonts w:ascii="Times New Roman;Times;Serif" w:hAnsi="Times New Roman;Times;Serif"/>
          <w:b w:val="false"/>
          <w:i w:val="false"/>
          <w:caps w:val="false"/>
          <w:smallCaps w:val="false"/>
          <w:sz w:val="20"/>
        </w:rPr>
        <w:t xml:space="preserve"> shall be subordinated in right of payment to the Obligations pursuant to the Intercompany Subordination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Permitted Hedging Agreements;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Investments consisting of prepaid expenses, deposits under commercial contracts for the purchase of assets, negotiable instruments held for collection or deposit, security deposits with utilities, landlords and other like Persons and deposits in connection with workers’ compensation and similar deposits, in each case, made in the Ordinary Course, and other deposits and cash collateral constituting Permitted Liens;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employee, officer and director loans, travel advances and guarantees in accordance with the Borrower’s usual and customary practices with respect thereto (if permitted by applicable Laws) and non-cash loans to employees, officers, or directors relating to the purchase of Equity Interests of the Borrower pursuant to employee stock purchase plans or agreements, which in the aggregate shall not exceed $2,500,000 outstanding at any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Investments received in connection with any Insolvency Proceedings in respect of any customers, suppliers or clients or in settlement of delinquent obligations of, and other disputes with, customers, suppliers or clients;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the increase in value of any Investment otherwise permitted pursuant to this </w:t>
      </w:r>
      <w:r>
        <w:rPr>
          <w:rFonts w:ascii="Times New Roman;Times;Serif" w:hAnsi="Times New Roman;Times;Serif"/>
          <w:b/>
          <w:i w:val="false"/>
          <w:caps w:val="false"/>
          <w:smallCaps w:val="false"/>
          <w:sz w:val="20"/>
        </w:rPr>
        <w:t>Section 9.05</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(i) non-cash Investments in joint ventures or strategic alliances in the Ordinary Course consisting of the non-exclusive licensing of technology, the development of technology or the providing of technical support, and (ii) cash Investments in joint ventures or strategic alliances;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such Investments under this sub-clause (ii), the aggregate amount of all such cash Investments made during any fiscal year shall not exceed $2,500,000;</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Investments (except in Excluded Subsidiaries) in an aggregate amount not to exceed $5,000,000;</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Investments of any Person in existence at the time such Person becomes a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such Investment was not made in connection with or anticipation of such Person becoming a Subsidiary and any modification, replacement, renewal or extension thereof;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Investments permitted under </w:t>
      </w:r>
      <w:r>
        <w:rPr>
          <w:rFonts w:ascii="Times New Roman;Times;Serif" w:hAnsi="Times New Roman;Times;Serif"/>
          <w:b/>
          <w:i w:val="false"/>
          <w:caps w:val="false"/>
          <w:smallCaps w:val="false"/>
          <w:sz w:val="20"/>
        </w:rPr>
        <w:t>Section 9.03</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Permitted Acquisitions and earnest money deposits in connection with Permitted Acquisitions and Investments acquired as a result of a Permitted Acquisition to the extent that such Investments were not made in contemplation of or in connection with such Permitted Acquisition and were in existence prior to the date of such Permitted Acquisition;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Investments consisting of the non-cash portion of the sales consideration received by the Borrower or any of its Subsidiaries in connection with any Asset Sale permitted under </w:t>
      </w:r>
      <w:r>
        <w:rPr>
          <w:rFonts w:ascii="Times New Roman;Times;Serif" w:hAnsi="Times New Roman;Times;Serif"/>
          <w:b/>
          <w:i w:val="false"/>
          <w:caps w:val="false"/>
          <w:smallCaps w:val="false"/>
          <w:sz w:val="20"/>
        </w:rPr>
        <w:t>Section 9.09</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Investments consisting of the endorsement of negotiable instruments for deposit or collection or similar transactions in the Ordinary Course;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to the extent constituting Investments, Guarantees of Indebtedness, which Guarantees are permitted under </w:t>
      </w:r>
      <w:r>
        <w:rPr>
          <w:rFonts w:ascii="Times New Roman;Times;Serif" w:hAnsi="Times New Roman;Times;Serif"/>
          <w:b/>
          <w:i w:val="false"/>
          <w:caps w:val="false"/>
          <w:smallCaps w:val="false"/>
          <w:sz w:val="20"/>
        </w:rPr>
        <w:t>Section 9.01</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(i) Investments contemplated by </w:t>
      </w:r>
      <w:r>
        <w:rPr>
          <w:rFonts w:ascii="Times New Roman;Times;Serif" w:hAnsi="Times New Roman;Times;Serif"/>
          <w:b/>
          <w:i w:val="false"/>
          <w:caps w:val="false"/>
          <w:smallCaps w:val="false"/>
          <w:sz w:val="20"/>
        </w:rPr>
        <w:t>Schedule 9.05(s)</w:t>
      </w:r>
      <w:r>
        <w:rPr>
          <w:rFonts w:ascii="Times New Roman;Times;Serif" w:hAnsi="Times New Roman;Times;Serif"/>
          <w:b w:val="false"/>
          <w:i w:val="false"/>
          <w:caps w:val="false"/>
          <w:smallCaps w:val="false"/>
          <w:sz w:val="20"/>
        </w:rPr>
        <w:t xml:space="preserve"> and (ii) the Permitted Minority Investments;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Investments consisting of Permitted Liens;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Investments in the Ordinary Course consisting of UCC Article 3 endorsements for collection or deposit and UCC Article 4 customary trade arrangements with customers consistent with past practices; and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to the extent constituting Investments, purchases and acquisitions of inventory, supplies, materials and equipment.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in this Agreement to the contrary, (i) the Obligors shall not, and shall not permit any of their Subsidiaries to (x) directly or indirectly transfer, by means of contribution, sale, assignment, lease or sublease, license or sublicense, or other disposition of any kind (including, for avoidance of doubt, as an Investment, Restricted Payment or Asset Sale), any Material Intellectual Property other than (I) pursuant to Permitted Licenses or (II) as permitted pursuant to </w:t>
      </w:r>
      <w:r>
        <w:rPr>
          <w:rFonts w:ascii="Times New Roman;Times;Serif" w:hAnsi="Times New Roman;Times;Serif"/>
          <w:b/>
          <w:i w:val="false"/>
          <w:caps w:val="false"/>
          <w:smallCaps w:val="false"/>
          <w:sz w:val="20"/>
        </w:rPr>
        <w:t>Section 9.09(g)</w:t>
      </w:r>
      <w:r>
        <w:rPr>
          <w:rFonts w:ascii="Times New Roman;Times;Serif" w:hAnsi="Times New Roman;Times;Serif"/>
          <w:b w:val="false"/>
          <w:i w:val="false"/>
          <w:caps w:val="false"/>
          <w:smallCaps w:val="false"/>
          <w:sz w:val="20"/>
        </w:rPr>
        <w:t xml:space="preserve"> or (y) permit any Person other than an Obligor to license or own any interest in any Material Intellectual Property owned by such Obligor other than pursuant to (I) Permitted Licenses or (II) as permitted pursuant to </w:t>
      </w:r>
      <w:r>
        <w:rPr>
          <w:rFonts w:ascii="Times New Roman;Times;Serif" w:hAnsi="Times New Roman;Times;Serif"/>
          <w:b/>
          <w:i w:val="false"/>
          <w:caps w:val="false"/>
          <w:smallCaps w:val="false"/>
          <w:sz w:val="20"/>
        </w:rPr>
        <w:t>Section 9.09(g)</w:t>
      </w:r>
      <w:r>
        <w:rPr>
          <w:rFonts w:ascii="Times New Roman;Times;Serif" w:hAnsi="Times New Roman;Times;Serif"/>
          <w:b w:val="false"/>
          <w:i w:val="false"/>
          <w:caps w:val="false"/>
          <w:smallCaps w:val="false"/>
          <w:sz w:val="20"/>
        </w:rPr>
        <w:t>, (ii) no Material Intellectual Property shall be contributed as an Investment or distributed as a Restricted Payment to any Subsidiary other than an Obligor (other than pursuant to Permitted Licenses) and (iii) neither any Obligor nor any of their Subsidiaries shall be permitted to directly or indirectly transfer, by means of contribution, sale, assignment, lease or sublease, license or sublicense, or other disposition of any kind (including, for avoidance of doubt, as an Investment, Restricted Payment or Asset Sale) any assets or property of any kind (including, without limitation, any Intellectual Property) to any Excluded Subsidiary.</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9.06 Restricted Payments</w:t>
      </w:r>
      <w:r>
        <w:rPr>
          <w:rFonts w:ascii="Times New Roman;Times;Serif" w:hAnsi="Times New Roman;Times;Serif"/>
          <w:b w:val="false"/>
          <w:i w:val="false"/>
          <w:caps w:val="false"/>
          <w:smallCaps w:val="false"/>
          <w:sz w:val="20"/>
        </w:rPr>
        <w:t xml:space="preserve">. Such Obligor will not, and will not permit any of its Subsidiaries to, declare or make, or agree to pay or make, directly or indirectly, any Restricted Payment;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Restricted Payments consisting of the payment of interest, principal or fees in respect of any intercompany Indebtedness permitted by </w:t>
      </w:r>
      <w:r>
        <w:rPr>
          <w:rFonts w:ascii="Times New Roman;Times;Serif" w:hAnsi="Times New Roman;Times;Serif"/>
          <w:b/>
          <w:i w:val="false"/>
          <w:caps w:val="false"/>
          <w:smallCaps w:val="false"/>
          <w:sz w:val="20"/>
        </w:rPr>
        <w:t>Section 9.01(e)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(f)</w:t>
      </w:r>
      <w:r>
        <w:rPr>
          <w:rFonts w:ascii="Times New Roman;Times;Serif" w:hAnsi="Times New Roman;Times;Serif"/>
          <w:b w:val="false"/>
          <w:i w:val="false"/>
          <w:caps w:val="false"/>
          <w:smallCaps w:val="false"/>
          <w:sz w:val="20"/>
        </w:rPr>
        <w:t xml:space="preserve"> shall be permitted and (ii) the following Restricted Payments shall be permitted so long as no Event of Default has occurred and is continuing or would reasonably be expected to occur or result from such Restricted Payment: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dividends with respect to the Borrower’s Equity Interests payable solely in shares of its Qualified Equity Interests (or the equivalent thereof);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Borrower’s purchase, redemption, retirement, or other acquisition of shares of its Equity Interests with the proceeds received from a substantially concurrent issue of new shares of its Qualified Equity Interests;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(1) each Subsidiary that is an Obligor may make Restricted Payments (it being understood that Restricted Payments consisting of the payment of interest, principal or fees in respect of intercompany Indebtedness permitted by </w:t>
      </w:r>
      <w:r>
        <w:rPr>
          <w:rFonts w:ascii="Times New Roman;Times;Serif" w:hAnsi="Times New Roman;Times;Serif"/>
          <w:b/>
          <w:i w:val="false"/>
          <w:caps w:val="false"/>
          <w:smallCaps w:val="false"/>
          <w:sz w:val="20"/>
        </w:rPr>
        <w:t>Section 9.01(e)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(f)</w:t>
      </w:r>
      <w:r>
        <w:rPr>
          <w:rFonts w:ascii="Times New Roman;Times;Serif" w:hAnsi="Times New Roman;Times;Serif"/>
          <w:b w:val="false"/>
          <w:i w:val="false"/>
          <w:caps w:val="false"/>
          <w:smallCaps w:val="false"/>
          <w:sz w:val="20"/>
        </w:rPr>
        <w:t xml:space="preserve"> shall be covered by </w:t>
      </w:r>
      <w:r>
        <w:rPr>
          <w:rFonts w:ascii="Times New Roman;Times;Serif" w:hAnsi="Times New Roman;Times;Serif"/>
          <w:b/>
          <w:i w:val="false"/>
          <w:caps w:val="false"/>
          <w:smallCaps w:val="false"/>
          <w:sz w:val="20"/>
        </w:rPr>
        <w:t>Section 9.06(i)</w:t>
      </w:r>
      <w:r>
        <w:rPr>
          <w:rFonts w:ascii="Times New Roman;Times;Serif" w:hAnsi="Times New Roman;Times;Serif"/>
          <w:b w:val="false"/>
          <w:i w:val="false"/>
          <w:caps w:val="false"/>
          <w:smallCaps w:val="false"/>
          <w:sz w:val="20"/>
        </w:rPr>
        <w:t xml:space="preserve">) to any other Obligor, and (2) each Subsidiary that is not an Obligor may make Restricted Payments to its equity holders generally;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Obligor that owns the Equity Interests in such Subsidiary paying such Restricted Payment receives at least its proportional share (including at least its proportional share of any portion of such Restricted Payment made in cash) thereof;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purchase, redemption, retirement or other acquisition of Equity Interests of the Borrower held by consultants, officers, directors and employees or former consultants, officers, directors or employees (or their transferees, estates, or beneficiaries under their estates) of Borrower and its Subsidiaries not to exceed $1,500,000 in the aggregate in any fiscal year (it being agreed that, to the extent constituting an Investment permitted by </w:t>
      </w:r>
      <w:r>
        <w:rPr>
          <w:rFonts w:ascii="Times New Roman;Times;Serif" w:hAnsi="Times New Roman;Times;Serif"/>
          <w:b/>
          <w:i w:val="false"/>
          <w:caps w:val="false"/>
          <w:smallCaps w:val="false"/>
          <w:sz w:val="20"/>
        </w:rPr>
        <w:t>Section 9.05(i)</w:t>
      </w:r>
      <w:r>
        <w:rPr>
          <w:rFonts w:ascii="Times New Roman;Times;Serif" w:hAnsi="Times New Roman;Times;Serif"/>
          <w:b w:val="false"/>
          <w:i w:val="false"/>
          <w:caps w:val="false"/>
          <w:smallCaps w:val="false"/>
          <w:sz w:val="20"/>
        </w:rPr>
        <w:t xml:space="preserve">, the amount of any Indebtedness of such Persons owing to the Borrower or any Subsidiary forgiven in connection with such Restricted Payment shall be excluded from any determination pursuant to this </w:t>
      </w:r>
      <w:r>
        <w:rPr>
          <w:rFonts w:ascii="Times New Roman;Times;Serif" w:hAnsi="Times New Roman;Times;Serif"/>
          <w:b/>
          <w:i w:val="false"/>
          <w:caps w:val="false"/>
          <w:smallCaps w:val="false"/>
          <w:sz w:val="20"/>
        </w:rPr>
        <w:t>clause (ii)(d)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portion of such basket that is not used by the Borrower or its Subsidiaries in any fiscal year shall be carried forward and shall increase such basket for succeeding fiscal years;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cashless repurchases of Equity Interests deemed to occur upon exercises of options and warrants or the settlement or vesting of other equity awards if such Equity Interests represent a portion of the exercise price of such options or warrants or similar equity incentive awards;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cash payments made by the Borrower to redeem, purchase, repurchase or retire its obligations under options, warrants and other convertible securities issued by it in the nature of customary cash payments in lieu of fractional shares in accordance with the terms thereof;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Borrower may acquire (or withhold) its Equity Interests pursuant to any employee stock option or similar plan to pay withholding taxes for which Borrower is liable in respect of a current or former officer, director, employee, member of management or consultant upon such grant or award (or upon vesting or exercise thereof) and the Borrower may make deemed repurchases in connection with the exercise of stock options;</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any payment of interest, principal or fees in respect of any Indebtedness owed by any Obligor or any of its Subsidiaries to any holder of more than ten percent (10%) of the Equity Interests of any Obligor or any of its Subsidiaries, in each case to the extent permitted under </w:t>
      </w:r>
      <w:r>
        <w:rPr>
          <w:rFonts w:ascii="Times New Roman;Times;Serif" w:hAnsi="Times New Roman;Times;Serif"/>
          <w:b/>
          <w:i w:val="false"/>
          <w:caps w:val="false"/>
          <w:smallCaps w:val="false"/>
          <w:sz w:val="20"/>
        </w:rPr>
        <w:t>Section 9.07</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payments related to share withholdings for individual taxes related to vested restricted stock units (RSUs), options and other equity grants made to employees, as permitted under the Borrower’s 2017 and 2007 Incentive Stock and Awards Plans (as amended as of Closing Date), and required under certain of Borrower’s equity grants and employment agreements (in each case as in effect on the Closing Date), in an aggregate amount not to exceed (i) $10,000,000 for the fiscal year ending December 31, 2023 and (ii) $3,000,000 for the fiscal year ending December 31, 2024;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together with the financial statements for the fiscal years ending December 31, 2023 and December 31, 2024 required pursuant to </w:t>
      </w:r>
      <w:r>
        <w:rPr>
          <w:rFonts w:ascii="Times New Roman;Times;Serif" w:hAnsi="Times New Roman;Times;Serif"/>
          <w:b/>
          <w:i w:val="false"/>
          <w:caps w:val="false"/>
          <w:smallCaps w:val="false"/>
          <w:sz w:val="20"/>
        </w:rPr>
        <w:t>Section 8.01(a)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concurrently with the delivery of the Compliance Certificate for such accounting period, a Responsible Officer of the Borrower shall deliver to the Administrative Agent a certificate setting forth the amount of the foregoing payments for such accounting period, together with supporting information in form and substance reasonably satisfactory to the Administrative Agent; and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Restricted Payments in an aggregate amount not to exceed (1) $1,000,000 in any fiscal year or (2) $2,500,000 during the term of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9.07 Payments of Indebtedness</w:t>
      </w:r>
      <w:r>
        <w:rPr>
          <w:rFonts w:ascii="Times New Roman;Times;Serif" w:hAnsi="Times New Roman;Times;Serif"/>
          <w:b w:val="false"/>
          <w:i w:val="false"/>
          <w:caps w:val="false"/>
          <w:smallCaps w:val="false"/>
          <w:sz w:val="20"/>
        </w:rPr>
        <w:t xml:space="preserve">. Such Obligor will not, and will not permit any of its Subsidiaries to, make any payments in respect of any Indebtedness other than (i) payments of the Obligations, (ii) scheduled payments in respect of the Existing Notes pursuant to the terms of the Existing Notes Indenture as in effect on the date hereof, (iii) scheduled payments of other Indebtedness to the extent permitted pursuant to the terms, if any, of any applicable subordination or intercreditor agreement in respect of the Obligations, (iv) intercompany indebtedness permitted under </w:t>
      </w:r>
      <w:r>
        <w:rPr>
          <w:rFonts w:ascii="Times New Roman;Times;Serif" w:hAnsi="Times New Roman;Times;Serif"/>
          <w:b/>
          <w:i w:val="false"/>
          <w:caps w:val="false"/>
          <w:smallCaps w:val="false"/>
          <w:sz w:val="20"/>
        </w:rPr>
        <w:t>Section 9.01</w:t>
      </w:r>
      <w:r>
        <w:rPr>
          <w:rFonts w:ascii="Times New Roman;Times;Serif" w:hAnsi="Times New Roman;Times;Serif"/>
          <w:b w:val="false"/>
          <w:i w:val="false"/>
          <w:caps w:val="false"/>
          <w:smallCaps w:val="false"/>
          <w:sz w:val="20"/>
        </w:rPr>
        <w:t xml:space="preserve"> (subject to the terms of the Intercompany Subordination Agreement, if applicable), (v) Indebtedness permitted to be incurred under </w:t>
      </w:r>
      <w:r>
        <w:rPr>
          <w:rFonts w:ascii="Times New Roman;Times;Serif" w:hAnsi="Times New Roman;Times;Serif"/>
          <w:b/>
          <w:i w:val="false"/>
          <w:caps w:val="false"/>
          <w:smallCaps w:val="false"/>
          <w:sz w:val="20"/>
        </w:rPr>
        <w:t>Sections 9.01(b), (i), (j), (k), (l), (m)</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(p)</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payments shall only be made or settled in Equity Interests and cash in lieu of fractional shares (as well as cash to pay any accrued interest on the date of any payment made in Equity Interests), and (vi) Permitted Refinancings permitted hereunder.</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9.08 Change in Fiscal Year</w:t>
      </w:r>
      <w:r>
        <w:rPr>
          <w:rFonts w:ascii="Times New Roman;Times;Serif" w:hAnsi="Times New Roman;Times;Serif"/>
          <w:b w:val="false"/>
          <w:i w:val="false"/>
          <w:caps w:val="false"/>
          <w:smallCaps w:val="false"/>
          <w:sz w:val="20"/>
        </w:rPr>
        <w:t>. Such Obligor will not, and will not permit any of its Subsidiaries to, change the last day of its fiscal year from that in effect on the date hereof without the prior written consent of Administrative Agent, except to change the fiscal year of a Subsidiary acquired in connection with an Acquisition to conform its fiscal year to that of the Borrower.</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9.09 Sales of Assets, Etc</w:t>
      </w:r>
      <w:r>
        <w:rPr>
          <w:rFonts w:ascii="Times New Roman;Times;Serif" w:hAnsi="Times New Roman;Times;Serif"/>
          <w:b w:val="false"/>
          <w:i w:val="false"/>
          <w:caps w:val="false"/>
          <w:smallCaps w:val="false"/>
          <w:sz w:val="20"/>
        </w:rPr>
        <w:t>. Such Obligor will not, and will not permit any of its Subsidiaries to, sell, lease or sublease (as lessor or sub-lessor), sale and leaseback, assign, convey, exclusively license (in terms of geography or field of use), transfer, or otherwise dispose of any of its businesses, assets or property of any kind, whether real, personal, or mixed and whether tangible or intangible, whether now owned or hereafter acquired (including accounts receivable and Equity Interests of Subsidiaries), or forgive, release or compromise any amount owed to such Obligor or Subsidiary, in each case, in one transaction or series of related transactions (any thereof, an “</w:t>
      </w:r>
      <w:r>
        <w:rPr>
          <w:rFonts w:ascii="Times New Roman;Times;Serif" w:hAnsi="Times New Roman;Times;Serif"/>
          <w:b/>
          <w:i/>
          <w:caps w:val="false"/>
          <w:smallCaps w:val="false"/>
          <w:sz w:val="20"/>
        </w:rPr>
        <w:t>Asset Sale</w:t>
      </w:r>
      <w:r>
        <w:rPr>
          <w:rFonts w:ascii="Times New Roman;Times;Serif" w:hAnsi="Times New Roman;Times;Serif"/>
          <w:b w:val="false"/>
          <w:i w:val="false"/>
          <w:caps w:val="false"/>
          <w:smallCaps w:val="false"/>
          <w:sz w:val="20"/>
        </w:rPr>
        <w:t>”), except: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sales, transfers and other dispositions of receivables in connection with the compromise, settlement or collection thereof in the Ordinary Course;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sales of inventory, including to end users (through wholesalers or other typical sales channels) or to distributors, in the Ordinary Course in an Arm’s Length Transaction;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forgiveness, release or compromise of any amount owed to any Obligor or Subsidiary in the Ordinary Course;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Permitted Licenses;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transfers of assets, rights or property (i) among Obligors or (ii) any Subsidiary that is not an Obligor to an Obligor or another Subsidiary that is not an Obligor;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dispositions (including by way of abandonment or cancellation) of any equipment and other tangible property that is obsolete or worn out or no longer used or useful in the business disposed of in the Ordinary Course in an Arm’s-Length Transaction;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dispositions resulting from casualty events;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the unwinding of any Hedging Agreement permitted by </w:t>
      </w:r>
      <w:r>
        <w:rPr>
          <w:rFonts w:ascii="Times New Roman;Times;Serif" w:hAnsi="Times New Roman;Times;Serif"/>
          <w:b/>
          <w:i w:val="false"/>
          <w:caps w:val="false"/>
          <w:smallCaps w:val="false"/>
          <w:sz w:val="20"/>
        </w:rPr>
        <w:t>Section 9.05</w:t>
      </w:r>
      <w:r>
        <w:rPr>
          <w:rFonts w:ascii="Times New Roman;Times;Serif" w:hAnsi="Times New Roman;Times;Serif"/>
          <w:b w:val="false"/>
          <w:i w:val="false"/>
          <w:caps w:val="false"/>
          <w:smallCaps w:val="false"/>
          <w:sz w:val="20"/>
        </w:rPr>
        <w:t xml:space="preserve"> pursuant to its terms;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in connection with any transaction permitted under </w:t>
      </w:r>
      <w:r>
        <w:rPr>
          <w:rFonts w:ascii="Times New Roman;Times;Serif" w:hAnsi="Times New Roman;Times;Serif"/>
          <w:b/>
          <w:i w:val="false"/>
          <w:caps w:val="false"/>
          <w:smallCaps w:val="false"/>
          <w:sz w:val="20"/>
        </w:rPr>
        <w:t>Section 9.03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9.05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9.06</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9.14</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(i) Asset Sales identified in </w:t>
      </w:r>
      <w:r>
        <w:rPr>
          <w:rFonts w:ascii="Times New Roman;Times;Serif" w:hAnsi="Times New Roman;Times;Serif"/>
          <w:b/>
          <w:i w:val="false"/>
          <w:caps w:val="false"/>
          <w:smallCaps w:val="false"/>
          <w:sz w:val="20"/>
        </w:rPr>
        <w:t>Schedule 9.09</w:t>
      </w:r>
      <w:r>
        <w:rPr>
          <w:rFonts w:ascii="Times New Roman;Times;Serif" w:hAnsi="Times New Roman;Times;Serif"/>
          <w:b w:val="false"/>
          <w:i w:val="false"/>
          <w:caps w:val="false"/>
          <w:smallCaps w:val="false"/>
          <w:sz w:val="20"/>
        </w:rPr>
        <w:t xml:space="preserve"> and (ii) Asset Sales of the Permitted Minority Investments;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so long as no Default or Event of Default has occurred and is continuing (or could reasonably be expected to occur after giving effect to such Asset Sale), Asset Sales (other than with respect to Material Intellectual Property) with a fair market value not in excess of $10,000,000 in aggregate;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Asset Sales (other than with respect to Material Intellectual Property) not in excess of $3,000,000 in the aggregate in any fiscal year in which any Obligor or any Subsidiary will receive cash proceeds in an amount equal to no less than seventy-five percent (75%) of the total consideration (fixed or contingent) paid or payable to such Obligor or such Subsidiary, but only so long as, unless otherwise waived by Administrative Agent in its sole discretion, the net cash proceeds of such Asset Sale are utilized to repay or prepay, in whole or in part, Indebtedness under and in accordance with </w:t>
      </w:r>
      <w:r>
        <w:rPr>
          <w:rFonts w:ascii="Times New Roman;Times;Serif" w:hAnsi="Times New Roman;Times;Serif"/>
          <w:b/>
          <w:i w:val="false"/>
          <w:caps w:val="false"/>
          <w:smallCaps w:val="false"/>
          <w:sz w:val="20"/>
        </w:rPr>
        <w:t>Section 3.03(b)</w:t>
      </w:r>
      <w:r>
        <w:rPr>
          <w:rFonts w:ascii="Times New Roman;Times;Serif" w:hAnsi="Times New Roman;Times;Serif"/>
          <w:b w:val="false"/>
          <w:i w:val="false"/>
          <w:caps w:val="false"/>
          <w:smallCaps w:val="false"/>
          <w:sz w:val="20"/>
        </w:rPr>
        <w:t xml:space="preserve"> to the extent required thereby;</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dispositions in the Ordinary Course consisting of the abandonment, lapse or cancellation of Intellectual Property (other than Material Intellectual Property) which, in the reasonable good faith determination of Borrower, are not material to the conduct of the business of Borrower or any of its Subsidiaries; and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dispositions of cash and Permitted Cash Equivalents Investment in the Ordinary Course or otherwise in transactions permitted hereunder.</w:t>
      </w:r>
    </w:p>
    <w:p>
      <w:pPr>
        <w:pStyle w:val="TextBody"/>
        <w:bidi w:val="0"/>
        <w:ind w:left="0" w:right="0" w:firstLine="72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9.10 Transactions with Affiliates</w:t>
      </w:r>
      <w:r>
        <w:rPr>
          <w:rFonts w:ascii="Times New Roman;Times;Serif" w:hAnsi="Times New Roman;Times;Serif"/>
          <w:b w:val="false"/>
          <w:i w:val="false"/>
          <w:caps w:val="false"/>
          <w:smallCaps w:val="false"/>
          <w:sz w:val="20"/>
        </w:rPr>
        <w:t xml:space="preserve">. Such Obligor will not, and will not permit any of its Subsidiaries to, directly or indirectly, enter into or permit to exist any transaction to sell, lease, license or otherwise transfer any assets to, or purchase, lease, license or otherwise acquire any assets from, or otherwise engage in any other transactions with, any of its Affiliates, unless such arrangement or transaction (i) is an Arm’s Length Transaction, (ii) is between or among (x) Obligors, (y) Subsidiaries that are not Obligors or (z) an Obligor and a Subsidiary that is not an Obligor;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clause (z) only, the terms thereof are (A) no less favorable to the Obligor than those that would be obtained in a comparable arm’s-length transaction with a non-affiliated Person and (B) such transaction is otherwise permitted hereunder and under the other Loan Documents, (iii) constitutes customary compensation (including performance, discretionary, retention, relocation, transaction and other special bonuses and payment, severance payments and payments pursuant to employment agreements), other benefits (including retirement, health, stock option and other benefit plans, life insurance, disability insurance and other equity (or equity-linked) awards) and indemnification of, and other employment arrangements with, directors, officers, and employees of any Obligor or its Subsidiaries in the Ordinary Course, (iv) constitutes payment of customary fees, reimbursement of expenses, and payment of indemnification to officers and directors and customary payment of insurance premiums on behalf of officers and directors by the Obligors or their Subsidiaries, in each case, in the Ordinary Course, (v) are the transactions set forth on </w:t>
      </w:r>
      <w:r>
        <w:rPr>
          <w:rFonts w:ascii="Times New Roman;Times;Serif" w:hAnsi="Times New Roman;Times;Serif"/>
          <w:b/>
          <w:i w:val="false"/>
          <w:caps w:val="false"/>
          <w:smallCaps w:val="false"/>
          <w:sz w:val="20"/>
        </w:rPr>
        <w:t>Schedule 9.10</w:t>
      </w:r>
      <w:r>
        <w:rPr>
          <w:rFonts w:ascii="Times New Roman;Times;Serif" w:hAnsi="Times New Roman;Times;Serif"/>
          <w:b w:val="false"/>
          <w:i w:val="false"/>
          <w:caps w:val="false"/>
          <w:smallCaps w:val="false"/>
          <w:sz w:val="20"/>
        </w:rPr>
        <w:t>) or (vi) is a transaction (with any series of related transactions being aggregated for the purposes of this clause (vi)) including consideration of less than $100,000.</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9.11 Restrictive Agreements</w:t>
      </w:r>
      <w:r>
        <w:rPr>
          <w:rFonts w:ascii="Times New Roman;Times;Serif" w:hAnsi="Times New Roman;Times;Serif"/>
          <w:b w:val="false"/>
          <w:i w:val="false"/>
          <w:caps w:val="false"/>
          <w:smallCaps w:val="false"/>
          <w:sz w:val="20"/>
        </w:rPr>
        <w:t xml:space="preserve">. Such Obligor will not, and will not permit any of its Subsidiaries to, directly or indirectly, enter into, incur or permit to exist any Restrictive Agreement other than (i) restrictions and conditions imposed by applicable Laws or by the Loan Documents, (ii) Restrictive Agreements listed on </w:t>
      </w:r>
      <w:r>
        <w:rPr>
          <w:rFonts w:ascii="Times New Roman;Times;Serif" w:hAnsi="Times New Roman;Times;Serif"/>
          <w:b/>
          <w:i w:val="false"/>
          <w:caps w:val="false"/>
          <w:smallCaps w:val="false"/>
          <w:sz w:val="20"/>
        </w:rPr>
        <w:t>Schedule 7.15</w:t>
      </w:r>
      <w:r>
        <w:rPr>
          <w:rFonts w:ascii="Times New Roman;Times;Serif" w:hAnsi="Times New Roman;Times;Serif"/>
          <w:b w:val="false"/>
          <w:i w:val="false"/>
          <w:caps w:val="false"/>
          <w:smallCaps w:val="false"/>
          <w:sz w:val="20"/>
        </w:rPr>
        <w:t xml:space="preserve">, (iii) limitations associated with Permitted Liens or any document or instrument governing any Permitted Lien, (iv) any documentation governing Indebtedness referenced in clause </w:t>
      </w:r>
      <w:r>
        <w:rPr>
          <w:rFonts w:ascii="Times New Roman;Times;Serif" w:hAnsi="Times New Roman;Times;Serif"/>
          <w:b/>
          <w:i w:val="false"/>
          <w:caps w:val="false"/>
          <w:smallCaps w:val="false"/>
          <w:sz w:val="20"/>
        </w:rPr>
        <w:t>(k)</w:t>
      </w:r>
      <w:r>
        <w:rPr>
          <w:rFonts w:ascii="Times New Roman;Times;Serif" w:hAnsi="Times New Roman;Times;Serif"/>
          <w:b w:val="false"/>
          <w:i w:val="false"/>
          <w:caps w:val="false"/>
          <w:smallCaps w:val="false"/>
          <w:sz w:val="20"/>
        </w:rPr>
        <w:t xml:space="preserve"> (or any Permitted Refinancing thereof) or clause </w:t>
      </w:r>
      <w:r>
        <w:rPr>
          <w:rFonts w:ascii="Times New Roman;Times;Serif" w:hAnsi="Times New Roman;Times;Serif"/>
          <w:b/>
          <w:i w:val="false"/>
          <w:caps w:val="false"/>
          <w:smallCaps w:val="false"/>
          <w:sz w:val="20"/>
        </w:rPr>
        <w:t>(r)</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Section 9.01</w:t>
      </w:r>
      <w:r>
        <w:rPr>
          <w:rFonts w:ascii="Times New Roman;Times;Serif" w:hAnsi="Times New Roman;Times;Serif"/>
          <w:b w:val="false"/>
          <w:i w:val="false"/>
          <w:caps w:val="false"/>
          <w:smallCaps w:val="false"/>
          <w:sz w:val="20"/>
        </w:rPr>
        <w:t xml:space="preserve">, (v) customary provisions in leases, subleases, Permitted Licenses and other Contracts restricting the assignment thereof or restricting the assignment, pledge, transfer or sublease or sublicense of the property leased, licensed or otherwise the subject thereof; (vi) any restrictions or conditions set forth in any agreement in effect at any time any Person becomes a Subsidiary (but not any modification or amendment expanding the scope of any such restriction or condition);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 xml:space="preserve">that such agreement was not entered into in contemplation of such Person becoming a Subsidiary; (vii) restrictions or conditions in any Indebtedness permitted pursuant to </w:t>
      </w:r>
      <w:r>
        <w:rPr>
          <w:rFonts w:ascii="Times New Roman;Times;Serif" w:hAnsi="Times New Roman;Times;Serif"/>
          <w:b/>
          <w:i w:val="false"/>
          <w:caps w:val="false"/>
          <w:smallCaps w:val="false"/>
          <w:sz w:val="20"/>
        </w:rPr>
        <w:t>Section 9.01</w:t>
      </w:r>
      <w:r>
        <w:rPr>
          <w:rFonts w:ascii="Times New Roman;Times;Serif" w:hAnsi="Times New Roman;Times;Serif"/>
          <w:b w:val="false"/>
          <w:i w:val="false"/>
          <w:caps w:val="false"/>
          <w:smallCaps w:val="false"/>
          <w:sz w:val="20"/>
        </w:rPr>
        <w:t xml:space="preserve"> that is incurred or assumed by Subsidiaries that are not Obligors to the extent such restrictions or conditions are no more restrictive in any material respect than the restrictions and conditions in the Loan Documents; (viii) restrictions or conditions imposed by any agreement relating to purchase money Indebtedness and other secured Indebtedness or to leases, subleases and licenses permitted by this Agreement if such restrictions or conditions apply only to the property or assets securing such Indebtedness or the property leased, subleased or licensed; (ix) customary provisions in contracts for the disposition of any assets;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the restrictions in any such contract shall apply only to the assets or Subsidiary that is to be disposed of and such disposition is permitted hereunder; (x) customary provisions regarding confidentiality or restricting assignment, pledges or transfer of any Permitted License or any other agreement entered into in the Ordinary Course; (xi) customary provisions in joint venture agreements and other similar agreements applicable to joint ventures and applicable solely to such joint venture; and (xii) restrictions or encumbrances in any agreement in effect at the time any Person becomes a Subsidiary, so long as (x) such agreement was not entered into in contemplation of such Person becoming a Subsidiary and (y) such restrictions or encumbrances do not extend beyond such Subsidiary or its assets.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9.12 Modifications and Terminations of Material Agreements and Organic Documents</w:t>
      </w:r>
      <w:r>
        <w:rPr>
          <w:rFonts w:ascii="Times New Roman;Times;Serif" w:hAnsi="Times New Roman;Times;Serif"/>
          <w:b w:val="false"/>
          <w:i w:val="false"/>
          <w:caps w:val="false"/>
          <w:smallCaps w:val="false"/>
          <w:sz w:val="20"/>
        </w:rPr>
        <w:t>. The Obligors will not, and will not permit any of their Subsidiaries to:</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waive, amend, terminate, replace or otherwise modify any term or provision of any Organic Document in any way or manner materially adverse to the interests of the Administrative Agent and the Lenders; or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waive, amend, replace or otherwise modify any term or provision of any Material Agreement in a manner materially adverse to the rights and remedies the Administrative Agent and the Lenders hereunder; or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(x) take or omit to take any action that results in the termination of, or permits any other Person to terminate, any Material Agreement or the Obligors’ or their Subsidiaries’ rights in or to Material Intellectual Property or (y) take any action that permits any Material Agreement or the Borrower, such Subsidiary Guarantor, or their Subsidiaries’ rights in or to Material Intellectual Property to be terminated by any counterparty thereto prior to its stated date of expiration.</w:t>
      </w:r>
    </w:p>
    <w:p>
      <w:pPr>
        <w:pStyle w:val="TextBody"/>
        <w:bidi w:val="0"/>
        <w:ind w:left="0" w:right="0" w:firstLine="72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9.13 Outbound Licenses</w:t>
      </w:r>
      <w:r>
        <w:rPr>
          <w:rFonts w:ascii="Times New Roman;Times;Serif" w:hAnsi="Times New Roman;Times;Serif"/>
          <w:b w:val="false"/>
          <w:i w:val="false"/>
          <w:caps w:val="false"/>
          <w:smallCaps w:val="false"/>
          <w:sz w:val="20"/>
        </w:rPr>
        <w:t>. No Obligor shall, nor shall it permit any of its Subsidiaries to, enter into or become or remain bound by any outbound license, covenant not to sue or other grant of rights or immunities under Material Intellectual Property, except for Permitted Licenses.</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9.14 Sales and Leasebacks</w:t>
      </w:r>
      <w:r>
        <w:rPr>
          <w:rFonts w:ascii="Times New Roman;Times;Serif" w:hAnsi="Times New Roman;Times;Serif"/>
          <w:b w:val="false"/>
          <w:i w:val="false"/>
          <w:caps w:val="false"/>
          <w:smallCaps w:val="false"/>
          <w:sz w:val="20"/>
        </w:rPr>
        <w:t xml:space="preserve">. Except as disclosed on </w:t>
      </w:r>
      <w:r>
        <w:rPr>
          <w:rFonts w:ascii="Times New Roman;Times;Serif" w:hAnsi="Times New Roman;Times;Serif"/>
          <w:b/>
          <w:i w:val="false"/>
          <w:caps w:val="false"/>
          <w:smallCaps w:val="false"/>
          <w:sz w:val="20"/>
        </w:rPr>
        <w:t>Schedule 9.14</w:t>
      </w:r>
      <w:r>
        <w:rPr>
          <w:rFonts w:ascii="Times New Roman;Times;Serif" w:hAnsi="Times New Roman;Times;Serif"/>
          <w:b w:val="false"/>
          <w:i w:val="false"/>
          <w:caps w:val="false"/>
          <w:smallCaps w:val="false"/>
          <w:sz w:val="20"/>
        </w:rPr>
        <w:t>, except as otherwise consented to in writing by the Administrative Agent (such consent not to be unreasonably withheld), each Obligor will not, and will not permit any of its Subsidiaries to, become liable, directly or indirectly, with respect to any lease, whether an operating lease or a Capital Lease Obligation, of any property (whether real, personal, or mixed), whether now owned or hereafter acquired, (i) which such Person has sold or transferred or is to sell or transfer to any other Person and (ii) which such Obligor or Subsidiary intends to use for substantially the same purposes as property which has been or is to be sold or transferred.</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9.15 Hazardous Material</w:t>
      </w:r>
      <w:r>
        <w:rPr>
          <w:rFonts w:ascii="Times New Roman;Times;Serif" w:hAnsi="Times New Roman;Times;Serif"/>
          <w:b w:val="false"/>
          <w:i w:val="false"/>
          <w:caps w:val="false"/>
          <w:smallCaps w:val="false"/>
          <w:sz w:val="20"/>
        </w:rPr>
        <w:t>.</w:t>
      </w:r>
    </w:p>
    <w:p>
      <w:pPr>
        <w:pStyle w:val="TextBody"/>
        <w:bidi w:val="0"/>
        <w:ind w:left="0" w:right="0" w:hanging="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Each Obligor will not, and will not permit any of its Subsidiaries to, use, generate, manufacture, install, treat, release, store or dispose of any Hazardous Material, except as would not reasonably be expected to result in a Material Environmental Liability.</w:t>
      </w:r>
    </w:p>
    <w:p>
      <w:pPr>
        <w:pStyle w:val="TextBody"/>
        <w:bidi w:val="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144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9.16 Accounting Changes</w:t>
      </w:r>
      <w:r>
        <w:rPr>
          <w:rFonts w:ascii="Times New Roman;Times;Serif" w:hAnsi="Times New Roman;Times;Serif"/>
          <w:b w:val="false"/>
          <w:i w:val="false"/>
          <w:caps w:val="false"/>
          <w:smallCaps w:val="false"/>
          <w:sz w:val="20"/>
        </w:rPr>
        <w:t>. Such Obligor will not, and will not permit any of its Subsidiaries to, make any significant change in accounting treatment or reporting practices, except as required or permitted by GAAP.</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9.17 Compliance with ERISA</w:t>
      </w:r>
      <w:r>
        <w:rPr>
          <w:rFonts w:ascii="Times New Roman;Times;Serif" w:hAnsi="Times New Roman;Times;Serif"/>
          <w:b w:val="false"/>
          <w:i w:val="false"/>
          <w:caps w:val="false"/>
          <w:smallCaps w:val="false"/>
          <w:sz w:val="20"/>
        </w:rPr>
        <w:t>. No ERISA Affiliate shall cause or suffer to exist (i) any event that could result in the imposition of a Lien with respect to any Title IV Plan or Multiemployer Plan or (ii) any other ERISA Event that could, in the aggregate, reasonably be expected to result in a Material Adverse Effect. No Obligor or any of its Subsidiaries shall cause or suffer to exist any event that could result in the imposition of a Lien with respect to any Benefit Plan.</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9.18 Sanctions; Anti-Corruption Use of Proceeds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Obligor nor any of its Subsidiaries or their respective agents shall (i) conduct any business or engage in any transaction or dealing with any Sanctioned Person in violation of Sanctions, including making or receiving any contribution of funds, goods or services to or for the benefit of any Sanctioned Person; (ii) deal in, or otherwise engage in any transaction relating to, any property or interests in property blocked pursuant to any Sanctions; or (iii) engage in or conspire to engage in any transaction that evades or avoids, or has the purpose of evading or avoiding, or attempts to violate, any of the prohibitions set forth in any applicable Sanctions, the Patriot Act or any other Anti-Terrorism Law.</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will not, directly or, to the knowledge of the Borrower, indirectly, use the proceeds of the Loans, or lend, contribute or otherwise make available such proceeds to any subsidiary, joint venture partner or other Person, (i) in furtherance of an offer, payment, promise to pay, or authorization of the payment or giving of money, or anything else of value, to any Person in violation of any applicable anti-corruption Law, or (ii) (A) for the purpose of funding any activities or business of or with any Sanctioned Person or any Designated Jurisdiction in violation of Sanctions or (B) in any other manner that would result in a violation of Sanctions by any party to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Section 10.</w:t>
      </w:r>
      <w:r>
        <w:rPr>
          <w:rFonts w:ascii="Times New Roman;Times;Serif" w:hAnsi="Times New Roman;Times;Serif"/>
          <w:b/>
          <w:i w:val="false"/>
          <w:caps w:val="false"/>
          <w:smallCaps w:val="false"/>
          <w:sz w:val="20"/>
        </w:rPr>
        <w:br/>
        <w:t>FINANCIAL COVENANTS</w:t>
      </w:r>
    </w:p>
    <w:p>
      <w:pPr>
        <w:pStyle w:val="TextBody"/>
        <w:bidi w:val="0"/>
        <w:ind w:left="0" w:right="0" w:hanging="0"/>
        <w:jc w:val="center"/>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10.01 Minimum Liquidity</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i w:val="false"/>
          <w:caps w:val="false"/>
          <w:smallCaps w:val="false"/>
          <w:sz w:val="20"/>
        </w:rPr>
        <w:t xml:space="preserve">Section 8.17(d)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(f)</w:t>
      </w:r>
      <w:r>
        <w:rPr>
          <w:rFonts w:ascii="Times New Roman;Times;Serif" w:hAnsi="Times New Roman;Times;Serif"/>
          <w:b w:val="false"/>
          <w:i w:val="false"/>
          <w:caps w:val="false"/>
          <w:smallCaps w:val="false"/>
          <w:sz w:val="20"/>
        </w:rPr>
        <w:t xml:space="preserve">, the Obligors shall at all times maintain the Minimum Liquidity Amount in cash and/or Permitted Cash Equivalent Investments in one or more Controlled Accounts that is free and clear of all Liens, other than Liens granted under the Loan Documents in favor of the Administrative Agent and Liens permitted under </w:t>
      </w:r>
      <w:r>
        <w:rPr>
          <w:rFonts w:ascii="Times New Roman;Times;Serif" w:hAnsi="Times New Roman;Times;Serif"/>
          <w:b/>
          <w:i w:val="false"/>
          <w:caps w:val="false"/>
          <w:smallCaps w:val="false"/>
          <w:sz w:val="20"/>
        </w:rPr>
        <w:t xml:space="preserve">Section 9.02(i)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val="false"/>
          <w:caps w:val="false"/>
          <w:smallCaps w:val="false"/>
          <w:sz w:val="20"/>
        </w:rPr>
        <w:t>Section 9.02(s)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10.02 Minimum Net Revenues</w:t>
      </w:r>
      <w:r>
        <w:rPr>
          <w:rFonts w:ascii="Times New Roman;Times;Serif" w:hAnsi="Times New Roman;Times;Serif"/>
          <w:b w:val="false"/>
          <w:i w:val="false"/>
          <w:caps w:val="false"/>
          <w:smallCaps w:val="false"/>
          <w:sz w:val="20"/>
        </w:rPr>
        <w:t>. Beginning with the fiscal quarter of the Borrower ending on June 30, 2023, and with respect to each subsequent fiscal quarter, the Net Revenues of the Borrower and its Subsidiaries for the twelve (12) consecutive month period ending on the last day of such fiscal quarter shall not be less than the Minimum Net Revenues for such quarter (the “</w:t>
      </w:r>
      <w:r>
        <w:rPr>
          <w:rFonts w:ascii="Times New Roman;Times;Serif" w:hAnsi="Times New Roman;Times;Serif"/>
          <w:b/>
          <w:i/>
          <w:caps w:val="false"/>
          <w:smallCaps w:val="false"/>
          <w:sz w:val="20"/>
        </w:rPr>
        <w:t>Minimum Net Revenues Covenant</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Section 11.</w:t>
      </w:r>
      <w:r>
        <w:rPr>
          <w:rFonts w:ascii="Times New Roman;Times;Serif" w:hAnsi="Times New Roman;Times;Serif"/>
          <w:b/>
          <w:i w:val="false"/>
          <w:caps w:val="false"/>
          <w:smallCaps w:val="false"/>
          <w:sz w:val="20"/>
        </w:rPr>
        <w:br/>
        <w:t>EVENTS OF DEFAULT</w:t>
      </w:r>
    </w:p>
    <w:p>
      <w:pPr>
        <w:pStyle w:val="TextBody"/>
        <w:bidi w:val="0"/>
        <w:ind w:left="0" w:right="0" w:hanging="0"/>
        <w:jc w:val="center"/>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11.01 Events of Default</w:t>
      </w:r>
      <w:r>
        <w:rPr>
          <w:rFonts w:ascii="Times New Roman;Times;Serif" w:hAnsi="Times New Roman;Times;Serif"/>
          <w:b w:val="false"/>
          <w:i w:val="false"/>
          <w:caps w:val="false"/>
          <w:smallCaps w:val="false"/>
          <w:sz w:val="20"/>
        </w:rPr>
        <w:t>. Each of the following events shall constitute an “</w:t>
      </w:r>
      <w:r>
        <w:rPr>
          <w:rFonts w:ascii="Times New Roman;Times;Serif" w:hAnsi="Times New Roman;Times;Serif"/>
          <w:b/>
          <w:i/>
          <w:caps w:val="false"/>
          <w:smallCaps w:val="false"/>
          <w:sz w:val="20"/>
        </w:rPr>
        <w:t>Event of Default</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Principal Payment Default</w:t>
      </w:r>
      <w:r>
        <w:rPr>
          <w:rFonts w:ascii="Times New Roman;Times;Serif" w:hAnsi="Times New Roman;Times;Serif"/>
          <w:b w:val="false"/>
          <w:i w:val="false"/>
          <w:caps w:val="false"/>
          <w:smallCaps w:val="false"/>
          <w:sz w:val="20"/>
        </w:rPr>
        <w:t>. The Borrower shall fail to pay any principal of the Loan, when and as the same shall become due and payable, whether at the due date thereof, at a date fixed for prepayment thereof or otherwise.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Other Payment Defaults</w:t>
      </w:r>
      <w:r>
        <w:rPr>
          <w:rFonts w:ascii="Times New Roman;Times;Serif" w:hAnsi="Times New Roman;Times;Serif"/>
          <w:b w:val="false"/>
          <w:i w:val="false"/>
          <w:caps w:val="false"/>
          <w:smallCaps w:val="false"/>
          <w:sz w:val="20"/>
        </w:rPr>
        <w:t xml:space="preserve">. Any Obligor shall fail to pay interest or any other Obligation (other than an amount referred to in </w:t>
      </w:r>
      <w:r>
        <w:rPr>
          <w:rFonts w:ascii="Times New Roman;Times;Serif" w:hAnsi="Times New Roman;Times;Serif"/>
          <w:b/>
          <w:i w:val="false"/>
          <w:caps w:val="false"/>
          <w:smallCaps w:val="false"/>
          <w:sz w:val="20"/>
        </w:rPr>
        <w:t>Section 11.01(a)</w:t>
      </w:r>
      <w:r>
        <w:rPr>
          <w:rFonts w:ascii="Times New Roman;Times;Serif" w:hAnsi="Times New Roman;Times;Serif"/>
          <w:b w:val="false"/>
          <w:i w:val="false"/>
          <w:caps w:val="false"/>
          <w:smallCaps w:val="false"/>
          <w:sz w:val="20"/>
        </w:rPr>
        <w:t>) when and as the same shall become due and payable, and such failure shall continue unremedied for a period of three (3) Business Days.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Representations and Warranties</w:t>
      </w:r>
      <w:r>
        <w:rPr>
          <w:rFonts w:ascii="Times New Roman;Times;Serif" w:hAnsi="Times New Roman;Times;Serif"/>
          <w:b w:val="false"/>
          <w:i w:val="false"/>
          <w:caps w:val="false"/>
          <w:smallCaps w:val="false"/>
          <w:sz w:val="20"/>
        </w:rPr>
        <w:t>. Any representation or warranty made or deemed made by or on behalf of any Obligor or any of its 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modification hereof or thereof, shall (i) have been incorrect or misleading when made or deemed made to the extent that such representation or warranty contains any materiality or Material Adverse Effect qualifier; or (ii) have been incorrect in any material respect when made or deemed made to the extent that such representation or warranty does not otherwise contain any materiality or Material Adverse Effect qualifier.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Certain Covenants</w:t>
      </w:r>
      <w:r>
        <w:rPr>
          <w:rFonts w:ascii="Times New Roman;Times;Serif" w:hAnsi="Times New Roman;Times;Serif"/>
          <w:b w:val="false"/>
          <w:i w:val="false"/>
          <w:caps w:val="false"/>
          <w:smallCaps w:val="false"/>
          <w:sz w:val="20"/>
        </w:rPr>
        <w:t xml:space="preserve">. Any Obligor shall fail to observe or perform any covenant, condition or agreement contained in </w:t>
      </w:r>
      <w:r>
        <w:rPr>
          <w:rFonts w:ascii="Times New Roman;Times;Serif" w:hAnsi="Times New Roman;Times;Serif"/>
          <w:b/>
          <w:i w:val="false"/>
          <w:caps w:val="false"/>
          <w:smallCaps w:val="false"/>
          <w:sz w:val="20"/>
        </w:rPr>
        <w:t>Section 8.01, Section 8.02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Section 8.03</w:t>
      </w:r>
      <w:r>
        <w:rPr>
          <w:rFonts w:ascii="Times New Roman;Times;Serif" w:hAnsi="Times New Roman;Times;Serif"/>
          <w:b w:val="false"/>
          <w:i w:val="false"/>
          <w:caps w:val="false"/>
          <w:smallCaps w:val="false"/>
          <w:sz w:val="20"/>
        </w:rPr>
        <w:t xml:space="preserve"> (solely as to the Borrower), </w:t>
      </w:r>
      <w:r>
        <w:rPr>
          <w:rFonts w:ascii="Times New Roman;Times;Serif" w:hAnsi="Times New Roman;Times;Serif"/>
          <w:b/>
          <w:i w:val="false"/>
          <w:caps w:val="false"/>
          <w:smallCaps w:val="false"/>
          <w:sz w:val="20"/>
        </w:rPr>
        <w:t>Section 8.07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Section 8.10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Section 8.11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Section 8.16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Section 8.17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Section 8.18</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Section 9</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 Event of Default under </w:t>
      </w:r>
      <w:r>
        <w:rPr>
          <w:rFonts w:ascii="Times New Roman;Times;Serif" w:hAnsi="Times New Roman;Times;Serif"/>
          <w:b/>
          <w:i w:val="false"/>
          <w:caps w:val="false"/>
          <w:smallCaps w:val="false"/>
          <w:sz w:val="20"/>
        </w:rPr>
        <w:t>Section 10.02</w:t>
      </w:r>
      <w:r>
        <w:rPr>
          <w:rFonts w:ascii="Times New Roman;Times;Serif" w:hAnsi="Times New Roman;Times;Serif"/>
          <w:b w:val="false"/>
          <w:i w:val="false"/>
          <w:caps w:val="false"/>
          <w:smallCaps w:val="false"/>
          <w:sz w:val="20"/>
        </w:rPr>
        <w:t xml:space="preserve"> is subject to </w:t>
      </w:r>
      <w:r>
        <w:rPr>
          <w:rFonts w:ascii="Times New Roman;Times;Serif" w:hAnsi="Times New Roman;Times;Serif"/>
          <w:b/>
          <w:i w:val="false"/>
          <w:caps w:val="false"/>
          <w:smallCaps w:val="false"/>
          <w:sz w:val="20"/>
        </w:rPr>
        <w:t>Section 11.04</w:t>
      </w:r>
      <w:r>
        <w:rPr>
          <w:rFonts w:ascii="Times New Roman;Times;Serif" w:hAnsi="Times New Roman;Times;Serif"/>
          <w:b w:val="false"/>
          <w:i w:val="false"/>
          <w:caps w:val="false"/>
          <w:smallCaps w:val="false"/>
          <w:sz w:val="20"/>
        </w:rPr>
        <w:t xml:space="preserve"> and an Event of Default with respect to </w:t>
      </w:r>
      <w:r>
        <w:rPr>
          <w:rFonts w:ascii="Times New Roman;Times;Serif" w:hAnsi="Times New Roman;Times;Serif"/>
          <w:b/>
          <w:i w:val="false"/>
          <w:caps w:val="false"/>
          <w:smallCaps w:val="false"/>
          <w:sz w:val="20"/>
        </w:rPr>
        <w:t>Section 10.02</w:t>
      </w:r>
      <w:r>
        <w:rPr>
          <w:rFonts w:ascii="Times New Roman;Times;Serif" w:hAnsi="Times New Roman;Times;Serif"/>
          <w:b w:val="false"/>
          <w:i w:val="false"/>
          <w:caps w:val="false"/>
          <w:smallCaps w:val="false"/>
          <w:sz w:val="20"/>
        </w:rPr>
        <w:t xml:space="preserve"> shall not occur until the Cure Expiration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Other Covenants</w:t>
      </w:r>
      <w:r>
        <w:rPr>
          <w:rFonts w:ascii="Times New Roman;Times;Serif" w:hAnsi="Times New Roman;Times;Serif"/>
          <w:b w:val="false"/>
          <w:i w:val="false"/>
          <w:caps w:val="false"/>
          <w:smallCaps w:val="false"/>
          <w:sz w:val="20"/>
        </w:rPr>
        <w:t xml:space="preserve">. Any Obligor shall fail to observe or perform any covenant, condition or agreement contained in this Agreement (other than those specified in </w:t>
      </w:r>
      <w:r>
        <w:rPr>
          <w:rFonts w:ascii="Times New Roman;Times;Serif" w:hAnsi="Times New Roman;Times;Serif"/>
          <w:b/>
          <w:i w:val="false"/>
          <w:caps w:val="false"/>
          <w:smallCaps w:val="false"/>
          <w:sz w:val="20"/>
        </w:rPr>
        <w:t>Section 11.01(a)</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(d)</w:t>
      </w:r>
      <w:r>
        <w:rPr>
          <w:rFonts w:ascii="Times New Roman;Times;Serif" w:hAnsi="Times New Roman;Times;Serif"/>
          <w:b w:val="false"/>
          <w:i w:val="false"/>
          <w:caps w:val="false"/>
          <w:smallCaps w:val="false"/>
          <w:sz w:val="20"/>
        </w:rPr>
        <w:t>) or any other Loan Document, and, in the case of any failure that is capable of cure, such failure shall continue unremedied for a period of thirty (30) or more days after the earlier to occur of the date on which (i) a Responsible Officer of any Obligor becomes aware of such failure or (ii) written notice thereof shall have been given to any Obligor by the Administrative Agent or any Lender.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val="false"/>
          <w:caps w:val="false"/>
          <w:smallCaps w:val="false"/>
          <w:sz w:val="20"/>
        </w:rPr>
        <w:t>Payment Default on Other Indebtedness</w:t>
      </w:r>
      <w:r>
        <w:rPr>
          <w:rFonts w:ascii="Times New Roman;Times;Serif" w:hAnsi="Times New Roman;Times;Serif"/>
          <w:b w:val="false"/>
          <w:i w:val="false"/>
          <w:caps w:val="false"/>
          <w:smallCaps w:val="false"/>
          <w:sz w:val="20"/>
        </w:rPr>
        <w:t>. Any Obligor or any of its Subsidiaries shall fail to make any payment (whether of principal or interest and regardless of amount) in respect of any Material Indebtedness, when and as the same shall become due and payable after giving effect to any applicable grace or cure period as originally provided by the terms of such Indebtedness.</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i w:val="false"/>
          <w:caps w:val="false"/>
          <w:smallCaps w:val="false"/>
          <w:sz w:val="20"/>
        </w:rPr>
        <w:t>Other Defaults on Other Indebtedness</w:t>
      </w:r>
      <w:r>
        <w:rPr>
          <w:rFonts w:ascii="Times New Roman;Times;Serif" w:hAnsi="Times New Roman;Times;Serif"/>
          <w:b w:val="false"/>
          <w:i w:val="false"/>
          <w:caps w:val="false"/>
          <w:smallCaps w:val="false"/>
          <w:sz w:val="20"/>
        </w:rPr>
        <w:t xml:space="preserve">. (i) Any material breach of, or “event of default” or similar event under, any Contract governing any Material Indebtedness shall occur and such breach or “event of default” or similar event shall continue unremedied, uncured or unwaived after the expiration of any grace or cure period thereunder, or (ii) any event or condition occurs (x) that results in any Material Indebtedness becoming due prior to its scheduled maturity or (y) that enables or permits (with or without the giving of notice, the lapse of time or both) the holder or holders of such Material Indebtedness or any trustee or agent on its or their behalf to cause such Material Indebtedness to become due, or to require the prepayment, repurchase, redemption or defeasance thereof, prior to its scheduled maturity;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i w:val="false"/>
          <w:caps w:val="false"/>
          <w:smallCaps w:val="false"/>
          <w:sz w:val="20"/>
        </w:rPr>
        <w:t>Section 11.01(g)</w:t>
      </w:r>
      <w:r>
        <w:rPr>
          <w:rFonts w:ascii="Times New Roman;Times;Serif" w:hAnsi="Times New Roman;Times;Serif"/>
          <w:b w:val="false"/>
          <w:i w:val="false"/>
          <w:caps w:val="false"/>
          <w:smallCaps w:val="false"/>
          <w:sz w:val="20"/>
        </w:rPr>
        <w:t xml:space="preserve"> shall not apply to (x) secured Indebtedness that becomes due as a result of the voluntary sale or transfer of the property or assets securing such Material Indebtedness, (y) any conversion of any convertible Indebtedness or satisfaction of any condition giving rise to or permitting a conversion of any convertible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or the applicable Subsidiary has the right to settle any such Indebtedness into Equity Interests of the Borrower or such Subsidiary (and nominal cash payments in respect of fractional shares and cash payments in respect of accrued and unpaid interest) in accordance with the terms or conditions thereof and (z) with respect to any Material Indebtedness consisting of Hedging Agreements, termination events or equivalent events pursuant to the terms of such Hedging Agreements and not as a result of any default thereunder by any Obligor or any Subsidiary.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i w:val="false"/>
          <w:caps w:val="false"/>
          <w:smallCaps w:val="false"/>
          <w:sz w:val="20"/>
        </w:rPr>
        <w:t>Insolvency, Bankruptcy, Etc</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Obligor or any of its Material Subsidiaries becomes insolvent, or generally does not or becomes unable to pay its debts or meet its liabilities as the same become due, or admits in writing its inability to pay its debts generally, or declares any general moratorium on its indebtedness, or proposes a compromise or arrangement or deed of company arrangement between it and any class of its creditors.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Obligor or any of its Material Subsidiaries commits an act of bankruptcy or makes an assignment of its property for the general benefit of its creditors or makes a proposal (or files a notice of its intention to do so).</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Obligor or any of its Material Subsidiaries institutes any proceeding seeking to adjudicate it an insolvent, or seeking liquidation, dissolution, winding-up, reorganization, examinership, compromise, arrangement, adjustment, protection, moratorium, relief, stay of proceedings of creditors generally (or any class of creditors), or composition of it or its debts or any other relief, under any Law, whether U.S., or non-U.S., now or hereafter in effect relating to bankruptcy, winding-up, insolvency, reorganization, examinership, receivership, plans of arrangement or relief or protection of debtors or at common law or in equity, or files an answer admitting the material allegations of a petition filed against it in any such proceeding.</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Obligor or any of its Material Subsidiaries applies for the appointment of, or the taking of possession by, a receiver, interim receiver, receiver/manager, sequestrator, conservator, custodian, administrator, examiner, trustee, liquidator, voluntary administrator, receiver and manager or other similar official for it or any substantial part of its property.</w:t>
      </w:r>
    </w:p>
    <w:p>
      <w:pPr>
        <w:pStyle w:val="TextBody"/>
        <w:bidi w:val="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Any Obligor or any of its Material Subsidiaries takes any action, corporate or otherwise, to approve, effect, consent to or authorize any of the actions described in this </w:t>
      </w:r>
      <w:r>
        <w:rPr>
          <w:rFonts w:ascii="Times New Roman;Times;Serif" w:hAnsi="Times New Roman;Times;Serif"/>
          <w:b/>
          <w:i w:val="false"/>
          <w:caps w:val="false"/>
          <w:smallCaps w:val="false"/>
          <w:sz w:val="20"/>
        </w:rPr>
        <w:t>Section 11.01(h)</w:t>
      </w:r>
      <w:r>
        <w:rPr>
          <w:rFonts w:ascii="Times New Roman;Times;Serif" w:hAnsi="Times New Roman;Times;Serif"/>
          <w:b w:val="false"/>
          <w:i w:val="false"/>
          <w:caps w:val="false"/>
          <w:smallCaps w:val="false"/>
          <w:sz w:val="20"/>
        </w:rPr>
        <w:t>, or otherwise acts in furtherance thereof or fails to act in a timely and appropriate manner in defense thereof.</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petition is filed, application made or other proceeding instituted against or in respect of any Obligor or any of its Material Subsidiaries: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seeking to adjudicate it as insolvent;</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seeking a receiving order against it;</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seeking liquidation, dissolution, winding-up, reorganization, compromise, arrangement, adjustment, protection, moratorium, relief, examinership, stay of proceedings of creditors generally (or any class of creditors), deed of company arrangement or composition of it or its debts or any other relief under any Law, whether U.S. or non-U.S., now or hereafter in effect relating to bankruptcy, winding-up, insolvency, reorganization, receivership, plans of arrangement or relief or protection of debtors or at common law or in equity; or</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 xml:space="preserve">seeking the entry of an order for relief or the appointment of, or the taking of possession by, a receiver, interim receiver, receiver/manager, examiner, sequestrator, conservator, custodian, administrator, trustee, liquidator, voluntary administrator, receiver and manager or other similar official for it or any substantial part of its property, and such petition, application or proceeding continues undismissed, or unstayed and in effect, for a period of forty-five (45) days after the institution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 order, decree or judgment is granted or entered (whether or not entered or subject to appeal) against such Obligor or such Subsidiary thereunder in the interim, such grace period will cease to apply;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such Obligor or Material Subsidiary files an answer admitting the material allegations of a petition filed against it in any such proceeding, such grace period will cease to apply.</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Any other event occurs which, under the Laws of any applicable jurisdiction, has an effect equivalent to any of the events referred to in this </w:t>
      </w:r>
      <w:r>
        <w:rPr>
          <w:rFonts w:ascii="Times New Roman;Times;Serif" w:hAnsi="Times New Roman;Times;Serif"/>
          <w:b/>
          <w:i w:val="false"/>
          <w:caps w:val="false"/>
          <w:smallCaps w:val="false"/>
          <w:sz w:val="20"/>
        </w:rPr>
        <w:t>Section 11.01(h)</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i w:val="false"/>
          <w:caps w:val="false"/>
          <w:smallCaps w:val="false"/>
          <w:sz w:val="20"/>
        </w:rPr>
        <w:t>Judgments</w:t>
      </w:r>
      <w:r>
        <w:rPr>
          <w:rFonts w:ascii="Times New Roman;Times;Serif" w:hAnsi="Times New Roman;Times;Serif"/>
          <w:b w:val="false"/>
          <w:i w:val="false"/>
          <w:caps w:val="false"/>
          <w:smallCaps w:val="false"/>
          <w:sz w:val="20"/>
        </w:rPr>
        <w:t>. One or more final judgments for the payment of money in an aggregate amount in excess of $5,000,000 (to the extent not fully covered (other than to the extent of customary deductibles) by insurance pursuant to which the insurer has not denied coverage) shall be rendered against any Obligor or any of its Subsidiaries or any combination thereof and the same shall remain undischarged for a period of forty-five (45) calendar days during which execution shall not be effectively stayed or bonded pending appeal, or any action shall be legally taken by a judgment creditor to attach or levy upon any assets of any Obligor to enforce any such judgment.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An ERISA Event shall have occurred that when taken together with all other ERISA Events that have occurred, would reasonably be expected to result in liability of the Borrower and its Subsidiaries in an aggregate amount in excess of $5,000,000.</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i w:val="false"/>
          <w:caps w:val="false"/>
          <w:smallCaps w:val="false"/>
          <w:sz w:val="20"/>
        </w:rPr>
        <w:t>Change of Control</w:t>
      </w:r>
      <w:r>
        <w:rPr>
          <w:rFonts w:ascii="Times New Roman;Times;Serif" w:hAnsi="Times New Roman;Times;Serif"/>
          <w:b w:val="false"/>
          <w:i w:val="false"/>
          <w:caps w:val="false"/>
          <w:smallCaps w:val="false"/>
          <w:sz w:val="20"/>
        </w:rPr>
        <w:t>. A Change of Control shall have occurred.</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i w:val="false"/>
          <w:caps w:val="false"/>
          <w:smallCaps w:val="false"/>
          <w:sz w:val="20"/>
        </w:rPr>
        <w:t xml:space="preserve">Regulatory Matters, Etc. </w:t>
      </w:r>
      <w:r>
        <w:rPr>
          <w:rFonts w:ascii="Times New Roman;Times;Serif" w:hAnsi="Times New Roman;Times;Serif"/>
          <w:b w:val="false"/>
          <w:i w:val="false"/>
          <w:caps w:val="false"/>
          <w:smallCaps w:val="false"/>
          <w:sz w:val="20"/>
        </w:rPr>
        <w:t>If any of the following occurs:(i) the FDA or any other Regulatory Authority initiates enforcement action against, or issues a warning letter with respect to, any Obligor, any Product or any manufacturing facilities that any Obligor owns or controls related to the foregoing that (x) causes any Obligor to discontinue or withdraw, or would reasonably be expected to cause any Obligor to discontinue or withdraw, marketing or sales of a Product or causes a delay in the manufacture or sale of a Product and (y) would reasonably be expected to result in a Material Adverse Effect, or (ii) a recall of a Product that would reasonably be expected to result in a Material Adverse Effect.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i w:val="false"/>
          <w:caps w:val="false"/>
          <w:smallCaps w:val="false"/>
          <w:sz w:val="20"/>
        </w:rPr>
        <w:t xml:space="preserve">Impairment of Security, Etc. </w:t>
      </w:r>
      <w:r>
        <w:rPr>
          <w:rFonts w:ascii="Times New Roman;Times;Serif" w:hAnsi="Times New Roman;Times;Serif"/>
          <w:b w:val="false"/>
          <w:i w:val="false"/>
          <w:caps w:val="false"/>
          <w:smallCaps w:val="false"/>
          <w:sz w:val="20"/>
        </w:rPr>
        <w:t xml:space="preserve">Subject in all respects to any applicable post-closing periods and certain other time periods and exceptions under the Loan Documents for any Obligor or Subsidiary to take perfection actions, if any of the following events occurs: (i) Any Lien created by any of the Security Documents shall at any time (except as expressly permitted by the terms of any Loan Document) not constitute a valid and perfected Lien on the applicable Collateral in favor of the Secured Parties, free and clear of all other Liens (other than Permitted Liens) except due to the action or inaction of the Administrative Agent, (ii) except for expiration in accordance with its terms, any of the Security Documents or any Guarantee of any of the Obligations (including that contained in </w:t>
      </w:r>
      <w:r>
        <w:rPr>
          <w:rFonts w:ascii="Times New Roman;Times;Serif" w:hAnsi="Times New Roman;Times;Serif"/>
          <w:b/>
          <w:i w:val="false"/>
          <w:caps w:val="false"/>
          <w:smallCaps w:val="false"/>
          <w:sz w:val="20"/>
        </w:rPr>
        <w:t>Section 13</w:t>
      </w:r>
      <w:r>
        <w:rPr>
          <w:rFonts w:ascii="Times New Roman;Times;Serif" w:hAnsi="Times New Roman;Times;Serif"/>
          <w:b w:val="false"/>
          <w:i w:val="false"/>
          <w:caps w:val="false"/>
          <w:smallCaps w:val="false"/>
          <w:sz w:val="20"/>
        </w:rPr>
        <w:t>) shall for whatever reason cease to be in full force and effect, (iii) any Obligor shall, directly or indirectly, contest in any manner such effectiveness, validity, binding nature or enforceability of any such Lien or any Loan Document, or (iv) any injunction, whether temporary or permanent, shall be rendered against any Obligor that prevents the Obligors from conducting it business in the ordinary course for more than thirty (30) calendar days.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i w:val="false"/>
          <w:caps w:val="false"/>
          <w:smallCaps w:val="false"/>
          <w:sz w:val="20"/>
        </w:rPr>
        <w:t xml:space="preserve">Warrants. </w:t>
      </w:r>
      <w:r>
        <w:rPr>
          <w:rFonts w:ascii="Times New Roman;Times;Serif" w:hAnsi="Times New Roman;Times;Serif"/>
          <w:b w:val="false"/>
          <w:i w:val="false"/>
          <w:caps w:val="false"/>
          <w:smallCaps w:val="false"/>
          <w:sz w:val="20"/>
        </w:rPr>
        <w:t>The Borrower breaches any of its material obligations under any Warrant.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i w:val="false"/>
          <w:caps w:val="false"/>
          <w:smallCaps w:val="false"/>
          <w:sz w:val="20"/>
        </w:rPr>
        <w:t>Key Person Event</w:t>
      </w:r>
      <w:r>
        <w:rPr>
          <w:rFonts w:ascii="Times New Roman;Times;Serif" w:hAnsi="Times New Roman;Times;Serif"/>
          <w:b w:val="false"/>
          <w:i w:val="false"/>
          <w:caps w:val="false"/>
          <w:smallCaps w:val="false"/>
          <w:sz w:val="20"/>
        </w:rPr>
        <w:t>. A Key Person Event shall have occurred.</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11.02 Remedies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Defaults Other Than Bankruptcy Defaults</w:t>
      </w:r>
      <w:r>
        <w:rPr>
          <w:rFonts w:ascii="Times New Roman;Times;Serif" w:hAnsi="Times New Roman;Times;Serif"/>
          <w:b w:val="false"/>
          <w:i w:val="false"/>
          <w:caps w:val="false"/>
          <w:smallCaps w:val="false"/>
          <w:sz w:val="20"/>
        </w:rPr>
        <w:t xml:space="preserve">. Upon the occurrence of any Event of Default, then, and in every such event (other than an Event of Default described in </w:t>
      </w:r>
      <w:r>
        <w:rPr>
          <w:rFonts w:ascii="Times New Roman;Times;Serif" w:hAnsi="Times New Roman;Times;Serif"/>
          <w:b/>
          <w:i w:val="false"/>
          <w:caps w:val="false"/>
          <w:smallCaps w:val="false"/>
          <w:sz w:val="20"/>
        </w:rPr>
        <w:t>Section 11.01(h)</w:t>
      </w:r>
      <w:r>
        <w:rPr>
          <w:rFonts w:ascii="Times New Roman;Times;Serif" w:hAnsi="Times New Roman;Times;Serif"/>
          <w:b w:val="false"/>
          <w:i w:val="false"/>
          <w:caps w:val="false"/>
          <w:smallCaps w:val="false"/>
          <w:sz w:val="20"/>
        </w:rPr>
        <w:t>), and at any time thereafter during the continuance of such event, the Administrative Agent may, upon notice to the Borrower, take any or all of the following actions: (i) declare the Commitments, if any, of each Lender having such Commitments to be terminated, whereupon such Commitments shall be terminated,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including any applicable Yield Protection Premium and the Exit Fee, shall become due and payable immediately (in the case of the Loans, at the Prepayment Price therefor), without presentment, demand, protest or other notice of any kind, all of which are hereby expressly waived by each Obligor, (iii) enforce any and all Liens and security interests created pursuant to Security Documents, and (iv) exercise on behalf of itself and the other Secured Parties all rights and remedies available to it and the other Secured Parties under the Loan Documents or at law or in equity.</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Bankruptcy Defaults</w:t>
      </w:r>
      <w:r>
        <w:rPr>
          <w:rFonts w:ascii="Times New Roman;Times;Serif" w:hAnsi="Times New Roman;Times;Serif"/>
          <w:b w:val="false"/>
          <w:i w:val="false"/>
          <w:caps w:val="false"/>
          <w:smallCaps w:val="false"/>
          <w:sz w:val="20"/>
        </w:rPr>
        <w:t xml:space="preserve">. In case of an Event of Default described in </w:t>
      </w:r>
      <w:r>
        <w:rPr>
          <w:rFonts w:ascii="Times New Roman;Times;Serif" w:hAnsi="Times New Roman;Times;Serif"/>
          <w:b/>
          <w:i w:val="false"/>
          <w:caps w:val="false"/>
          <w:smallCaps w:val="false"/>
          <w:sz w:val="20"/>
        </w:rPr>
        <w:t>Section 11.01(h)</w:t>
      </w:r>
      <w:r>
        <w:rPr>
          <w:rFonts w:ascii="Times New Roman;Times;Serif" w:hAnsi="Times New Roman;Times;Serif"/>
          <w:b w:val="false"/>
          <w:i w:val="false"/>
          <w:caps w:val="false"/>
          <w:smallCaps w:val="false"/>
          <w:sz w:val="20"/>
        </w:rPr>
        <w:t>, the obligation of each Lender to make Loans shall automatically terminate and the principal of the Loans then outstanding, together with accrued interest thereon and all fees and other Obligations, including any applicable Yield Protection Premium and the Exit Fee, shall automatically become due and payable immediately (in the case of the Loans, at the Prepayment Price therefor), without presentment, demand, protest or other notice of any kind, all of which are hereby expressly waived by each Obligor.</w:t>
      </w:r>
    </w:p>
    <w:p>
      <w:pPr>
        <w:pStyle w:val="TextBody"/>
        <w:bidi w:val="0"/>
        <w:ind w:left="0" w:right="0" w:firstLine="72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11.03 Additional Remedies</w:t>
      </w:r>
      <w:r>
        <w:rPr>
          <w:rFonts w:ascii="Times New Roman;Times;Serif" w:hAnsi="Times New Roman;Times;Serif"/>
          <w:b w:val="false"/>
          <w:i w:val="false"/>
          <w:caps w:val="false"/>
          <w:smallCaps w:val="false"/>
          <w:sz w:val="20"/>
        </w:rPr>
        <w:t xml:space="preserve">. If an Event of Default has occurred and is continuing, if any Obligor shall be in default under a Material Agreement, the Administrative Agent shall have the right (but not the obligation) to cause the default or defaults under such Material Agreement to be remedied (including without limitation by paying any unpaid amount thereunder) and otherwise exercise any and all rights of such Obligor, as the case may be, thereunder, as may be necessary to prevent or cure any default. Without limiting the foregoing, upon any such default, each Obligor shall promptly execute, acknowledge and deliver to the Administrative Agent such instruments as may reasonably be required of such Obligor to permit the Administrative Agent to cure any default under the applicable Material Agreement or permit the Administrative Agent to take such other action required to enable the Administrative Agent to cure or remedy the matter in default and preserve the interests of the Administrative Agent. Any amounts paid by the Administrative Agent pursuant to this </w:t>
      </w:r>
      <w:r>
        <w:rPr>
          <w:rFonts w:ascii="Times New Roman;Times;Serif" w:hAnsi="Times New Roman;Times;Serif"/>
          <w:b/>
          <w:i w:val="false"/>
          <w:caps w:val="false"/>
          <w:smallCaps w:val="false"/>
          <w:sz w:val="20"/>
        </w:rPr>
        <w:t xml:space="preserve">Section 11.03 </w:t>
      </w:r>
      <w:r>
        <w:rPr>
          <w:rFonts w:ascii="Times New Roman;Times;Serif" w:hAnsi="Times New Roman;Times;Serif"/>
          <w:b w:val="false"/>
          <w:i w:val="false"/>
          <w:caps w:val="false"/>
          <w:smallCaps w:val="false"/>
          <w:sz w:val="20"/>
        </w:rPr>
        <w:t xml:space="preserve">shall be payable in accordance with </w:t>
      </w:r>
      <w:r>
        <w:rPr>
          <w:rFonts w:ascii="Times New Roman;Times;Serif" w:hAnsi="Times New Roman;Times;Serif"/>
          <w:b/>
          <w:i w:val="false"/>
          <w:caps w:val="false"/>
          <w:smallCaps w:val="false"/>
          <w:sz w:val="20"/>
        </w:rPr>
        <w:t>Section 14.03(a)</w:t>
      </w:r>
      <w:r>
        <w:rPr>
          <w:rFonts w:ascii="Times New Roman;Times;Serif" w:hAnsi="Times New Roman;Times;Serif"/>
          <w:b w:val="false"/>
          <w:i w:val="false"/>
          <w:caps w:val="false"/>
          <w:smallCaps w:val="false"/>
          <w:sz w:val="20"/>
        </w:rPr>
        <w:t xml:space="preserve">, shall accrue interest at the Default Rate if not paid when due, and shall constitute “Obligations.” The Administrative Agent and the Lenders agree that in connection with any foreclosure or other exercise of rights under this Agreement or any other Loan Document with respect to Intellectual Property, the rights of the non-Affiliate licensees under Permitted Licenses will not be terminated, limited or otherwise adversely affected so long as no default exists under the Permitted License that would permit the licensor to terminate such Permitted License (commonly known as a non-disturbance);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the Administrative Agent shall be entitled to exercise any rights of the Obligors under such licenses, including termination rights, upon the exercise of remedies during an Event of Default.</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11.04 Minimum Net Revenues Covenant Cure</w:t>
      </w:r>
      <w:r>
        <w:rPr>
          <w:rFonts w:ascii="Times New Roman;Times;Serif" w:hAnsi="Times New Roman;Times;Serif"/>
          <w:b w:val="false"/>
          <w:i w:val="false"/>
          <w:caps w:val="false"/>
          <w:smallCaps w:val="false"/>
          <w:sz w:val="20"/>
        </w:rPr>
        <w:t>.</w:t>
      </w:r>
    </w:p>
    <w:p>
      <w:pPr>
        <w:pStyle w:val="TextBody"/>
        <w:bidi w:val="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 Notwithstanding anything to the contrary contained in </w:t>
      </w:r>
      <w:r>
        <w:rPr>
          <w:rFonts w:ascii="Times New Roman;Times;Serif" w:hAnsi="Times New Roman;Times;Serif"/>
          <w:b/>
          <w:i w:val="false"/>
          <w:caps w:val="false"/>
          <w:smallCaps w:val="false"/>
          <w:sz w:val="20"/>
        </w:rPr>
        <w:t>Section 11.01(d)</w:t>
      </w:r>
      <w:r>
        <w:rPr>
          <w:rFonts w:ascii="Times New Roman;Times;Serif" w:hAnsi="Times New Roman;Times;Serif"/>
          <w:b w:val="false"/>
          <w:i w:val="false"/>
          <w:caps w:val="false"/>
          <w:smallCaps w:val="false"/>
          <w:sz w:val="20"/>
        </w:rPr>
        <w:t xml:space="preserve">, in the event the Borrower fails to comply with the requirements of </w:t>
      </w:r>
      <w:r>
        <w:rPr>
          <w:rFonts w:ascii="Times New Roman;Times;Serif" w:hAnsi="Times New Roman;Times;Serif"/>
          <w:b/>
          <w:i w:val="false"/>
          <w:caps w:val="false"/>
          <w:smallCaps w:val="false"/>
          <w:sz w:val="20"/>
        </w:rPr>
        <w:t>Section 10.02</w:t>
      </w:r>
      <w:r>
        <w:rPr>
          <w:rFonts w:ascii="Times New Roman;Times;Serif" w:hAnsi="Times New Roman;Times;Serif"/>
          <w:b w:val="false"/>
          <w:i w:val="false"/>
          <w:caps w:val="false"/>
          <w:smallCaps w:val="false"/>
          <w:sz w:val="20"/>
        </w:rPr>
        <w:t>, during the period from the last day of the relevant fiscal quarter in respect of which such Default has occurred and until the expiration of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Business Day subsequent to the date the financial statements are required to be delivered for such fiscal quarter pursuant to </w:t>
      </w:r>
      <w:r>
        <w:rPr>
          <w:rFonts w:ascii="Times New Roman;Times;Serif" w:hAnsi="Times New Roman;Times;Serif"/>
          <w:b/>
          <w:i w:val="false"/>
          <w:caps w:val="false"/>
          <w:smallCaps w:val="false"/>
          <w:sz w:val="20"/>
        </w:rPr>
        <w:t>Section 8.01(a) or 8.01(b)</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Cure Expiration Date</w:t>
      </w:r>
      <w:r>
        <w:rPr>
          <w:rFonts w:ascii="Times New Roman;Times;Serif" w:hAnsi="Times New Roman;Times;Serif"/>
          <w:b w:val="false"/>
          <w:i w:val="false"/>
          <w:caps w:val="false"/>
          <w:smallCaps w:val="false"/>
          <w:sz w:val="20"/>
        </w:rPr>
        <w:t xml:space="preserve">”), the Borrower shall have the right to make a Net Revenues Cure Payment;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payment shall be made with either cash on hand (subject to pro forma compliance with </w:t>
      </w:r>
      <w:r>
        <w:rPr>
          <w:rFonts w:ascii="Times New Roman;Times;Serif" w:hAnsi="Times New Roman;Times;Serif"/>
          <w:b/>
          <w:i w:val="false"/>
          <w:caps w:val="false"/>
          <w:smallCaps w:val="false"/>
          <w:sz w:val="20"/>
        </w:rPr>
        <w:t>Section 10.01</w:t>
      </w:r>
      <w:r>
        <w:rPr>
          <w:rFonts w:ascii="Times New Roman;Times;Serif" w:hAnsi="Times New Roman;Times;Serif"/>
          <w:b w:val="false"/>
          <w:i w:val="false"/>
          <w:caps w:val="false"/>
          <w:smallCaps w:val="false"/>
          <w:sz w:val="20"/>
        </w:rPr>
        <w:t>) or cash raised from the issuance or sale of Qualified Equity Interests in the Borrower for cash (the “</w:t>
      </w:r>
      <w:r>
        <w:rPr>
          <w:rFonts w:ascii="Times New Roman;Times;Serif" w:hAnsi="Times New Roman;Times;Serif"/>
          <w:b/>
          <w:i/>
          <w:caps w:val="false"/>
          <w:smallCaps w:val="false"/>
          <w:sz w:val="20"/>
        </w:rPr>
        <w:t>Minimum Net Revenues Cure Right</w:t>
      </w:r>
      <w:r>
        <w:rPr>
          <w:rFonts w:ascii="Times New Roman;Times;Serif" w:hAnsi="Times New Roman;Times;Serif"/>
          <w:b w:val="false"/>
          <w:i w:val="false"/>
          <w:caps w:val="false"/>
          <w:smallCaps w:val="false"/>
          <w:sz w:val="20"/>
        </w:rPr>
        <w:t xml:space="preserve">”). Upon the Administrative Agent’s receipt of the applicable Net Revenues Cure Payment or application of such cash amounts, the Borrower shall then be in compliance with the requirements of the Minimum Net Revenues Covenant, and the Borrower shall be deemed to have satisfied the requirements of the Minimum Net Revenues Covenant as of the relevant date of determination with the same effect as though there had been no failure to comply therewith at such date, and the applicable breach of the Minimum Net Revenues Covenant and any related Default that had occurred shall be deemed cured for the purposes of this Agreement. Net Revenues shall be deemed increased for the applicable fiscal quarter and any four fiscal quarter period that contains such fiscal quarter, solely for the purpose of measuring the covenant set forth in </w:t>
      </w:r>
      <w:r>
        <w:rPr>
          <w:rFonts w:ascii="Times New Roman;Times;Serif" w:hAnsi="Times New Roman;Times;Serif"/>
          <w:b/>
          <w:i w:val="false"/>
          <w:caps w:val="false"/>
          <w:smallCaps w:val="false"/>
          <w:sz w:val="20"/>
        </w:rPr>
        <w:t>Section 10.02</w:t>
      </w:r>
      <w:r>
        <w:rPr>
          <w:rFonts w:ascii="Times New Roman;Times;Serif" w:hAnsi="Times New Roman;Times;Serif"/>
          <w:b w:val="false"/>
          <w:i w:val="false"/>
          <w:caps w:val="false"/>
          <w:smallCaps w:val="false"/>
          <w:sz w:val="20"/>
        </w:rPr>
        <w:t xml:space="preserve"> and not for any other purpose under this Agreement, by an amount equal to the Net Revenues Shortfall Amount (and the receipt by the Lenders of the Net Revenues Cure Payment pursuant to the Minimum Net Revenues Cure Right and the related increase of Net Revenues by the Net Revenues Shortfall Amount shall be deemed to have no other effect whatsoever under this Agreement other than as specifically provided in this </w:t>
      </w:r>
      <w:r>
        <w:rPr>
          <w:rFonts w:ascii="Times New Roman;Times;Serif" w:hAnsi="Times New Roman;Times;Serif"/>
          <w:b/>
          <w:i w:val="false"/>
          <w:caps w:val="false"/>
          <w:smallCaps w:val="false"/>
          <w:sz w:val="20"/>
        </w:rPr>
        <w:t>Section 11.04</w:t>
      </w:r>
      <w:r>
        <w:rPr>
          <w:rFonts w:ascii="Times New Roman;Times;Serif" w:hAnsi="Times New Roman;Times;Serif"/>
          <w:b w:val="false"/>
          <w:i w:val="false"/>
          <w:caps w:val="false"/>
          <w:smallCaps w:val="false"/>
          <w:sz w:val="20"/>
        </w:rPr>
        <w:t>). Any Net Revenues Cure Payment shall be applied to the prepayment of all outstanding Obligations, which shall include the Yield Protection Premium, if applicable, any accrued and unpaid interest and Commitment Fee, and the Exit Fee. Notwithstanding anything else in this Agreement, the Borrower may not exercise a Minimum Net Revenues Cure Right more than four times over the life of the loan or more than two times in any twelve month period.</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the Administrative Agent’s receipt of a notice from the Borrower that it intends to exercise the Minimum Net Revenues Cure Right (a “</w:t>
      </w:r>
      <w:r>
        <w:rPr>
          <w:rFonts w:ascii="Times New Roman;Times;Serif" w:hAnsi="Times New Roman;Times;Serif"/>
          <w:b/>
          <w:i/>
          <w:caps w:val="false"/>
          <w:smallCaps w:val="false"/>
          <w:sz w:val="20"/>
        </w:rPr>
        <w:t xml:space="preserve">Notice of Intent to Cure Net </w:t>
      </w:r>
      <w:r>
        <w:rPr>
          <w:rFonts w:ascii="Times New Roman;Times;Serif" w:hAnsi="Times New Roman;Times;Serif"/>
          <w:b w:val="false"/>
          <w:i w:val="false"/>
          <w:caps w:val="false"/>
          <w:smallCaps w:val="false"/>
          <w:sz w:val="20"/>
        </w:rPr>
        <w:t xml:space="preserve">Revenues </w:t>
      </w:r>
      <w:r>
        <w:rPr>
          <w:rFonts w:ascii="Times New Roman;Times;Serif" w:hAnsi="Times New Roman;Times;Serif"/>
          <w:b/>
          <w:i/>
          <w:caps w:val="false"/>
          <w:smallCaps w:val="false"/>
          <w:sz w:val="20"/>
        </w:rPr>
        <w:t>Covenant</w:t>
      </w:r>
      <w:r>
        <w:rPr>
          <w:rFonts w:ascii="Times New Roman;Times;Serif" w:hAnsi="Times New Roman;Times;Serif"/>
          <w:b w:val="false"/>
          <w:i w:val="false"/>
          <w:caps w:val="false"/>
          <w:smallCaps w:val="false"/>
          <w:sz w:val="20"/>
        </w:rPr>
        <w:t xml:space="preserve">”), until the Cure Expiration Date to which such Notice of Intent to Cure Net Revenues Covenant relates, no Lender shall be required to extend any credit pursuant to its Commitment during such period. Neither the Administrative Agent nor any Lender shall exercise the right to accelerate the Loans or terminate the Commitments and none of the Administrative Agent or any Lender shall exercise any right to foreclose on or take possession of the Collateral or exercise any other remedy pursuant to </w:t>
      </w:r>
      <w:r>
        <w:rPr>
          <w:rFonts w:ascii="Times New Roman;Times;Serif" w:hAnsi="Times New Roman;Times;Serif"/>
          <w:b/>
          <w:i w:val="false"/>
          <w:caps w:val="false"/>
          <w:smallCaps w:val="false"/>
          <w:sz w:val="20"/>
        </w:rPr>
        <w:t>Section 11.02</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Section 11.03</w:t>
      </w:r>
      <w:r>
        <w:rPr>
          <w:rFonts w:ascii="Times New Roman;Times;Serif" w:hAnsi="Times New Roman;Times;Serif"/>
          <w:b w:val="false"/>
          <w:i w:val="false"/>
          <w:caps w:val="false"/>
          <w:smallCaps w:val="false"/>
          <w:sz w:val="20"/>
        </w:rPr>
        <w:t xml:space="preserve">, the other Loan Documents or applicable law prior to the Cure Expiration Date solely on the basis of an Event of Default having occurred and continuing under </w:t>
      </w:r>
      <w:r>
        <w:rPr>
          <w:rFonts w:ascii="Times New Roman;Times;Serif" w:hAnsi="Times New Roman;Times;Serif"/>
          <w:b/>
          <w:i w:val="false"/>
          <w:caps w:val="false"/>
          <w:smallCaps w:val="false"/>
          <w:sz w:val="20"/>
        </w:rPr>
        <w:t>Section 10.02</w:t>
      </w:r>
      <w:r>
        <w:rPr>
          <w:rFonts w:ascii="Times New Roman;Times;Serif" w:hAnsi="Times New Roman;Times;Serif"/>
          <w:b w:val="false"/>
          <w:i w:val="false"/>
          <w:caps w:val="false"/>
          <w:smallCaps w:val="false"/>
          <w:sz w:val="20"/>
        </w:rPr>
        <w:t xml:space="preserve"> (except to the extent that the Borrower has confirmed in writing that it does not intend to exercise a Minimum Net Revenues Cure Right). If on or prior to the Cure Expiration Date, the Oaktree Lender declines the exercise by the Borrower of the Minimum Net Revenues Cure Right by written notice to the Administrative Agent and the Borrower to that effect, then the Borrower shall be deemed to have satisfied the requirements of the Minimum Net Revenues Covenant as of the relevant date of determination with the same effect as though there had been no failure to comply therewith at such date, and the applicable breach of the Minimum Net Revenues Covenant and any related default that had occurred shall be deemed cured for the purposes of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11.05 Payment of Yield Protection Premium and Exit Fee</w:t>
      </w:r>
      <w:r>
        <w:rPr>
          <w:rFonts w:ascii="Times New Roman;Times;Serif" w:hAnsi="Times New Roman;Times;Serif"/>
          <w:b w:val="false"/>
          <w:i w:val="false"/>
          <w:caps w:val="false"/>
          <w:smallCaps w:val="false"/>
          <w:sz w:val="20"/>
        </w:rPr>
        <w:t xml:space="preserve">. Notwithstanding anything in this Agreement to the contrary, the Yield Protection Premium and the Exit Fee shall automatically be due and payable at any time the Obligations become due and payable prior to the Maturity Date in accordance with the terms hereof as though such Indebtedness was voluntarily prepaid and shall constitute part of the Obligations, whether due to acceleration pursuant to the terms of this Agreement (in which case it shall be due immediately, upon the giving of notice to Borrower in accordance with </w:t>
      </w:r>
      <w:r>
        <w:rPr>
          <w:rFonts w:ascii="Times New Roman;Times;Serif" w:hAnsi="Times New Roman;Times;Serif"/>
          <w:b/>
          <w:i w:val="false"/>
          <w:caps w:val="false"/>
          <w:smallCaps w:val="false"/>
          <w:sz w:val="20"/>
        </w:rPr>
        <w:t>Section 11.02(a)</w:t>
      </w:r>
      <w:r>
        <w:rPr>
          <w:rFonts w:ascii="Times New Roman;Times;Serif" w:hAnsi="Times New Roman;Times;Serif"/>
          <w:b w:val="false"/>
          <w:i w:val="false"/>
          <w:caps w:val="false"/>
          <w:smallCaps w:val="false"/>
          <w:sz w:val="20"/>
        </w:rPr>
        <w:t xml:space="preserve">, or automatically, in accordance with </w:t>
      </w:r>
      <w:r>
        <w:rPr>
          <w:rFonts w:ascii="Times New Roman;Times;Serif" w:hAnsi="Times New Roman;Times;Serif"/>
          <w:b/>
          <w:i w:val="false"/>
          <w:caps w:val="false"/>
          <w:smallCaps w:val="false"/>
          <w:sz w:val="20"/>
        </w:rPr>
        <w:t>Section 11.02(b)</w:t>
      </w:r>
      <w:r>
        <w:rPr>
          <w:rFonts w:ascii="Times New Roman;Times;Serif" w:hAnsi="Times New Roman;Times;Serif"/>
          <w:b w:val="false"/>
          <w:i w:val="false"/>
          <w:caps w:val="false"/>
          <w:smallCaps w:val="false"/>
          <w:sz w:val="20"/>
        </w:rPr>
        <w:t xml:space="preserve">), by operation of law or otherwise (including, without limitation, on account of any bankruptcy filing), in view of the impracticability and extreme difficulty of ascertaining the actual amount of damages to the Lenders or profits lost by the Lenders as a result of such acceleration, and by mutual agreement of the parties as to a reasonable estimation and calculation of the lost profits or damages of the Lenders as a result thereof. If the Yield Protection Premium and/or Exit Fee become due and payable pursuant to the preceding sentence, the Yield Protection Premium and Exit Fee, as applicable, shall be deemed to be principal of the Loans and interest shall accrue on the full principal amount of the Loans (including the Yield Protection Premium and Exit Fee, as applicable) from and after the applicable triggering event. Any Yield Protection Premium or Exit Fee (or, if required, both the Yield Protection Premium and the Exit Fee) payable pursuant to this Agreement shall be presumed to be the liquidated damages sustained by each Lender as the result of the early termination, acceleration or prepayment and each Obligor agrees that such Yield Protection Premium or Exit Fee is reasonable under the circumstances currently existing. The Yield Protection Premium and Exit Fee shall also be payable in the event the Obligations (and/or this Agreement) are satisfied or released by foreclosure (whether by power of judicial proceeding), deed in lieu of foreclosure or by any other means or the Obligations are reinstated pursuant to Section 1124 of the Bankruptcy Code. If the Yield Protection Premium and/or becomes due and payable pursuant to this Agreement, such Yield Protection Premium and/or Exit Fee under this Agreement and or in the event the Yield Protection Premium and/or Exit Fee is determined not to be due and payable by order of any court of competent jurisdiction, including, without limitation, by operation of the Bankruptcy Code, despite such a triggering event having occurred, such Yield Protection Premium and Exit Fee, as applicable, shall nonetheless constitute Obligations under this Agreement for all purposes hereunder. </w:t>
      </w:r>
      <w:r>
        <w:rPr>
          <w:rFonts w:ascii="Times New Roman;Times;Serif" w:hAnsi="Times New Roman;Times;Serif"/>
          <w:b/>
          <w:i w:val="false"/>
          <w:caps/>
          <w:sz w:val="20"/>
        </w:rPr>
        <w:t>Each Obligor hereby waives the provisions of any present or future statute or law that prohibits or may prohibit the collection of the Yield Protection Premium or exit fee and any defense to payment, whether such defense may be based in public policy, ambiguity, or otherwise</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The Obligors, the Administrative Agent and the Lenders acknowledge and agree that any Yield Protection Premium and the Exit Fee due and payable in accordance with this Agreement shall not constitute unmatured interest, whether under Section 5.02(b)(3) of the Bankruptcy Code or otherwise. Each Obligor further acknowledges and agrees, and waives any argument to the contrary, that payment of such amount does not constitute a penalty or an otherwise unenforceable or invalid obligation. Each Obligor expressly agrees that (i) the Yield Protection Premium and Exit Fee are each reasonable and each is the product of an arm’s-length transaction between sophisticated business people, ably represented by counsel, (ii) the Yield Protection Premium and Exit Fee shall be payable notwithstanding the then prevailing market rates at the time payment is made, (iii) there has been a course of conduct between the Lenders and the Obligors giving specific consideration in this transaction for such agreement to pay the Yield Protection Premium and Exit Fee, (iv) the Obligors shall be estopped hereafter from claiming differently than as agreed to in this </w:t>
      </w:r>
      <w:r>
        <w:rPr>
          <w:rFonts w:ascii="Times New Roman;Times;Serif" w:hAnsi="Times New Roman;Times;Serif"/>
          <w:b/>
          <w:i w:val="false"/>
          <w:caps w:val="false"/>
          <w:smallCaps w:val="false"/>
          <w:sz w:val="20"/>
        </w:rPr>
        <w:t>Section 11.05</w:t>
      </w:r>
      <w:r>
        <w:rPr>
          <w:rFonts w:ascii="Times New Roman;Times;Serif" w:hAnsi="Times New Roman;Times;Serif"/>
          <w:b w:val="false"/>
          <w:i w:val="false"/>
          <w:caps w:val="false"/>
          <w:smallCaps w:val="false"/>
          <w:sz w:val="20"/>
        </w:rPr>
        <w:t>, (v) their agreement to pay the Yield Protection Premium and Exit Fee is a material inducement to the Lenders to make the Loans, and (vi) the Yield Protection Premium and Exit Fee represent a good faith, reasonable estimate and calculation of the lost profits, losses or other damages of the Lenders and that it would be impractical and extremely difficult to ascertain the actual amount of damages to the Lenders or profits lost by the Lenders as a result of such event.</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Section 12.</w:t>
      </w:r>
      <w:r>
        <w:rPr>
          <w:rFonts w:ascii="Times New Roman;Times;Serif" w:hAnsi="Times New Roman;Times;Serif"/>
          <w:b/>
          <w:i w:val="false"/>
          <w:caps w:val="false"/>
          <w:smallCaps w:val="false"/>
          <w:sz w:val="20"/>
        </w:rPr>
        <w:br/>
        <w:t>THE ADMINISTRATIVE AGENT</w:t>
      </w:r>
    </w:p>
    <w:p>
      <w:pPr>
        <w:pStyle w:val="TextBody"/>
        <w:bidi w:val="0"/>
        <w:ind w:left="0" w:right="0" w:hanging="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12.01 Appointment and Duties</w:t>
      </w:r>
      <w:r>
        <w:rPr>
          <w:rFonts w:ascii="Times New Roman;Times;Serif" w:hAnsi="Times New Roman;Times;Serif"/>
          <w:b w:val="false"/>
          <w:i w:val="false"/>
          <w:caps w:val="false"/>
          <w:smallCaps w:val="false"/>
          <w:sz w:val="20"/>
        </w:rPr>
        <w:t>. Subject in all cases to clause (c) below:</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Appointment of the Administrative Agent</w:t>
      </w:r>
      <w:r>
        <w:rPr>
          <w:rFonts w:ascii="Times New Roman;Times;Serif" w:hAnsi="Times New Roman;Times;Serif"/>
          <w:b w:val="false"/>
          <w:i w:val="false"/>
          <w:caps w:val="false"/>
          <w:smallCaps w:val="false"/>
          <w:sz w:val="20"/>
        </w:rPr>
        <w:t xml:space="preserve">. Each of the Lenders hereby irrevocably appoints Oaktree Fund Administration, LLC (together with any successor Administrative Agent pursuant to </w:t>
      </w:r>
      <w:r>
        <w:rPr>
          <w:rFonts w:ascii="Times New Roman;Times;Serif" w:hAnsi="Times New Roman;Times;Serif"/>
          <w:b/>
          <w:i w:val="false"/>
          <w:caps w:val="false"/>
          <w:smallCaps w:val="false"/>
          <w:sz w:val="20"/>
        </w:rPr>
        <w:t>Section 12.09</w:t>
      </w:r>
      <w:r>
        <w:rPr>
          <w:rFonts w:ascii="Times New Roman;Times;Serif" w:hAnsi="Times New Roman;Times;Serif"/>
          <w:b w:val="false"/>
          <w:i w:val="false"/>
          <w:caps w:val="false"/>
          <w:smallCaps w:val="false"/>
          <w:sz w:val="20"/>
        </w:rPr>
        <w:t xml:space="preserve">) as the Administrative Agent hereunder and authorizes the Administrative Agent to (i) execute and deliver the Loan Documents and accept delivery thereof on its behalf from any Obligor or any of its Subsidiaries, (ii) take such action on its behalf and to exercise all rights, powers and remedies and perform the duties as are expressly delegated to the Administrative Agent under such Loan Documents and (iii) exercise such powers as are reasonably incidental thereto. Except as expressly set forth herein, the provisions of this </w:t>
      </w:r>
      <w:r>
        <w:rPr>
          <w:rFonts w:ascii="Times New Roman;Times;Serif" w:hAnsi="Times New Roman;Times;Serif"/>
          <w:b/>
          <w:i w:val="false"/>
          <w:caps w:val="false"/>
          <w:smallCaps w:val="false"/>
          <w:sz w:val="20"/>
        </w:rPr>
        <w:t>Section 12</w:t>
      </w:r>
      <w:r>
        <w:rPr>
          <w:rFonts w:ascii="Times New Roman;Times;Serif" w:hAnsi="Times New Roman;Times;Serif"/>
          <w:b w:val="false"/>
          <w:i w:val="false"/>
          <w:caps w:val="false"/>
          <w:smallCaps w:val="false"/>
          <w:sz w:val="20"/>
        </w:rPr>
        <w:t xml:space="preserve"> (other than </w:t>
      </w:r>
      <w:r>
        <w:rPr>
          <w:rFonts w:ascii="Times New Roman;Times;Serif" w:hAnsi="Times New Roman;Times;Serif"/>
          <w:b/>
          <w:i w:val="false"/>
          <w:caps w:val="false"/>
          <w:smallCaps w:val="false"/>
          <w:sz w:val="20"/>
        </w:rPr>
        <w:t>Section 12.10</w:t>
      </w:r>
      <w:r>
        <w:rPr>
          <w:rFonts w:ascii="Times New Roman;Times;Serif" w:hAnsi="Times New Roman;Times;Serif"/>
          <w:b w:val="false"/>
          <w:i w:val="false"/>
          <w:caps w:val="false"/>
          <w:smallCaps w:val="false"/>
          <w:sz w:val="20"/>
        </w:rPr>
        <w:t>, and solely to the extent expressly set forth therein) are solely for the benefit of the Administrative Agent and the Lenders, and no Obligor or any Affiliate thereof shall have rights as a third-party beneficiary of any such provisions.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Duties as Collateral and Disbursing Agent</w:t>
      </w:r>
      <w:r>
        <w:rPr>
          <w:rFonts w:ascii="Times New Roman;Times;Serif" w:hAnsi="Times New Roman;Times;Serif"/>
          <w:b w:val="false"/>
          <w:i w:val="false"/>
          <w:caps w:val="false"/>
          <w:smallCaps w:val="false"/>
          <w:sz w:val="20"/>
        </w:rPr>
        <w:t xml:space="preserve">. Without limiting the generality of </w:t>
      </w:r>
      <w:r>
        <w:rPr>
          <w:rFonts w:ascii="Times New Roman;Times;Serif" w:hAnsi="Times New Roman;Times;Serif"/>
          <w:b/>
          <w:i w:val="false"/>
          <w:caps w:val="false"/>
          <w:smallCaps w:val="false"/>
          <w:sz w:val="20"/>
        </w:rPr>
        <w:t>Section 12.01(a)</w:t>
      </w:r>
      <w:r>
        <w:rPr>
          <w:rFonts w:ascii="Times New Roman;Times;Serif" w:hAnsi="Times New Roman;Times;Serif"/>
          <w:b w:val="false"/>
          <w:i w:val="false"/>
          <w:caps w:val="false"/>
          <w:smallCaps w:val="false"/>
          <w:sz w:val="20"/>
        </w:rPr>
        <w:t xml:space="preserve">, the Administrative Agent shall have the sole and exclusive right and authority (to the exclusion of the Lenders), and is hereby authorized, to (i) act as the disbursing and collecting agent for the Lenders with respect to all payments and collections arising in connection with the Loan Documents (including in any proceeding described in </w:t>
      </w:r>
      <w:r>
        <w:rPr>
          <w:rFonts w:ascii="Times New Roman;Times;Serif" w:hAnsi="Times New Roman;Times;Serif"/>
          <w:b/>
          <w:i w:val="false"/>
          <w:caps w:val="false"/>
          <w:smallCaps w:val="false"/>
          <w:sz w:val="20"/>
        </w:rPr>
        <w:t>Section 11.01(h)</w:t>
      </w:r>
      <w:r>
        <w:rPr>
          <w:rFonts w:ascii="Times New Roman;Times;Serif" w:hAnsi="Times New Roman;Times;Serif"/>
          <w:b w:val="false"/>
          <w:i w:val="false"/>
          <w:caps w:val="false"/>
          <w:smallCaps w:val="false"/>
          <w:sz w:val="20"/>
        </w:rPr>
        <w:t xml:space="preserve"> or any other bankruptcy, insolvency or similar proceeding), and each Person making any payment in connection with any Loan Document to any Secured Party is hereby authorized to make such payment to the Administrative Agent, (ii) file and prove claims and file other documents necessary or desirable to allow the claims of the Secured Parties with respect to any Obligation in any proceeding described in </w:t>
      </w:r>
      <w:r>
        <w:rPr>
          <w:rFonts w:ascii="Times New Roman;Times;Serif" w:hAnsi="Times New Roman;Times;Serif"/>
          <w:b/>
          <w:i w:val="false"/>
          <w:caps w:val="false"/>
          <w:smallCaps w:val="false"/>
          <w:sz w:val="20"/>
        </w:rPr>
        <w:t>Section 11.01(h)</w:t>
      </w:r>
      <w:r>
        <w:rPr>
          <w:rFonts w:ascii="Times New Roman;Times;Serif" w:hAnsi="Times New Roman;Times;Serif"/>
          <w:b w:val="false"/>
          <w:i w:val="false"/>
          <w:caps w:val="false"/>
          <w:smallCaps w:val="false"/>
          <w:sz w:val="20"/>
        </w:rPr>
        <w:t xml:space="preserve"> or any other bankruptcy, insolvency or similar proceeding (but not to vote, consent or otherwise act on behalf of such Secured Party), (iii) act as collateral agent for each Secured Party for purposes of acquiring, holding, enforcing and perfecting all Liens created by the Loan Documents and all other purposes stated therein, (iv) manage, supervise and otherwise deal with the Collateral, (v) take such other action as is necessary or desirable to maintain the perfection and priority of the Liens created or purported to be created by the Loan Documents, (vi) except as may be otherwise specified in any Loan Document, exercise all remedies given to the Administrative Agent and the other Secured Parties with respect to the Collateral, whether under the Loan Documents, applicable Laws or otherwise, (vii) enter into non-disturbance agreements and similar agreements and (viii) execute any amendment, consent or waiver under the Loan Documents on behalf of any Lender that has consented in writing to such amendment, consent or waiver;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Administrative Agent hereby appoints, authorizes and directs each Lender to act as collateral sub-agent for the Administrative Agent and the Lenders for purposes of the perfection of all Liens with respect to the Collateral, including any deposit account maintained by a Obligor with, and cash and Cash Equivalent Investments held by, such Lender, and may further authorize and direct the Lenders to take further actions as collateral sub-agents for purposes of enforcing such Liens or otherwise to transfer the Collateral subject thereto to the Administrative Agent, and each Lender hereby agrees to take such further actions to the extent, and only to the extent, so authorized and directed.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Limited Duties</w:t>
      </w:r>
      <w:r>
        <w:rPr>
          <w:rFonts w:ascii="Times New Roman;Times;Serif" w:hAnsi="Times New Roman;Times;Serif"/>
          <w:b w:val="false"/>
          <w:i w:val="false"/>
          <w:caps w:val="false"/>
          <w:smallCaps w:val="false"/>
          <w:sz w:val="20"/>
        </w:rPr>
        <w:t xml:space="preserve">. The Lenders and the Obligors hereby each acknowledge and agree that the Administrative Agent (i) has undertaken its role hereunder purely as an accommodation to the parties hereto and the Transactions, (ii) is receiving no compensation for undertaking such role and (iii) subject only to the notice provisions set forth in </w:t>
      </w:r>
      <w:r>
        <w:rPr>
          <w:rFonts w:ascii="Times New Roman;Times;Serif" w:hAnsi="Times New Roman;Times;Serif"/>
          <w:b/>
          <w:i w:val="false"/>
          <w:caps w:val="false"/>
          <w:smallCaps w:val="false"/>
          <w:sz w:val="20"/>
        </w:rPr>
        <w:t>Section 12.09</w:t>
      </w:r>
      <w:r>
        <w:rPr>
          <w:rFonts w:ascii="Times New Roman;Times;Serif" w:hAnsi="Times New Roman;Times;Serif"/>
          <w:b w:val="false"/>
          <w:i w:val="false"/>
          <w:caps w:val="false"/>
          <w:smallCaps w:val="false"/>
          <w:sz w:val="20"/>
        </w:rPr>
        <w:t xml:space="preserve">, may resign from such role at any time for any reason or no reason whatsoever. Without limiting the foregoing, the parties hereto further acknowledge and agree that under the Loan Documents, the Administrative Agent (i) is acting solely on behalf of the Lenders (except to the limited extent provided in </w:t>
      </w:r>
      <w:r>
        <w:rPr>
          <w:rFonts w:ascii="Times New Roman;Times;Serif" w:hAnsi="Times New Roman;Times;Serif"/>
          <w:b/>
          <w:i w:val="false"/>
          <w:caps w:val="false"/>
          <w:smallCaps w:val="false"/>
          <w:sz w:val="20"/>
        </w:rPr>
        <w:t>Section 12.11</w:t>
      </w:r>
      <w:r>
        <w:rPr>
          <w:rFonts w:ascii="Times New Roman;Times;Serif" w:hAnsi="Times New Roman;Times;Serif"/>
          <w:b w:val="false"/>
          <w:i w:val="false"/>
          <w:caps w:val="false"/>
          <w:smallCaps w:val="false"/>
          <w:sz w:val="20"/>
        </w:rPr>
        <w:t xml:space="preserve">), with duties that are entirely administrative in nature, notwithstanding the use of the defined term “the Administrative Agent”, the terms “agent”, “administrative agent” and “collateral agent” and similar terms in any Loan Document to refer to the Administrative Agent, which terms are used for title purposes only, (ii) is not assuming any duty or obligation under any Loan Document other than as expressly set forth therein or any role as agent, fiduciary or trustee of or for any Lender or any other Secured Party and (iii) shall have no implied functions, responsibilities, duties, obligations or other liabilities under any Loan Document (fiduciary or otherwise), in each case, regardless of whether a Default has occurred and is continuing, and each Lender hereby waives and agrees not to assert any claim against the Administrative Agent based on the roles, duties and legal relationships expressly disclaimed in this </w:t>
      </w:r>
      <w:r>
        <w:rPr>
          <w:rFonts w:ascii="Times New Roman;Times;Serif" w:hAnsi="Times New Roman;Times;Serif"/>
          <w:b/>
          <w:i w:val="false"/>
          <w:caps w:val="false"/>
          <w:smallCaps w:val="false"/>
          <w:sz w:val="20"/>
        </w:rPr>
        <w:t>clause (c)</w:t>
      </w:r>
      <w:r>
        <w:rPr>
          <w:rFonts w:ascii="Times New Roman;Times;Serif" w:hAnsi="Times New Roman;Times;Serif"/>
          <w:b w:val="false"/>
          <w:i w:val="false"/>
          <w:caps w:val="false"/>
          <w:smallCaps w:val="false"/>
          <w:sz w:val="20"/>
        </w:rPr>
        <w:t>. Without in any way limiting the foregoing, the Administrative Agent shall not, except as expressly set forth in this Agreement and in the other Loan Documents, have any duty to disclose, and shall not be liable for the failure to disclose, any information relating to any Obligor or any of its Affiliates that is communicated to or obtained by the Person serving as the Administrative Agent or any of its Affiliates in any capacity.</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12.02 Binding Effect</w:t>
      </w:r>
      <w:r>
        <w:rPr>
          <w:rFonts w:ascii="Times New Roman;Times;Serif" w:hAnsi="Times New Roman;Times;Serif"/>
          <w:b w:val="false"/>
          <w:i w:val="false"/>
          <w:caps w:val="false"/>
          <w:smallCaps w:val="false"/>
          <w:sz w:val="20"/>
        </w:rPr>
        <w:t>. Each Lender agrees that (i) any action taken by the Administrative Agent or the Majority Lenders (or, if expressly required hereby, a greater proportion of the Lenders) in accordance with the provisions of the Loan Documents, (ii) any action taken by the Administrative Agent in reliance upon the instructions of the Majority Lenders (or, where so required, such greater proportion) and (iii) the exercise by the Administrative Agent or the Majority Lenders (or, where so required, such greater proportion) of the powers set forth herein or therein, together with such other powers as are reasonably incidental thereto, shall be authorized and binding upon all of the Secured Parties.</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12.03 Use of Discretion</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No Action without Instructions</w:t>
      </w:r>
      <w:r>
        <w:rPr>
          <w:rFonts w:ascii="Times New Roman;Times;Serif" w:hAnsi="Times New Roman;Times;Serif"/>
          <w:b w:val="false"/>
          <w:i w:val="false"/>
          <w:caps w:val="false"/>
          <w:smallCaps w:val="false"/>
          <w:sz w:val="20"/>
        </w:rPr>
        <w:t xml:space="preserve">. The Administrative Agent shall not be required to exercise any discretion or take, or to omit to take, any action, including with respect to enforcement or collection, except (subject to </w:t>
      </w:r>
      <w:r>
        <w:rPr>
          <w:rFonts w:ascii="Times New Roman;Times;Serif" w:hAnsi="Times New Roman;Times;Serif"/>
          <w:b/>
          <w:i w:val="false"/>
          <w:caps w:val="false"/>
          <w:smallCaps w:val="false"/>
          <w:sz w:val="20"/>
        </w:rPr>
        <w:t xml:space="preserve">clause (b) </w:t>
      </w:r>
      <w:r>
        <w:rPr>
          <w:rFonts w:ascii="Times New Roman;Times;Serif" w:hAnsi="Times New Roman;Times;Serif"/>
          <w:b w:val="false"/>
          <w:i w:val="false"/>
          <w:caps w:val="false"/>
          <w:smallCaps w:val="false"/>
          <w:sz w:val="20"/>
        </w:rPr>
        <w:t>below) any action it is required to take or omit to take (i) under any Loan Document or (ii) pursuant to written instructions from the Majority Lenders (or, where expressly required by the terms of this Agreement, a greater proportion of the Lenders).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Right Not to Follow Certain Instructions</w:t>
      </w:r>
      <w:r>
        <w:rPr>
          <w:rFonts w:ascii="Times New Roman;Times;Serif" w:hAnsi="Times New Roman;Times;Serif"/>
          <w:b w:val="false"/>
          <w:i w:val="false"/>
          <w:caps w:val="false"/>
          <w:smallCaps w:val="false"/>
          <w:sz w:val="20"/>
        </w:rPr>
        <w:t xml:space="preserve">. Notwithstanding </w:t>
      </w:r>
      <w:r>
        <w:rPr>
          <w:rFonts w:ascii="Times New Roman;Times;Serif" w:hAnsi="Times New Roman;Times;Serif"/>
          <w:b/>
          <w:i w:val="false"/>
          <w:caps w:val="false"/>
          <w:smallCaps w:val="false"/>
          <w:sz w:val="20"/>
        </w:rPr>
        <w:t>Section 12.03(a)</w:t>
      </w:r>
      <w:r>
        <w:rPr>
          <w:rFonts w:ascii="Times New Roman;Times;Serif" w:hAnsi="Times New Roman;Times;Serif"/>
          <w:b w:val="false"/>
          <w:i w:val="false"/>
          <w:caps w:val="false"/>
          <w:smallCaps w:val="false"/>
          <w:sz w:val="20"/>
        </w:rPr>
        <w:t xml:space="preserve"> or any other term or provision of this </w:t>
      </w:r>
      <w:r>
        <w:rPr>
          <w:rFonts w:ascii="Times New Roman;Times;Serif" w:hAnsi="Times New Roman;Times;Serif"/>
          <w:b/>
          <w:i w:val="false"/>
          <w:caps w:val="false"/>
          <w:smallCaps w:val="false"/>
          <w:sz w:val="20"/>
        </w:rPr>
        <w:t>Section 12</w:t>
      </w:r>
      <w:r>
        <w:rPr>
          <w:rFonts w:ascii="Times New Roman;Times;Serif" w:hAnsi="Times New Roman;Times;Serif"/>
          <w:b w:val="false"/>
          <w:i w:val="false"/>
          <w:caps w:val="false"/>
          <w:smallCaps w:val="false"/>
          <w:sz w:val="20"/>
        </w:rPr>
        <w:t>, the Administrative Agent shall not be required to take, or to omit to take, any action (i) unless, upon demand, the Administrative Agent receives an indemnification satisfactory to it from the Lenders (or, to the extent applicable and acceptable to the Administrative Agent, any other Secured Party) against all liabilities that, by reason of such action or omission, may be imposed on, incurred by or asserted against the Administrative Agent or any Related Parties thereof or (ii) that is, in the opinion of the Administrative Agent, in its sole and absolute discretion, contrary to any Loan Document, Law or the best interests of the Administrative Agent or any of its Affiliates or Related Parties, including, for the avoidance of doubt, any action that may be in violation of the automatic stay in connection with any Insolvency Proceeding.</w:t>
      </w:r>
    </w:p>
    <w:p>
      <w:pPr>
        <w:pStyle w:val="TextBody"/>
        <w:bidi w:val="0"/>
        <w:ind w:left="0" w:right="0" w:firstLine="72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12.04 Delegation of Rights and Duties</w:t>
      </w:r>
      <w:r>
        <w:rPr>
          <w:rFonts w:ascii="Times New Roman;Times;Serif" w:hAnsi="Times New Roman;Times;Serif"/>
          <w:b w:val="false"/>
          <w:i w:val="false"/>
          <w:caps w:val="false"/>
          <w:smallCaps w:val="false"/>
          <w:sz w:val="20"/>
        </w:rPr>
        <w:t xml:space="preserve">. The Administrative Agent may, upon any term or condition it specifies, delegate or exercise any of its rights, powers and remedies under, and delegate or perform any of its duties or any other action with respect to, any Loan Document by or through any trustee, co-agent, employee, attorney-in-fact and any other Person (including any Secured Party). The Administrative Agent and any such Person may perform any and all of its duties and exercise its rights and powers by or through their respective Related Parties. Any such Person and its Related Parties shall benefit from this </w:t>
      </w:r>
      <w:r>
        <w:rPr>
          <w:rFonts w:ascii="Times New Roman;Times;Serif" w:hAnsi="Times New Roman;Times;Serif"/>
          <w:b/>
          <w:i w:val="false"/>
          <w:caps w:val="false"/>
          <w:smallCaps w:val="false"/>
          <w:sz w:val="20"/>
        </w:rPr>
        <w:t>Section 12</w:t>
      </w:r>
      <w:r>
        <w:rPr>
          <w:rFonts w:ascii="Times New Roman;Times;Serif" w:hAnsi="Times New Roman;Times;Serif"/>
          <w:b w:val="false"/>
          <w:i w:val="false"/>
          <w:caps w:val="false"/>
          <w:smallCaps w:val="false"/>
          <w:sz w:val="20"/>
        </w:rPr>
        <w:t xml:space="preserve"> to the extent provided by the Administrative Agent; provided, however, that the exculpatory provisions of this </w:t>
      </w:r>
      <w:r>
        <w:rPr>
          <w:rFonts w:ascii="Times New Roman;Times;Serif" w:hAnsi="Times New Roman;Times;Serif"/>
          <w:b/>
          <w:i w:val="false"/>
          <w:caps w:val="false"/>
          <w:smallCaps w:val="false"/>
          <w:sz w:val="20"/>
        </w:rPr>
        <w:t xml:space="preserve">Section 12 </w:t>
      </w:r>
      <w:r>
        <w:rPr>
          <w:rFonts w:ascii="Times New Roman;Times;Serif" w:hAnsi="Times New Roman;Times;Serif"/>
          <w:b w:val="false"/>
          <w:i w:val="false"/>
          <w:caps w:val="false"/>
          <w:smallCaps w:val="false"/>
          <w:sz w:val="20"/>
        </w:rPr>
        <w:t>shall apply to any such sub-agent and to the Related Parties of the Administrative Agent and of any such sub-agent, and shall apply to their respective activities in connection with their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12.05 Reliance and Liability</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may, without incurring any liability hereunder, (i) consult with any of its Related Parties and, whether or not selected by it, any other advisors, accountants and other experts (including advisors to, and accountants and experts engaged by, any Obligor) and (ii) rely and act upon any notice, request, certificate, consent, statement, instrument, document or other writing (including and electronic message, Internet or intranet website posting or other distribution), telephone message or conversation or oral conversation, in each case believed by it to be genuine and transmitted, signed or otherwise authenticated by the appropriate parties.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written notice to the contrary from such Lender prior to the making of such Loan.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Administrative Agent nor any of its Related Parties shall be liable for any action taken or omitted to be taken by any of them under or in connection with any Loan Document, and each Lender and the Borrower hereby waive and shall not assert (and the Borrower shall cause each other Obligor to waive and agree not to assert) any right, claim or cause of action based thereon, except to the extent of liabilities resulting primarily from the fraudulent conduct or behavior of the Administrative Agent or, as the case may be, such Related Party (each as determined in a final, non-appealable judgment or order by a court of competent jurisdiction) in connection with the duties expressly set forth herein. Without limiting the foregoing, the Administrative Agent: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shall not be responsible or otherwise incur liability for any action or omission taken in reliance upon the instructions of, or with the consent of, the Majority Lenders (or such other number or percentage of the Lenders as shall be necessary, or as the Administrative Agent shall believe in good faith to be necessary, under the circumstances as provided in </w:t>
      </w:r>
      <w:r>
        <w:rPr>
          <w:rFonts w:ascii="Times New Roman;Times;Serif" w:hAnsi="Times New Roman;Times;Serif"/>
          <w:b/>
          <w:i w:val="false"/>
          <w:caps w:val="false"/>
          <w:smallCaps w:val="false"/>
          <w:sz w:val="20"/>
        </w:rPr>
        <w:t>Section 14.04</w:t>
      </w:r>
      <w:r>
        <w:rPr>
          <w:rFonts w:ascii="Times New Roman;Times;Serif" w:hAnsi="Times New Roman;Times;Serif"/>
          <w:b w:val="false"/>
          <w:i w:val="false"/>
          <w:caps w:val="false"/>
          <w:smallCaps w:val="false"/>
          <w:sz w:val="20"/>
        </w:rPr>
        <w:t>) or for the actions or omissions of any of its Related Parties selected with reasonable care (other than employees, officers and directors of the Administrative Agent, when acting on behalf of the Administrative Agent);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shall not be responsible to any Secured Party for the (a) validity, enforceability, effectiveness or genuineness of this Agreement, any other Loan Document or any other agreement, instrument or document, or (b) due execution, legality, validity, enforceability, effectiveness, genuineness, sufficiency or value of, or the attachment, perfection or priority of any Lien created or purported to be created under or in connection with, any Loan Document;</w:t>
      </w:r>
    </w:p>
    <w:p>
      <w:pPr>
        <w:pStyle w:val="TextBody"/>
        <w:bidi w:val="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makes no warranty or representation, and shall not be responsible, to any Secured Party for, and shall not have any duty to ascertain or inquire into, any statement, document, information, certificate, report, representation or warranty made or furnished by or on behalf of any Related Party, in or in connection with any Loan Document or any transaction contemplated therein, whether or not transmitted by the Administrative Agent, including as to completeness, accuracy, scope or adequacy thereof, or for the scope, nature or results of any due diligence performed by the Administrative Agent in connection with the Loan Documents, including, for the avoidance of doubt, the satisfaction of any condition set forth in </w:t>
      </w:r>
      <w:r>
        <w:rPr>
          <w:rFonts w:ascii="Times New Roman;Times;Serif" w:hAnsi="Times New Roman;Times;Serif"/>
          <w:b/>
          <w:i w:val="false"/>
          <w:caps w:val="false"/>
          <w:smallCaps w:val="false"/>
          <w:sz w:val="20"/>
        </w:rPr>
        <w:t>Section 6</w:t>
      </w:r>
      <w:r>
        <w:rPr>
          <w:rFonts w:ascii="Times New Roman;Times;Serif" w:hAnsi="Times New Roman;Times;Serif"/>
          <w:b w:val="false"/>
          <w:i w:val="false"/>
          <w:caps w:val="false"/>
          <w:smallCaps w:val="false"/>
          <w:sz w:val="20"/>
        </w:rPr>
        <w:t xml:space="preserve"> of this Agreement or elsewhere herein (other than to confirm receipt of items expressly required to be delivered to the Administrative Agent); and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shall not have any duty to ascertain or to inquire as to the performance or observance of any provision of any Loan Document or whether any condition set forth in any Loan Document is satisfied or waived, including, without limiting the generality of the foregoing, as to the financial condition of any Obligor or as to the existence or continuation or possible occurrence or continuation of any Default or Event of Default and shall not be deemed to have notice or knowledge of such occurrence or continuation unless it has received a notice from the Borrower, any Lender describing such Default or Event of Default clearly labeled “notice of default” (in which case the Administrative Agent shall promptly give notice of such receipt to all Lenders);</w:t>
      </w:r>
    </w:p>
    <w:p>
      <w:pPr>
        <w:pStyle w:val="TextBody"/>
        <w:bidi w:val="0"/>
        <w:ind w:left="0" w:right="0" w:firstLine="144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for each of the items set forth in </w:t>
      </w:r>
      <w:r>
        <w:rPr>
          <w:rFonts w:ascii="Times New Roman;Times;Serif" w:hAnsi="Times New Roman;Times;Serif"/>
          <w:b/>
          <w:i w:val="false"/>
          <w:caps w:val="false"/>
          <w:smallCaps w:val="false"/>
          <w:sz w:val="20"/>
        </w:rPr>
        <w:t xml:space="preserve">clauses (i) </w:t>
      </w:r>
      <w:r>
        <w:rPr>
          <w:rFonts w:ascii="Times New Roman;Times;Serif" w:hAnsi="Times New Roman;Times;Serif"/>
          <w:b w:val="false"/>
          <w:i w:val="false"/>
          <w:caps w:val="false"/>
          <w:smallCaps w:val="false"/>
          <w:sz w:val="20"/>
        </w:rPr>
        <w:t xml:space="preserve">through </w:t>
      </w:r>
      <w:r>
        <w:rPr>
          <w:rFonts w:ascii="Times New Roman;Times;Serif" w:hAnsi="Times New Roman;Times;Serif"/>
          <w:b/>
          <w:i w:val="false"/>
          <w:caps w:val="false"/>
          <w:smallCaps w:val="false"/>
          <w:sz w:val="20"/>
        </w:rPr>
        <w:t xml:space="preserve">(iv) </w:t>
      </w:r>
      <w:r>
        <w:rPr>
          <w:rFonts w:ascii="Times New Roman;Times;Serif" w:hAnsi="Times New Roman;Times;Serif"/>
          <w:b w:val="false"/>
          <w:i w:val="false"/>
          <w:caps w:val="false"/>
          <w:smallCaps w:val="false"/>
          <w:sz w:val="20"/>
        </w:rPr>
        <w:t>above, each Lender and the Borrower hereby waives and agrees not to assert (and the Borrower shall cause each other Obligor to waive and agree not to assert) any right, claim or cause of action it might have against the Administrative Agent based thereon.</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12.06 Administrative Agent Individually</w:t>
      </w:r>
      <w:r>
        <w:rPr>
          <w:rFonts w:ascii="Times New Roman;Times;Serif" w:hAnsi="Times New Roman;Times;Serif"/>
          <w:b w:val="false"/>
          <w:i w:val="false"/>
          <w:caps w:val="false"/>
          <w:smallCaps w:val="false"/>
          <w:sz w:val="20"/>
        </w:rPr>
        <w:t>. The Administrative Agent and its Affiliates may make loans and other extensions of credit to, acquire stock and stock equivalents of, accept deposits from, act as the financial advisor for or in any other advisory capacity for, or engage in any kind of business with, any Obligor or Affiliate thereof as though it were not acting as the Administrative Agent and may receive separate fees and other payments therefor. To the extent the Administrative Agent or any of its Affiliates makes any Loan or otherwise becomes a Lender hereunder, it shall have and may exercise the same rights and powers hereunder and shall be subject to the same obligations and liabilities as any other Lender and the terms “Lender”, “Majority Lender”, and any similar terms shall, except where otherwise expressly provided in any Loan Document, include, without limitation, the Administrative Agent or such Affiliate, as the case may be, in its individual capacity as Lender or as one of the Majority Lenders, respectively.</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12.07 Lender Credit Decision</w:t>
      </w:r>
      <w:r>
        <w:rPr>
          <w:rFonts w:ascii="Times New Roman;Times;Serif" w:hAnsi="Times New Roman;Times;Serif"/>
          <w:b w:val="false"/>
          <w:i w:val="false"/>
          <w:caps w:val="false"/>
          <w:smallCaps w:val="false"/>
          <w:sz w:val="20"/>
        </w:rPr>
        <w:t>. Each Lender acknowledges that it has, independently and without reliance upon the Administrative Agent, any Lender or any of their Related Parties or upon any document (including the Disclosure Documents) solely or in part because such document was transmitted by the Administrative Agent or any of its Related Parties, conducted its own independent investigation of the financial condition and affairs of each Obligor and has made and continues to make its own credit decisions in connection with entering into, and taking or not taking any action under, any Loan Document or with respect to any transaction contemplated in any Loan Document, in each case based on such documents and information as it shall deem appropriate.</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12.08 Expenses; Indemnities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agrees to reimburse the Administrative Agent and each of its Related Parties (to the extent not reimbursed by any Obligor) promptly upon demand for such Lender’s Proportionate Share of any costs and expenses (including fees, charges and disbursements of financial, legal and other advisors and Other Taxes paid in the name of, or on behalf of, any Obligor) that may be incurred by the Administrative Agent or any of its Related Parties in connection with the preparation, syndication, execution, delivery, administration, modification, consent, waiver or enforcement (whether through negotiations, through any work-out, bankruptcy, restructuring or other legal or other proceeding or otherwise) of, or legal advice in respect of its rights or responsibilities under, any Loan Document.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Lender further agrees to indemnify the Administrative Agent (or any sub-agent thereof) and any Related Parties of the Administrative Agent (or any such sub-agent) (to the extent not paid by any Obligor), from and against such Lender’s aggregate Proportionate Share of the liabilities (including taxes, interests and penalties imposed for not properly withholding or backup withholding on payments made to on or for the account of any Lender) that may be imposed on, incurred by or asserted against the Administrative Agent (or any sub-agent thereof) or any Related Parties of the Administrative Agent (or any such sub-agent) in any matter relating to or arising out of, in connection with or as a result of any Loan Document, any Related Document or any other act, event or transaction related, contemplated in or attendant to any such document, or, in each case, any action taken or omitted to be taken by the Administrative Agent (or any sub-agent thereof) or any Related Parties of the Administrative Agent (or any such sub-agent) under or with respect to any of the foregoing;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no Lender shall be liable to the Administrative Agent (or any sub-agent thereof) or any Related Parties of the Administrative Agent (or any such sub-agent) to the extent such liability has resulted primarily from the gross negligence or willful misconduct of the Administrative Agent (or any sub-agent thereof) or, as the case may be, such Related Party of the Administrative Agent (or any sub-agent thereof), as determined by a court of competent jurisdiction in a final non-appealable judgment or order.</w:t>
      </w:r>
    </w:p>
    <w:p>
      <w:pPr>
        <w:pStyle w:val="TextBody"/>
        <w:bidi w:val="0"/>
        <w:ind w:left="0" w:right="0" w:firstLine="72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12.09 Resignation of the Administrative Agent</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any time upon not less than 30 days prior written notice to the Lenders and the Borrower, the Administrative Agent may resign as the “the Administrative Agent” hereunder (in the sole and absolute discretion of the Administrative Agent). If the Administrative Agent delivers any such notice, the Majority Lenders shall have the right, in consultation with the Borrower, to appoint a successor, which shall be (i) a Lender holding at least thirty percent (30%) of the outstanding principal amount of the Loans or any Affiliate thereof or (ii) any other financial institution consented to by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consent of the Borrower shall not be required to the extent an Event of Default has occurred and is continuing). If a successor Administrative Agent has not been appointed on or before the effectiveness of the resignation of the resigning Administrative Agent (or such earlier date as shall be agreed by the Majority Lenders) (the “</w:t>
      </w:r>
      <w:r>
        <w:rPr>
          <w:rFonts w:ascii="Times New Roman;Times;Serif" w:hAnsi="Times New Roman;Times;Serif"/>
          <w:b/>
          <w:i/>
          <w:caps w:val="false"/>
          <w:smallCaps w:val="false"/>
          <w:sz w:val="20"/>
        </w:rPr>
        <w:t>Resignation Effective Date</w:t>
      </w:r>
      <w:r>
        <w:rPr>
          <w:rFonts w:ascii="Times New Roman;Times;Serif" w:hAnsi="Times New Roman;Times;Serif"/>
          <w:b w:val="false"/>
          <w:i w:val="false"/>
          <w:caps w:val="false"/>
          <w:smallCaps w:val="false"/>
          <w:sz w:val="20"/>
        </w:rPr>
        <w:t>”), then the resigning Administrative Agent may (but shall not be obligated to), on behalf of the Lenders, appoint any Person reasonably chosen by it as the successor Administrative Agent, notwithstanding whether the Majority Lenders have appointed a successor or the Borrower has consented to such successor. Whether or not a successor has been appointed, such resignation shall become effective on the Resignation Effective Date.</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Effective from the Resignation Effective Date, (i) the resigning Administrative Agent shall be discharged from its duties and obligations under the Loan Documents to the extent set forth in the applicable resignation notice, (ii) the Majority Lenders shall assume and perform all of the duties of the Administrative Agent until a successor Administrative Agent shall have accepted a valid appointment hereunder, (iii) the resigning Administrative Agent and its Related Parties shall no longer have the benefit of any provision of any Loan Document other than with respect to (x) any actions taken or omitted to be taken while such resigning Administrative Agent was, or because the Administrative Agent had been, validly acting as the Administrative Agent under the Loan Documents or (y) any continuing duties such resigning Administrative Agent will continue to perform, and (iv) subject to its rights under </w:t>
      </w:r>
      <w:r>
        <w:rPr>
          <w:rFonts w:ascii="Times New Roman;Times;Serif" w:hAnsi="Times New Roman;Times;Serif"/>
          <w:b/>
          <w:i w:val="false"/>
          <w:caps w:val="false"/>
          <w:smallCaps w:val="false"/>
          <w:sz w:val="20"/>
        </w:rPr>
        <w:t>Section 12.04</w:t>
      </w:r>
      <w:r>
        <w:rPr>
          <w:rFonts w:ascii="Times New Roman;Times;Serif" w:hAnsi="Times New Roman;Times;Serif"/>
          <w:b w:val="false"/>
          <w:i w:val="false"/>
          <w:caps w:val="false"/>
          <w:smallCaps w:val="false"/>
          <w:sz w:val="20"/>
        </w:rPr>
        <w:t>, the resigning Administrative Agent shall take such action as may be reasonably necessary to assign to the successor Administrative Agent its rights as the Administrative Agent under the Loan Documents. Effective immediately upon its acceptance of a valid appointment as the Administrative Agent, a successor Administrative Agent shall succeed to, and become vested with, all the rights, powers, privileges and duties of the resigning Administrative Agent under the Loan Documents.</w:t>
      </w:r>
    </w:p>
    <w:p>
      <w:pPr>
        <w:pStyle w:val="TextBody"/>
        <w:bidi w:val="0"/>
        <w:ind w:left="0" w:right="0" w:firstLine="72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12.10 Release of Collateral or Guarantors</w:t>
      </w:r>
      <w:r>
        <w:rPr>
          <w:rFonts w:ascii="Times New Roman;Times;Serif" w:hAnsi="Times New Roman;Times;Serif"/>
          <w:b w:val="false"/>
          <w:i w:val="false"/>
          <w:caps w:val="false"/>
          <w:smallCaps w:val="false"/>
          <w:sz w:val="20"/>
        </w:rPr>
        <w:t xml:space="preserve">. Each Lender hereby consents to the release and hereby directs the Administrative Agent to release, and the Administrative Agent hereby agrees, (or, in the case of </w:t>
      </w:r>
      <w:r>
        <w:rPr>
          <w:rFonts w:ascii="Times New Roman;Times;Serif" w:hAnsi="Times New Roman;Times;Serif"/>
          <w:b/>
          <w:i w:val="false"/>
          <w:caps w:val="false"/>
          <w:smallCaps w:val="false"/>
          <w:sz w:val="20"/>
        </w:rPr>
        <w:t>Section 12.10(b)</w:t>
      </w:r>
      <w:r>
        <w:rPr>
          <w:rFonts w:ascii="Times New Roman;Times;Serif" w:hAnsi="Times New Roman;Times;Serif"/>
          <w:b w:val="false"/>
          <w:i w:val="false"/>
          <w:caps w:val="false"/>
          <w:smallCaps w:val="false"/>
          <w:sz w:val="20"/>
        </w:rPr>
        <w:t>, release or subordinate) the following:</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Subsidiary of the Borrower from its guaranty of any Obligation of any Obligor (i) if such Subsidiary ceases to be a Subsidiary of such Obligor as a result of a transaction permitted under and in accordance with the Loan Documents (including pursuant to a waiver or consent), to the extent that, after giving effect to such transaction, such Subsidiary would not be required to Guaranty any Obligations pursuant to </w:t>
      </w:r>
      <w:r>
        <w:rPr>
          <w:rFonts w:ascii="Times New Roman;Times;Serif" w:hAnsi="Times New Roman;Times;Serif"/>
          <w:b/>
          <w:i w:val="false"/>
          <w:caps w:val="false"/>
          <w:smallCaps w:val="false"/>
          <w:sz w:val="20"/>
        </w:rPr>
        <w:t>Section 8.11(a)</w:t>
      </w:r>
      <w:r>
        <w:rPr>
          <w:rFonts w:ascii="Times New Roman;Times;Serif" w:hAnsi="Times New Roman;Times;Serif"/>
          <w:b w:val="false"/>
          <w:i w:val="false"/>
          <w:caps w:val="false"/>
          <w:smallCaps w:val="false"/>
          <w:sz w:val="20"/>
        </w:rPr>
        <w:t xml:space="preserve"> or (ii) upon (x) termination of the Commitments and (y) payment and satisfaction in full of all Loans and all other Obligations that the Administrative Agent has been notified in writing are then due and payable (other than inchoate indemnification and expense reimbursement obligations for which no claim has been made); and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Lien held by the Administrative Agent for the benefit of the Secured Parties against (i) any Collateral that is disposed of by an Obligor as a result of a transaction permitted under and in accordance with the Loan Documents (including pursuant to a valid waiver or consent), (ii) any property subject to a Lien described in </w:t>
      </w:r>
      <w:r>
        <w:rPr>
          <w:rFonts w:ascii="Times New Roman;Times;Serif" w:hAnsi="Times New Roman;Times;Serif"/>
          <w:b/>
          <w:i w:val="false"/>
          <w:caps w:val="false"/>
          <w:smallCaps w:val="false"/>
          <w:sz w:val="20"/>
        </w:rPr>
        <w:t>Section 9.02(c)</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(j)</w:t>
      </w:r>
      <w:r>
        <w:rPr>
          <w:rFonts w:ascii="Times New Roman;Times;Serif" w:hAnsi="Times New Roman;Times;Serif"/>
          <w:b w:val="false"/>
          <w:i w:val="false"/>
          <w:caps w:val="false"/>
          <w:smallCaps w:val="false"/>
          <w:sz w:val="20"/>
        </w:rPr>
        <w:t>, and (iii) all of the Collateral and all Obligors, upon (x) termination of the Commitments and (y) payment and satisfaction in full of all Loans and all other Obligations that the Administrative Agent has been notified in writing are then due and payable (other than inchoate indemnification and expense reimbursement obligations for which no claim has been made).</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Lender hereby directs the Administrative Agent, and the Administrative Agent hereby agrees, upon receipt of reasonable advance notice from the Borrower, to execute and deliver or file such documents and to perform other actions reasonably necessary to release the guarantees and Liens when and as directed in this </w:t>
      </w:r>
      <w:r>
        <w:rPr>
          <w:rFonts w:ascii="Times New Roman;Times;Serif" w:hAnsi="Times New Roman;Times;Serif"/>
          <w:b/>
          <w:i w:val="false"/>
          <w:caps w:val="false"/>
          <w:smallCaps w:val="false"/>
          <w:sz w:val="20"/>
        </w:rPr>
        <w:t>Section 12.10</w:t>
      </w:r>
      <w:r>
        <w:rPr>
          <w:rFonts w:ascii="Times New Roman;Times;Serif" w:hAnsi="Times New Roman;Times;Serif"/>
          <w:b w:val="false"/>
          <w:i w:val="false"/>
          <w:caps w:val="false"/>
          <w:smallCaps w:val="false"/>
          <w:sz w:val="20"/>
        </w:rPr>
        <w:t xml:space="preserve"> and deliver to the Borrower, at the expense of the Borrower, any portion of such Collateral so released pursuant to this </w:t>
      </w:r>
      <w:r>
        <w:rPr>
          <w:rFonts w:ascii="Times New Roman;Times;Serif" w:hAnsi="Times New Roman;Times;Serif"/>
          <w:b/>
          <w:i w:val="false"/>
          <w:caps w:val="false"/>
          <w:smallCaps w:val="false"/>
          <w:sz w:val="20"/>
        </w:rPr>
        <w:t xml:space="preserve">Section 12.10 </w:t>
      </w:r>
      <w:r>
        <w:rPr>
          <w:rFonts w:ascii="Times New Roman;Times;Serif" w:hAnsi="Times New Roman;Times;Serif"/>
          <w:b w:val="false"/>
          <w:i w:val="false"/>
          <w:caps w:val="false"/>
          <w:smallCaps w:val="false"/>
          <w:sz w:val="20"/>
        </w:rPr>
        <w:t>that is in possession of the Administrative Agent. In addition, in connection with any Permitted Licenses, each Lender hereby authorizes Administrative Agent to, and at the request of the Borrower, the Administrative Agent shall, negotiate and enter into a non-disturbance agreement and other similar agreements in form and substance reasonably satisfactory to Administrative Agent.</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or anything to the contrary herein, (i) the release of any Obligor from its guaranty of any Obligations under this </w:t>
      </w:r>
      <w:r>
        <w:rPr>
          <w:rFonts w:ascii="Times New Roman;Times;Serif" w:hAnsi="Times New Roman;Times;Serif"/>
          <w:b/>
          <w:i w:val="false"/>
          <w:caps w:val="false"/>
          <w:smallCaps w:val="false"/>
          <w:sz w:val="20"/>
        </w:rPr>
        <w:t>Section 12.10</w:t>
      </w:r>
      <w:r>
        <w:rPr>
          <w:rFonts w:ascii="Times New Roman;Times;Serif" w:hAnsi="Times New Roman;Times;Serif"/>
          <w:b w:val="false"/>
          <w:i w:val="false"/>
          <w:caps w:val="false"/>
          <w:smallCaps w:val="false"/>
          <w:sz w:val="20"/>
        </w:rPr>
        <w:t xml:space="preserve"> or otherwise hereunder shall only be permitted if any such permitted transaction or series of related transactions is not consummated for the primary purpose of effecting a release of such Obligor from its Obligations under the Loan Documents in accordance with the terms hereof, and (ii) the Administrative Agent may not effect a release of any Obligor that ceases to be an Obligor due solely to a disposition of Equity Interests in (or issuance of Equity Interests by) such Obligor, unless in the case of this clause (ii) the transaction related to such release is a disposition of Equity Interests for fair market value to an unaffiliated third party and for a bona fide primary business purpose.</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12.11 Additional Secured Parties</w:t>
      </w:r>
      <w:r>
        <w:rPr>
          <w:rFonts w:ascii="Times New Roman;Times;Serif" w:hAnsi="Times New Roman;Times;Serif"/>
          <w:b w:val="false"/>
          <w:i w:val="false"/>
          <w:caps w:val="false"/>
          <w:smallCaps w:val="false"/>
          <w:sz w:val="20"/>
        </w:rPr>
        <w:t xml:space="preserve">. The benefit of the provisions of the Loan Documents directly relating to the Collateral or any Lien granted thereunder shall extend to and be available to any Secured Party that is not a Lender as long as, by accepting such benefits, such Secured Party agrees, as among the Administrative Agent and all other Secured Parties, that such Secured Party is bound by (and, if requested by the Administrative Agent, shall confirm such agreement in a writing in form and substance acceptable to the Administrative Agent) this </w:t>
      </w:r>
      <w:r>
        <w:rPr>
          <w:rFonts w:ascii="Times New Roman;Times;Serif" w:hAnsi="Times New Roman;Times;Serif"/>
          <w:b/>
          <w:i w:val="false"/>
          <w:caps w:val="false"/>
          <w:smallCaps w:val="false"/>
          <w:sz w:val="20"/>
        </w:rPr>
        <w:t>Section 12</w:t>
      </w:r>
      <w:r>
        <w:rPr>
          <w:rFonts w:ascii="Times New Roman;Times;Serif" w:hAnsi="Times New Roman;Times;Serif"/>
          <w:b w:val="false"/>
          <w:i w:val="false"/>
          <w:caps w:val="false"/>
          <w:smallCaps w:val="false"/>
          <w:sz w:val="20"/>
        </w:rPr>
        <w:t xml:space="preserve"> and the decisions and actions of the Administrative Agent and the Majority Lenders (or, where expressly required by the terms of this Agreement, a greater proportion of the Lenders) to the same extent a Lender is bound;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the foregoing, (i) such Secured Party shall be bound by </w:t>
      </w:r>
      <w:r>
        <w:rPr>
          <w:rFonts w:ascii="Times New Roman;Times;Serif" w:hAnsi="Times New Roman;Times;Serif"/>
          <w:b/>
          <w:i w:val="false"/>
          <w:caps w:val="false"/>
          <w:smallCaps w:val="false"/>
          <w:sz w:val="20"/>
        </w:rPr>
        <w:t>Section 12.08</w:t>
      </w:r>
      <w:r>
        <w:rPr>
          <w:rFonts w:ascii="Times New Roman;Times;Serif" w:hAnsi="Times New Roman;Times;Serif"/>
          <w:b w:val="false"/>
          <w:i w:val="false"/>
          <w:caps w:val="false"/>
          <w:smallCaps w:val="false"/>
          <w:sz w:val="20"/>
        </w:rPr>
        <w:t xml:space="preserve"> only to the extent of liabilities, costs and expenses with respect to or otherwise relating to the Collateral held for the benefit of such Secured Party, in which case the obligations of such Secured Party thereunder shall not be limited by any concept of Proportionate Share or similar concept, (ii) each of the Administrative Agent and each Lender shall be entitled to act at its sole discretion, without regard to the interest of such Secured Party, regardless of whether any Obligation to such Secured Party thereafter remains outstanding, is deprived of the benefit of the Collateral, becomes unsecured or is otherwise affected or put in jeopardy thereby, and without any duty or liability to such Secured Party or any such Obligation and (iii) such Secured Party shall not have any right to be notified of, consent to, direct, require or be heard with respect to, any action taken or omitted in respect of the Collateral or under any Loan Document.</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12.12 Agent May File Proofs of Claim</w:t>
      </w:r>
      <w:r>
        <w:rPr>
          <w:rFonts w:ascii="Times New Roman;Times;Serif" w:hAnsi="Times New Roman;Times;Serif"/>
          <w:b w:val="false"/>
          <w:i w:val="false"/>
          <w:caps w:val="false"/>
          <w:smallCaps w:val="false"/>
          <w:sz w:val="20"/>
        </w:rPr>
        <w:t>. In case of the pendency of any Insolvency Proceeding or any other judicial proceeding relating to any Obligor, the Administrative Agent (irrespective of whether the principal of any Loan shall then be due and payable as herein expressed or by declaration or otherwise and irrespective of whether the Administrative Agent shall have made any demand on the Borrower or any other Obligor) shall be entitled and empowered (but not obligated) by intervention or such proceeding or otherwise: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Times;Serif" w:hAnsi="Times New Roman;Times;Serif"/>
          <w:b/>
          <w:i w:val="false"/>
          <w:caps w:val="false"/>
          <w:smallCaps w:val="false"/>
          <w:sz w:val="20"/>
        </w:rPr>
        <w:t>Section 14.03</w:t>
      </w:r>
      <w:r>
        <w:rPr>
          <w:rFonts w:ascii="Times New Roman;Times;Serif" w:hAnsi="Times New Roman;Times;Serif"/>
          <w:b w:val="false"/>
          <w:i w:val="false"/>
          <w:caps w:val="false"/>
          <w:smallCaps w:val="false"/>
          <w:sz w:val="20"/>
        </w:rPr>
        <w:t>) allowed in such judicial proceeding; and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collect and receive any monies or other property payable or deliverable on any such claims and to distribute the same;</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any custodian, receiver, assignee, trustee, liquidator, sequestrator, examiner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to the Administrative Agent under </w:t>
      </w:r>
      <w:r>
        <w:rPr>
          <w:rFonts w:ascii="Times New Roman;Times;Serif" w:hAnsi="Times New Roman;Times;Serif"/>
          <w:b/>
          <w:i w:val="false"/>
          <w:caps w:val="false"/>
          <w:smallCaps w:val="false"/>
          <w:sz w:val="20"/>
        </w:rPr>
        <w:t>Section 14.03</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12.13 Acknowledgements of Lenders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Administrative Agent notifies a Lender, or any Person who has received funds on behalf of a Lender (any such Lender or other recipient, a “</w:t>
      </w:r>
      <w:r>
        <w:rPr>
          <w:rFonts w:ascii="Times New Roman;Times;Serif" w:hAnsi="Times New Roman;Times;Serif"/>
          <w:b/>
          <w:i/>
          <w:caps w:val="false"/>
          <w:smallCaps w:val="false"/>
          <w:sz w:val="20"/>
        </w:rPr>
        <w:t>Payment Recipient</w:t>
      </w:r>
      <w:r>
        <w:rPr>
          <w:rFonts w:ascii="Times New Roman;Times;Serif" w:hAnsi="Times New Roman;Times;Serif"/>
          <w:b w:val="false"/>
          <w:i w:val="false"/>
          <w:caps w:val="false"/>
          <w:smallCaps w:val="false"/>
          <w:sz w:val="20"/>
        </w:rPr>
        <w:t>”), that the Administrative Agent has determined in its sole discretion (whether or not after receipt of any notice under immediately succeeding clause (b)) that any funds received by such Payment Recipient from the Administrative Agent or any of its Affiliates were erroneously transmitted to, or otherwise erroneously or mistakenly received by, such Payment Recipient (whether or not known to such Lender or other Payment Recipient on its behalf) (any such funds, whether transmitted or received as a payment, prepayment or repayment of principal, interest, fees, distribution or otherwise, individually and collectively, an “</w:t>
      </w:r>
      <w:r>
        <w:rPr>
          <w:rFonts w:ascii="Times New Roman;Times;Serif" w:hAnsi="Times New Roman;Times;Serif"/>
          <w:b/>
          <w:i/>
          <w:caps w:val="false"/>
          <w:smallCaps w:val="false"/>
          <w:sz w:val="20"/>
        </w:rPr>
        <w:t>Erroneous Payment</w:t>
      </w:r>
      <w:r>
        <w:rPr>
          <w:rFonts w:ascii="Times New Roman;Times;Serif" w:hAnsi="Times New Roman;Times;Serif"/>
          <w:b w:val="false"/>
          <w:i w:val="false"/>
          <w:caps w:val="false"/>
          <w:smallCaps w:val="false"/>
          <w:sz w:val="20"/>
        </w:rPr>
        <w:t xml:space="preserve">”) and demands in writing the return of such Erroneous Payment (or a portion thereof), such Erroneous Payment shall at all times remain the property of the Administrative Agent pending its return or repayment as contemplated below in this </w:t>
      </w:r>
      <w:r>
        <w:rPr>
          <w:rFonts w:ascii="Times New Roman;Times;Serif" w:hAnsi="Times New Roman;Times;Serif"/>
          <w:b/>
          <w:i w:val="false"/>
          <w:caps w:val="false"/>
          <w:smallCaps w:val="false"/>
          <w:sz w:val="20"/>
        </w:rPr>
        <w:t>Section 12.13</w:t>
      </w:r>
      <w:r>
        <w:rPr>
          <w:rFonts w:ascii="Times New Roman;Times;Serif" w:hAnsi="Times New Roman;Times;Serif"/>
          <w:b w:val="false"/>
          <w:i w:val="false"/>
          <w:caps w:val="false"/>
          <w:smallCaps w:val="false"/>
          <w:sz w:val="20"/>
        </w:rPr>
        <w:t xml:space="preserve"> and held in trust for the benefit of the Administrative Agent, and such Lender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its sole discretion)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limiting immediately preceding clause (a), each Payment Recipient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(a “</w:t>
      </w:r>
      <w:r>
        <w:rPr>
          <w:rFonts w:ascii="Times New Roman;Times;Serif" w:hAnsi="Times New Roman;Times;Serif"/>
          <w:b/>
          <w:i/>
          <w:caps w:val="false"/>
          <w:smallCaps w:val="false"/>
          <w:sz w:val="20"/>
        </w:rPr>
        <w:t>Payment Notice</w:t>
      </w:r>
      <w:r>
        <w:rPr>
          <w:rFonts w:ascii="Times New Roman;Times;Serif" w:hAnsi="Times New Roman;Times;Serif"/>
          <w:b w:val="false"/>
          <w:i w:val="false"/>
          <w:caps w:val="false"/>
          <w:smallCaps w:val="false"/>
          <w:sz w:val="20"/>
        </w:rPr>
        <w:t xml:space="preserve">”), (y) that was not preceded or accompanied by a Payment Notice, or (z) that such Payment Recipient otherwise becomes aware was transmitted, or received, in error or by mistake (in whole or in part), then in each such case: (i) it acknowledges and agrees that (A) in the case of immediately preceding clauses (x) or (y), an error and mistake shall be presumed to have been made (absent written confirmation from the Administrative Agent to the contrary) or (B) an error and mistake has been made (in the case of immediately preceding clause (z)), in each case, with respect to such payment, prepayment or repayment; and (ii) such Payment Recipient shall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w:t>
      </w:r>
      <w:r>
        <w:rPr>
          <w:rFonts w:ascii="Times New Roman;Times;Serif" w:hAnsi="Times New Roman;Times;Serif"/>
          <w:b/>
          <w:i w:val="false"/>
          <w:caps w:val="false"/>
          <w:smallCaps w:val="false"/>
          <w:sz w:val="20"/>
        </w:rPr>
        <w:t>Section 12.13(b)(ii)</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Lender hereby authorizes the Administrative Agent to set off, net and apply any and all amounts at any time owing to such Lender under any Loan Document, or otherwise payable or distributable by the Administrative Agent to such Lender under any Loan Document with respect to any payment of principal, interest, fees or other amounts, against any amount that the Administrative Agent has demanded to be returned under the preceding </w:t>
      </w:r>
      <w:r>
        <w:rPr>
          <w:rFonts w:ascii="Times New Roman;Times;Serif" w:hAnsi="Times New Roman;Times;Serif"/>
          <w:b/>
          <w:i w:val="false"/>
          <w:caps w:val="false"/>
          <w:smallCaps w:val="false"/>
          <w:sz w:val="20"/>
        </w:rPr>
        <w:t>clause (a)</w:t>
      </w:r>
      <w:r>
        <w:rPr>
          <w:rFonts w:ascii="Times New Roman;Times;Serif" w:hAnsi="Times New Roman;Times;Serif"/>
          <w:b w:val="false"/>
          <w:i w:val="false"/>
          <w:caps w:val="false"/>
          <w:smallCaps w:val="false"/>
          <w:sz w:val="20"/>
        </w:rPr>
        <w:t xml:space="preserve"> above.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that an Erroneous Payment (or portion thereof) is not recovered by the Administrative Agent for any reason, after demand therefor by the Administrative Agent in accordance with the preceding clause (a) above, from any Lender that has received such Erroneous Payment (or portion thereof) (and/or from any Payment Recipient who received such Erroneous Payment (or portion thereof) on its respective behalf) (such unrecovered amount, an “</w:t>
      </w:r>
      <w:r>
        <w:rPr>
          <w:rFonts w:ascii="Times New Roman;Times;Serif" w:hAnsi="Times New Roman;Times;Serif"/>
          <w:b/>
          <w:i/>
          <w:caps w:val="false"/>
          <w:smallCaps w:val="false"/>
          <w:sz w:val="20"/>
        </w:rPr>
        <w:t>Erroneous Payment Return Deficiency</w:t>
      </w:r>
      <w:r>
        <w:rPr>
          <w:rFonts w:ascii="Times New Roman;Times;Serif" w:hAnsi="Times New Roman;Times;Serif"/>
          <w:b w:val="false"/>
          <w:i w:val="false"/>
          <w:caps w:val="false"/>
          <w:smallCaps w:val="false"/>
          <w:sz w:val="20"/>
        </w:rPr>
        <w:t>”), upon the Administrative Agent’s notice to such Lender at any time, then effective immediately (with the consideration therefor being acknowledged by the parties hereto), (i) such Lender shall be deemed to have assigned its Loans (but not its Commitments) with respect to which such Erroneous Payment was made (the “</w:t>
      </w:r>
      <w:r>
        <w:rPr>
          <w:rFonts w:ascii="Times New Roman;Times;Serif" w:hAnsi="Times New Roman;Times;Serif"/>
          <w:b/>
          <w:i/>
          <w:caps w:val="false"/>
          <w:smallCaps w:val="false"/>
          <w:sz w:val="20"/>
        </w:rPr>
        <w:t>Erroneous Payment Impacted Loans</w:t>
      </w:r>
      <w:r>
        <w:rPr>
          <w:rFonts w:ascii="Times New Roman;Times;Serif" w:hAnsi="Times New Roman;Times;Serif"/>
          <w:b w:val="false"/>
          <w:i w:val="false"/>
          <w:caps w:val="false"/>
          <w:smallCaps w:val="false"/>
          <w:sz w:val="20"/>
        </w:rPr>
        <w:t>”) in an amount equal to the Erroneous Payment Return Deficiency (or such lesser amount as the Administrative Agent may specify) (such assignment of the Loans (but not Commitments) of the Erroneous Payment Impacted Loans, the “</w:t>
      </w:r>
      <w:r>
        <w:rPr>
          <w:rFonts w:ascii="Times New Roman;Times;Serif" w:hAnsi="Times New Roman;Times;Serif"/>
          <w:b/>
          <w:i/>
          <w:caps w:val="false"/>
          <w:smallCaps w:val="false"/>
          <w:sz w:val="20"/>
        </w:rPr>
        <w:t>Erroneous Payment Deficiency Assignment</w:t>
      </w:r>
      <w:r>
        <w:rPr>
          <w:rFonts w:ascii="Times New Roman;Times;Serif" w:hAnsi="Times New Roman;Times;Serif"/>
          <w:b w:val="false"/>
          <w:i w:val="false"/>
          <w:caps w:val="false"/>
          <w:smallCaps w:val="false"/>
          <w:sz w:val="20"/>
        </w:rPr>
        <w:t xml:space="preserve">”) (on a cashless basis and such amount calculated at par plus any accrued and unpaid interest (with the assignment fee to be waived by the Administrative Agent in such instance)), and is hereby (together with the Borrower) deemed to execute and deliver an Assignment and Assumption with respect to such Erroneous Payment Deficiency Assignment, and such Lender shall deliver any Notes evidencing such Loans to the Borrower or the Administrative Agent (but the failure of such Person to deliver any such notes shall not affect the effectiveness of the foregoing assignment), (ii) the Administrative Agent as the assignee Lender shall be deemed to have acquired the Erroneous Payment Deficiency Assignment, (iii) upon such deemed acquisition, the Administrative Agent as the assignee Lender shall become a Lender, as applicable, hereunder with respect to such Erroneous Payment Deficiency Assignment and the assigning Lender shall cease to be a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(iv) the Administrative Agent and the Borrower shall each be deemed to have waived any consents required under this Agreement to any such Erroneous Payment Deficiency Assignment, and (v) the Administrative Agent will reflect in the Register its ownership interest in the Loans subject to the Erroneous Payment Deficiency Assignment. Subject to </w:t>
      </w:r>
      <w:r>
        <w:rPr>
          <w:rFonts w:ascii="Times New Roman;Times;Serif" w:hAnsi="Times New Roman;Times;Serif"/>
          <w:b/>
          <w:i w:val="false"/>
          <w:caps w:val="false"/>
          <w:smallCaps w:val="false"/>
          <w:sz w:val="20"/>
        </w:rPr>
        <w:t>Section 14.05</w:t>
      </w:r>
      <w:r>
        <w:rPr>
          <w:rFonts w:ascii="Times New Roman;Times;Serif" w:hAnsi="Times New Roman;Times;Serif"/>
          <w:b w:val="false"/>
          <w:i w:val="false"/>
          <w:caps w:val="false"/>
          <w:smallCaps w:val="false"/>
          <w:sz w:val="20"/>
        </w:rPr>
        <w:t>, (but excluding, in all events, any assignment consent or approval requirements (whether from the Borrower or otherwise)),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For the avoidance of doubt, no Erroneous Payment Deficiency Assignment will reduce the Commitments of any Lender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under the Loan Documents with respect to each Erroneous Payment Return Deficiency (the “</w:t>
      </w:r>
      <w:r>
        <w:rPr>
          <w:rFonts w:ascii="Times New Roman;Times;Serif" w:hAnsi="Times New Roman;Times;Serif"/>
          <w:b/>
          <w:i/>
          <w:caps w:val="false"/>
          <w:smallCaps w:val="false"/>
          <w:sz w:val="20"/>
        </w:rPr>
        <w:t>Erroneous Payment Subrogation Rights</w:t>
      </w:r>
      <w:r>
        <w:rPr>
          <w:rFonts w:ascii="Times New Roman;Times;Serif" w:hAnsi="Times New Roman;Times;Serif"/>
          <w:b w:val="false"/>
          <w:i w:val="false"/>
          <w:caps w:val="false"/>
          <w:smallCaps w:val="false"/>
          <w:sz w:val="20"/>
        </w:rPr>
        <w:t>”) (provided, that the Obligors’ Obligations under the Loan Documents in respect of the Erroneous Payment Subrogation Rights shall not be duplicative of such Obligations in respect of Loans that have been assigned to the Administrative Agent under an Erroneous Payment Deficiency Assignment).</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parties hereto agree that an Erroneous Payment shall not pay, prepay, repay, discharge or otherwise satisfy any Obligations owed by the Borrower or any other Obligor; provided, that this </w:t>
      </w:r>
      <w:r>
        <w:rPr>
          <w:rFonts w:ascii="Times New Roman;Times;Serif" w:hAnsi="Times New Roman;Times;Serif"/>
          <w:b/>
          <w:i w:val="false"/>
          <w:caps w:val="false"/>
          <w:smallCaps w:val="false"/>
          <w:sz w:val="20"/>
        </w:rPr>
        <w:t>Section 12.13</w:t>
      </w:r>
      <w:r>
        <w:rPr>
          <w:rFonts w:ascii="Times New Roman;Times;Serif" w:hAnsi="Times New Roman;Times;Serif"/>
          <w:b w:val="false"/>
          <w:i w:val="false"/>
          <w:caps w:val="false"/>
          <w:smallCaps w:val="false"/>
          <w:sz w:val="20"/>
        </w:rPr>
        <w:t xml:space="preserve">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provided, further, that for the avoidance of doubt, the last sentence of clause (d) above and this </w:t>
      </w:r>
      <w:r>
        <w:rPr>
          <w:rFonts w:ascii="Times New Roman;Times;Serif" w:hAnsi="Times New Roman;Times;Serif"/>
          <w:b/>
          <w:i w:val="false"/>
          <w:caps w:val="false"/>
          <w:smallCaps w:val="false"/>
          <w:sz w:val="20"/>
        </w:rPr>
        <w:t>clause (e)</w:t>
      </w:r>
      <w:r>
        <w:rPr>
          <w:rFonts w:ascii="Times New Roman;Times;Serif" w:hAnsi="Times New Roman;Times;Serif"/>
          <w:b w:val="false"/>
          <w:i w:val="false"/>
          <w:caps w:val="false"/>
          <w:smallCaps w:val="false"/>
          <w:sz w:val="20"/>
        </w:rPr>
        <w:t xml:space="preserve"> shall not apply to the extent such Erroneous Payment is, and solely with respect to the amount of such Erroneous Payment that is, comprised of funds received by the Administrative Agent from the Borrower or any other Obligor for the purpose of making such Erroneous Payment.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Each party’s obligations, agreements and waivers under this </w:t>
      </w:r>
      <w:r>
        <w:rPr>
          <w:rFonts w:ascii="Times New Roman;Times;Serif" w:hAnsi="Times New Roman;Times;Serif"/>
          <w:b/>
          <w:i w:val="false"/>
          <w:caps w:val="false"/>
          <w:smallCaps w:val="false"/>
          <w:sz w:val="20"/>
        </w:rPr>
        <w:t>Section 12.13(g)</w:t>
      </w:r>
      <w:r>
        <w:rPr>
          <w:rFonts w:ascii="Times New Roman;Times;Serif" w:hAnsi="Times New Roman;Times;Serif"/>
          <w:b w:val="false"/>
          <w:i w:val="false"/>
          <w:caps w:val="false"/>
          <w:smallCaps w:val="false"/>
          <w:sz w:val="20"/>
        </w:rPr>
        <w:t xml:space="preserve"> shall survive the resignation or replacement of the Administrative Agent, any transfer of rights or obligations by, or the replacement of, a Lender, the termination of the Commitments and/or the repayment, satisfaction or discharge of all Obligations (or any portion thereof) under any Loan Document.</w:t>
      </w:r>
    </w:p>
    <w:p>
      <w:pPr>
        <w:pStyle w:val="TextBody"/>
        <w:bidi w:val="0"/>
        <w:ind w:left="0" w:right="0" w:firstLine="720"/>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Section 13.</w:t>
      </w:r>
      <w:r>
        <w:rPr>
          <w:rFonts w:ascii="Times New Roman;Times;Serif" w:hAnsi="Times New Roman;Times;Serif"/>
          <w:b/>
          <w:i w:val="false"/>
          <w:caps w:val="false"/>
          <w:smallCaps w:val="false"/>
          <w:sz w:val="20"/>
        </w:rPr>
        <w:br/>
        <w:t>GUARANTY</w:t>
      </w:r>
    </w:p>
    <w:p>
      <w:pPr>
        <w:pStyle w:val="TextBody"/>
        <w:bidi w:val="0"/>
        <w:ind w:left="0" w:right="0" w:hanging="0"/>
        <w:jc w:val="center"/>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13.01 The Guaranty</w:t>
      </w:r>
      <w:r>
        <w:rPr>
          <w:rFonts w:ascii="Times New Roman;Times;Serif" w:hAnsi="Times New Roman;Times;Serif"/>
          <w:b w:val="false"/>
          <w:i w:val="false"/>
          <w:caps w:val="false"/>
          <w:smallCaps w:val="false"/>
          <w:sz w:val="20"/>
        </w:rPr>
        <w:t>. The Guarantors hereby unconditionally jointly and severally guarantee to the Administrative Agent and the Lenders, and their successors and assigns, the full and punctual payment in full or performance (whether at stated maturity, by acceleration or otherwise) of the Obligations, including (i) principal of and interest on the Loans, (ii) all fees and other amounts and Obligations from time to time owing to the Administrative Agent and the Lenders by the Borrower and each other Obligor under this Agreement or under any other Loan Document, in each case strictly in accordance with the terms hereof and thereof and (iii) the punctual and faithful performance, keeping, observance and fulfillment by the Borrower and Guarantors of all the agreements, conditions, covenants and obligations of the Borrower and Guarantors contained in the Loan Documents (such obligations being herein collectively called the “</w:t>
      </w:r>
      <w:r>
        <w:rPr>
          <w:rFonts w:ascii="Times New Roman;Times;Serif" w:hAnsi="Times New Roman;Times;Serif"/>
          <w:b/>
          <w:i/>
          <w:caps w:val="false"/>
          <w:smallCaps w:val="false"/>
          <w:sz w:val="20"/>
        </w:rPr>
        <w:t>Guaranteed Obligations</w:t>
      </w:r>
      <w:r>
        <w:rPr>
          <w:rFonts w:ascii="Times New Roman;Times;Serif" w:hAnsi="Times New Roman;Times;Serif"/>
          <w:b w:val="false"/>
          <w:i w:val="false"/>
          <w:caps w:val="false"/>
          <w:smallCaps w:val="false"/>
          <w:sz w:val="20"/>
        </w:rPr>
        <w:t>”). The Guarantors hereby further jointly and severally agree that if the Borrower or any other Obligor shall fail to pay any amount in full when due or perform any such obligation (whether at stated maturity, by acceleration or otherwise), the Guarantors will promptly pay the same or perform such obligation at the place and in the manner specified herein or in the relevant Loan Document, as the case may be, without any demand or notice whatsoever, and that in the case of any extension of time of payment or performance or renewal of any of the Guaranteed Obligations, the same will be promptly paid in full or performed when due (whether at extended maturity, by acceleration or otherwise) in accordance with the terms of such extension or renewal.</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13.02 Obligations Unconditional</w:t>
      </w:r>
      <w:r>
        <w:rPr>
          <w:rFonts w:ascii="Times New Roman;Times;Serif" w:hAnsi="Times New Roman;Times;Serif"/>
          <w:b w:val="false"/>
          <w:i w:val="false"/>
          <w:caps w:val="false"/>
          <w:smallCaps w:val="false"/>
          <w:sz w:val="20"/>
        </w:rPr>
        <w:t xml:space="preserve">. The obligations of the Guarantors under </w:t>
      </w:r>
      <w:r>
        <w:rPr>
          <w:rFonts w:ascii="Times New Roman;Times;Serif" w:hAnsi="Times New Roman;Times;Serif"/>
          <w:b/>
          <w:i w:val="false"/>
          <w:caps w:val="false"/>
          <w:smallCaps w:val="false"/>
          <w:sz w:val="20"/>
        </w:rPr>
        <w:t xml:space="preserve">Section 13.01 </w:t>
      </w:r>
      <w:r>
        <w:rPr>
          <w:rFonts w:ascii="Times New Roman;Times;Serif" w:hAnsi="Times New Roman;Times;Serif"/>
          <w:b w:val="false"/>
          <w:i w:val="false"/>
          <w:caps w:val="false"/>
          <w:smallCaps w:val="false"/>
          <w:sz w:val="20"/>
        </w:rPr>
        <w:t xml:space="preserve">shall constitute a guaranty of payment and performance and not of collection and are absolute and unconditional, joint and several, irrespective of the value, genuineness, validity, regularity or enforceability of the Guaranteed Obligations under this Agreement or any other agreement or instrument referred to herein, or any substitution, release or exchange of any other guarantee of or security for any of the Guaranteed Obligations, and, to the fullest extent permitted by all applicable Laws, irrespective of any other circumstance whatsoever that might otherwise constitute a legal or equitable discharge or defense of a surety or guarantor, it being the intent of this </w:t>
      </w:r>
      <w:r>
        <w:rPr>
          <w:rFonts w:ascii="Times New Roman;Times;Serif" w:hAnsi="Times New Roman;Times;Serif"/>
          <w:b/>
          <w:i w:val="false"/>
          <w:caps w:val="false"/>
          <w:smallCaps w:val="false"/>
          <w:sz w:val="20"/>
        </w:rPr>
        <w:t>Section 13.02</w:t>
      </w:r>
      <w:r>
        <w:rPr>
          <w:rFonts w:ascii="Times New Roman;Times;Serif" w:hAnsi="Times New Roman;Times;Serif"/>
          <w:b w:val="false"/>
          <w:i w:val="false"/>
          <w:caps w:val="false"/>
          <w:smallCaps w:val="false"/>
          <w:sz w:val="20"/>
        </w:rPr>
        <w:t xml:space="preserve"> that the obligations of the Guarantors hereunder shall be absolute and unconditional, joint and several, under any and all circumstances. Without limiting the generality of the foregoing, it is agreed that the occurrence of any one or more of the following shall not alter or impair the liability of the Guarantors hereunder, which shall remain absolute and unconditional as described above: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any time or from time to time, without notice to the Guarantors, the time for any performance of or compliance with any of the Guaranteed Obligations shall be extended, or such performance or compliance shall be waived;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of the acts mentioned in any of the provisions of this Agreement or any other agreement or instrument referred to herein shall be done or omitted;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maturity of any of the Guaranteed Obligations shall be accelerated, or any of the Guaranteed Obligations shall be extended, modified, supplemented or amended in any respect, or any right under this Agreement or any other agreement or instrument referred to herein shall be waived or any other guarantee of any of the Guaranteed Obligations or any security therefor shall be released or exchanged in whole or in part or otherwise dealt with;</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lien or security interest granted to, or in favor of, the Secured Parties as security for any of the Guaranteed Obligations shall fail to be perfected or preserved;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modification or amendment of or supplement to this Agreement or any other Loan Document, including any such amendment which may increase the amount of, or the interest rates applicable to, any of the Guaranteed Obligations guaranteed hereby;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change in the corporate, partnership, limited liability company or other existence, structure or ownership of the Borrower, any Guarantor or any other guarantor of any of the Guaranteed Obligations, or any Insolvency Proceeding or other similar proceeding affecting the Borrower, any Guarantor or any other guarantor of the Guaranteed Obligations, or any of their respective assets, or any resulting release or discharge of any obligation of the Borrower, any Guarantor or any other guarantor of any of the Guaranteed Obligations;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existence of any claim, setoff or other rights which any Guarantor may have at any time against the Borrower, any other Guarantor or any other guarantor of any of the Guaranteed Obligations, the Administrative Agent, any Secured Party or any other Person, whether in connection herewith or in connection with any unrelated transactions;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any other provisions in this Guaranty, nothing in this Guaranty shall prevent the assertion of any such claim by separate suit or compulsory counterclaim;</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unenforceability or invalidity of the Guaranteed Obligations or any part thereof or the lack of genuineness, enforceability or validity of any agreement relating thereto or with respect to the Collateral, if any, securing the Guaranteed Obligations or any part thereof, or any other invalidity or unenforceability relating to or against the Borrower, any Guarantor or any other guarantor of any of the Guaranteed Obligations, for any reason, related to this Agreement or any other Loan Document, or any provision of applicable Law, decree, order or regulation of any jurisdiction purporting to prohibit the payment of any of the Guaranteed Obligations by the Borrower, any Guarantor or any other guarantor of the Guaranteed Obligations;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disallowance, under any state or federal bankruptcy, insolvency or similar law, of all or any portion of the claims of the Secured Parties or the Administrative Agent for repayment of all or any part of the Guaranteed Obligations;</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failure of any other guarantor to sign or become party to this Agreement or any amendment, change, or reaffirmation hereof;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any release, surrender, compromise, settlement, waiver, subordination or modification, with or without consideration, of any Collateral securing the Guaranteed Obligations or any part thereof, any other guaranties with respect to the Guaranteed Obligations or any part thereof, or any other obligation of any person or entity with respect to the Guaranteed Obligations or any part thereof, or any nonperfection or invalidity of any direct or indirect security for the Guaranteed Obligations; or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any other act or omission to act or delay of any kind by the Borrower, such Guarantor, any other guarantor of the Guaranteed Obligations, the Administrative Agent, any Secured Party or any other Person or any other circumstance whatsoever which might, but for the provisions of this </w:t>
      </w:r>
      <w:r>
        <w:rPr>
          <w:rFonts w:ascii="Times New Roman;Times;Serif" w:hAnsi="Times New Roman;Times;Serif"/>
          <w:b/>
          <w:i w:val="false"/>
          <w:caps w:val="false"/>
          <w:smallCaps w:val="false"/>
          <w:sz w:val="20"/>
        </w:rPr>
        <w:t>Section 13.02</w:t>
      </w:r>
      <w:r>
        <w:rPr>
          <w:rFonts w:ascii="Times New Roman;Times;Serif" w:hAnsi="Times New Roman;Times;Serif"/>
          <w:b w:val="false"/>
          <w:i w:val="false"/>
          <w:caps w:val="false"/>
          <w:smallCaps w:val="false"/>
          <w:sz w:val="20"/>
        </w:rPr>
        <w:t>, constitute a legal or equitable discharge of any Guarantor’s obligations hereunder.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Guarantors hereby expressly waive diligence, presentment, demand of payment, protest and all notices whatsoever, and any requirement that the Administrative Agent or any Lender exhaust any right, power or remedy or proceed against the Borrower or any other Guarantor under this Agreement or any other agreement or instrument referred to herein, or against any other Person under any other guarantee of, or security for, any of the Guaranteed Obligations.</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13.03 Discharge Only Upon Payment in Full.</w:t>
      </w:r>
      <w:r>
        <w:rPr>
          <w:rFonts w:ascii="Times New Roman;Times;Serif" w:hAnsi="Times New Roman;Times;Serif"/>
          <w:b w:val="false"/>
          <w:i w:val="false"/>
          <w:caps w:val="false"/>
          <w:smallCaps w:val="false"/>
          <w:sz w:val="20"/>
        </w:rPr>
        <w:t xml:space="preserve"> Subject to any prior release herefrom of any Guarantor by the Administrative Agent in accordance with (and pursuant to authority granted to the Administrative Agent under) the terms of this Agreement, each Guarantor’s obligations hereunder shall remain in full force and effect until all of the Guaranteed Obligations shall have been paid in full in cash (other than inchoate indemnification obligations for which no claim has been made), the Administrative Agent has received duly executed copies of all Warrants (if any) and all other financing arrangements among the Borrower or any Guarantor and the Secured Parties under or in connection with this Agreement and each other Loan Document shall have terminated (herein, the “</w:t>
      </w:r>
      <w:r>
        <w:rPr>
          <w:rFonts w:ascii="Times New Roman;Times;Serif" w:hAnsi="Times New Roman;Times;Serif"/>
          <w:b/>
          <w:i/>
          <w:caps w:val="false"/>
          <w:smallCaps w:val="false"/>
          <w:sz w:val="20"/>
        </w:rPr>
        <w:t>Termination Conditions</w:t>
      </w:r>
      <w:r>
        <w:rPr>
          <w:rFonts w:ascii="Times New Roman;Times;Serif" w:hAnsi="Times New Roman;Times;Serif"/>
          <w:b w:val="false"/>
          <w:i w:val="false"/>
          <w:caps w:val="false"/>
          <w:smallCaps w:val="false"/>
          <w:sz w:val="20"/>
        </w:rPr>
        <w:t xml:space="preserve">”), and until the prior and complete satisfaction of the Termination Conditions all of the rights and remedies under this Guaranty and the other Loan Documents shall survive. Notwithstanding the foregoing, the Administrative Agent hereby agrees to release any Subsidiary of the Borrower from its guaranty of any Obligation of any Obligor if all of the Equity Interests in such Subsidiary owned by any Obligor or any of its Subsidiaries are disposed of as a result of a transaction permitted under and in accordance with the Loan Documents (including pursuant to a waiver or consent), to the extent that, after giving effect to such transaction, such Subsidiary would not be required to guarantee any Obligations pursuant to </w:t>
      </w:r>
      <w:r>
        <w:rPr>
          <w:rFonts w:ascii="Times New Roman;Times;Serif" w:hAnsi="Times New Roman;Times;Serif"/>
          <w:b/>
          <w:i w:val="false"/>
          <w:caps w:val="false"/>
          <w:smallCaps w:val="false"/>
          <w:sz w:val="20"/>
        </w:rPr>
        <w:t>Section 8.12(a)</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13.04 Additional Waivers; General Waivers.</w:t>
      </w:r>
    </w:p>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 xml:space="preserve">Additional Waivers. </w:t>
      </w:r>
      <w:r>
        <w:rPr>
          <w:rFonts w:ascii="Times New Roman;Times;Serif" w:hAnsi="Times New Roman;Times;Serif"/>
          <w:b w:val="false"/>
          <w:i w:val="false"/>
          <w:caps w:val="false"/>
          <w:smallCaps w:val="false"/>
          <w:sz w:val="20"/>
        </w:rPr>
        <w:t>Notwithstanding anything herein to the contrary, each of the Guarantors hereby absolutely, unconditionally, knowingly, and expressly waives:</w:t>
      </w:r>
    </w:p>
    <w:p>
      <w:pPr>
        <w:pStyle w:val="TextBody"/>
        <w:bidi w:val="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right it may have to revoke this Guaranty as to future indebtedness or notice of acceptance hereof;</w:t>
      </w:r>
    </w:p>
    <w:p>
      <w:pPr>
        <w:pStyle w:val="TextBody"/>
        <w:bidi w:val="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notice of acceptance hereof; (B) notice of any other financial accommodations made or maintained under the Loan Documents or the creation or existence of any Guaranteed Obligations; (C) notice of the amount of the Guaranteed Obligations, subject, however, to each Guarantor’s right to make inquiry of the Administrative Agent and the Secured Parties to ascertain the amount of the Guaranteed Obligations at any reasonable time; (D) notice of any adverse change in the financial condition of the Borrower or of any other fact that might increase such Guarantor’s risk hereunder; (E) notice of presentment for payment, demand, protest, and notice thereof as to any instruments among the Loan Documents; (F) notice of any Event of Default; and (G) all other notices (except if such notice is specifically required to be given to such Guarantor under this Guaranty or under the other Loan Documents) and demands to which each Guarantor might otherwise be entitled;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its right, if any, to require the Administrative Agent and the Secured Parties to institute suit against, or to exhaust any rights and remedies which the Administrative Agent and the Secured Parties now have or may hereafter have against, any other guarantor of the Guaranteed Obligations or any third party, or against any Collateral provided by such other guarantors or any third party; and each Guarantor further waives any defense arising by reason of any disability or other defense (other than the defense that the Guaranteed Obligations shall have been fully and finally performed and indefeasibly paid) of any other guarantor of the Guaranteed Obligations or by reason of the cessation from any cause whatsoever of the liability of any other guarantor of the Guaranteed Obligations in respect thereof;</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any rights to assert against the Administrative Agent and the Secured Parties any defense (legal or equitable), set-off, counterclaim, or claim which such Guarantor may now or at any time hereafter have against any other guarantor of the Guaranteed Obligations or any third party liable to the Administrative Agent and the Secured Parties; (B) any defense, set-off, counterclaim or claim, of any kind or nature, arising directly or indirectly from the present or future lack of perfection, sufficiency, validity or enforceability of the Guaranteed Obligations or any security therefor; (C) any defense such Guarantor has to performance hereunder, and any right such Guarantor has to be exonerated, arising by reason of: (1) the impairment or suspension of the Administrative Agent’s and the Secured Parties’ rights or remedies against any other guarantor of the Guaranteed Obligations; (2) the alteration by the Administrative Agent and the Secured Parties of the Guaranteed Obligations; (3) any discharge of the obligations of any other guarantor of the Guaranteed Obligations to the Administrative Agent and the Secured Parties by operation of law as a result of the Administrative Agent’s and the Secured Parties’ intervention or omission; or (4) the acceptance by the Administrative Agent and the Secured Parties of anything in partial satisfaction of the Guaranteed Obligations; and (D) the benefit of any statute of limitations affecting such Guarantor’s liability hereunder or the enforcement thereof, and any act which shall defer or delay the operation of any statute of limitations applicable to the Guaranteed Obligations shall similarly operate to defer or delay the operation of such statute of limitations applicable to such Guarantor’s liability hereunder; and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defense arising by reason of or deriving from (A) any claim or defense based upon an election of remedies by the Administrative Agent and the other Secured Parties; or (B) any election by the Administrative Agent and the other Secured Parties under any provision of any state or federal bankruptcy, insolvency or similar law to limit the amount of, or any Collateral securing, its claim against the Guarantors.</w:t>
      </w:r>
    </w:p>
    <w:p>
      <w:pPr>
        <w:pStyle w:val="TextBody"/>
        <w:bidi w:val="0"/>
        <w:ind w:left="0" w:right="0" w:firstLine="144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General Waivers</w:t>
      </w:r>
      <w:r>
        <w:rPr>
          <w:rFonts w:ascii="Times New Roman;Times;Serif" w:hAnsi="Times New Roman;Times;Serif"/>
          <w:b w:val="false"/>
          <w:i w:val="false"/>
          <w:caps w:val="false"/>
          <w:smallCaps w:val="false"/>
          <w:sz w:val="20"/>
        </w:rPr>
        <w:t>. Each Guarantor irrevocably waives, to the fullest extent permitted by law, any notice not provided for herein.</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13.05 Reinstatement</w:t>
      </w:r>
      <w:r>
        <w:rPr>
          <w:rFonts w:ascii="Times New Roman;Times;Serif" w:hAnsi="Times New Roman;Times;Serif"/>
          <w:b w:val="false"/>
          <w:i w:val="false"/>
          <w:caps w:val="false"/>
          <w:smallCaps w:val="false"/>
          <w:sz w:val="20"/>
        </w:rPr>
        <w:t xml:space="preserve">. The obligations of the Guarantors under this </w:t>
      </w:r>
      <w:r>
        <w:rPr>
          <w:rFonts w:ascii="Times New Roman;Times;Serif" w:hAnsi="Times New Roman;Times;Serif"/>
          <w:b/>
          <w:i w:val="false"/>
          <w:caps w:val="false"/>
          <w:smallCaps w:val="false"/>
          <w:sz w:val="20"/>
        </w:rPr>
        <w:t>Section 13</w:t>
      </w:r>
      <w:r>
        <w:rPr>
          <w:rFonts w:ascii="Times New Roman;Times;Serif" w:hAnsi="Times New Roman;Times;Serif"/>
          <w:b w:val="false"/>
          <w:i w:val="false"/>
          <w:caps w:val="false"/>
          <w:smallCaps w:val="false"/>
          <w:sz w:val="20"/>
        </w:rPr>
        <w:t xml:space="preserve"> shall be automatically reinstated if and to the extent that for any reason any payment by or on behalf of the Borrower in respect of the Guaranteed Obligations is at any time rescinded, annulled, avoided, set aside, invalidated, declared to be fraudulent or must be otherwise restored or repaid by any holder of any of the Guaranteed Obligations, whether as a result of any proceedings in bankruptcy or reorganization, equitable cause or otherwise, and the Guarantors jointly and severally agree that they will indemnify the Secured Parties on demand for all reasonable costs and expenses (including fees of counsel) incurred by such Persons in connection with such rescission, repayment or restoration, including any such costs and expenses incurred in defending against any claim alleging that such payment constituted a preference, fraudulent transfer or similar payment under any state or federal bankruptcy, insolvency or similar law. The provisions of this </w:t>
      </w:r>
      <w:r>
        <w:rPr>
          <w:rFonts w:ascii="Times New Roman;Times;Serif" w:hAnsi="Times New Roman;Times;Serif"/>
          <w:b/>
          <w:i w:val="false"/>
          <w:caps w:val="false"/>
          <w:smallCaps w:val="false"/>
          <w:sz w:val="20"/>
        </w:rPr>
        <w:t>Section 13.05</w:t>
      </w:r>
      <w:r>
        <w:rPr>
          <w:rFonts w:ascii="Times New Roman;Times;Serif" w:hAnsi="Times New Roman;Times;Serif"/>
          <w:b w:val="false"/>
          <w:i w:val="false"/>
          <w:caps w:val="false"/>
          <w:smallCaps w:val="false"/>
          <w:sz w:val="20"/>
        </w:rPr>
        <w:t xml:space="preserve"> shall survive termination of this Guaranty.</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13.06 Subrogation</w:t>
      </w:r>
      <w:r>
        <w:rPr>
          <w:rFonts w:ascii="Times New Roman;Times;Serif" w:hAnsi="Times New Roman;Times;Serif"/>
          <w:b w:val="false"/>
          <w:i w:val="false"/>
          <w:caps w:val="false"/>
          <w:smallCaps w:val="false"/>
          <w:sz w:val="20"/>
        </w:rPr>
        <w:t xml:space="preserve">. The Guarantors hereby jointly and severally agree that, until the prior and complete satisfaction of all Termination Conditions, they (i) shall have no right of subrogation with respect to the Guaranteed Obligations and (ii) waive any right to enforce any remedy which the Secured Parties or the Administrative Agent now have or may hereafter have against the Borrower, any endorser or any other guarantor of all or any part of the Guaranteed Obligations or any other Person, and each Guarantor waives any benefit of, and any right to participate in, any security or Collateral that may from time to time be given to the Secured Parties and the Administrative Agent to secure the payment or performance of all or any part of the Guaranteed Obligations or any other liability of the Borrower to the Secured Parties. Should any Guarantor have the right, notwithstanding the foregoing, to exercise its subrogation rights prior to complete satisfaction of the Termination Conditions, each Guarantor hereby expressly and irrevocably (A) subordinates any and all rights at law or in equity to subrogation, reimbursement, exoneration, contribution, indemnification or set-off that such Guarantor may have prior to the complete satisfaction of the Termination Conditions, and (B) waives any and all defenses available to a surety, guarantor or accommodation co-obligor until all Termination Conditions are satisfied in full. Each Guarantor acknowledges and agrees that this subordination is intended to benefit the Administrative Agent and the Secured Parties and shall not limit or otherwise affect such Guarantor’s liability hereunder or the enforceability of this Guaranty, and that the Administrative Agent, the Secured Parties and their respective successors and assigns are intended third party beneficiaries of the waivers and agreements set forth in this </w:t>
      </w:r>
      <w:r>
        <w:rPr>
          <w:rFonts w:ascii="Times New Roman;Times;Serif" w:hAnsi="Times New Roman;Times;Serif"/>
          <w:b/>
          <w:i w:val="false"/>
          <w:caps w:val="false"/>
          <w:smallCaps w:val="false"/>
          <w:sz w:val="20"/>
        </w:rPr>
        <w:t>Section 13.06</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13.07 Remedies</w:t>
      </w:r>
      <w:r>
        <w:rPr>
          <w:rFonts w:ascii="Times New Roman;Times;Serif" w:hAnsi="Times New Roman;Times;Serif"/>
          <w:b w:val="false"/>
          <w:i w:val="false"/>
          <w:caps w:val="false"/>
          <w:smallCaps w:val="false"/>
          <w:sz w:val="20"/>
        </w:rPr>
        <w:t xml:space="preserve">. The Guarantors jointly and severally agree that, as between the Guarantors, on one hand, and the Administrative Agent and the Lenders, on the other hand, the obligations of the Borrower under this Agreement and under the other Loan Documents may be declared to be forthwith due and payable as provided in </w:t>
      </w:r>
      <w:r>
        <w:rPr>
          <w:rFonts w:ascii="Times New Roman;Times;Serif" w:hAnsi="Times New Roman;Times;Serif"/>
          <w:b/>
          <w:i w:val="false"/>
          <w:caps w:val="false"/>
          <w:smallCaps w:val="false"/>
          <w:sz w:val="20"/>
        </w:rPr>
        <w:t>Section 11</w:t>
      </w:r>
      <w:r>
        <w:rPr>
          <w:rFonts w:ascii="Times New Roman;Times;Serif" w:hAnsi="Times New Roman;Times;Serif"/>
          <w:b w:val="false"/>
          <w:i w:val="false"/>
          <w:caps w:val="false"/>
          <w:smallCaps w:val="false"/>
          <w:sz w:val="20"/>
        </w:rPr>
        <w:t xml:space="preserve"> (and shall be deemed to have become automatically due and payable in the circumstances provided in </w:t>
      </w:r>
      <w:r>
        <w:rPr>
          <w:rFonts w:ascii="Times New Roman;Times;Serif" w:hAnsi="Times New Roman;Times;Serif"/>
          <w:b/>
          <w:i w:val="false"/>
          <w:caps w:val="false"/>
          <w:smallCaps w:val="false"/>
          <w:sz w:val="20"/>
        </w:rPr>
        <w:t>Section 11</w:t>
      </w:r>
      <w:r>
        <w:rPr>
          <w:rFonts w:ascii="Times New Roman;Times;Serif" w:hAnsi="Times New Roman;Times;Serif"/>
          <w:b w:val="false"/>
          <w:i w:val="false"/>
          <w:caps w:val="false"/>
          <w:smallCaps w:val="false"/>
          <w:sz w:val="20"/>
        </w:rPr>
        <w:t xml:space="preserve">) for purposes of </w:t>
      </w:r>
      <w:r>
        <w:rPr>
          <w:rFonts w:ascii="Times New Roman;Times;Serif" w:hAnsi="Times New Roman;Times;Serif"/>
          <w:b/>
          <w:i w:val="false"/>
          <w:caps w:val="false"/>
          <w:smallCaps w:val="false"/>
          <w:sz w:val="20"/>
        </w:rPr>
        <w:t xml:space="preserve">Section 13.01 </w:t>
      </w:r>
      <w:r>
        <w:rPr>
          <w:rFonts w:ascii="Times New Roman;Times;Serif" w:hAnsi="Times New Roman;Times;Serif"/>
          <w:b w:val="false"/>
          <w:i w:val="false"/>
          <w:caps w:val="false"/>
          <w:smallCaps w:val="false"/>
          <w:sz w:val="20"/>
        </w:rPr>
        <w:t xml:space="preserve">notwithstanding any stay, injunction or other prohibition, including any such stay upon an Insolvency Proceeding, preventing such declaration (or such obligations from becoming automatically due and payable) as against the Borrower and that, in the event of such declaration (or such obligations being deemed to have become automatically due and payable), such obligations (whether or not due and payable by the Borrower) shall forthwith become due and payable by the Guarantors for purposes of </w:t>
      </w:r>
      <w:r>
        <w:rPr>
          <w:rFonts w:ascii="Times New Roman;Times;Serif" w:hAnsi="Times New Roman;Times;Serif"/>
          <w:b/>
          <w:i w:val="false"/>
          <w:caps w:val="false"/>
          <w:smallCaps w:val="false"/>
          <w:sz w:val="20"/>
        </w:rPr>
        <w:t>Section 13.01</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13.08 Instrument for the Payment of Money</w:t>
      </w:r>
      <w:r>
        <w:rPr>
          <w:rFonts w:ascii="Times New Roman;Times;Serif" w:hAnsi="Times New Roman;Times;Serif"/>
          <w:b w:val="false"/>
          <w:i w:val="false"/>
          <w:caps w:val="false"/>
          <w:smallCaps w:val="false"/>
          <w:sz w:val="20"/>
        </w:rPr>
        <w:t xml:space="preserve">. Each Guarantor hereby acknowledges that the guarantee in this </w:t>
      </w:r>
      <w:r>
        <w:rPr>
          <w:rFonts w:ascii="Times New Roman;Times;Serif" w:hAnsi="Times New Roman;Times;Serif"/>
          <w:b/>
          <w:i w:val="false"/>
          <w:caps w:val="false"/>
          <w:smallCaps w:val="false"/>
          <w:sz w:val="20"/>
        </w:rPr>
        <w:t xml:space="preserve">Section 13 </w:t>
      </w:r>
      <w:r>
        <w:rPr>
          <w:rFonts w:ascii="Times New Roman;Times;Serif" w:hAnsi="Times New Roman;Times;Serif"/>
          <w:b w:val="false"/>
          <w:i w:val="false"/>
          <w:caps w:val="false"/>
          <w:smallCaps w:val="false"/>
          <w:sz w:val="20"/>
        </w:rPr>
        <w:t>constitutes an instrument for the payment of money, and consents and agrees that the Administrative Agent and the Lenders, at their sole option, in the event of a dispute by such Guarantor in the payment of any moneys due hereunder, shall have the right to proceed by motion for summary judgment in lieu of complaint pursuant to N.Y. Civ. Prac. L&amp;R § 3213.</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13.09 Continuing Guarantee</w:t>
      </w:r>
      <w:r>
        <w:rPr>
          <w:rFonts w:ascii="Times New Roman;Times;Serif" w:hAnsi="Times New Roman;Times;Serif"/>
          <w:b w:val="false"/>
          <w:i w:val="false"/>
          <w:caps w:val="false"/>
          <w:smallCaps w:val="false"/>
          <w:sz w:val="20"/>
        </w:rPr>
        <w:t xml:space="preserve">. The guarantee in this </w:t>
      </w:r>
      <w:r>
        <w:rPr>
          <w:rFonts w:ascii="Times New Roman;Times;Serif" w:hAnsi="Times New Roman;Times;Serif"/>
          <w:b/>
          <w:i w:val="false"/>
          <w:caps w:val="false"/>
          <w:smallCaps w:val="false"/>
          <w:sz w:val="20"/>
        </w:rPr>
        <w:t>Section 13</w:t>
      </w:r>
      <w:r>
        <w:rPr>
          <w:rFonts w:ascii="Times New Roman;Times;Serif" w:hAnsi="Times New Roman;Times;Serif"/>
          <w:b w:val="false"/>
          <w:i w:val="false"/>
          <w:caps w:val="false"/>
          <w:smallCaps w:val="false"/>
          <w:sz w:val="20"/>
        </w:rPr>
        <w:t xml:space="preserve"> is a continuing guarantee, and shall apply to all Guaranteed Obligations whenever arising.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13.10 Contribution with Respect to Guaranteed Obligations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extent that any Guarantor shall make a payment under this Guaranty (a “</w:t>
      </w:r>
      <w:r>
        <w:rPr>
          <w:rFonts w:ascii="Times New Roman;Times;Serif" w:hAnsi="Times New Roman;Times;Serif"/>
          <w:b/>
          <w:i/>
          <w:caps w:val="false"/>
          <w:smallCaps w:val="false"/>
          <w:sz w:val="20"/>
        </w:rPr>
        <w:t>Guarantor Payment</w:t>
      </w:r>
      <w:r>
        <w:rPr>
          <w:rFonts w:ascii="Times New Roman;Times;Serif" w:hAnsi="Times New Roman;Times;Serif"/>
          <w:b w:val="false"/>
          <w:i w:val="false"/>
          <w:caps w:val="false"/>
          <w:smallCaps w:val="false"/>
          <w:sz w:val="20"/>
        </w:rPr>
        <w:t xml:space="preserve">”) which, taking into account all other Guarantor Payments then previously or concurrently made by any other Guarantor, exceeds the amount which otherwise would have been paid by or attributable to such Guarantor if each Guarantor had paid the aggregate Guaranteed Obligations satisfied by such Guarantor Payment in the same proportion as such Guarantor’s “Allocable Amount” (as defined below) (as determined immediately prior to such Guarantor Payment) bore to the aggregate Allocable Amounts of each of the Guarantors as determined immediately prior to the making of such Guarantor Payment, </w:t>
      </w:r>
      <w:r>
        <w:rPr>
          <w:rFonts w:ascii="Times New Roman;Times;Serif" w:hAnsi="Times New Roman;Times;Serif"/>
          <w:b w:val="false"/>
          <w:i/>
          <w:caps w:val="false"/>
          <w:smallCaps w:val="false"/>
          <w:sz w:val="20"/>
        </w:rPr>
        <w:t>then</w:t>
      </w:r>
      <w:r>
        <w:rPr>
          <w:rFonts w:ascii="Times New Roman;Times;Serif" w:hAnsi="Times New Roman;Times;Serif"/>
          <w:b w:val="false"/>
          <w:i w:val="false"/>
          <w:caps w:val="false"/>
          <w:smallCaps w:val="false"/>
          <w:sz w:val="20"/>
        </w:rPr>
        <w:t xml:space="preserve">, following the prior and complete satisfaction of the Termination Conditions, such Guarantor shall be entitled to receive contribution and indemnification payments from, and be reimbursed by, each other Guarantor for the amount of such excess,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based upon their respective Allocable Amounts in effect immediately prior to such Guarantor Payment.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any date of determination, the “</w:t>
      </w:r>
      <w:r>
        <w:rPr>
          <w:rFonts w:ascii="Times New Roman;Times;Serif" w:hAnsi="Times New Roman;Times;Serif"/>
          <w:b/>
          <w:i/>
          <w:caps w:val="false"/>
          <w:smallCaps w:val="false"/>
          <w:sz w:val="20"/>
        </w:rPr>
        <w:t>Allocable Amount</w:t>
      </w:r>
      <w:r>
        <w:rPr>
          <w:rFonts w:ascii="Times New Roman;Times;Serif" w:hAnsi="Times New Roman;Times;Serif"/>
          <w:b w:val="false"/>
          <w:i w:val="false"/>
          <w:caps w:val="false"/>
          <w:smallCaps w:val="false"/>
          <w:sz w:val="20"/>
        </w:rPr>
        <w:t>” of any Guarantor shall be equal to the maximum amount of the claim which could then be recovered from such Guarantor under this Agreement without rendering such claim voidable or avoidable under any state or federal bankruptcy, insolvency or similar law or other applicable Law.</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This </w:t>
      </w:r>
      <w:r>
        <w:rPr>
          <w:rFonts w:ascii="Times New Roman;Times;Serif" w:hAnsi="Times New Roman;Times;Serif"/>
          <w:b/>
          <w:i w:val="false"/>
          <w:caps w:val="false"/>
          <w:smallCaps w:val="false"/>
          <w:sz w:val="20"/>
        </w:rPr>
        <w:t>13.10</w:t>
      </w:r>
      <w:r>
        <w:rPr>
          <w:rFonts w:ascii="Times New Roman;Times;Serif" w:hAnsi="Times New Roman;Times;Serif"/>
          <w:b w:val="false"/>
          <w:i w:val="false"/>
          <w:caps w:val="false"/>
          <w:smallCaps w:val="false"/>
          <w:sz w:val="20"/>
        </w:rPr>
        <w:t xml:space="preserve"> is intended only to define the relative rights of the Guarantors, and nothing set forth in this </w:t>
      </w:r>
      <w:r>
        <w:rPr>
          <w:rFonts w:ascii="Times New Roman;Times;Serif" w:hAnsi="Times New Roman;Times;Serif"/>
          <w:b/>
          <w:i w:val="false"/>
          <w:caps w:val="false"/>
          <w:smallCaps w:val="false"/>
          <w:sz w:val="20"/>
        </w:rPr>
        <w:t>13.10</w:t>
      </w:r>
      <w:r>
        <w:rPr>
          <w:rFonts w:ascii="Times New Roman;Times;Serif" w:hAnsi="Times New Roman;Times;Serif"/>
          <w:b w:val="false"/>
          <w:i w:val="false"/>
          <w:caps w:val="false"/>
          <w:smallCaps w:val="false"/>
          <w:sz w:val="20"/>
        </w:rPr>
        <w:t xml:space="preserve"> is intended to or shall impair the obligations of the Guarantors, jointly and severally, to pay any amounts as and when the same shall become due and payable in accordance with the terms of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parties hereto acknowledge that the rights of contribution and indemnification hereunder shall constitute assets of the Guarantor or Guarantors to which such contribution and indemnification is owing.</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rights of the indemnifying Guarantors against other Guarantors under this </w:t>
      </w:r>
      <w:r>
        <w:rPr>
          <w:rFonts w:ascii="Times New Roman;Times;Serif" w:hAnsi="Times New Roman;Times;Serif"/>
          <w:b/>
          <w:i w:val="false"/>
          <w:caps w:val="false"/>
          <w:smallCaps w:val="false"/>
          <w:sz w:val="20"/>
        </w:rPr>
        <w:t>Section 13.10</w:t>
      </w:r>
      <w:r>
        <w:rPr>
          <w:rFonts w:ascii="Times New Roman;Times;Serif" w:hAnsi="Times New Roman;Times;Serif"/>
          <w:b w:val="false"/>
          <w:i w:val="false"/>
          <w:caps w:val="false"/>
          <w:smallCaps w:val="false"/>
          <w:sz w:val="20"/>
        </w:rPr>
        <w:t xml:space="preserve"> shall be exercisable only upon the prior and complete satisfaction of the Termination Conditions.</w:t>
      </w:r>
    </w:p>
    <w:p>
      <w:pPr>
        <w:pStyle w:val="TextBody"/>
        <w:bidi w:val="0"/>
        <w:ind w:left="0" w:right="0" w:firstLine="72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13.11 General Limitations on Guarantee Obligations</w:t>
      </w:r>
      <w:r>
        <w:rPr>
          <w:rFonts w:ascii="Times New Roman;Times;Serif" w:hAnsi="Times New Roman;Times;Serif"/>
          <w:b w:val="false"/>
          <w:i w:val="false"/>
          <w:caps w:val="false"/>
          <w:smallCaps w:val="false"/>
          <w:sz w:val="20"/>
        </w:rPr>
        <w:t xml:space="preserve">. In any action or proceeding involving any provincial, territorial or state corporate law, or any state or federal bankruptcy, insolvency, reorganization or other law affecting the rights of creditors generally, if the obligations of any Guarantor under </w:t>
      </w:r>
      <w:r>
        <w:rPr>
          <w:rFonts w:ascii="Times New Roman;Times;Serif" w:hAnsi="Times New Roman;Times;Serif"/>
          <w:b/>
          <w:i w:val="false"/>
          <w:caps w:val="false"/>
          <w:smallCaps w:val="false"/>
          <w:sz w:val="20"/>
        </w:rPr>
        <w:t xml:space="preserve">Section 13.01 </w:t>
      </w:r>
      <w:r>
        <w:rPr>
          <w:rFonts w:ascii="Times New Roman;Times;Serif" w:hAnsi="Times New Roman;Times;Serif"/>
          <w:b w:val="false"/>
          <w:i w:val="false"/>
          <w:caps w:val="false"/>
          <w:smallCaps w:val="false"/>
          <w:sz w:val="20"/>
        </w:rPr>
        <w:t xml:space="preserve">would otherwise be held or determined to be void, invalid or unenforceable, or subordinated to the claims of any other creditors, on account of the amount of its liability under </w:t>
      </w:r>
      <w:r>
        <w:rPr>
          <w:rFonts w:ascii="Times New Roman;Times;Serif" w:hAnsi="Times New Roman;Times;Serif"/>
          <w:b/>
          <w:i w:val="false"/>
          <w:caps w:val="false"/>
          <w:smallCaps w:val="false"/>
          <w:sz w:val="20"/>
        </w:rPr>
        <w:t>Section 13.01</w:t>
      </w:r>
      <w:r>
        <w:rPr>
          <w:rFonts w:ascii="Times New Roman;Times;Serif" w:hAnsi="Times New Roman;Times;Serif"/>
          <w:b w:val="false"/>
          <w:i w:val="false"/>
          <w:caps w:val="false"/>
          <w:smallCaps w:val="false"/>
          <w:sz w:val="20"/>
        </w:rPr>
        <w:t>, then, notwithstanding any other provision hereof to the contrary, the amount of such liability shall, without any further action by such Guarantor, the Administrative Agent, any Lender or any other Person, be automatically limited and reduced to the highest amount that is valid and enforceable and not subordinated to the claims of other creditors as determined in such action or proceeding.</w:t>
      </w:r>
    </w:p>
    <w:p>
      <w:pPr>
        <w:pStyle w:val="TextBody"/>
        <w:bidi w:val="0"/>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Section 14.</w:t>
      </w:r>
      <w:r>
        <w:rPr>
          <w:rFonts w:ascii="Times New Roman;Times;Serif" w:hAnsi="Times New Roman;Times;Serif"/>
          <w:b/>
          <w:i w:val="false"/>
          <w:caps w:val="false"/>
          <w:smallCaps w:val="false"/>
          <w:sz w:val="20"/>
        </w:rPr>
        <w:br/>
        <w:t>MISCELLANEOUS</w:t>
      </w:r>
    </w:p>
    <w:p>
      <w:pPr>
        <w:pStyle w:val="TextBody"/>
        <w:bidi w:val="0"/>
        <w:ind w:left="0" w:right="0" w:hanging="0"/>
        <w:jc w:val="center"/>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14.01 No Waiver</w:t>
      </w:r>
      <w:r>
        <w:rPr>
          <w:rFonts w:ascii="Times New Roman;Times;Serif" w:hAnsi="Times New Roman;Times;Serif"/>
          <w:b w:val="false"/>
          <w:i w:val="false"/>
          <w:caps w:val="false"/>
          <w:smallCaps w:val="false"/>
          <w:sz w:val="20"/>
        </w:rPr>
        <w:t>. No failure on the part of the Administrative Agent or the Lenders to exercise and no delay in exercising, and no course of dealing with respect to, any right, power or privilege under any Loan Document shall operate as a waiver thereof, nor shall any single or partial exercise of any right, power or privilege under any Loan Document preclude any other or further exercise thereof or the exercise of any other right, power or privilege. The remedies provided herein are cumulative and not exclusive of any remedies provided by Law.</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14.02 Notices</w:t>
      </w:r>
      <w:r>
        <w:rPr>
          <w:rFonts w:ascii="Times New Roman;Times;Serif" w:hAnsi="Times New Roman;Times;Serif"/>
          <w:b w:val="false"/>
          <w:i w:val="false"/>
          <w:caps w:val="false"/>
          <w:smallCaps w:val="false"/>
          <w:sz w:val="20"/>
        </w:rPr>
        <w:t>. All notices, requests, instructions, directions and other communications provided for herein (including any modifications of, or waivers, requests or consents under, this Agreement) or in the other Loan Documents shall be given or made in writing (including by telecopy or email) delivered, if to the Borrower, another Obligor, the Administrative Agent or any Lender, to its address specified on the signature pages hereto or its Guarantee Assumption Agreement, as the case may be, or at such other address as shall be designated by such party in a written notice to the other parties. Except as otherwise provided in this Agreement or therein, all such communications shall be deemed to have been duly given upon receipt of a legible copy thereof, in each case given or addressed as aforesaid. All such communications provided for herein by telecopy shall be confirmed in writing promptly after the delivery of such communication (it being understood that non-receipt of written confirmation of such communication shall not invalidate such communication).</w:t>
      </w:r>
    </w:p>
    <w:p>
      <w:pPr>
        <w:pStyle w:val="TextBody"/>
        <w:bidi w:val="0"/>
        <w:jc w:val="both"/>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14.03 Expenses, Indemnification, Etc.</w:t>
      </w:r>
    </w:p>
    <w:p>
      <w:pPr>
        <w:pStyle w:val="TextBody"/>
        <w:bidi w:val="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Expenses</w:t>
      </w:r>
      <w:r>
        <w:rPr>
          <w:rFonts w:ascii="Times New Roman;Times;Serif" w:hAnsi="Times New Roman;Times;Serif"/>
          <w:b w:val="false"/>
          <w:i w:val="false"/>
          <w:caps w:val="false"/>
          <w:smallCaps w:val="false"/>
          <w:sz w:val="20"/>
        </w:rPr>
        <w:t xml:space="preserve">. Each Obligor, jointly and severally, agrees to pay or reimburse (i) within ten (10) Business Days of receipt of a reasonably detailed invoice the Administrative Agent and its Affiliates for all of their reasonable and documented out-of-pocket costs and expenses (including the reasonable and documented out-of-pocket fees, expenses, charges and disbursements of Latham &amp; Watkins LLP, counsel to the Administrative Agent, the fees (if necessary) of local counsel and regulatory counsel for the Administrative Agent in each relevant material jurisdiction, and any sales, goods and services or other similar Taxes applicable thereto, and reasonable and documented printing, reproduction, document delivery, communication and travel costs) in connection with (x) the negotiation, preparation, execution and delivery of this Agreement and the other Loan Documents and the making of the Loans (exclusive of post-closing costs), (y) post-closing costs (including, without limitation (1) costs of the administration of this Agreement and the other Loan Documents and (2) title, appraisal, survey, audit, environmental inspection, consulting, search, recording, filing and similar coasts, fees and expenses incurred or sustained by the Administrative Agent or any of its Affiliates in connection with the Collateral), and (z) the negotiation or preparation of any modification, supplement or waiver of any of the terms of this Agreement or any of the other Loan Documents (whether or not consummated) and (ii) immediately, each of the Administrative Agent and the Lenders for all of their documented out-of-pocket costs and expenses (including the fees and expenses of any legal counsel) in connection with the enforcement, exercise or protection of their rights in connection with this Agreement and the other Loan Documents after the occurrence of and in connection with an Event of Default, including their rights under this </w:t>
      </w:r>
      <w:r>
        <w:rPr>
          <w:rFonts w:ascii="Times New Roman;Times;Serif" w:hAnsi="Times New Roman;Times;Serif"/>
          <w:b/>
          <w:i w:val="false"/>
          <w:caps w:val="false"/>
          <w:smallCaps w:val="false"/>
          <w:sz w:val="20"/>
        </w:rPr>
        <w:t>Section 14.03</w:t>
      </w:r>
      <w:r>
        <w:rPr>
          <w:rFonts w:ascii="Times New Roman;Times;Serif" w:hAnsi="Times New Roman;Times;Serif"/>
          <w:b w:val="false"/>
          <w:i w:val="false"/>
          <w:caps w:val="false"/>
          <w:smallCaps w:val="false"/>
          <w:sz w:val="20"/>
        </w:rPr>
        <w:t>, including (1) in connection with the protection, sale or collection of, or other realization upon, any of the Collateral, including all reasonable and documented out-of-pocket expenses of taking, collecting, holding, sorting, handling, preparing for sale, selling, or the like, and other such expenses of sales and collections of Collateral and (2) such out-of-pocket expenses incurred during any workout, restructuring or negotiations in respect of such Loans and in connection with any enforcement or collection proceedings resulting from the occurrence of an Event of Default.</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Indemnification</w:t>
      </w:r>
      <w:r>
        <w:rPr>
          <w:rFonts w:ascii="Times New Roman;Times;Serif" w:hAnsi="Times New Roman;Times;Serif"/>
          <w:b w:val="false"/>
          <w:i w:val="false"/>
          <w:caps w:val="false"/>
          <w:smallCaps w:val="false"/>
          <w:sz w:val="20"/>
        </w:rPr>
        <w:t>. Each Obligor, jointly and severally, hereby indemnifies the Administrative Agent (and any sub-agent thereof), the Lenders and their respective Affiliates, directors, officers, employees, attorneys, agents, advisors and controlling parties (each, an “</w:t>
      </w:r>
      <w:r>
        <w:rPr>
          <w:rFonts w:ascii="Times New Roman;Times;Serif" w:hAnsi="Times New Roman;Times;Serif"/>
          <w:b/>
          <w:i/>
          <w:caps w:val="false"/>
          <w:smallCaps w:val="false"/>
          <w:sz w:val="20"/>
        </w:rPr>
        <w:t>Indemnified Party</w:t>
      </w:r>
      <w:r>
        <w:rPr>
          <w:rFonts w:ascii="Times New Roman;Times;Serif" w:hAnsi="Times New Roman;Times;Serif"/>
          <w:b w:val="false"/>
          <w:i w:val="false"/>
          <w:caps w:val="false"/>
          <w:smallCaps w:val="false"/>
          <w:sz w:val="20"/>
        </w:rPr>
        <w:t xml:space="preserve">”) from and against, and agrees to hold them harmless against, any and all Claims and Losses of any kind including reasonable and documented out-of-pocket fees and disbursements of any counsel for each Indemnified Party (limited to one legal counsel in each relevant jurisdiction), that may be incurred by or asserted or awarded against any Indemnified Party, in each case arising out of or in connection with or relating to (i) this Agreement or any of the other Loan Documents or the Transactions, (ii) any use made or proposed to be made with the proceeds of the Loans, (iii) any actual or alleged presence or release of Hazardous Materials on or from any property owned or operated by any Obligor or any of its Subsidiaries, or (iv) any actual or prospective claim, investigation, litigation or proceeding relating to any of the foregoing, whether based on contract, tort, or any other theory, whether or not such investigation, litigation or proceeding is brought by any Obligor, any of its Subsidiaries, shareholders or creditors, an Indemnified Party or any other Person, or an Indemnified Party is otherwise a party thereto, and whether or not any of the conditions precedent set forth in </w:t>
      </w:r>
      <w:r>
        <w:rPr>
          <w:rFonts w:ascii="Times New Roman;Times;Serif" w:hAnsi="Times New Roman;Times;Serif"/>
          <w:b/>
          <w:i w:val="false"/>
          <w:caps w:val="false"/>
          <w:smallCaps w:val="false"/>
          <w:sz w:val="20"/>
        </w:rPr>
        <w:t>Section 6</w:t>
      </w:r>
      <w:r>
        <w:rPr>
          <w:rFonts w:ascii="Times New Roman;Times;Serif" w:hAnsi="Times New Roman;Times;Serif"/>
          <w:b w:val="false"/>
          <w:i w:val="false"/>
          <w:caps w:val="false"/>
          <w:smallCaps w:val="false"/>
          <w:sz w:val="20"/>
        </w:rPr>
        <w:t xml:space="preserve"> are satisfied or the other transactions contemplated by this Agreement are consummated, except to the extent such Claim or Loss is (i) found in a final, non-appealable judgment by a court of competent jurisdiction to have resulted from such Indemnified Party’s gross negligence or willful misconduct or (ii) is determined by a court of competent jurisdiction by final and non-appealable judgment to have resulted from a claim brought by any Obligor against an Indemnified Party for material breach in bad faith or reckless disregard of such Indemnified Party’s obligations hereunder or under any other Loan Document. No Obligor shall assert any claim against any Indemnified Party, on any theory of liability, for consequential, indirect, special or punitive damages arising out of or otherwise relating to this Agreement or any of the other Loan Documents or any of the Transactions or the actual or proposed use of the proceeds of the Loans. None of the Administrative Agent and the Lenders shall assert any claim against any Obligor, their Subsidiaries and Affiliates and their respective directors, officers, employees, attorneys, agents, advisors and controlling parties, on any theory of liability, for consequential, indirect, special or punitive damages arising out of or otherwise relating to this Agreement or any of the other Loan Documents or any of the Transactions or the actual or proposed use of the proceeds of the Loans. Notwithstanding the foregoing in this </w:t>
      </w:r>
      <w:r>
        <w:rPr>
          <w:rFonts w:ascii="Times New Roman;Times;Serif" w:hAnsi="Times New Roman;Times;Serif"/>
          <w:b/>
          <w:i w:val="false"/>
          <w:caps w:val="false"/>
          <w:smallCaps w:val="false"/>
          <w:sz w:val="20"/>
        </w:rPr>
        <w:t>Section 14.03(b)</w:t>
      </w:r>
      <w:r>
        <w:rPr>
          <w:rFonts w:ascii="Times New Roman;Times;Serif" w:hAnsi="Times New Roman;Times;Serif"/>
          <w:b w:val="false"/>
          <w:i w:val="false"/>
          <w:caps w:val="false"/>
          <w:smallCaps w:val="false"/>
          <w:sz w:val="20"/>
        </w:rPr>
        <w:t xml:space="preserve">, the Obligors shall not be liable for any settlement of any proceeding effected without the Obligors’ consent (which consent shall not be unreasonably withheld, delayed or conditioned), but if settled with the Obligors’ written consent, or if there is a judgment against an Indemnified Party in any such proceeding, the Obligors shall indemnify and hold harmless each Indemnified Party to the extent and in the manner set forth above. The Obligors shall not, without the prior written consent of an Indemnified Party (which consent shall not be unreasonably withheld, conditioned or delayed), effect any settlement of any pending or threatened proceeding against such Indemnified Party in respect of which indemnity could have been sought hereunder by such Indemnified Party unless (a) such settlement includes an unconditional release of such Indemnified Party from all liability or claims that are the subject matter of, or arise out of, such proceeding and (b) such settlement does not include any statement as to, or any admission of fault, culpability, wrongdoing or a failure to act by or on behalf of such Indemnified Party. This Section shall not apply with respect to (x) Taxes other than Taxes relating to a non-Tax Claim or Loss governed by this </w:t>
      </w:r>
      <w:r>
        <w:rPr>
          <w:rFonts w:ascii="Times New Roman;Times;Serif" w:hAnsi="Times New Roman;Times;Serif"/>
          <w:b/>
          <w:i w:val="false"/>
          <w:caps w:val="false"/>
          <w:smallCaps w:val="false"/>
          <w:sz w:val="20"/>
        </w:rPr>
        <w:t>Section 14.03(a)</w:t>
      </w:r>
      <w:r>
        <w:rPr>
          <w:rFonts w:ascii="Times New Roman;Times;Serif" w:hAnsi="Times New Roman;Times;Serif"/>
          <w:b w:val="false"/>
          <w:i w:val="false"/>
          <w:caps w:val="false"/>
          <w:smallCaps w:val="false"/>
          <w:sz w:val="20"/>
        </w:rPr>
        <w:t xml:space="preserve"> and (y) yield protection matters covered by </w:t>
      </w:r>
      <w:r>
        <w:rPr>
          <w:rFonts w:ascii="Times New Roman;Times;Serif" w:hAnsi="Times New Roman;Times;Serif"/>
          <w:b/>
          <w:i w:val="false"/>
          <w:caps w:val="false"/>
          <w:smallCaps w:val="false"/>
          <w:sz w:val="20"/>
        </w:rPr>
        <w:t>Section 5.01</w:t>
      </w:r>
      <w:r>
        <w:rPr>
          <w:rFonts w:ascii="Times New Roman;Times;Serif" w:hAnsi="Times New Roman;Times;Serif"/>
          <w:b w:val="false"/>
          <w:i w:val="false"/>
          <w:caps w:val="false"/>
          <w:smallCaps w:val="false"/>
          <w:sz w:val="20"/>
        </w:rPr>
        <w:t xml:space="preserve">, which shall be governed exclusively by </w:t>
      </w:r>
      <w:r>
        <w:rPr>
          <w:rFonts w:ascii="Times New Roman;Times;Serif" w:hAnsi="Times New Roman;Times;Serif"/>
          <w:b/>
          <w:i w:val="false"/>
          <w:caps w:val="false"/>
          <w:smallCaps w:val="false"/>
          <w:sz w:val="20"/>
        </w:rPr>
        <w:t>Section 5.01</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14.04 Amendments, Etc.</w:t>
      </w:r>
      <w:r>
        <w:rPr>
          <w:rFonts w:ascii="Times New Roman;Times;Serif" w:hAnsi="Times New Roman;Times;Serif"/>
          <w:b w:val="false"/>
          <w:i w:val="false"/>
          <w:caps w:val="false"/>
          <w:smallCaps w:val="false"/>
          <w:sz w:val="20"/>
        </w:rPr>
        <w:t xml:space="preserve"> Except as otherwise expressly provided in this Agreement, any provision of this Agreement and any other Loan Document may be modified or supplemented only by an instrument in writing signed by the Borrower, the Administrative Agent and the Majority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such modification or supplement that is disproportionately adverse to any Lender as compared to other Lenders or subjects any Lender to any additional obligation shall not be effective without the consent of such affected Lender;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consent of all of the Lenders shall be required to:</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amend, modify, discharge, terminate or waive any of the terms of this Agreement or any other Loan Agreement if such amendment, modification, discharge, termination or waiver would increase the amount of the Loans or Commitment, reduce the fees payable hereunder, reduce interest rates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Majority Lenders may rescind an imposition of default interest hereunder) or other amounts payable with respect to the Loans (excluding mandatory prepayments), extend any date fixed for payment of principal (excluding mandatory prepayments) (it being understood that the waiver of any prepayment of Loans shall not constitute an extension of any date fixed for payment of principal), interest or other amounts payable relating to the Loans or extend the repayment dates of the Loans (excluding mandatory prepayments);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waiver of any condition precedent set forth in </w:t>
      </w:r>
      <w:r>
        <w:rPr>
          <w:rFonts w:ascii="Times New Roman;Times;Serif" w:hAnsi="Times New Roman;Times;Serif"/>
          <w:b/>
          <w:i w:val="false"/>
          <w:caps w:val="false"/>
          <w:smallCaps w:val="false"/>
          <w:sz w:val="20"/>
        </w:rPr>
        <w:t>Section 6.02</w:t>
      </w:r>
      <w:r>
        <w:rPr>
          <w:rFonts w:ascii="Times New Roman;Times;Serif" w:hAnsi="Times New Roman;Times;Serif"/>
          <w:b w:val="false"/>
          <w:i w:val="false"/>
          <w:caps w:val="false"/>
          <w:smallCaps w:val="false"/>
          <w:sz w:val="20"/>
        </w:rPr>
        <w:t xml:space="preserve"> or of any Default or Event of Default or a mandatory reduction in Commitments is not considered an increase in Commitments of any Lender;</w:t>
      </w:r>
    </w:p>
    <w:p>
      <w:pPr>
        <w:pStyle w:val="TextBody"/>
        <w:bidi w:val="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amend, modify, discharge, terminate or waive any Security Document if the effect is to release all or substantially all of the Collateral subject thereto other than pursuant to the terms hereof or thereof; or</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amend this </w:t>
      </w:r>
      <w:r>
        <w:rPr>
          <w:rFonts w:ascii="Times New Roman;Times;Serif" w:hAnsi="Times New Roman;Times;Serif"/>
          <w:b/>
          <w:i w:val="false"/>
          <w:caps w:val="false"/>
          <w:smallCaps w:val="false"/>
          <w:sz w:val="20"/>
        </w:rPr>
        <w:t>Section 14.04</w:t>
      </w:r>
      <w:r>
        <w:rPr>
          <w:rFonts w:ascii="Times New Roman;Times;Serif" w:hAnsi="Times New Roman;Times;Serif"/>
          <w:b w:val="false"/>
          <w:i w:val="false"/>
          <w:caps w:val="false"/>
          <w:smallCaps w:val="false"/>
          <w:sz w:val="20"/>
        </w:rPr>
        <w:t xml:space="preserve"> or the definition of “Majority Lenders”.</w:t>
      </w:r>
    </w:p>
    <w:p>
      <w:pPr>
        <w:pStyle w:val="TextBody"/>
        <w:bidi w:val="0"/>
        <w:ind w:left="0" w:right="0" w:firstLine="144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herein, (A) the Administrative Agent and the Borrower may amend or modify this Agreement and any other Loan Document to (1) cure any factual or typographical error, omission, defect or inconsistency therein, or (2) grant a new Lien for the benefit of the Lenders, extend an additional Lien over additional property for the benefit of the Lenders or join additional Persons as Obligors and (B)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14.05 Successors and Assigns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General</w:t>
      </w:r>
      <w:r>
        <w:rPr>
          <w:rFonts w:ascii="Times New Roman;Times;Serif" w:hAnsi="Times New Roman;Times;Serif"/>
          <w:b w:val="false"/>
          <w:i w:val="false"/>
          <w:caps w:val="false"/>
          <w:smallCaps w:val="false"/>
          <w:sz w:val="20"/>
        </w:rPr>
        <w:t xml:space="preserve">. The provisions of this Agreement and the other Loan Documents shall be binding upon and inure to the benefit of the parties hereto or thereto and their respective successors and assigns permitted hereby or thereby, except that no Obligor may assign or otherwise transfer any of its rights or obligations hereunder or under any of the other Loan Documents (except in connection with an event permitted under </w:t>
      </w:r>
      <w:r>
        <w:rPr>
          <w:rFonts w:ascii="Times New Roman;Times;Serif" w:hAnsi="Times New Roman;Times;Serif"/>
          <w:b/>
          <w:i w:val="false"/>
          <w:caps w:val="false"/>
          <w:smallCaps w:val="false"/>
          <w:sz w:val="20"/>
        </w:rPr>
        <w:t>Section 9.03</w:t>
      </w:r>
      <w:r>
        <w:rPr>
          <w:rFonts w:ascii="Times New Roman;Times;Serif" w:hAnsi="Times New Roman;Times;Serif"/>
          <w:b w:val="false"/>
          <w:i w:val="false"/>
          <w:caps w:val="false"/>
          <w:smallCaps w:val="false"/>
          <w:sz w:val="20"/>
        </w:rPr>
        <w:t xml:space="preserve">) without the prior written consent of the Administrative Agent. Any Lender may assign or otherwise transfer any of its rights or obligations hereunder or under any of the other Loan Documents (i) to an assignee in accordance with the provisions of </w:t>
      </w:r>
      <w:r>
        <w:rPr>
          <w:rFonts w:ascii="Times New Roman;Times;Serif" w:hAnsi="Times New Roman;Times;Serif"/>
          <w:b/>
          <w:i w:val="false"/>
          <w:caps w:val="false"/>
          <w:smallCaps w:val="false"/>
          <w:sz w:val="20"/>
        </w:rPr>
        <w:t>Section 14.05(b)</w:t>
      </w:r>
      <w:r>
        <w:rPr>
          <w:rFonts w:ascii="Times New Roman;Times;Serif" w:hAnsi="Times New Roman;Times;Serif"/>
          <w:b w:val="false"/>
          <w:i w:val="false"/>
          <w:caps w:val="false"/>
          <w:smallCaps w:val="false"/>
          <w:sz w:val="20"/>
        </w:rPr>
        <w:t xml:space="preserve">, (ii) by way of participation in accordance with the provisions of </w:t>
      </w:r>
      <w:r>
        <w:rPr>
          <w:rFonts w:ascii="Times New Roman;Times;Serif" w:hAnsi="Times New Roman;Times;Serif"/>
          <w:b/>
          <w:i w:val="false"/>
          <w:caps w:val="false"/>
          <w:smallCaps w:val="false"/>
          <w:sz w:val="20"/>
        </w:rPr>
        <w:t>Section 14.05(e)</w:t>
      </w:r>
      <w:r>
        <w:rPr>
          <w:rFonts w:ascii="Times New Roman;Times;Serif" w:hAnsi="Times New Roman;Times;Serif"/>
          <w:b w:val="false"/>
          <w:i w:val="false"/>
          <w:caps w:val="false"/>
          <w:smallCaps w:val="false"/>
          <w:sz w:val="20"/>
        </w:rPr>
        <w:t xml:space="preserve">, or (iii) by way of pledge or assignment of a security interest subject to the restrictions of </w:t>
      </w:r>
      <w:r>
        <w:rPr>
          <w:rFonts w:ascii="Times New Roman;Times;Serif" w:hAnsi="Times New Roman;Times;Serif"/>
          <w:b/>
          <w:i w:val="false"/>
          <w:caps w:val="false"/>
          <w:smallCaps w:val="false"/>
          <w:sz w:val="20"/>
        </w:rPr>
        <w:t>Section 14.05(f)</w:t>
      </w:r>
      <w:r>
        <w:rPr>
          <w:rFonts w:ascii="Times New Roman;Times;Serif" w:hAnsi="Times New Roman;Times;Serif"/>
          <w:b w:val="false"/>
          <w:i w:val="false"/>
          <w:caps w:val="false"/>
          <w:smallCaps w:val="false"/>
          <w:sz w:val="20"/>
        </w:rPr>
        <w:t xml:space="preserve">. Nothing in this Agreement, expressed or implied, shall be construed to confer upon any Person (other than the parties hereto, their respective successors and assigns permitted hereby, Participants to the extent provided in </w:t>
      </w:r>
      <w:r>
        <w:rPr>
          <w:rFonts w:ascii="Times New Roman;Times;Serif" w:hAnsi="Times New Roman;Times;Serif"/>
          <w:b/>
          <w:i w:val="false"/>
          <w:caps w:val="false"/>
          <w:smallCaps w:val="false"/>
          <w:sz w:val="20"/>
        </w:rPr>
        <w:t>Section 14.05(e)</w:t>
      </w:r>
      <w:r>
        <w:rPr>
          <w:rFonts w:ascii="Times New Roman;Times;Serif" w:hAnsi="Times New Roman;Times;Serif"/>
          <w:b w:val="false"/>
          <w:i w:val="false"/>
          <w:caps w:val="false"/>
          <w:smallCaps w:val="false"/>
          <w:sz w:val="20"/>
        </w:rPr>
        <w:t xml:space="preserve"> and, to the extent expressly contemplated hereby, the Indemnified Parties) any legal or equitable right, remedy or claim under or by reason of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Assignments by Lender</w:t>
      </w:r>
      <w:r>
        <w:rPr>
          <w:rFonts w:ascii="Times New Roman;Times;Serif" w:hAnsi="Times New Roman;Times;Serif"/>
          <w:b w:val="false"/>
          <w:i w:val="false"/>
          <w:caps w:val="false"/>
          <w:smallCaps w:val="false"/>
          <w:sz w:val="20"/>
        </w:rPr>
        <w:t xml:space="preserve">. Any Lender may at any time assign to one or more Eligible Transferees (or, (i) if an Event of Default under </w:t>
      </w:r>
      <w:r>
        <w:rPr>
          <w:rFonts w:ascii="Times New Roman;Times;Serif" w:hAnsi="Times New Roman;Times;Serif"/>
          <w:b/>
          <w:i w:val="false"/>
          <w:caps w:val="false"/>
          <w:smallCaps w:val="false"/>
          <w:sz w:val="20"/>
        </w:rPr>
        <w:t>Section 11.01(a)</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(h)</w:t>
      </w:r>
      <w:r>
        <w:rPr>
          <w:rFonts w:ascii="Times New Roman;Times;Serif" w:hAnsi="Times New Roman;Times;Serif"/>
          <w:b w:val="false"/>
          <w:i w:val="false"/>
          <w:caps w:val="false"/>
          <w:smallCaps w:val="false"/>
          <w:sz w:val="20"/>
        </w:rPr>
        <w:t xml:space="preserve"> has occurred and is continuing, to any Person that is not a Defaulting Lender and (ii) if an Event of Default that is not an Event of Default under </w:t>
      </w:r>
      <w:r>
        <w:rPr>
          <w:rFonts w:ascii="Times New Roman;Times;Serif" w:hAnsi="Times New Roman;Times;Serif"/>
          <w:b/>
          <w:i w:val="false"/>
          <w:caps w:val="false"/>
          <w:smallCaps w:val="false"/>
          <w:sz w:val="20"/>
        </w:rPr>
        <w:t>Section 11.01(a)</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(h)</w:t>
      </w:r>
      <w:r>
        <w:rPr>
          <w:rFonts w:ascii="Times New Roman;Times;Serif" w:hAnsi="Times New Roman;Times;Serif"/>
          <w:b w:val="false"/>
          <w:i w:val="false"/>
          <w:caps w:val="false"/>
          <w:smallCaps w:val="false"/>
          <w:sz w:val="20"/>
        </w:rPr>
        <w:t xml:space="preserve"> has occurred and is continuing (but no Event of Default </w:t>
      </w:r>
      <w:r>
        <w:rPr>
          <w:rFonts w:ascii="Times New Roman;Times;Serif" w:hAnsi="Times New Roman;Times;Serif"/>
          <w:b/>
          <w:i w:val="false"/>
          <w:caps w:val="false"/>
          <w:smallCaps w:val="false"/>
          <w:sz w:val="20"/>
        </w:rPr>
        <w:t>Section 11.01(a)</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(h)</w:t>
      </w:r>
      <w:r>
        <w:rPr>
          <w:rFonts w:ascii="Times New Roman;Times;Serif" w:hAnsi="Times New Roman;Times;Serif"/>
          <w:b w:val="false"/>
          <w:i w:val="false"/>
          <w:caps w:val="false"/>
          <w:smallCaps w:val="false"/>
          <w:sz w:val="20"/>
        </w:rPr>
        <w:t xml:space="preserve"> has occurred and is continuing), to any Person that is not a Defaulting Lender or a Company Competitor (that has been identified by name in writing by the Borrower to the Administrative Agent prior to the date of such Event of Default)) all or a portion of its rights and obligations under this Agreement (including all or a portion of the Loans at the time owing to it) and the other Loan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assignment shall be made to any Obligor, any Affiliate of any Obligor, any employees or directors of any Obligor at any time and no such assignment shall be made without the prior written consent of the Administrative Agent. The consent of the Borrower (such consent not to be unreasonably withheld, conditioned or delayed) shall be required unless (x) an Event of Default has occurred and is continuing at the time of such assignment or (y) such assignment is to an Eligible Transferee;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be deemed to have consented to any such assignment unless it shall object thereto by written notice to the Administrative Agent within five (5) Business Days after having received written notice thereof. Subject to the recording thereof by the Administrative Agent pursuant to </w:t>
      </w:r>
      <w:r>
        <w:rPr>
          <w:rFonts w:ascii="Times New Roman;Times;Serif" w:hAnsi="Times New Roman;Times;Serif"/>
          <w:b/>
          <w:i w:val="false"/>
          <w:caps w:val="false"/>
          <w:smallCaps w:val="false"/>
          <w:sz w:val="20"/>
        </w:rPr>
        <w:t>Section 14.05(d)</w:t>
      </w:r>
      <w:r>
        <w:rPr>
          <w:rFonts w:ascii="Times New Roman;Times;Serif" w:hAnsi="Times New Roman;Times;Serif"/>
          <w:b w:val="false"/>
          <w:i w:val="false"/>
          <w:caps w:val="false"/>
          <w:smallCaps w:val="false"/>
          <w:sz w:val="20"/>
        </w:rPr>
        <w:t>, and to receipt by the Administrative Agent of a processing and recordation fee in the amount of $3,500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Administrative Agent may, in its sole discretion, elect to waive such processing and recordation fee in the case of any assignment) from and after the date such Assignment and Assumption is recorded in the Register, the assignee thereunder shall be a party to this Agreement and, to the extent of the interest assigned by such Assignment and Assumption, have the rights and obligations of the Lender under this Agreement and the other Loan Documents, and correspondingly the assigning Lender shall, to the extent of the interest assigned by such Assignment and Assumption, be released from its obligations under this Agreement (and, in the case of an Assignment and Assumption covering all of the Lender’s rights and obligations under this Agreement, such Lender shall cease to be a party hereto) and the other Loan Documents but shall continue to be entitled to the benefits of </w:t>
      </w:r>
      <w:r>
        <w:rPr>
          <w:rFonts w:ascii="Times New Roman;Times;Serif" w:hAnsi="Times New Roman;Times;Serif"/>
          <w:b/>
          <w:i w:val="false"/>
          <w:caps w:val="false"/>
          <w:smallCaps w:val="false"/>
          <w:sz w:val="20"/>
        </w:rPr>
        <w:t>Section 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Section 14.03</w:t>
      </w:r>
      <w:r>
        <w:rPr>
          <w:rFonts w:ascii="Times New Roman;Times;Serif" w:hAnsi="Times New Roman;Times;Serif"/>
          <w:b w:val="false"/>
          <w:i w:val="false"/>
          <w:caps w:val="false"/>
          <w:smallCaps w:val="false"/>
          <w:sz w:val="20"/>
        </w:rPr>
        <w:t xml:space="preserve">. Any assignment or transfer by the Lender of rights or obligations under this Agreement that does not comply with this </w:t>
      </w:r>
      <w:r>
        <w:rPr>
          <w:rFonts w:ascii="Times New Roman;Times;Serif" w:hAnsi="Times New Roman;Times;Serif"/>
          <w:b/>
          <w:i w:val="false"/>
          <w:caps w:val="false"/>
          <w:smallCaps w:val="false"/>
          <w:sz w:val="20"/>
        </w:rPr>
        <w:t>Section 14.05(b)</w:t>
      </w:r>
      <w:r>
        <w:rPr>
          <w:rFonts w:ascii="Times New Roman;Times;Serif" w:hAnsi="Times New Roman;Times;Serif"/>
          <w:b w:val="false"/>
          <w:i w:val="false"/>
          <w:caps w:val="false"/>
          <w:smallCaps w:val="false"/>
          <w:sz w:val="20"/>
        </w:rPr>
        <w:t xml:space="preserve"> shall be treated for purposes of this Agreement as a sale by such Lender of a participation in such rights and obligations in accordance with </w:t>
      </w:r>
      <w:r>
        <w:rPr>
          <w:rFonts w:ascii="Times New Roman;Times;Serif" w:hAnsi="Times New Roman;Times;Serif"/>
          <w:b/>
          <w:i w:val="false"/>
          <w:caps w:val="false"/>
          <w:smallCaps w:val="false"/>
          <w:sz w:val="20"/>
        </w:rPr>
        <w:t>Section 14.05(e)</w:t>
      </w:r>
      <w:r>
        <w:rPr>
          <w:rFonts w:ascii="Times New Roman;Times;Serif" w:hAnsi="Times New Roman;Times;Serif"/>
          <w:b w:val="false"/>
          <w:i w:val="false"/>
          <w:caps w:val="false"/>
          <w:smallCaps w:val="false"/>
          <w:sz w:val="20"/>
        </w:rPr>
        <w:t>. If an assignee is not a Lender, the assignee shall provide the Administrative Agent with all “know your customer” documents requested by the Administrative Agent pursuant to anti-money laundering rules and regulations.</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Amendments to Loan Documents</w:t>
      </w:r>
      <w:r>
        <w:rPr>
          <w:rFonts w:ascii="Times New Roman;Times;Serif" w:hAnsi="Times New Roman;Times;Serif"/>
          <w:b w:val="false"/>
          <w:i w:val="false"/>
          <w:caps w:val="false"/>
          <w:smallCaps w:val="false"/>
          <w:sz w:val="20"/>
        </w:rPr>
        <w:t xml:space="preserve">. Each of the Administrative Agent, the Lenders and the Obligors agrees to enter into such amendments to the Loan Documents, and such additional Security Documents and other instruments and agreements, in each case in form and substance reasonably acceptable to the Administrative Agent, the Lenders and the Obligors, as shall reasonably be necessary to implement and give effect to any assignment made under this </w:t>
      </w:r>
      <w:r>
        <w:rPr>
          <w:rFonts w:ascii="Times New Roman;Times;Serif" w:hAnsi="Times New Roman;Times;Serif"/>
          <w:b/>
          <w:i w:val="false"/>
          <w:caps w:val="false"/>
          <w:smallCaps w:val="false"/>
          <w:sz w:val="20"/>
        </w:rPr>
        <w:t>Section 14.05</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The Administrative Agent, acting solely for this purpose as a non-fiduciary agent of the Borrower, shall maintain at one of its offices in the United States a copy of each Assignment and Assumption delivered to it and a register for the recordation of the names and addresses of the Lenders, and the Commitments of, and principal amounts (and stated interest) of the Loans owing to, each Lender pursuant to the terms hereof from time to time (the “</w:t>
      </w:r>
      <w:r>
        <w:rPr>
          <w:rFonts w:ascii="Times New Roman;Times;Serif" w:hAnsi="Times New Roman;Times;Serif"/>
          <w:b/>
          <w:i/>
          <w:caps w:val="false"/>
          <w:smallCaps w:val="false"/>
          <w:sz w:val="20"/>
        </w:rPr>
        <w:t>Register</w:t>
      </w:r>
      <w:r>
        <w:rPr>
          <w:rFonts w:ascii="Times New Roman;Times;Serif" w:hAnsi="Times New Roman;Times;Serif"/>
          <w:b w:val="false"/>
          <w:i w:val="false"/>
          <w:caps w:val="false"/>
          <w:smallCaps w:val="false"/>
          <w:sz w:val="20"/>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In addition, the Administrative Agent shall maintain on the Register information regarding the designation, and revocation of designation, of any Lender as a Defaulting Lender. The Register shall be available for inspection by the Borrower and any Lender, at any reasonable time and from time to time upon reasonable prior written notice. Notwithstanding anything to the contrary, any assignment of any Loan shall be effective only upon appropriate entries with respect thereto being made in the Register.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Participations</w:t>
      </w:r>
      <w:r>
        <w:rPr>
          <w:rFonts w:ascii="Times New Roman;Times;Serif" w:hAnsi="Times New Roman;Times;Serif"/>
          <w:b w:val="false"/>
          <w:i w:val="false"/>
          <w:caps w:val="false"/>
          <w:smallCaps w:val="false"/>
          <w:sz w:val="20"/>
        </w:rPr>
        <w:t>. Any Lender may at any time, without the consent of, or notice to, the Borrower, sell participations to any Eligible Transferee (other than a natural person, a Defaulting Lender or any Obligor or any of its Affiliates or Subsidiaries) (each, a “</w:t>
      </w:r>
      <w:r>
        <w:rPr>
          <w:rFonts w:ascii="Times New Roman;Times;Serif" w:hAnsi="Times New Roman;Times;Serif"/>
          <w:b/>
          <w:i/>
          <w:caps w:val="false"/>
          <w:smallCaps w:val="false"/>
          <w:sz w:val="20"/>
        </w:rPr>
        <w:t>Participant</w:t>
      </w:r>
      <w:r>
        <w:rPr>
          <w:rFonts w:ascii="Times New Roman;Times;Serif" w:hAnsi="Times New Roman;Times;Serif"/>
          <w:b w:val="false"/>
          <w:i w:val="false"/>
          <w:caps w:val="false"/>
          <w:smallCaps w:val="false"/>
          <w:sz w:val="20"/>
        </w:rPr>
        <w:t xml:space="preserve">”) in all or a portion of the Lender’s rights and/or obligations under this Agreement (including all or a portion of the Commitment and/or the Loans owing to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Lender’s obligations under this Agreement and the other Loan Documents shall remain unchanged, (ii) such Lender shall remain solely responsible to the other parties hereto for the performance of such obligations and (iii) the Borrower shall continue to deal solely and directly with such Lender in connection therewith. Any agreement or instrument pursuant to which any Lender sells such a participation shall provide that such Lender shall retain the sole right to enforce the Loan Documents and to approve any amendment, modification or waiver of any provision of the Loan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agreement or instrument may provide that such Lender will not, without the consent of the Participant, agree to any amendment, modification or waiver that would (i) increase or extend the term of such Lender’s Commitment (it being understood and agreed that a waiver of any condition precedent set forth in </w:t>
      </w:r>
      <w:r>
        <w:rPr>
          <w:rFonts w:ascii="Times New Roman;Times;Serif" w:hAnsi="Times New Roman;Times;Serif"/>
          <w:b/>
          <w:i w:val="false"/>
          <w:caps w:val="false"/>
          <w:smallCaps w:val="false"/>
          <w:sz w:val="20"/>
        </w:rPr>
        <w:t>Section 6.02</w:t>
      </w:r>
      <w:r>
        <w:rPr>
          <w:rFonts w:ascii="Times New Roman;Times;Serif" w:hAnsi="Times New Roman;Times;Serif"/>
          <w:b w:val="false"/>
          <w:i w:val="false"/>
          <w:caps w:val="false"/>
          <w:smallCaps w:val="false"/>
          <w:sz w:val="20"/>
        </w:rPr>
        <w:t xml:space="preserve"> or of any Default or Event of Default or a mandatory reduction in Commitments is not considered an increase of any Commitment), (ii) extend the date fixed for the payment of principal (excluding mandatory prepayments) of or interest on the Loans or any portion of any fee hereunder payable to the Participant, (iii) reduce the amount of any such payment of principal, or (iv) reduce the rate at which interest is payable thereon to a level below the rate at which the Participant is entitled to receive such interest (other than a waiver of default interest). Subject to </w:t>
      </w:r>
      <w:r>
        <w:rPr>
          <w:rFonts w:ascii="Times New Roman;Times;Serif" w:hAnsi="Times New Roman;Times;Serif"/>
          <w:b/>
          <w:i w:val="false"/>
          <w:caps w:val="false"/>
          <w:smallCaps w:val="false"/>
          <w:sz w:val="20"/>
        </w:rPr>
        <w:t>Section 14.05(f)</w:t>
      </w:r>
      <w:r>
        <w:rPr>
          <w:rFonts w:ascii="Times New Roman;Times;Serif" w:hAnsi="Times New Roman;Times;Serif"/>
          <w:b w:val="false"/>
          <w:i w:val="false"/>
          <w:caps w:val="false"/>
          <w:smallCaps w:val="false"/>
          <w:sz w:val="20"/>
        </w:rPr>
        <w:t xml:space="preserve">, the Borrower agrees that each Participant shall be entitled to the benefits of </w:t>
      </w:r>
      <w:r>
        <w:rPr>
          <w:rFonts w:ascii="Times New Roman;Times;Serif" w:hAnsi="Times New Roman;Times;Serif"/>
          <w:b/>
          <w:i w:val="false"/>
          <w:caps w:val="false"/>
          <w:smallCaps w:val="false"/>
          <w:sz w:val="20"/>
        </w:rPr>
        <w:t>Section 5.01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5.03</w:t>
      </w:r>
      <w:r>
        <w:rPr>
          <w:rFonts w:ascii="Times New Roman;Times;Serif" w:hAnsi="Times New Roman;Times;Serif"/>
          <w:b w:val="false"/>
          <w:i w:val="false"/>
          <w:caps w:val="false"/>
          <w:smallCaps w:val="false"/>
          <w:sz w:val="20"/>
        </w:rPr>
        <w:t xml:space="preserve"> (subject to the requirements and limitations therein, including the requirements under </w:t>
      </w:r>
      <w:r>
        <w:rPr>
          <w:rFonts w:ascii="Times New Roman;Times;Serif" w:hAnsi="Times New Roman;Times;Serif"/>
          <w:b/>
          <w:i w:val="false"/>
          <w:caps w:val="false"/>
          <w:smallCaps w:val="false"/>
          <w:sz w:val="20"/>
        </w:rPr>
        <w:t>Section 5.03(f)</w:t>
      </w:r>
      <w:r>
        <w:rPr>
          <w:rFonts w:ascii="Times New Roman;Times;Serif" w:hAnsi="Times New Roman;Times;Serif"/>
          <w:b w:val="false"/>
          <w:i w:val="false"/>
          <w:caps w:val="false"/>
          <w:smallCaps w:val="false"/>
          <w:sz w:val="20"/>
        </w:rPr>
        <w:t xml:space="preserve"> (it being understood that the documentation required under </w:t>
      </w:r>
      <w:r>
        <w:rPr>
          <w:rFonts w:ascii="Times New Roman;Times;Serif" w:hAnsi="Times New Roman;Times;Serif"/>
          <w:b/>
          <w:i w:val="false"/>
          <w:caps w:val="false"/>
          <w:smallCaps w:val="false"/>
          <w:sz w:val="20"/>
        </w:rPr>
        <w:t xml:space="preserve">Section 5.03(f) </w:t>
      </w:r>
      <w:r>
        <w:rPr>
          <w:rFonts w:ascii="Times New Roman;Times;Serif" w:hAnsi="Times New Roman;Times;Serif"/>
          <w:b w:val="false"/>
          <w:i w:val="false"/>
          <w:caps w:val="false"/>
          <w:smallCaps w:val="false"/>
          <w:sz w:val="20"/>
        </w:rPr>
        <w:t xml:space="preserve">shall be delivered to the participating Lender)) to the same extent as if it were a Lender and had acquired its interest by assignment pursuant to </w:t>
      </w:r>
      <w:r>
        <w:rPr>
          <w:rFonts w:ascii="Times New Roman;Times;Serif" w:hAnsi="Times New Roman;Times;Serif"/>
          <w:b/>
          <w:i w:val="false"/>
          <w:caps w:val="false"/>
          <w:smallCaps w:val="false"/>
          <w:sz w:val="20"/>
        </w:rPr>
        <w:t>Section 14.05(b)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Participant (i) shall not be entitled to such benefits unless such Participant agrees, for the benefit of the Borrower, to comply with the documentation requirements of </w:t>
      </w:r>
      <w:r>
        <w:rPr>
          <w:rFonts w:ascii="Times New Roman;Times;Serif" w:hAnsi="Times New Roman;Times;Serif"/>
          <w:b/>
          <w:i w:val="false"/>
          <w:caps w:val="false"/>
          <w:smallCaps w:val="false"/>
          <w:sz w:val="20"/>
        </w:rPr>
        <w:t>Section 5.03(e)(ii)</w:t>
      </w:r>
      <w:r>
        <w:rPr>
          <w:rFonts w:ascii="Times New Roman;Times;Serif" w:hAnsi="Times New Roman;Times;Serif"/>
          <w:b w:val="false"/>
          <w:i w:val="false"/>
          <w:caps w:val="false"/>
          <w:smallCaps w:val="false"/>
          <w:sz w:val="20"/>
        </w:rPr>
        <w:t xml:space="preserve"> as if it were a Lender and complies with such requirements, (ii) agrees to be subject to the provisions of </w:t>
      </w:r>
      <w:r>
        <w:rPr>
          <w:rFonts w:ascii="Times New Roman;Times;Serif" w:hAnsi="Times New Roman;Times;Serif"/>
          <w:b/>
          <w:i w:val="false"/>
          <w:caps w:val="false"/>
          <w:smallCaps w:val="false"/>
          <w:sz w:val="20"/>
        </w:rPr>
        <w:t>Section 5.04</w:t>
      </w:r>
      <w:r>
        <w:rPr>
          <w:rFonts w:ascii="Times New Roman;Times;Serif" w:hAnsi="Times New Roman;Times;Serif"/>
          <w:b w:val="false"/>
          <w:i w:val="false"/>
          <w:caps w:val="false"/>
          <w:smallCaps w:val="false"/>
          <w:sz w:val="20"/>
        </w:rPr>
        <w:t xml:space="preserve"> as if it were an assignee under </w:t>
      </w:r>
      <w:r>
        <w:rPr>
          <w:rFonts w:ascii="Times New Roman;Times;Serif" w:hAnsi="Times New Roman;Times;Serif"/>
          <w:b/>
          <w:i w:val="false"/>
          <w:caps w:val="false"/>
          <w:smallCaps w:val="false"/>
          <w:sz w:val="20"/>
        </w:rPr>
        <w:t>Section 14.05(b)</w:t>
      </w:r>
      <w:r>
        <w:rPr>
          <w:rFonts w:ascii="Times New Roman;Times;Serif" w:hAnsi="Times New Roman;Times;Serif"/>
          <w:b w:val="false"/>
          <w:i w:val="false"/>
          <w:caps w:val="false"/>
          <w:smallCaps w:val="false"/>
          <w:sz w:val="20"/>
        </w:rPr>
        <w:t xml:space="preserve"> and (iii) shall not be entitled to receive any greater payment under </w:t>
      </w:r>
      <w:r>
        <w:rPr>
          <w:rFonts w:ascii="Times New Roman;Times;Serif" w:hAnsi="Times New Roman;Times;Serif"/>
          <w:b/>
          <w:i w:val="false"/>
          <w:caps w:val="false"/>
          <w:smallCaps w:val="false"/>
          <w:sz w:val="20"/>
        </w:rPr>
        <w:t>Section 5.01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5.03</w:t>
      </w:r>
      <w:r>
        <w:rPr>
          <w:rFonts w:ascii="Times New Roman;Times;Serif" w:hAnsi="Times New Roman;Times;Serif"/>
          <w:b w:val="false"/>
          <w:i w:val="false"/>
          <w:caps w:val="false"/>
          <w:smallCaps w:val="false"/>
          <w:sz w:val="20"/>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To the extent permitted by Law, each Participant also shall be entitled to the benefits of </w:t>
      </w:r>
      <w:r>
        <w:rPr>
          <w:rFonts w:ascii="Times New Roman;Times;Serif" w:hAnsi="Times New Roman;Times;Serif"/>
          <w:b/>
          <w:i w:val="false"/>
          <w:caps w:val="false"/>
          <w:smallCaps w:val="false"/>
          <w:sz w:val="20"/>
        </w:rPr>
        <w:t>Section 4.03(a)</w:t>
      </w:r>
      <w:r>
        <w:rPr>
          <w:rFonts w:ascii="Times New Roman;Times;Serif" w:hAnsi="Times New Roman;Times;Serif"/>
          <w:b w:val="false"/>
          <w:i w:val="false"/>
          <w:caps w:val="false"/>
          <w:smallCaps w:val="false"/>
          <w:sz w:val="20"/>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Times;Serif" w:hAnsi="Times New Roman;Times;Serif"/>
          <w:b/>
          <w:i/>
          <w:caps w:val="false"/>
          <w:smallCaps w:val="false"/>
          <w:sz w:val="20"/>
        </w:rPr>
        <w:t>Participant Register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val="false"/>
          <w:caps w:val="false"/>
          <w:smallCaps w:val="false"/>
          <w:sz w:val="20"/>
        </w:rPr>
        <w:t>Limitations on Rights of Participants</w:t>
      </w:r>
      <w:r>
        <w:rPr>
          <w:rFonts w:ascii="Times New Roman;Times;Serif" w:hAnsi="Times New Roman;Times;Serif"/>
          <w:b w:val="false"/>
          <w:i w:val="false"/>
          <w:caps w:val="false"/>
          <w:smallCaps w:val="false"/>
          <w:sz w:val="20"/>
        </w:rPr>
        <w:t xml:space="preserve">. A Participant shall not be entitled to receive any greater payment under </w:t>
      </w:r>
      <w:r>
        <w:rPr>
          <w:rFonts w:ascii="Times New Roman;Times;Serif" w:hAnsi="Times New Roman;Times;Serif"/>
          <w:b/>
          <w:i w:val="false"/>
          <w:caps w:val="false"/>
          <w:smallCaps w:val="false"/>
          <w:sz w:val="20"/>
        </w:rPr>
        <w:t>Section 5.01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 xml:space="preserve">5.03 </w:t>
      </w:r>
      <w:r>
        <w:rPr>
          <w:rFonts w:ascii="Times New Roman;Times;Serif" w:hAnsi="Times New Roman;Times;Serif"/>
          <w:b w:val="false"/>
          <w:i w:val="false"/>
          <w:caps w:val="false"/>
          <w:smallCaps w:val="false"/>
          <w:sz w:val="20"/>
        </w:rPr>
        <w:t>than such Lender would have been entitled to receive with respect to the participation sold to such Participant, unless the sale of the participation to such Participant is made with the Borrower’s prior written consent.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i w:val="false"/>
          <w:caps w:val="false"/>
          <w:smallCaps w:val="false"/>
          <w:sz w:val="20"/>
        </w:rPr>
        <w:t>Certain Pledges</w:t>
      </w:r>
      <w:r>
        <w:rPr>
          <w:rFonts w:ascii="Times New Roman;Times;Serif" w:hAnsi="Times New Roman;Times;Serif"/>
          <w:b w:val="false"/>
          <w:i w:val="false"/>
          <w:caps w:val="false"/>
          <w:smallCaps w:val="false"/>
          <w:sz w:val="20"/>
        </w:rPr>
        <w:t xml:space="preserve">. Any Lender may at any time pledge or assign a security interest in all or any portion of its rights under the Loan Documents to secure obligations of such Lender, including any pledge or assignment to secure obligations to a Federal Reserve Bank;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no such pledge or assignment shall release such Lender from any of its obligations hereunder or substitute any such pledgee or assignee for such Lender as a party hereto.</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i w:val="false"/>
          <w:caps w:val="false"/>
          <w:smallCaps w:val="false"/>
          <w:sz w:val="20"/>
        </w:rPr>
        <w:t>Certain Additional Payments</w:t>
      </w:r>
      <w:r>
        <w:rPr>
          <w:rFonts w:ascii="Times New Roman;Times;Serif" w:hAnsi="Times New Roman;Times;Serif"/>
          <w:b w:val="false"/>
          <w:i w:val="false"/>
          <w:caps w:val="false"/>
          <w:smallCaps w:val="false"/>
          <w:sz w:val="20"/>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Proportionate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Proportionate Share of all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ind w:left="0" w:right="0" w:firstLine="72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14.06 Survival</w:t>
      </w:r>
      <w:r>
        <w:rPr>
          <w:rFonts w:ascii="Times New Roman;Times;Serif" w:hAnsi="Times New Roman;Times;Serif"/>
          <w:b w:val="false"/>
          <w:i w:val="false"/>
          <w:caps w:val="false"/>
          <w:smallCaps w:val="false"/>
          <w:sz w:val="20"/>
        </w:rPr>
        <w:t xml:space="preserve">. The obligations of the Borrower under </w:t>
      </w:r>
      <w:r>
        <w:rPr>
          <w:rFonts w:ascii="Times New Roman;Times;Serif" w:hAnsi="Times New Roman;Times;Serif"/>
          <w:b/>
          <w:i w:val="false"/>
          <w:caps w:val="false"/>
          <w:smallCaps w:val="false"/>
          <w:sz w:val="20"/>
        </w:rPr>
        <w:t>Sections 5.01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5.03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14.03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14.05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14.06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14.09</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14.10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14.11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14.12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14.13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14.14</w:t>
      </w:r>
      <w:r>
        <w:rPr>
          <w:rFonts w:ascii="Times New Roman;Times;Serif" w:hAnsi="Times New Roman;Times;Serif"/>
          <w:b w:val="false"/>
          <w:i w:val="false"/>
          <w:caps w:val="false"/>
          <w:smallCaps w:val="false"/>
          <w:sz w:val="20"/>
        </w:rPr>
        <w:t xml:space="preserve"> and the obligations of the Guarantors under </w:t>
      </w:r>
      <w:r>
        <w:rPr>
          <w:rFonts w:ascii="Times New Roman;Times;Serif" w:hAnsi="Times New Roman;Times;Serif"/>
          <w:b/>
          <w:i w:val="false"/>
          <w:caps w:val="false"/>
          <w:smallCaps w:val="false"/>
          <w:sz w:val="20"/>
        </w:rPr>
        <w:t>Section 13</w:t>
      </w:r>
      <w:r>
        <w:rPr>
          <w:rFonts w:ascii="Times New Roman;Times;Serif" w:hAnsi="Times New Roman;Times;Serif"/>
          <w:b w:val="false"/>
          <w:i w:val="false"/>
          <w:caps w:val="false"/>
          <w:smallCaps w:val="false"/>
          <w:sz w:val="20"/>
        </w:rPr>
        <w:t xml:space="preserve"> (solely to the extent guaranteeing any of the obligations under the foregoing Sections) shall survive the repayment of the Obligations and the termination of the Commitments and, in the case of the Lenders’ assignment of any interest in the Commitments or the Loans hereunder, shall survive, in the case of any event or circumstance that occurred prior to the effective date of such assignment, the making of such assignment, notwithstanding that the Lenders may cease to be “Lenders” hereunder. In addition, each representation and warranty made, or deemed to be made by a Borrowing Notice, herein or pursuant hereto shall survive the making of such representation and warranty.</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14.07 Captions</w:t>
      </w:r>
      <w:r>
        <w:rPr>
          <w:rFonts w:ascii="Times New Roman;Times;Serif" w:hAnsi="Times New Roman;Times;Serif"/>
          <w:b w:val="false"/>
          <w:i w:val="false"/>
          <w:caps w:val="false"/>
          <w:smallCaps w:val="false"/>
          <w:sz w:val="20"/>
        </w:rPr>
        <w:t>. The table of contents and captions and section headings appearing herein are included solely for convenience of reference and are not intended to affect the interpretation of any provision of this Agreement.</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14.08 Counterparts, Effectiveness</w:t>
      </w:r>
      <w:r>
        <w:rPr>
          <w:rFonts w:ascii="Times New Roman;Times;Serif" w:hAnsi="Times New Roman;Times;Serif"/>
          <w:b w:val="false"/>
          <w:i w:val="false"/>
          <w:caps w:val="false"/>
          <w:smallCaps w:val="false"/>
          <w:sz w:val="20"/>
        </w:rPr>
        <w:t>. This Agreement may be executed in any number of counterparts (including electronic imaging means), all of which taken together shall constitute one and the same instrument and any of the parties hereto may execute this Agreement by signing any such counterpart. Delivery of an executed signature page of this Agreement by electronic transmission (e.g. “pdf” or “tif” format) shall be effective as delivery of a manually executed counterpart hereof. The words “execution,” “execute”, “signed,” “signature,” and words of like import in or related to any document to be signed in connection with this Agreement and the other Loan Documents and the transactions contemplated hereby and thereby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14.09 Governing Law</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This Agreement and the rights and obligations of the parties hereunder shall be governed by, and construed in accordance with, the law of the State of New York, without regard to principles of conflicts of laws that would result in the application of the laws of any other jurisdiction; provided that Section 5-1401 of the New York General Obligations Law shall apply.</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14.10 Jurisdiction, Service of Process and Venue</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Submission to Jurisdiction</w:t>
      </w:r>
      <w:r>
        <w:rPr>
          <w:rFonts w:ascii="Times New Roman;Times;Serif" w:hAnsi="Times New Roman;Times;Serif"/>
          <w:b w:val="false"/>
          <w:i w:val="false"/>
          <w:caps w:val="false"/>
          <w:smallCaps w:val="false"/>
          <w:sz w:val="20"/>
        </w:rPr>
        <w:t>. Each party hereby irrevocably and unconditionally agrees that it will not commence any action, litigation or proceeding of any kind or description, whether in law or equity, whether in contract or tort or otherwise, against such other party in any way relating to this Agreement or any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exclusive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Service of Process</w:t>
      </w:r>
      <w:r>
        <w:rPr>
          <w:rFonts w:ascii="Times New Roman;Times;Serif" w:hAnsi="Times New Roman;Times;Serif"/>
          <w:b w:val="false"/>
          <w:i w:val="false"/>
          <w:caps w:val="false"/>
          <w:smallCaps w:val="false"/>
          <w:sz w:val="20"/>
        </w:rPr>
        <w:t xml:space="preserve">. Each party hereto irrevocably consents to service of process in the manner provided for notices in </w:t>
      </w:r>
      <w:r>
        <w:rPr>
          <w:rFonts w:ascii="Times New Roman;Times;Serif" w:hAnsi="Times New Roman;Times;Serif"/>
          <w:b/>
          <w:i w:val="false"/>
          <w:caps w:val="false"/>
          <w:smallCaps w:val="false"/>
          <w:sz w:val="20"/>
        </w:rPr>
        <w:t>Section 14.02</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Nothing in this Agreement will affect the right of any party hereto to serve process in any other manner permitted by applicable Law.</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Waiver of Venue, Etc</w:t>
      </w:r>
      <w:r>
        <w:rPr>
          <w:rFonts w:ascii="Times New Roman;Times;Serif" w:hAnsi="Times New Roman;Times;Serif"/>
          <w:b w:val="false"/>
          <w:i w:val="false"/>
          <w:caps w:val="false"/>
          <w:smallCaps w:val="false"/>
          <w:sz w:val="20"/>
        </w:rPr>
        <w:t>. Each party hereto irrevocably waives to the fullest extent permitted by law any objection that it may now or hereafter have to the laying of the venue of any suit, action or proceeding arising out of or relating to this Agreement or any other Loan Document and hereby further irrevocably waives to the fullest extent permitted by law any claim that any such suit, action or proceeding brought in any such court has been brought in an inconvenient forum. A final judgment (in respect of which time for all appeals has elapsed) in any such suit, action or proceeding shall be conclusive and may be enforced in any court to the jurisdiction of which such party is or may be subject, by suit upon judgment.</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14.11 Waiver of Jury Trial</w:t>
      </w:r>
      <w:r>
        <w:rPr>
          <w:rFonts w:ascii="Times New Roman;Times;Serif" w:hAnsi="Times New Roman;Times;Serif"/>
          <w:b w:val="false"/>
          <w:i w:val="false"/>
          <w:caps w:val="false"/>
          <w:smallCaps w:val="false"/>
          <w:sz w:val="20"/>
        </w:rPr>
        <w:t>. EACH PARTY HERETO HEREBY IRREVOCABLY WAIVES, TO THE FULLEST EXTENT PERMITTED BY APPLICABLE LAW, ANY AND ALL RIGHT TO TRIAL BY JURY IN ANY SUIT, ACTION OR PROCEEDING ARISING OUT OF OR RELATING TO THIS AGREEMENT, THE OTHER LOAN DOCUMENTS OR THE TRANSACTIONS CONTEMPLATED HEREBY OR THEREBY.</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14.12 Waiver of Immunity</w:t>
      </w:r>
      <w:r>
        <w:rPr>
          <w:rFonts w:ascii="Times New Roman;Times;Serif" w:hAnsi="Times New Roman;Times;Serif"/>
          <w:b w:val="false"/>
          <w:i w:val="false"/>
          <w:caps w:val="false"/>
          <w:smallCaps w:val="false"/>
          <w:sz w:val="20"/>
        </w:rPr>
        <w:t>. To the extent that any Obligor may be or become entitled to claim for itself or its property or revenues any immunity on the ground of sovereignty or the like from suit, court jurisdiction, attachment prior to judgment, attachment in aid of execution of a judgment or execution of a judgment, and to the extent that in any such jurisdiction there may be attributed such an immunity (whether or not claimed), such Obligor hereby irrevocably agrees not to claim and hereby irrevocably waives such immunity with respect to its obligations under this Agreement and the other Loan Documents.</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14.13 Entire Agreement</w:t>
      </w:r>
      <w:r>
        <w:rPr>
          <w:rFonts w:ascii="Times New Roman;Times;Serif" w:hAnsi="Times New Roman;Times;Serif"/>
          <w:b w:val="false"/>
          <w:i w:val="false"/>
          <w:caps w:val="false"/>
          <w:smallCaps w:val="false"/>
          <w:sz w:val="20"/>
        </w:rPr>
        <w:t>. This Agreement and the other Loan Documents constitute the entire agreement among the parties with respect to the subject matter hereof and thereof and supersede any and all previous agreements and understandings, oral or written, relating to the subject matter hereof, including any confidentiality (or similar) agreements. EACH OBLIGOR ACKNOWLEDGES, REPRESENTS AND WARRANTS THAT IN DECIDING TO ENTER INTO THIS AGREEMENT AND THE OTHER LOAN DOCUMENTS OR IN TAKING OR NOT TAKING ANY ACTION HEREUNDER OR THEREUNDER, IT HAS NOT RELIED, AND WILL NOT RELY, ON ANY STATEMENT, REPRESENTATION, WARRANTY, COVENANT, AGREEMENT OR UNDERSTANDING, WHETHER WRITTEN OR ORAL, OF OR WITH ADMINISTRATIVE AGENT OR THE LENDERS OTHER THAN THOSE EXPRESSLY SET FORTH IN THIS AGREEMENT AND THE OTHER LOAN DOCUMENTS.</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14.14 Severability</w:t>
      </w:r>
      <w:r>
        <w:rPr>
          <w:rFonts w:ascii="Times New Roman;Times;Serif" w:hAnsi="Times New Roman;Times;Serif"/>
          <w:b w:val="false"/>
          <w:i w:val="false"/>
          <w:caps w:val="false"/>
          <w:smallCaps w:val="false"/>
          <w:sz w:val="20"/>
        </w:rPr>
        <w:t xml:space="preserve">. If any provision hereof is found by a court to be invalid or unenforceable, to the fullest extent permitted by any Law the parties agree that such invalidity or unenforceability shall not impair the validity or enforceability of any other provision hereof. Without limiting the foregoing provisions of this </w:t>
      </w:r>
      <w:r>
        <w:rPr>
          <w:rFonts w:ascii="Times New Roman;Times;Serif" w:hAnsi="Times New Roman;Times;Serif"/>
          <w:b/>
          <w:i w:val="false"/>
          <w:caps w:val="false"/>
          <w:smallCaps w:val="false"/>
          <w:sz w:val="20"/>
        </w:rPr>
        <w:t>Section 14.14</w:t>
      </w:r>
      <w:r>
        <w:rPr>
          <w:rFonts w:ascii="Times New Roman;Times;Serif" w:hAnsi="Times New Roman;Times;Serif"/>
          <w:b w:val="false"/>
          <w:i w:val="false"/>
          <w:caps w:val="false"/>
          <w:smallCaps w:val="false"/>
          <w:sz w:val="20"/>
        </w:rPr>
        <w:t>, if and to the extent that the enforceability of any provisions in this Agreement relating to Defaulting Lenders shall be limited by the Bankruptcy Code, or any other liquidation, conservatorship, bankruptcy, assignment for the benefit of creditors, examinership, moratorium, rearrangement, receivership, insolvency, reorganization, or similar debtor relief Laws of the United States or other applicable jurisdictions from time to time in effect, as determined in good faith by the Administrative Agent, then such provisions shall be deemed to be in effect only to the extent not so limited.</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14.15 No Fiduciary Relationship</w:t>
      </w:r>
      <w:r>
        <w:rPr>
          <w:rFonts w:ascii="Times New Roman;Times;Serif" w:hAnsi="Times New Roman;Times;Serif"/>
          <w:b w:val="false"/>
          <w:i w:val="false"/>
          <w:caps w:val="false"/>
          <w:smallCaps w:val="false"/>
          <w:sz w:val="20"/>
        </w:rPr>
        <w:t>. The Borrower acknowledges that the Administrative Agent and the Lenders have no fiduciary relationship with, or fiduciary duty to, the Borrower arising out of or in connection with this Agreement or the other Loan Documents, and the relationship between the Lenders and the Borrower is solely that of creditor and debtor. This Agreement and the other Loan Documents do not create a joint venture among the parties.</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14.16 Confidentiality</w:t>
      </w:r>
      <w:r>
        <w:rPr>
          <w:rFonts w:ascii="Times New Roman;Times;Serif" w:hAnsi="Times New Roman;Times;Serif"/>
          <w:b w:val="false"/>
          <w:i w:val="false"/>
          <w:caps w:val="false"/>
          <w:smallCaps w:val="false"/>
          <w:sz w:val="20"/>
        </w:rPr>
        <w:t xml:space="preserve">. The Administrative Agent and each Lender agree to keep confidential, and not disclose to any Person all non-public information provided to them by or on behalf of any Obligor pursuant to this Agreement that is designated by such Obligor as confidential in accordance with its customary procedures for handling its own confidential information;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herein shall prevent the Administrative Agent or any Lender from disclosing any such information (i) to the Administrative Agent, any other Lender, any Affiliate of a Lender or subject to an agreement to comply with the provisions of this Section, any Eligible Transferee or other assignee permitted under </w:t>
      </w:r>
      <w:r>
        <w:rPr>
          <w:rFonts w:ascii="Times New Roman;Times;Serif" w:hAnsi="Times New Roman;Times;Serif"/>
          <w:b/>
          <w:i w:val="false"/>
          <w:caps w:val="false"/>
          <w:smallCaps w:val="false"/>
          <w:sz w:val="20"/>
        </w:rPr>
        <w:t>Section 14.05(b)</w:t>
      </w:r>
      <w:r>
        <w:rPr>
          <w:rFonts w:ascii="Times New Roman;Times;Serif" w:hAnsi="Times New Roman;Times;Serif"/>
          <w:b w:val="false"/>
          <w:i w:val="false"/>
          <w:caps w:val="false"/>
          <w:smallCaps w:val="false"/>
          <w:sz w:val="20"/>
        </w:rPr>
        <w:t>, (ii) subject to an agreement to comply with the provisions of this Section, to any actual or prospective direct or indirect counterparty to any Hedging Agreement (or any professional advisor to such counterparty), (iii) to its employees, officers, directors or agents (provided that such Persons were informed of the confidential nature of such confidential information and instructed to keep such information confidential), or its attorneys, accountants, trustees and other professional advisors or those of any of its affiliates (provided that such Persons were informed of the confidential nature of such confidential information and instructed to keep such information confidential or are otherwise subject to professional obligations to maintain the confidentiality of such confidential information) (collectively, its “</w:t>
      </w:r>
      <w:r>
        <w:rPr>
          <w:rFonts w:ascii="Times New Roman;Times;Serif" w:hAnsi="Times New Roman;Times;Serif"/>
          <w:b/>
          <w:i/>
          <w:caps w:val="false"/>
          <w:smallCaps w:val="false"/>
          <w:sz w:val="20"/>
        </w:rPr>
        <w:t>Related Parties</w:t>
      </w:r>
      <w:r>
        <w:rPr>
          <w:rFonts w:ascii="Times New Roman;Times;Serif" w:hAnsi="Times New Roman;Times;Serif"/>
          <w:b w:val="false"/>
          <w:i w:val="false"/>
          <w:caps w:val="false"/>
          <w:smallCaps w:val="false"/>
          <w:sz w:val="20"/>
        </w:rPr>
        <w:t xml:space="preserve">”), (iv) upon the request or demand of any Governmental Authority or any Regulatory Authority purporting to have jurisdiction over such Person or its Related Parties (including any self-regulatory authority, such as the National Association of Insurance Commissioners), (v) in response to any order of any court or other Governmental Authority or as may otherwise be required pursuant to any Law, (vi) if requested or required to do so in connection with any litigation or similar proceeding, (vii) that has been publicly disclosed (other than as a result of a disclosure in violation of this </w:t>
      </w:r>
      <w:r>
        <w:rPr>
          <w:rFonts w:ascii="Times New Roman;Times;Serif" w:hAnsi="Times New Roman;Times;Serif"/>
          <w:b/>
          <w:i w:val="false"/>
          <w:caps w:val="false"/>
          <w:smallCaps w:val="false"/>
          <w:sz w:val="20"/>
        </w:rPr>
        <w:t>Section 14.16</w:t>
      </w:r>
      <w:r>
        <w:rPr>
          <w:rFonts w:ascii="Times New Roman;Times;Serif" w:hAnsi="Times New Roman;Times;Serif"/>
          <w:b w:val="false"/>
          <w:i w:val="false"/>
          <w:caps w:val="false"/>
          <w:smallCaps w:val="false"/>
          <w:sz w:val="20"/>
        </w:rPr>
        <w:t xml:space="preserve">), (viii) to the National Association of Insurance Commissioners or any similar organization or any nationally recognized rating agency that requires access to information about a Lender’s investment portfolio in connection with ratings issued with respect to such Lender, (ix) in connection with the exercise of any remedy hereunder or under any other Loan Document, (x) on a confidential basis to (A) any rating agency in connection with rating the Borrower or its Subsidiaries or the Loans or (B) the CUSIP Service Bureau or any similar agency in connection with the issuance and monitoring of CUSIP numbers of other market identifiers with respect to the Loans or (xi) to any other party hereto;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 xml:space="preserve">that, in the case of disclosure pursuant to </w:t>
      </w:r>
      <w:r>
        <w:rPr>
          <w:rFonts w:ascii="Times New Roman;Times;Serif" w:hAnsi="Times New Roman;Times;Serif"/>
          <w:b/>
          <w:i w:val="false"/>
          <w:caps w:val="false"/>
          <w:smallCaps w:val="false"/>
          <w:sz w:val="20"/>
        </w:rPr>
        <w:t xml:space="preserve">clause (iv), (v)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 xml:space="preserve">(vi) </w:t>
      </w:r>
      <w:r>
        <w:rPr>
          <w:rFonts w:ascii="Times New Roman;Times;Serif" w:hAnsi="Times New Roman;Times;Serif"/>
          <w:b w:val="false"/>
          <w:i w:val="false"/>
          <w:caps w:val="false"/>
          <w:smallCaps w:val="false"/>
          <w:sz w:val="20"/>
        </w:rPr>
        <w:t>above, the Administrative Agent or applicable Lender, as applicable, shall promptly provide notice to the Borrower to the extent reasonable and not prohibited by Law or any applicable Governmental Authority.</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14.17 Interest Rate Limitation</w:t>
      </w:r>
      <w:r>
        <w:rPr>
          <w:rFonts w:ascii="Times New Roman;Times;Serif" w:hAnsi="Times New Roman;Times;Serif"/>
          <w:b w:val="false"/>
          <w:i w:val="false"/>
          <w:caps w:val="false"/>
          <w:smallCaps w:val="false"/>
          <w:sz w:val="20"/>
        </w:rPr>
        <w:t>. Notwithstanding anything herein to the contrary, if at any time the interest rate applicable to any Loan, together with all fees, charges and other amounts that are treated as interest on such Loan under applicable Law (collectively, “</w:t>
      </w:r>
      <w:r>
        <w:rPr>
          <w:rFonts w:ascii="Times New Roman;Times;Serif" w:hAnsi="Times New Roman;Times;Serif"/>
          <w:b/>
          <w:i/>
          <w:caps w:val="false"/>
          <w:smallCaps w:val="false"/>
          <w:sz w:val="20"/>
        </w:rPr>
        <w:t>charges</w:t>
      </w:r>
      <w:r>
        <w:rPr>
          <w:rFonts w:ascii="Times New Roman;Times;Serif" w:hAnsi="Times New Roman;Times;Serif"/>
          <w:b w:val="false"/>
          <w:i w:val="false"/>
          <w:caps w:val="false"/>
          <w:smallCaps w:val="false"/>
          <w:sz w:val="20"/>
        </w:rPr>
        <w:t>”), shall exceed the maximum lawful rate (the “</w:t>
      </w:r>
      <w:r>
        <w:rPr>
          <w:rFonts w:ascii="Times New Roman;Times;Serif" w:hAnsi="Times New Roman;Times;Serif"/>
          <w:b/>
          <w:i/>
          <w:caps w:val="false"/>
          <w:smallCaps w:val="false"/>
          <w:sz w:val="20"/>
        </w:rPr>
        <w:t>Maximum Rate</w:t>
      </w:r>
      <w:r>
        <w:rPr>
          <w:rFonts w:ascii="Times New Roman;Times;Serif" w:hAnsi="Times New Roman;Times;Serif"/>
          <w:b w:val="false"/>
          <w:i w:val="false"/>
          <w:caps w:val="false"/>
          <w:smallCaps w:val="false"/>
          <w:sz w:val="20"/>
        </w:rPr>
        <w:t>”) that may be contracted for, charged, taken, received or reserved by the Administrative Agent and the Lender holding such Loan in accordance with applicable Law, the rate of interest payable in respect of such Loan hereunder, together with all charges payable in respect thereof, shall be limited to the Maximum Rate. To the extent lawful, the interest and charges that would have been paid in respect of such Loan but were not paid as a result of the operation of this Section shall be cumulated and the interest and charges payable to such Lender in respect of other Loans or periods shall be increased (but not above the amount collectible at the Maximum Rate therefor) until such cumulated amount, together with interest thereon at the Federal Funds Effective Rate for each day to the date of repayment, shall have been received by such Lender. Any amount collected by such Lender that exceeds the maximum amount collectible at the Maximum Rate shall be applied to the reduction of the principal balance of such Loan so that at no time shall the interest and charges paid or payable in respect of such Loan exceed the maximum amount collectible at the Maximum Rate.</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14.18 Judgment Currency</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for the purposes of obtaining judgment in any court, it is necessary to convert a sum due hereunder in Dollars into another currency, the parties hereto agree, to the fullest extent permitted by Law, that the rate of exchange used shall be that at which, in accordance with normal banking procedures, the Administrative Agent could purchase Dollars with such other currency at the buying spot rate of exchange in the New York foreign exchange market on the Business Day immediately preceding that on which any such judgment, or any relevant part thereof, is given.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obligations of the Obligors in respect of any sum due to the Administrative Agent hereunder and under the other Loan Documents shall, notwithstanding any judgment in a currency other than Dollars, be discharged only to the extent that on the Business Day following receipt by the Administrative Agent of any sum adjudged to be so due in such other currency the Administrative Agent may, in accordance with normal banking procedures, purchase Dollars with such other currency. If the amount of Dollars so purchased is less than the sum originally due to the Administrative Agent in Dollars, the Borrower agrees, to the fullest extent that it may effectively do so, as a separate obligation and notwithstanding any such judgment, to indemnify the Administrative Agent against such loss. If the amount of Dollars so purchased exceeds the sum originally due to the Administrative Agent in Dollars, the Administrative Agent shall remit such excess to the Borrower.</w:t>
      </w:r>
    </w:p>
    <w:p>
      <w:pPr>
        <w:pStyle w:val="TextBody"/>
        <w:bidi w:val="0"/>
        <w:ind w:left="0" w:right="0" w:firstLine="72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14.19 USA PATRIOT Act</w:t>
      </w:r>
      <w:r>
        <w:rPr>
          <w:rFonts w:ascii="Times New Roman;Times;Serif" w:hAnsi="Times New Roman;Times;Serif"/>
          <w:b w:val="false"/>
          <w:i w:val="false"/>
          <w:caps w:val="false"/>
          <w:smallCaps w:val="false"/>
          <w:sz w:val="20"/>
        </w:rPr>
        <w:t>. The Administrative Agent and the Lenders hereby notify the Obligors that pursuant to the requirements of the USA PATRIOT Act (Title III of Pub. L. 107-56 (signed into law October 26, 2001)) (the “</w:t>
      </w:r>
      <w:r>
        <w:rPr>
          <w:rFonts w:ascii="Times New Roman;Times;Serif" w:hAnsi="Times New Roman;Times;Serif"/>
          <w:b/>
          <w:i/>
          <w:caps w:val="false"/>
          <w:smallCaps w:val="false"/>
          <w:sz w:val="20"/>
        </w:rPr>
        <w:t>Patriot Act</w:t>
      </w:r>
      <w:r>
        <w:rPr>
          <w:rFonts w:ascii="Times New Roman;Times;Serif" w:hAnsi="Times New Roman;Times;Serif"/>
          <w:b w:val="false"/>
          <w:i w:val="false"/>
          <w:caps w:val="false"/>
          <w:smallCaps w:val="false"/>
          <w:sz w:val="20"/>
        </w:rPr>
        <w:t>”), they are required to obtain, verify and record information that identifies the Obligors, which information includes the name and address of each Obligor and other information that will allow such Person to identify such Obligor in accordance with the Patriot Act.</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14.20 Acknowledgement and Consent to Bail-In of Affected Financial Institutions</w:t>
      </w:r>
      <w:r>
        <w:rPr>
          <w:rFonts w:ascii="Times New Roman;Times;Serif" w:hAnsi="Times New Roman;Times;Serif"/>
          <w:b w:val="false"/>
          <w:i w:val="false"/>
          <w:caps w:val="false"/>
          <w:smallCaps w:val="false"/>
          <w:sz w:val="20"/>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application of any Write-Down and Conversion Powers by the applicable Resolution Authority to any such liabilities arising hereunder which may be payable to it by any party hereto that is an EEA Financial Institution; and</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effects of any Bail-In Action on any such liability, including, if applicable:</w:t>
      </w:r>
    </w:p>
    <w:p>
      <w:pPr>
        <w:pStyle w:val="TextBody"/>
        <w:bidi w:val="0"/>
        <w:ind w:left="0" w:right="0" w:firstLine="720"/>
        <w:jc w:val="both"/>
        <w:rPr>
          <w:caps w:val="false"/>
          <w:smallCaps w:val="false"/>
        </w:rPr>
      </w:pPr>
      <w:r>
        <w:rPr>
          <w:caps w:val="false"/>
          <w:smallCaps w:val="false"/>
        </w:rPr>
        <w:t> </w:t>
      </w:r>
    </w:p>
    <w:p>
      <w:pPr>
        <w:pStyle w:val="TextBody"/>
        <w:bidi w:val="0"/>
        <w:ind w:left="119"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reduction in full or in part or cancellation of any such liability;</w:t>
      </w:r>
    </w:p>
    <w:p>
      <w:pPr>
        <w:pStyle w:val="TextBody"/>
        <w:bidi w:val="0"/>
        <w:ind w:left="2280" w:right="0" w:hanging="721"/>
        <w:jc w:val="both"/>
        <w:rPr>
          <w:caps w:val="false"/>
          <w:smallCaps w:val="false"/>
        </w:rPr>
      </w:pPr>
      <w:r>
        <w:rPr>
          <w:caps w:val="false"/>
          <w:smallCaps w:val="false"/>
        </w:rPr>
        <w:t> </w:t>
      </w:r>
    </w:p>
    <w:p>
      <w:pPr>
        <w:pStyle w:val="TextBody"/>
        <w:bidi w:val="0"/>
        <w:ind w:left="119"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ind w:left="119" w:right="0" w:firstLine="1440"/>
        <w:jc w:val="both"/>
        <w:rPr>
          <w:caps w:val="false"/>
          <w:smallCaps w:val="false"/>
        </w:rPr>
      </w:pPr>
      <w:r>
        <w:rPr>
          <w:caps w:val="false"/>
          <w:smallCaps w:val="false"/>
        </w:rPr>
        <w:t> </w:t>
      </w:r>
    </w:p>
    <w:p>
      <w:pPr>
        <w:pStyle w:val="TextBody"/>
        <w:bidi w:val="0"/>
        <w:ind w:left="119"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variation of the terms of such liability in connection with the exercise of the Write-Down and Conversion Powers of any the applicable Resolution Authority.</w:t>
      </w:r>
    </w:p>
    <w:p>
      <w:pPr>
        <w:pStyle w:val="TextBody"/>
        <w:bidi w:val="0"/>
        <w:ind w:left="119" w:right="0" w:firstLine="144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14.21 Certain ERISA Matters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Person that becomes party hereto after the date hereof as a Lender (x) represents and warrants, as of the date such Person became a Lender party hereto, to, and (y) covenants, from the date such Person became a Lender party hereto to the date such Person ceases being a Lender party hereto, for the benefit of, the Administrative Agent and its Affiliates, and not, for the avoidance of doubt, to or for the benefit of Obligors, that at least one of the following is and will be true: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Lender is not using “plan assets” (within the meaning of Section 3(42) of ERISA or otherwise) of one or more Employee Benefit Plans with respect to such Lender’s entrance into, participation in, administration of and performance of the Loans, the Notes or this Agreement;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Notes and this Agreement;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Notes and this Agreement, (C) the entrance into, participation in, administration of and performance of the Loans, the Notes and this Agreement satisfies the requirements of sub-sections (b) through (g) of Part I of PTE 84- 14 and (D) to the best knowledge of such Lender, the requirements of subsection (a) of Part I of PTE 84-14 are satisfied with respect to such Lender’s entrance into, participation in, administration of and performance of the Loans, the Notes and this Agreement; or</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other representation, warranty and covenant as may be agreed in writing between the Administrative Agent, in its sole discretion, and such Lender.</w:t>
      </w:r>
    </w:p>
    <w:p>
      <w:pPr>
        <w:pStyle w:val="TextBody"/>
        <w:bidi w:val="0"/>
        <w:ind w:left="0" w:right="0" w:firstLine="144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unless either (1) sub-clause (i) in the immediately preceding clause (a) is true with respect to a Lender making the representation in clause (a) or (2) a Lender making the representation in clause (a)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its Affiliates, and not, for the avoidance of doubt, to or for the benefit of the Borrower, that none of the Administrative Agent or its Affiliates is a fiduciary with respect to the assets of such Lender involved in such Lender’s entrance into, participation in, administration of and performance of the Loans, the Notes and this Agreement (including in connection with the reservation or exercise of any rights by the Administrative Agent under this Agreement, any other Loan Documents or any documents related hereto or thereto).</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and delivered as of the day and year first above written.</w:t>
      </w:r>
    </w:p>
    <w:p>
      <w:pPr>
        <w:pStyle w:val="TextBody"/>
        <w:bidi w:val="0"/>
        <w:jc w:val="both"/>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75"/>
        <w:gridCol w:w="545"/>
        <w:gridCol w:w="303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58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caps w:val="false"/>
                <w:smallCaps w:val="false"/>
              </w:rPr>
            </w:pPr>
            <w:r>
              <w:rPr>
                <w:caps w:val="false"/>
                <w:smallCaps w:val="false"/>
              </w:rPr>
              <w:t> </w:t>
            </w:r>
          </w:p>
        </w:tc>
        <w:tc>
          <w:tcPr>
            <w:tcW w:w="30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580" w:type="dxa"/>
            <w:gridSpan w:val="2"/>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HARROW HEALTH, INC.</w:t>
            </w:r>
            <w:r>
              <w:rPr>
                <w:rFonts w:ascii="Times New Roman;Times;Serif" w:hAnsi="Times New Roman;Times;Serif"/>
                <w:b w:val="false"/>
                <w:i w:val="false"/>
                <w:caps w:val="false"/>
                <w:smallCaps w:val="false"/>
                <w:sz w:val="20"/>
              </w:rPr>
              <w:t>,</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caps w:val="false"/>
                <w:smallCaps w:val="false"/>
              </w:rPr>
            </w:pPr>
            <w:r>
              <w:rPr>
                <w:caps w:val="false"/>
                <w:smallCaps w:val="false"/>
              </w:rPr>
              <w:t> </w:t>
            </w:r>
          </w:p>
        </w:tc>
        <w:tc>
          <w:tcPr>
            <w:tcW w:w="30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caps w:val="false"/>
                <w:smallCaps w:val="false"/>
              </w:rPr>
            </w:pPr>
            <w:r>
              <w:rPr>
                <w:caps w:val="false"/>
                <w:smallCaps w:val="false"/>
              </w:rPr>
              <w:t> </w:t>
            </w:r>
          </w:p>
        </w:tc>
        <w:tc>
          <w:tcPr>
            <w:tcW w:w="30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35" w:type="dxa"/>
            <w:tcBorders/>
            <w:vAlign w:val="center"/>
          </w:tcPr>
          <w:p>
            <w:pPr>
              <w:pStyle w:val="TableContents"/>
              <w:pBdr>
                <w:bottom w:val="single" w:sz="12"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Andrew R. Boll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Boll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Secretary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caps w:val="false"/>
                <w:smallCaps w:val="false"/>
              </w:rPr>
            </w:pPr>
            <w:r>
              <w:rPr>
                <w:caps w:val="false"/>
                <w:smallCaps w:val="false"/>
              </w:rPr>
              <w:t> </w:t>
            </w:r>
          </w:p>
        </w:tc>
        <w:tc>
          <w:tcPr>
            <w:tcW w:w="30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580" w:type="dxa"/>
            <w:gridSpan w:val="2"/>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br/>
              <w:t>c/o Harrow Health, Inc.</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Woodmont Blvd., Suite 610</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Nashville, TN 37205</w:t>
              <w:br/>
              <w:t>Attn: Andrew R. Boll</w:t>
              <w:br/>
              <w:t xml:space="preserve">Email: </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Holland &amp; Knight LLP</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 Union Street, Suite 2700</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Nashville, TN 37219</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Elle McCulty</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75"/>
        <w:gridCol w:w="545"/>
        <w:gridCol w:w="303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58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SUBSIDIARY GUARANTOR(S):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caps w:val="false"/>
                <w:smallCaps w:val="false"/>
              </w:rPr>
            </w:pPr>
            <w:r>
              <w:rPr>
                <w:caps w:val="false"/>
                <w:smallCaps w:val="false"/>
              </w:rPr>
              <w:t> </w:t>
            </w:r>
          </w:p>
        </w:tc>
        <w:tc>
          <w:tcPr>
            <w:tcW w:w="30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580" w:type="dxa"/>
            <w:gridSpan w:val="2"/>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HARROW IP, LLC</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a Delaware limited liability company</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HARROW EYE, LLC</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a Delaware limited liability company</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VISIONOLOGY EQUITY, LLC</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a Delaware limited liability company</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VISIONOLOGY, INC.</w:t>
            </w:r>
            <w:r>
              <w:rPr>
                <w:rFonts w:ascii="Times New Roman;Times;Serif" w:hAnsi="Times New Roman;Times;Serif"/>
                <w:b w:val="false"/>
                <w:i w:val="false"/>
                <w:caps w:val="false"/>
                <w:smallCaps w:val="false"/>
                <w:sz w:val="20"/>
              </w:rPr>
              <w:t>,</w:t>
              <w:br/>
              <w:t>a Delaware corporation</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VISIONOLOGY MSO, INC.</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a Delaware corporation</w:t>
            </w:r>
          </w:p>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35" w:type="dxa"/>
            <w:tcBorders/>
            <w:vAlign w:val="center"/>
          </w:tcPr>
          <w:p>
            <w:pPr>
              <w:pStyle w:val="TableContents"/>
              <w:pBdr>
                <w:bottom w:val="single" w:sz="12"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Andrew R. Boll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Boll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Secretary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580" w:type="dxa"/>
            <w:gridSpan w:val="2"/>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HARROW EYE, LLC</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a Delaware limited liability company</w:t>
            </w:r>
          </w:p>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35" w:type="dxa"/>
            <w:tcBorders/>
            <w:vAlign w:val="center"/>
          </w:tcPr>
          <w:p>
            <w:pPr>
              <w:pStyle w:val="TableContents"/>
              <w:pBdr>
                <w:bottom w:val="single" w:sz="12"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Andrew R. Boll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Boll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caps w:val="false"/>
                <w:smallCaps w:val="false"/>
              </w:rPr>
            </w:pPr>
            <w:r>
              <w:rPr>
                <w:caps w:val="false"/>
                <w:smallCaps w:val="false"/>
              </w:rPr>
              <w:t> </w:t>
            </w:r>
          </w:p>
        </w:tc>
        <w:tc>
          <w:tcPr>
            <w:tcW w:w="30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580" w:type="dxa"/>
            <w:gridSpan w:val="2"/>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IMPRIMISRX, LLC</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a Delaware limited liability company</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IMPRIMIS NJOF, LLC</w:t>
            </w:r>
            <w:r>
              <w:rPr>
                <w:rFonts w:ascii="Times New Roman;Times;Serif" w:hAnsi="Times New Roman;Times;Serif"/>
                <w:b w:val="false"/>
                <w:i w:val="false"/>
                <w:caps w:val="false"/>
                <w:smallCaps w:val="false"/>
                <w:sz w:val="20"/>
              </w:rPr>
              <w:t>,</w:t>
              <w:br/>
              <w:t>a New Jersey limited liability company</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IMPRIMISRX NJ, LLC</w:t>
            </w:r>
            <w:r>
              <w:rPr>
                <w:rFonts w:ascii="Times New Roman;Times;Serif" w:hAnsi="Times New Roman;Times;Serif"/>
                <w:b w:val="false"/>
                <w:i w:val="false"/>
                <w:caps w:val="false"/>
                <w:smallCaps w:val="false"/>
                <w:sz w:val="20"/>
              </w:rPr>
              <w:t>,</w:t>
              <w:br/>
              <w:t>a New Jersey limited liability company</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IMPRIMISRX NASHVILLE, LLC</w:t>
            </w:r>
            <w:r>
              <w:rPr>
                <w:rFonts w:ascii="Times New Roman;Times;Serif" w:hAnsi="Times New Roman;Times;Serif"/>
                <w:b w:val="false"/>
                <w:i w:val="false"/>
                <w:caps w:val="false"/>
                <w:smallCaps w:val="false"/>
                <w:sz w:val="20"/>
              </w:rPr>
              <w:t>,</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35" w:type="dxa"/>
            <w:tcBorders/>
            <w:vAlign w:val="center"/>
          </w:tcPr>
          <w:p>
            <w:pPr>
              <w:pStyle w:val="TableContents"/>
              <w:pBdr>
                <w:bottom w:val="single" w:sz="12"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John P. Saharek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P. Saharek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w:t>
            </w:r>
          </w:p>
        </w:tc>
      </w:tr>
    </w:tbl>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3934" w:type="dxa"/>
        <w:jc w:val="left"/>
        <w:tblInd w:w="0" w:type="dxa"/>
        <w:tblLayout w:type="fixed"/>
        <w:tblCellMar>
          <w:top w:w="0" w:type="dxa"/>
          <w:left w:w="0" w:type="dxa"/>
          <w:bottom w:w="0" w:type="dxa"/>
          <w:right w:w="0" w:type="dxa"/>
        </w:tblCellMar>
      </w:tblPr>
      <w:tblGrid>
        <w:gridCol w:w="75"/>
        <w:gridCol w:w="624"/>
        <w:gridCol w:w="323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859"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AGENT: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24" w:type="dxa"/>
            <w:tcBorders/>
            <w:vAlign w:val="center"/>
          </w:tcPr>
          <w:p>
            <w:pPr>
              <w:pStyle w:val="TableContents"/>
              <w:bidi w:val="0"/>
              <w:spacing w:before="0" w:after="283"/>
              <w:jc w:val="both"/>
              <w:rPr>
                <w:caps w:val="false"/>
                <w:smallCaps w:val="false"/>
              </w:rPr>
            </w:pPr>
            <w:r>
              <w:rPr>
                <w:caps w:val="false"/>
                <w:smallCaps w:val="false"/>
              </w:rPr>
              <w:t> </w:t>
            </w:r>
          </w:p>
        </w:tc>
        <w:tc>
          <w:tcPr>
            <w:tcW w:w="32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859"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OAKTREE FUND ADMINISTRATION, LLC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24" w:type="dxa"/>
            <w:tcBorders/>
            <w:vAlign w:val="center"/>
          </w:tcPr>
          <w:p>
            <w:pPr>
              <w:pStyle w:val="TableContents"/>
              <w:bidi w:val="0"/>
              <w:spacing w:before="0" w:after="283"/>
              <w:jc w:val="both"/>
              <w:rPr>
                <w:caps w:val="false"/>
                <w:smallCaps w:val="false"/>
              </w:rPr>
            </w:pPr>
            <w:r>
              <w:rPr>
                <w:caps w:val="false"/>
                <w:smallCaps w:val="false"/>
              </w:rPr>
              <w:t> </w:t>
            </w:r>
          </w:p>
        </w:tc>
        <w:tc>
          <w:tcPr>
            <w:tcW w:w="32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3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Member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24" w:type="dxa"/>
            <w:tcBorders/>
            <w:vAlign w:val="center"/>
          </w:tcPr>
          <w:p>
            <w:pPr>
              <w:pStyle w:val="TableContents"/>
              <w:bidi w:val="0"/>
              <w:spacing w:before="0" w:after="283"/>
              <w:jc w:val="both"/>
              <w:rPr>
                <w:caps w:val="false"/>
                <w:smallCaps w:val="false"/>
              </w:rPr>
            </w:pPr>
            <w:r>
              <w:rPr>
                <w:caps w:val="false"/>
                <w:smallCaps w:val="false"/>
              </w:rPr>
              <w:t> </w:t>
            </w:r>
          </w:p>
        </w:tc>
        <w:tc>
          <w:tcPr>
            <w:tcW w:w="32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35" w:type="dxa"/>
            <w:tcBorders/>
            <w:vAlign w:val="center"/>
          </w:tcPr>
          <w:p>
            <w:pPr>
              <w:pStyle w:val="TableContents"/>
              <w:pBdr>
                <w:bottom w:val="single" w:sz="12"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Lindsay Berz</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Lindsay Berz</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24" w:type="dxa"/>
            <w:tcBorders/>
            <w:vAlign w:val="center"/>
          </w:tcPr>
          <w:p>
            <w:pPr>
              <w:pStyle w:val="TableContents"/>
              <w:bidi w:val="0"/>
              <w:spacing w:before="0" w:after="283"/>
              <w:jc w:val="both"/>
              <w:rPr>
                <w:caps w:val="false"/>
                <w:smallCaps w:val="false"/>
              </w:rPr>
            </w:pPr>
            <w:r>
              <w:rPr>
                <w:caps w:val="false"/>
                <w:smallCaps w:val="false"/>
              </w:rPr>
              <w:t> </w:t>
            </w:r>
          </w:p>
        </w:tc>
        <w:tc>
          <w:tcPr>
            <w:tcW w:w="32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35" w:type="dxa"/>
            <w:tcBorders/>
            <w:vAlign w:val="center"/>
          </w:tcPr>
          <w:p>
            <w:pPr>
              <w:pStyle w:val="TableContents"/>
              <w:pBdr>
                <w:bottom w:val="single" w:sz="12"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Mary Gallegly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Mary Gallegly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24" w:type="dxa"/>
            <w:tcBorders/>
            <w:vAlign w:val="center"/>
          </w:tcPr>
          <w:p>
            <w:pPr>
              <w:pStyle w:val="TableContents"/>
              <w:bidi w:val="0"/>
              <w:spacing w:before="0" w:after="283"/>
              <w:jc w:val="both"/>
              <w:rPr>
                <w:caps w:val="false"/>
                <w:smallCaps w:val="false"/>
              </w:rPr>
            </w:pPr>
            <w:r>
              <w:rPr>
                <w:caps w:val="false"/>
                <w:smallCaps w:val="false"/>
              </w:rPr>
              <w:t> </w:t>
            </w:r>
          </w:p>
        </w:tc>
        <w:tc>
          <w:tcPr>
            <w:tcW w:w="32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859" w:type="dxa"/>
            <w:gridSpan w:val="2"/>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br/>
              <w:t>Oaktree Fund Administration, LLC</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br/>
              <w:t>Attn: Oaktree Agency</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Stephen DeNelsky; Tim Markov</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r>
    </w:tbl>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4234" w:type="dxa"/>
        <w:jc w:val="left"/>
        <w:tblInd w:w="0" w:type="dxa"/>
        <w:tblLayout w:type="fixed"/>
        <w:tblCellMar>
          <w:top w:w="0" w:type="dxa"/>
          <w:left w:w="0" w:type="dxa"/>
          <w:bottom w:w="0" w:type="dxa"/>
          <w:right w:w="0" w:type="dxa"/>
        </w:tblCellMar>
      </w:tblPr>
      <w:tblGrid>
        <w:gridCol w:w="75"/>
        <w:gridCol w:w="672"/>
        <w:gridCol w:w="3487"/>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59"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72" w:type="dxa"/>
            <w:tcBorders/>
            <w:vAlign w:val="center"/>
          </w:tcPr>
          <w:p>
            <w:pPr>
              <w:pStyle w:val="TableContents"/>
              <w:bidi w:val="0"/>
              <w:spacing w:before="0" w:after="283"/>
              <w:jc w:val="both"/>
              <w:rPr>
                <w:caps w:val="false"/>
                <w:smallCaps w:val="false"/>
              </w:rPr>
            </w:pPr>
            <w:r>
              <w:rPr>
                <w:caps w:val="false"/>
                <w:smallCaps w:val="false"/>
              </w:rPr>
              <w:t> </w:t>
            </w:r>
          </w:p>
        </w:tc>
        <w:tc>
          <w:tcPr>
            <w:tcW w:w="34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59"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INPRS STRATEGIC CREDIT HOLDINGS, LLC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72" w:type="dxa"/>
            <w:tcBorders/>
            <w:vAlign w:val="center"/>
          </w:tcPr>
          <w:p>
            <w:pPr>
              <w:pStyle w:val="TableContents"/>
              <w:bidi w:val="0"/>
              <w:spacing w:before="0" w:after="283"/>
              <w:jc w:val="both"/>
              <w:rPr>
                <w:caps w:val="false"/>
                <w:smallCaps w:val="false"/>
              </w:rPr>
            </w:pPr>
            <w:r>
              <w:rPr>
                <w:caps w:val="false"/>
                <w:smallCaps w:val="false"/>
              </w:rPr>
              <w:t> </w:t>
            </w:r>
          </w:p>
        </w:tc>
        <w:tc>
          <w:tcPr>
            <w:tcW w:w="34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34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72" w:type="dxa"/>
            <w:tcBorders/>
            <w:vAlign w:val="center"/>
          </w:tcPr>
          <w:p>
            <w:pPr>
              <w:pStyle w:val="TableContents"/>
              <w:bidi w:val="0"/>
              <w:spacing w:before="0" w:after="283"/>
              <w:jc w:val="both"/>
              <w:rPr>
                <w:caps w:val="false"/>
                <w:smallCaps w:val="false"/>
              </w:rPr>
            </w:pPr>
            <w:r>
              <w:rPr>
                <w:caps w:val="false"/>
                <w:smallCaps w:val="false"/>
              </w:rPr>
              <w:t> </w:t>
            </w:r>
          </w:p>
        </w:tc>
        <w:tc>
          <w:tcPr>
            <w:tcW w:w="34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87" w:type="dxa"/>
            <w:tcBorders/>
            <w:vAlign w:val="center"/>
          </w:tcPr>
          <w:p>
            <w:pPr>
              <w:pStyle w:val="TableContents"/>
              <w:pBdr>
                <w:bottom w:val="single" w:sz="12"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Lindsay Berz</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4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Lindsay Berz</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4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72" w:type="dxa"/>
            <w:tcBorders/>
            <w:vAlign w:val="center"/>
          </w:tcPr>
          <w:p>
            <w:pPr>
              <w:pStyle w:val="TableContents"/>
              <w:bidi w:val="0"/>
              <w:spacing w:before="0" w:after="283"/>
              <w:jc w:val="both"/>
              <w:rPr>
                <w:caps w:val="false"/>
                <w:smallCaps w:val="false"/>
              </w:rPr>
            </w:pPr>
            <w:r>
              <w:rPr>
                <w:caps w:val="false"/>
                <w:smallCaps w:val="false"/>
              </w:rPr>
              <w:t> </w:t>
            </w:r>
          </w:p>
        </w:tc>
        <w:tc>
          <w:tcPr>
            <w:tcW w:w="34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87" w:type="dxa"/>
            <w:tcBorders/>
            <w:vAlign w:val="center"/>
          </w:tcPr>
          <w:p>
            <w:pPr>
              <w:pStyle w:val="TableContents"/>
              <w:pBdr>
                <w:bottom w:val="single" w:sz="12"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Mary Gallegly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4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Mary Gallegly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4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159" w:type="dxa"/>
            <w:gridSpan w:val="2"/>
            <w:tcBorders/>
            <w:vAlign w:val="center"/>
          </w:tcPr>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br/>
              <w:t>Oaktree Fund Administration, LLC</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br/>
              <w:t>Attn: Oaktree Agency</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Stephen DeNelsky; Tim Markov</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r>
    </w:tbl>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tbl>
      <w:tblPr>
        <w:tblW w:w="4684" w:type="dxa"/>
        <w:jc w:val="left"/>
        <w:tblInd w:w="0" w:type="dxa"/>
        <w:tblLayout w:type="fixed"/>
        <w:tblCellMar>
          <w:top w:w="0" w:type="dxa"/>
          <w:left w:w="0" w:type="dxa"/>
          <w:bottom w:w="0" w:type="dxa"/>
          <w:right w:w="0" w:type="dxa"/>
        </w:tblCellMar>
      </w:tblPr>
      <w:tblGrid>
        <w:gridCol w:w="75"/>
        <w:gridCol w:w="864"/>
        <w:gridCol w:w="374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609"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OAKTREE SPECIALTY LENDING CORPORATION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864" w:type="dxa"/>
            <w:tcBorders/>
            <w:vAlign w:val="center"/>
          </w:tcPr>
          <w:p>
            <w:pPr>
              <w:pStyle w:val="TableContents"/>
              <w:bidi w:val="0"/>
              <w:spacing w:before="0" w:after="283"/>
              <w:jc w:val="both"/>
              <w:rPr>
                <w:caps w:val="false"/>
                <w:smallCaps w:val="false"/>
              </w:rPr>
            </w:pPr>
            <w:r>
              <w:rPr>
                <w:caps w:val="false"/>
                <w:smallCaps w:val="false"/>
              </w:rPr>
              <w:t> </w:t>
            </w:r>
          </w:p>
        </w:tc>
        <w:tc>
          <w:tcPr>
            <w:tcW w:w="37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8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Advisors, LLC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8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3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Advisor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864" w:type="dxa"/>
            <w:tcBorders/>
            <w:vAlign w:val="center"/>
          </w:tcPr>
          <w:p>
            <w:pPr>
              <w:pStyle w:val="TableContents"/>
              <w:bidi w:val="0"/>
              <w:spacing w:before="0" w:after="283"/>
              <w:jc w:val="both"/>
              <w:rPr>
                <w:caps w:val="false"/>
                <w:smallCaps w:val="false"/>
              </w:rPr>
            </w:pPr>
            <w:r>
              <w:rPr>
                <w:caps w:val="false"/>
                <w:smallCaps w:val="false"/>
              </w:rPr>
              <w:t> </w:t>
            </w:r>
          </w:p>
        </w:tc>
        <w:tc>
          <w:tcPr>
            <w:tcW w:w="37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8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745" w:type="dxa"/>
            <w:tcBorders/>
            <w:vAlign w:val="center"/>
          </w:tcPr>
          <w:p>
            <w:pPr>
              <w:pStyle w:val="TableContents"/>
              <w:pBdr>
                <w:bottom w:val="single" w:sz="12"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Lindsay Berz</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8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745"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Lindsay Berz</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8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864" w:type="dxa"/>
            <w:tcBorders/>
            <w:vAlign w:val="center"/>
          </w:tcPr>
          <w:p>
            <w:pPr>
              <w:pStyle w:val="TableContents"/>
              <w:bidi w:val="0"/>
              <w:spacing w:before="0" w:after="283"/>
              <w:jc w:val="both"/>
              <w:rPr>
                <w:caps w:val="false"/>
                <w:smallCaps w:val="false"/>
              </w:rPr>
            </w:pPr>
            <w:r>
              <w:rPr>
                <w:caps w:val="false"/>
                <w:smallCaps w:val="false"/>
              </w:rPr>
              <w:t> </w:t>
            </w:r>
          </w:p>
        </w:tc>
        <w:tc>
          <w:tcPr>
            <w:tcW w:w="37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8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745" w:type="dxa"/>
            <w:tcBorders/>
            <w:vAlign w:val="center"/>
          </w:tcPr>
          <w:p>
            <w:pPr>
              <w:pStyle w:val="TableContents"/>
              <w:pBdr>
                <w:bottom w:val="single" w:sz="12"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Mary Gallegly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8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745"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Mary Gallegly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8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864" w:type="dxa"/>
            <w:tcBorders/>
            <w:vAlign w:val="center"/>
          </w:tcPr>
          <w:p>
            <w:pPr>
              <w:pStyle w:val="TableContents"/>
              <w:bidi w:val="0"/>
              <w:spacing w:before="0" w:after="283"/>
              <w:jc w:val="both"/>
              <w:rPr>
                <w:caps w:val="false"/>
                <w:smallCaps w:val="false"/>
              </w:rPr>
            </w:pPr>
            <w:r>
              <w:rPr>
                <w:caps w:val="false"/>
                <w:smallCaps w:val="false"/>
              </w:rPr>
              <w:t> </w:t>
            </w:r>
          </w:p>
        </w:tc>
        <w:tc>
          <w:tcPr>
            <w:tcW w:w="37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609" w:type="dxa"/>
            <w:gridSpan w:val="2"/>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br/>
              <w:t>Oaktree Fund Administration, LLC</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br/>
              <w:t>Attn: Oaktree Agency</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Stephen DeNelsky; Tim Markov</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tbl>
      <w:tblPr>
        <w:tblW w:w="3679" w:type="dxa"/>
        <w:jc w:val="left"/>
        <w:tblInd w:w="0" w:type="dxa"/>
        <w:tblLayout w:type="fixed"/>
        <w:tblCellMar>
          <w:top w:w="0" w:type="dxa"/>
          <w:left w:w="0" w:type="dxa"/>
          <w:bottom w:w="0" w:type="dxa"/>
          <w:right w:w="0" w:type="dxa"/>
        </w:tblCellMar>
      </w:tblPr>
      <w:tblGrid>
        <w:gridCol w:w="75"/>
        <w:gridCol w:w="676"/>
        <w:gridCol w:w="2928"/>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604"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OAKTREE STRATEGIC CREDIT FUND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76" w:type="dxa"/>
            <w:tcBorders/>
            <w:vAlign w:val="center"/>
          </w:tcPr>
          <w:p>
            <w:pPr>
              <w:pStyle w:val="TableContents"/>
              <w:bidi w:val="0"/>
              <w:spacing w:before="0" w:after="283"/>
              <w:jc w:val="both"/>
              <w:rPr>
                <w:caps w:val="false"/>
                <w:smallCaps w:val="false"/>
              </w:rPr>
            </w:pPr>
            <w:r>
              <w:rPr>
                <w:caps w:val="false"/>
                <w:smallCaps w:val="false"/>
              </w:rPr>
              <w:t> </w:t>
            </w:r>
          </w:p>
        </w:tc>
        <w:tc>
          <w:tcPr>
            <w:tcW w:w="2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Advisors, LLC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2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Advisor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76" w:type="dxa"/>
            <w:tcBorders/>
            <w:vAlign w:val="center"/>
          </w:tcPr>
          <w:p>
            <w:pPr>
              <w:pStyle w:val="TableContents"/>
              <w:bidi w:val="0"/>
              <w:spacing w:before="0" w:after="283"/>
              <w:jc w:val="both"/>
              <w:rPr>
                <w:caps w:val="false"/>
                <w:smallCaps w:val="false"/>
              </w:rPr>
            </w:pPr>
            <w:r>
              <w:rPr>
                <w:caps w:val="false"/>
                <w:smallCaps w:val="false"/>
              </w:rPr>
              <w:t> </w:t>
            </w:r>
          </w:p>
        </w:tc>
        <w:tc>
          <w:tcPr>
            <w:tcW w:w="2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928" w:type="dxa"/>
            <w:tcBorders/>
            <w:vAlign w:val="center"/>
          </w:tcPr>
          <w:p>
            <w:pPr>
              <w:pStyle w:val="TableContents"/>
              <w:pBdr>
                <w:bottom w:val="single" w:sz="12"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Lindsay Berz</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Lindsay Berz</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76" w:type="dxa"/>
            <w:tcBorders/>
            <w:vAlign w:val="center"/>
          </w:tcPr>
          <w:p>
            <w:pPr>
              <w:pStyle w:val="TableContents"/>
              <w:bidi w:val="0"/>
              <w:spacing w:before="0" w:after="283"/>
              <w:jc w:val="both"/>
              <w:rPr>
                <w:caps w:val="false"/>
                <w:smallCaps w:val="false"/>
              </w:rPr>
            </w:pPr>
            <w:r>
              <w:rPr>
                <w:caps w:val="false"/>
                <w:smallCaps w:val="false"/>
              </w:rPr>
              <w:t> </w:t>
            </w:r>
          </w:p>
        </w:tc>
        <w:tc>
          <w:tcPr>
            <w:tcW w:w="2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928" w:type="dxa"/>
            <w:tcBorders/>
            <w:vAlign w:val="center"/>
          </w:tcPr>
          <w:p>
            <w:pPr>
              <w:pStyle w:val="TableContents"/>
              <w:pBdr>
                <w:bottom w:val="single" w:sz="12"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Mary Gallegly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Mary Gallegly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604" w:type="dxa"/>
            <w:gridSpan w:val="2"/>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br/>
              <w:t>Oaktree Fund Administration, LLC</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br/>
              <w:t>Attn: Oaktree Agency</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Stephen DeNelsky; Tim Markov</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tbl>
      <w:tblPr>
        <w:tblW w:w="4909" w:type="dxa"/>
        <w:jc w:val="left"/>
        <w:tblInd w:w="0" w:type="dxa"/>
        <w:tblLayout w:type="fixed"/>
        <w:tblCellMar>
          <w:top w:w="0" w:type="dxa"/>
          <w:left w:w="0" w:type="dxa"/>
          <w:bottom w:w="0" w:type="dxa"/>
          <w:right w:w="0" w:type="dxa"/>
        </w:tblCellMar>
      </w:tblPr>
      <w:tblGrid>
        <w:gridCol w:w="75"/>
        <w:gridCol w:w="596"/>
        <w:gridCol w:w="4238"/>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834"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OAKTREE ROUTE 66 MULTI-STRATEGY FUND, L.P.</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6" w:type="dxa"/>
            <w:tcBorders/>
            <w:vAlign w:val="center"/>
          </w:tcPr>
          <w:p>
            <w:pPr>
              <w:pStyle w:val="TableContents"/>
              <w:bidi w:val="0"/>
              <w:spacing w:before="0" w:after="283"/>
              <w:jc w:val="both"/>
              <w:rPr>
                <w:caps w:val="false"/>
                <w:smallCaps w:val="false"/>
              </w:rPr>
            </w:pPr>
            <w:r>
              <w:rPr>
                <w:caps w:val="false"/>
                <w:smallCaps w:val="false"/>
              </w:rPr>
              <w:t> </w:t>
            </w:r>
          </w:p>
        </w:tc>
        <w:tc>
          <w:tcPr>
            <w:tcW w:w="42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2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Route 66 Multi-Strategy Fund GP, L.P.</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42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6" w:type="dxa"/>
            <w:tcBorders/>
            <w:vAlign w:val="center"/>
          </w:tcPr>
          <w:p>
            <w:pPr>
              <w:pStyle w:val="TableContents"/>
              <w:bidi w:val="0"/>
              <w:spacing w:before="0" w:after="283"/>
              <w:jc w:val="both"/>
              <w:rPr>
                <w:caps w:val="false"/>
                <w:smallCaps w:val="false"/>
              </w:rPr>
            </w:pPr>
            <w:r>
              <w:rPr>
                <w:caps w:val="false"/>
                <w:smallCaps w:val="false"/>
              </w:rPr>
              <w:t> </w:t>
            </w:r>
          </w:p>
        </w:tc>
        <w:tc>
          <w:tcPr>
            <w:tcW w:w="42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2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Route 66 Multi-Strategy Fund GP, Ltd.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Its: </w:t>
            </w:r>
          </w:p>
        </w:tc>
        <w:tc>
          <w:tcPr>
            <w:tcW w:w="42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6" w:type="dxa"/>
            <w:tcBorders/>
            <w:vAlign w:val="center"/>
          </w:tcPr>
          <w:p>
            <w:pPr>
              <w:pStyle w:val="TableContents"/>
              <w:bidi w:val="0"/>
              <w:spacing w:before="0" w:after="283"/>
              <w:jc w:val="both"/>
              <w:rPr>
                <w:caps w:val="false"/>
                <w:smallCaps w:val="false"/>
              </w:rPr>
            </w:pPr>
            <w:r>
              <w:rPr>
                <w:caps w:val="false"/>
                <w:smallCaps w:val="false"/>
              </w:rPr>
              <w:t> </w:t>
            </w:r>
          </w:p>
        </w:tc>
        <w:tc>
          <w:tcPr>
            <w:tcW w:w="42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2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42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6" w:type="dxa"/>
            <w:tcBorders/>
            <w:vAlign w:val="center"/>
          </w:tcPr>
          <w:p>
            <w:pPr>
              <w:pStyle w:val="TableContents"/>
              <w:bidi w:val="0"/>
              <w:spacing w:before="0" w:after="283"/>
              <w:jc w:val="both"/>
              <w:rPr>
                <w:caps w:val="false"/>
                <w:smallCaps w:val="false"/>
              </w:rPr>
            </w:pPr>
            <w:r>
              <w:rPr>
                <w:caps w:val="false"/>
                <w:smallCaps w:val="false"/>
              </w:rPr>
              <w:t> </w:t>
            </w:r>
          </w:p>
        </w:tc>
        <w:tc>
          <w:tcPr>
            <w:tcW w:w="42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238" w:type="dxa"/>
            <w:tcBorders/>
            <w:vAlign w:val="center"/>
          </w:tcPr>
          <w:p>
            <w:pPr>
              <w:pStyle w:val="TableContents"/>
              <w:pBdr>
                <w:bottom w:val="single" w:sz="12"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Lindsay Berz</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2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Lindsay Berz</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2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6" w:type="dxa"/>
            <w:tcBorders/>
            <w:vAlign w:val="center"/>
          </w:tcPr>
          <w:p>
            <w:pPr>
              <w:pStyle w:val="TableContents"/>
              <w:bidi w:val="0"/>
              <w:spacing w:before="0" w:after="283"/>
              <w:jc w:val="both"/>
              <w:rPr>
                <w:caps w:val="false"/>
                <w:smallCaps w:val="false"/>
              </w:rPr>
            </w:pPr>
            <w:r>
              <w:rPr>
                <w:caps w:val="false"/>
                <w:smallCaps w:val="false"/>
              </w:rPr>
              <w:t> </w:t>
            </w:r>
          </w:p>
        </w:tc>
        <w:tc>
          <w:tcPr>
            <w:tcW w:w="42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238" w:type="dxa"/>
            <w:tcBorders/>
            <w:vAlign w:val="center"/>
          </w:tcPr>
          <w:p>
            <w:pPr>
              <w:pStyle w:val="TableContents"/>
              <w:pBdr>
                <w:bottom w:val="single" w:sz="12"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Mary Gallegly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2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Mary Gallegly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2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6" w:type="dxa"/>
            <w:tcBorders/>
            <w:vAlign w:val="center"/>
          </w:tcPr>
          <w:p>
            <w:pPr>
              <w:pStyle w:val="TableContents"/>
              <w:bidi w:val="0"/>
              <w:spacing w:before="0" w:after="283"/>
              <w:jc w:val="both"/>
              <w:rPr>
                <w:caps w:val="false"/>
                <w:smallCaps w:val="false"/>
              </w:rPr>
            </w:pPr>
            <w:r>
              <w:rPr>
                <w:caps w:val="false"/>
                <w:smallCaps w:val="false"/>
              </w:rPr>
              <w:t> </w:t>
            </w:r>
          </w:p>
        </w:tc>
        <w:tc>
          <w:tcPr>
            <w:tcW w:w="42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834" w:type="dxa"/>
            <w:gridSpan w:val="2"/>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br/>
              <w:t>Oaktree Fund Administration, LLC</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br/>
              <w:t>Attn: Oaktree Agency</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Stephen DeNelsky; Tim Markov</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4534" w:type="dxa"/>
        <w:jc w:val="left"/>
        <w:tblInd w:w="0" w:type="dxa"/>
        <w:tblLayout w:type="fixed"/>
        <w:tblCellMar>
          <w:top w:w="0" w:type="dxa"/>
          <w:left w:w="0" w:type="dxa"/>
          <w:bottom w:w="0" w:type="dxa"/>
          <w:right w:w="0" w:type="dxa"/>
        </w:tblCellMar>
      </w:tblPr>
      <w:tblGrid>
        <w:gridCol w:w="75"/>
        <w:gridCol w:w="583"/>
        <w:gridCol w:w="387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459"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OAKTREE AZ STRATEGIC LENDING FUND, L.P.</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83" w:type="dxa"/>
            <w:tcBorders/>
            <w:vAlign w:val="center"/>
          </w:tcPr>
          <w:p>
            <w:pPr>
              <w:pStyle w:val="TableContents"/>
              <w:bidi w:val="0"/>
              <w:spacing w:before="0" w:after="283"/>
              <w:jc w:val="both"/>
              <w:rPr>
                <w:caps w:val="false"/>
                <w:smallCaps w:val="false"/>
              </w:rPr>
            </w:pPr>
            <w:r>
              <w:rPr>
                <w:caps w:val="false"/>
                <w:smallCaps w:val="false"/>
              </w:rPr>
              <w:t> </w:t>
            </w:r>
          </w:p>
        </w:tc>
        <w:tc>
          <w:tcPr>
            <w:tcW w:w="38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AZ Strategic Lending Fund GP, L.P.</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38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83" w:type="dxa"/>
            <w:tcBorders/>
            <w:vAlign w:val="center"/>
          </w:tcPr>
          <w:p>
            <w:pPr>
              <w:pStyle w:val="TableContents"/>
              <w:bidi w:val="0"/>
              <w:spacing w:before="0" w:after="283"/>
              <w:jc w:val="both"/>
              <w:rPr>
                <w:caps w:val="false"/>
                <w:smallCaps w:val="false"/>
              </w:rPr>
            </w:pPr>
            <w:r>
              <w:rPr>
                <w:caps w:val="false"/>
                <w:smallCaps w:val="false"/>
              </w:rPr>
              <w:t> </w:t>
            </w:r>
          </w:p>
        </w:tc>
        <w:tc>
          <w:tcPr>
            <w:tcW w:w="38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GP IIA, LLC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Its: </w:t>
            </w:r>
          </w:p>
        </w:tc>
        <w:tc>
          <w:tcPr>
            <w:tcW w:w="38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83" w:type="dxa"/>
            <w:tcBorders/>
            <w:vAlign w:val="center"/>
          </w:tcPr>
          <w:p>
            <w:pPr>
              <w:pStyle w:val="TableContents"/>
              <w:bidi w:val="0"/>
              <w:spacing w:before="0" w:after="283"/>
              <w:jc w:val="both"/>
              <w:rPr>
                <w:caps w:val="false"/>
                <w:smallCaps w:val="false"/>
              </w:rPr>
            </w:pPr>
            <w:r>
              <w:rPr>
                <w:caps w:val="false"/>
                <w:smallCaps w:val="false"/>
              </w:rPr>
              <w:t> </w:t>
            </w:r>
          </w:p>
        </w:tc>
        <w:tc>
          <w:tcPr>
            <w:tcW w:w="38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8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GP II, L.P.</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3876"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Member</w:t>
            </w:r>
          </w:p>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83" w:type="dxa"/>
            <w:tcBorders/>
            <w:vAlign w:val="center"/>
          </w:tcPr>
          <w:p>
            <w:pPr>
              <w:pStyle w:val="TableContents"/>
              <w:bidi w:val="0"/>
              <w:spacing w:before="0" w:after="283"/>
              <w:jc w:val="both"/>
              <w:rPr>
                <w:caps w:val="false"/>
                <w:smallCaps w:val="false"/>
              </w:rPr>
            </w:pPr>
            <w:r>
              <w:rPr>
                <w:caps w:val="false"/>
                <w:smallCaps w:val="false"/>
              </w:rPr>
              <w:t> </w:t>
            </w:r>
          </w:p>
        </w:tc>
        <w:tc>
          <w:tcPr>
            <w:tcW w:w="38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76" w:type="dxa"/>
            <w:tcBorders/>
            <w:vAlign w:val="center"/>
          </w:tcPr>
          <w:p>
            <w:pPr>
              <w:pStyle w:val="TableContents"/>
              <w:pBdr>
                <w:bottom w:val="single" w:sz="12"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Lindsay Berz</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8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Lindsay Berz</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8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83" w:type="dxa"/>
            <w:tcBorders/>
            <w:vAlign w:val="center"/>
          </w:tcPr>
          <w:p>
            <w:pPr>
              <w:pStyle w:val="TableContents"/>
              <w:bidi w:val="0"/>
              <w:spacing w:before="0" w:after="283"/>
              <w:jc w:val="both"/>
              <w:rPr>
                <w:caps w:val="false"/>
                <w:smallCaps w:val="false"/>
              </w:rPr>
            </w:pPr>
            <w:r>
              <w:rPr>
                <w:caps w:val="false"/>
                <w:smallCaps w:val="false"/>
              </w:rPr>
              <w:t> </w:t>
            </w:r>
          </w:p>
        </w:tc>
        <w:tc>
          <w:tcPr>
            <w:tcW w:w="38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76" w:type="dxa"/>
            <w:tcBorders/>
            <w:vAlign w:val="center"/>
          </w:tcPr>
          <w:p>
            <w:pPr>
              <w:pStyle w:val="TableContents"/>
              <w:pBdr>
                <w:bottom w:val="single" w:sz="12"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Mary Gallegly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8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Mary Gallegly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8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459" w:type="dxa"/>
            <w:gridSpan w:val="2"/>
            <w:tcBorders/>
            <w:vAlign w:val="center"/>
          </w:tcPr>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br/>
              <w:t>Oaktree Fund Administration, LLC</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br/>
              <w:t>Attn: Oaktree Agency</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Stephen DeNelsky; Tim Markov</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tbl>
      <w:tblPr>
        <w:tblW w:w="4040" w:type="dxa"/>
        <w:jc w:val="left"/>
        <w:tblInd w:w="0" w:type="dxa"/>
        <w:tblLayout w:type="fixed"/>
        <w:tblCellMar>
          <w:top w:w="0" w:type="dxa"/>
          <w:left w:w="0" w:type="dxa"/>
          <w:bottom w:w="0" w:type="dxa"/>
          <w:right w:w="0" w:type="dxa"/>
        </w:tblCellMar>
      </w:tblPr>
      <w:tblGrid>
        <w:gridCol w:w="75"/>
        <w:gridCol w:w="793"/>
        <w:gridCol w:w="3172"/>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965"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OAKTREE LOAN ACQUISITION FUND, L.P.</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793" w:type="dxa"/>
            <w:tcBorders/>
            <w:vAlign w:val="center"/>
          </w:tcPr>
          <w:p>
            <w:pPr>
              <w:pStyle w:val="TableContents"/>
              <w:bidi w:val="0"/>
              <w:spacing w:before="0" w:after="283"/>
              <w:jc w:val="both"/>
              <w:rPr>
                <w:caps w:val="false"/>
                <w:smallCaps w:val="false"/>
              </w:rPr>
            </w:pPr>
            <w:r>
              <w:rPr>
                <w:caps w:val="false"/>
                <w:smallCaps w:val="false"/>
              </w:rPr>
              <w:t> </w:t>
            </w:r>
          </w:p>
        </w:tc>
        <w:tc>
          <w:tcPr>
            <w:tcW w:w="317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7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GP IIA, LLC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7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31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793" w:type="dxa"/>
            <w:tcBorders/>
            <w:vAlign w:val="center"/>
          </w:tcPr>
          <w:p>
            <w:pPr>
              <w:pStyle w:val="TableContents"/>
              <w:bidi w:val="0"/>
              <w:spacing w:before="0" w:after="283"/>
              <w:jc w:val="both"/>
              <w:rPr>
                <w:caps w:val="false"/>
                <w:smallCaps w:val="false"/>
              </w:rPr>
            </w:pPr>
            <w:r>
              <w:rPr>
                <w:caps w:val="false"/>
                <w:smallCaps w:val="false"/>
              </w:rPr>
              <w:t> </w:t>
            </w:r>
          </w:p>
        </w:tc>
        <w:tc>
          <w:tcPr>
            <w:tcW w:w="317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7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GP II, L.P.</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7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Its: </w:t>
            </w:r>
          </w:p>
        </w:tc>
        <w:tc>
          <w:tcPr>
            <w:tcW w:w="31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Member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793" w:type="dxa"/>
            <w:tcBorders/>
            <w:vAlign w:val="center"/>
          </w:tcPr>
          <w:p>
            <w:pPr>
              <w:pStyle w:val="TableContents"/>
              <w:bidi w:val="0"/>
              <w:spacing w:before="0" w:after="283"/>
              <w:jc w:val="both"/>
              <w:rPr>
                <w:caps w:val="false"/>
                <w:smallCaps w:val="false"/>
              </w:rPr>
            </w:pPr>
            <w:r>
              <w:rPr>
                <w:caps w:val="false"/>
                <w:smallCaps w:val="false"/>
              </w:rPr>
              <w:t> </w:t>
            </w:r>
          </w:p>
        </w:tc>
        <w:tc>
          <w:tcPr>
            <w:tcW w:w="317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7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72" w:type="dxa"/>
            <w:tcBorders/>
            <w:vAlign w:val="center"/>
          </w:tcPr>
          <w:p>
            <w:pPr>
              <w:pStyle w:val="TableContents"/>
              <w:pBdr>
                <w:bottom w:val="single" w:sz="12"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Lindsay Berz</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7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1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Lindsay Berz</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7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1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793" w:type="dxa"/>
            <w:tcBorders/>
            <w:vAlign w:val="center"/>
          </w:tcPr>
          <w:p>
            <w:pPr>
              <w:pStyle w:val="TableContents"/>
              <w:bidi w:val="0"/>
              <w:spacing w:before="0" w:after="283"/>
              <w:jc w:val="both"/>
              <w:rPr>
                <w:caps w:val="false"/>
                <w:smallCaps w:val="false"/>
              </w:rPr>
            </w:pPr>
            <w:r>
              <w:rPr>
                <w:caps w:val="false"/>
                <w:smallCaps w:val="false"/>
              </w:rPr>
              <w:t> </w:t>
            </w:r>
          </w:p>
        </w:tc>
        <w:tc>
          <w:tcPr>
            <w:tcW w:w="317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7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72" w:type="dxa"/>
            <w:tcBorders/>
            <w:vAlign w:val="center"/>
          </w:tcPr>
          <w:p>
            <w:pPr>
              <w:pStyle w:val="TableContents"/>
              <w:pBdr>
                <w:bottom w:val="single" w:sz="12"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Mary Gallegly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7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1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Mary Gallegly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7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1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793" w:type="dxa"/>
            <w:tcBorders/>
            <w:vAlign w:val="center"/>
          </w:tcPr>
          <w:p>
            <w:pPr>
              <w:pStyle w:val="TableContents"/>
              <w:bidi w:val="0"/>
              <w:spacing w:before="0" w:after="283"/>
              <w:jc w:val="both"/>
              <w:rPr>
                <w:caps w:val="false"/>
                <w:smallCaps w:val="false"/>
              </w:rPr>
            </w:pPr>
            <w:r>
              <w:rPr>
                <w:caps w:val="false"/>
                <w:smallCaps w:val="false"/>
              </w:rPr>
              <w:t> </w:t>
            </w:r>
          </w:p>
        </w:tc>
        <w:tc>
          <w:tcPr>
            <w:tcW w:w="317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965" w:type="dxa"/>
            <w:gridSpan w:val="2"/>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br/>
              <w:t>Oaktree Fund Administration, LLC</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br/>
              <w:t>Attn: Oaktree Agency</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Stephen DeNelsky; Tim Markov</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tbl>
      <w:tblPr>
        <w:tblW w:w="5494" w:type="dxa"/>
        <w:jc w:val="left"/>
        <w:tblInd w:w="0" w:type="dxa"/>
        <w:tblLayout w:type="fixed"/>
        <w:tblCellMar>
          <w:top w:w="0" w:type="dxa"/>
          <w:left w:w="0" w:type="dxa"/>
          <w:bottom w:w="0" w:type="dxa"/>
          <w:right w:w="0" w:type="dxa"/>
        </w:tblCellMar>
      </w:tblPr>
      <w:tblGrid>
        <w:gridCol w:w="75"/>
        <w:gridCol w:w="699"/>
        <w:gridCol w:w="472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19"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OAKTREE LSL FUND DELAWARE HOLDINGS EURRC, L.P.</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99" w:type="dxa"/>
            <w:tcBorders/>
            <w:vAlign w:val="center"/>
          </w:tcPr>
          <w:p>
            <w:pPr>
              <w:pStyle w:val="TableContents"/>
              <w:bidi w:val="0"/>
              <w:spacing w:before="0" w:after="283"/>
              <w:jc w:val="both"/>
              <w:rPr>
                <w:caps w:val="false"/>
                <w:smallCaps w:val="false"/>
              </w:rPr>
            </w:pPr>
            <w:r>
              <w:rPr>
                <w:caps w:val="false"/>
                <w:smallCaps w:val="false"/>
              </w:rPr>
              <w:t> </w:t>
            </w:r>
          </w:p>
        </w:tc>
        <w:tc>
          <w:tcPr>
            <w:tcW w:w="47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Life Sciences Lending Fund GP, L.P.</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4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99" w:type="dxa"/>
            <w:tcBorders/>
            <w:vAlign w:val="center"/>
          </w:tcPr>
          <w:p>
            <w:pPr>
              <w:pStyle w:val="TableContents"/>
              <w:bidi w:val="0"/>
              <w:spacing w:before="0" w:after="283"/>
              <w:jc w:val="both"/>
              <w:rPr>
                <w:caps w:val="false"/>
                <w:smallCaps w:val="false"/>
              </w:rPr>
            </w:pPr>
            <w:r>
              <w:rPr>
                <w:caps w:val="false"/>
                <w:smallCaps w:val="false"/>
              </w:rPr>
              <w:t> </w:t>
            </w:r>
          </w:p>
        </w:tc>
        <w:tc>
          <w:tcPr>
            <w:tcW w:w="47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Life Sciences Lending Fund GP Ltd.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Its: </w:t>
            </w:r>
          </w:p>
        </w:tc>
        <w:tc>
          <w:tcPr>
            <w:tcW w:w="4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99" w:type="dxa"/>
            <w:tcBorders/>
            <w:vAlign w:val="center"/>
          </w:tcPr>
          <w:p>
            <w:pPr>
              <w:pStyle w:val="TableContents"/>
              <w:bidi w:val="0"/>
              <w:spacing w:before="0" w:after="283"/>
              <w:jc w:val="both"/>
              <w:rPr>
                <w:caps w:val="false"/>
                <w:smallCaps w:val="false"/>
              </w:rPr>
            </w:pPr>
            <w:r>
              <w:rPr>
                <w:caps w:val="false"/>
                <w:smallCaps w:val="false"/>
              </w:rPr>
              <w:t> </w:t>
            </w:r>
          </w:p>
        </w:tc>
        <w:tc>
          <w:tcPr>
            <w:tcW w:w="47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4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99" w:type="dxa"/>
            <w:tcBorders/>
            <w:vAlign w:val="center"/>
          </w:tcPr>
          <w:p>
            <w:pPr>
              <w:pStyle w:val="TableContents"/>
              <w:bidi w:val="0"/>
              <w:spacing w:before="0" w:after="283"/>
              <w:jc w:val="both"/>
              <w:rPr>
                <w:caps w:val="false"/>
                <w:smallCaps w:val="false"/>
              </w:rPr>
            </w:pPr>
            <w:r>
              <w:rPr>
                <w:caps w:val="false"/>
                <w:smallCaps w:val="false"/>
              </w:rPr>
              <w:t> </w:t>
            </w:r>
          </w:p>
        </w:tc>
        <w:tc>
          <w:tcPr>
            <w:tcW w:w="47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720" w:type="dxa"/>
            <w:tcBorders/>
            <w:vAlign w:val="center"/>
          </w:tcPr>
          <w:p>
            <w:pPr>
              <w:pStyle w:val="TableContents"/>
              <w:pBdr>
                <w:bottom w:val="single" w:sz="12"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Lindsay Berz</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Lindsay Berz</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99" w:type="dxa"/>
            <w:tcBorders/>
            <w:vAlign w:val="center"/>
          </w:tcPr>
          <w:p>
            <w:pPr>
              <w:pStyle w:val="TableContents"/>
              <w:bidi w:val="0"/>
              <w:spacing w:before="0" w:after="283"/>
              <w:jc w:val="both"/>
              <w:rPr>
                <w:caps w:val="false"/>
                <w:smallCaps w:val="false"/>
              </w:rPr>
            </w:pPr>
            <w:r>
              <w:rPr>
                <w:caps w:val="false"/>
                <w:smallCaps w:val="false"/>
              </w:rPr>
              <w:t> </w:t>
            </w:r>
          </w:p>
        </w:tc>
        <w:tc>
          <w:tcPr>
            <w:tcW w:w="47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720" w:type="dxa"/>
            <w:tcBorders/>
            <w:vAlign w:val="center"/>
          </w:tcPr>
          <w:p>
            <w:pPr>
              <w:pStyle w:val="TableContents"/>
              <w:pBdr>
                <w:bottom w:val="single" w:sz="12"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Mary Gallegly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Mary Gallegly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99" w:type="dxa"/>
            <w:tcBorders/>
            <w:vAlign w:val="center"/>
          </w:tcPr>
          <w:p>
            <w:pPr>
              <w:pStyle w:val="TableContents"/>
              <w:bidi w:val="0"/>
              <w:spacing w:before="0" w:after="283"/>
              <w:jc w:val="both"/>
              <w:rPr>
                <w:caps w:val="false"/>
                <w:smallCaps w:val="false"/>
              </w:rPr>
            </w:pPr>
            <w:r>
              <w:rPr>
                <w:caps w:val="false"/>
                <w:smallCaps w:val="false"/>
              </w:rPr>
              <w:t> </w:t>
            </w:r>
          </w:p>
        </w:tc>
        <w:tc>
          <w:tcPr>
            <w:tcW w:w="47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19" w:type="dxa"/>
            <w:gridSpan w:val="2"/>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br/>
              <w:t>Oaktree Fund Administration, LLC</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br/>
              <w:t>Attn: Oaktree Agency</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Stephen DeNelsky; Tim Markov</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890" w:name="ex31-1.htm"/>
      <w:bookmarkStart w:id="891" w:name="ksex311"/>
      <w:bookmarkEnd w:id="890"/>
      <w:bookmarkEnd w:id="89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PRINCIPAL EXECUTIVE OFFICER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Mark L. Baum,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5"/>
        <w:gridCol w:w="205"/>
        <w:gridCol w:w="9865"/>
      </w:tblGrid>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Harrow Health, Inc.;</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8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8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8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5"/>
        <w:gridCol w:w="143"/>
        <w:gridCol w:w="9927"/>
      </w:tblGrid>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5"/>
        <w:gridCol w:w="151"/>
        <w:gridCol w:w="9919"/>
      </w:tblGrid>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991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3895" w:type="dxa"/>
        <w:jc w:val="left"/>
        <w:tblInd w:w="0" w:type="dxa"/>
        <w:tblLayout w:type="fixed"/>
        <w:tblCellMar>
          <w:top w:w="0" w:type="dxa"/>
          <w:left w:w="0" w:type="dxa"/>
          <w:bottom w:w="28" w:type="dxa"/>
          <w:right w:w="0" w:type="dxa"/>
        </w:tblCellMar>
      </w:tblPr>
      <w:tblGrid>
        <w:gridCol w:w="1655"/>
        <w:gridCol w:w="2240"/>
      </w:tblGrid>
      <w:tr>
        <w:trPr/>
        <w:tc>
          <w:tcPr>
            <w:tcW w:w="1655" w:type="dxa"/>
            <w:tcBorders>
              <w:bottom w:val="single" w:sz="8" w:space="0" w:color="FFFFFF"/>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11, 2023</w:t>
            </w:r>
          </w:p>
        </w:tc>
        <w:tc>
          <w:tcPr>
            <w:tcW w:w="2240" w:type="dxa"/>
            <w:tcBorders>
              <w:bottom w:val="single" w:sz="12"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Mark L. Baum</w:t>
            </w:r>
          </w:p>
        </w:tc>
      </w:tr>
      <w:tr>
        <w:trPr/>
        <w:tc>
          <w:tcPr>
            <w:tcW w:w="1655" w:type="dxa"/>
            <w:tcBorders>
              <w:bottom w:val="single" w:sz="8" w:space="0" w:color="FFFFFF"/>
            </w:tcBorders>
            <w:vAlign w:val="center"/>
          </w:tcPr>
          <w:p>
            <w:pPr>
              <w:pStyle w:val="TableContents"/>
              <w:bidi w:val="0"/>
              <w:spacing w:before="0" w:after="283"/>
              <w:jc w:val="both"/>
              <w:rPr>
                <w:caps w:val="false"/>
                <w:smallCaps w:val="false"/>
              </w:rPr>
            </w:pPr>
            <w:r>
              <w:rPr>
                <w:caps w:val="false"/>
                <w:smallCaps w:val="false"/>
              </w:rPr>
              <w:t> </w:t>
            </w:r>
          </w:p>
        </w:tc>
        <w:tc>
          <w:tcPr>
            <w:tcW w:w="2240"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L. Baum</w:t>
            </w:r>
          </w:p>
        </w:tc>
      </w:tr>
      <w:tr>
        <w:trPr/>
        <w:tc>
          <w:tcPr>
            <w:tcW w:w="1655" w:type="dxa"/>
            <w:tcBorders>
              <w:bottom w:val="single" w:sz="8" w:space="0" w:color="FFFFFF"/>
            </w:tcBorders>
            <w:vAlign w:val="center"/>
          </w:tcPr>
          <w:p>
            <w:pPr>
              <w:pStyle w:val="TableContents"/>
              <w:bidi w:val="0"/>
              <w:spacing w:before="0" w:after="283"/>
              <w:jc w:val="both"/>
              <w:rPr>
                <w:caps w:val="false"/>
                <w:smallCaps w:val="false"/>
              </w:rPr>
            </w:pPr>
            <w:r>
              <w:rPr>
                <w:caps w:val="false"/>
                <w:smallCaps w:val="false"/>
              </w:rPr>
              <w:t> </w:t>
            </w:r>
          </w:p>
        </w:tc>
        <w:tc>
          <w:tcPr>
            <w:tcW w:w="2240"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655" w:type="dxa"/>
            <w:tcBorders>
              <w:bottom w:val="single" w:sz="8" w:space="0" w:color="FFFFFF"/>
            </w:tcBorders>
            <w:vAlign w:val="center"/>
          </w:tcPr>
          <w:p>
            <w:pPr>
              <w:pStyle w:val="TableContents"/>
              <w:bidi w:val="0"/>
              <w:spacing w:before="0" w:after="283"/>
              <w:jc w:val="both"/>
              <w:rPr>
                <w:caps w:val="false"/>
                <w:smallCaps w:val="false"/>
              </w:rPr>
            </w:pPr>
            <w:r>
              <w:rPr>
                <w:caps w:val="false"/>
                <w:smallCaps w:val="false"/>
              </w:rPr>
              <w:t> </w:t>
            </w:r>
          </w:p>
        </w:tc>
        <w:tc>
          <w:tcPr>
            <w:tcW w:w="2240"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892" w:name="ex31-2.htm"/>
      <w:bookmarkStart w:id="893" w:name="ksex312"/>
      <w:bookmarkEnd w:id="892"/>
      <w:bookmarkEnd w:id="89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PRINCIPAL FINANCIAL OFFICER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Andrew R. Boll,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Harrow Health,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99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1655"/>
        <w:gridCol w:w="3650"/>
      </w:tblGrid>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11, 2023</w:t>
            </w:r>
          </w:p>
        </w:tc>
        <w:tc>
          <w:tcPr>
            <w:tcW w:w="36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Andrew R. Boll</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Boll</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894" w:name="ex32-1.htm"/>
      <w:bookmarkStart w:id="895" w:name="ksex321"/>
      <w:bookmarkEnd w:id="894"/>
      <w:bookmarkEnd w:id="89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32.1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REQUIRED BY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1350 OF TITLE 18 OF THE UNITED STATES CODE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906 of the Sarbanes-Oxley Act of 2002, each of the undersigned hereby certifies in his capacity as the specified officer of Harrow Health, Inc. (the “Company”), that, to the best of his knowledge, the Quarterly Report of the Company on Form 10-Q for the fiscal quarter ended March 31, 2023 fully complies with the requirements of Section 13(a) or 15(d), as applicable, of the Securities Exchange Act of 1934, and that the information contained in such report fairly presents, in all material respects, the financial condition and results of operations of the Company as of the dates and for the periods presented in the financial statements included in such report.</w:t>
      </w:r>
    </w:p>
    <w:p>
      <w:pPr>
        <w:pStyle w:val="TextBody"/>
        <w:bidi w:val="0"/>
        <w:spacing w:before="0" w:after="0"/>
        <w:ind w:left="0" w:right="0" w:hanging="0"/>
        <w:jc w:val="both"/>
        <w:rPr>
          <w:caps w:val="false"/>
          <w:smallCaps w:val="false"/>
        </w:rPr>
      </w:pPr>
      <w:r>
        <w:rPr>
          <w:caps w:val="false"/>
          <w:smallCaps w:val="false"/>
        </w:rPr>
        <w:t> </w:t>
      </w:r>
    </w:p>
    <w:tbl>
      <w:tblPr>
        <w:tblW w:w="2525" w:type="dxa"/>
        <w:jc w:val="left"/>
        <w:tblInd w:w="0" w:type="dxa"/>
        <w:tblLayout w:type="fixed"/>
        <w:tblCellMar>
          <w:top w:w="0" w:type="dxa"/>
          <w:left w:w="0" w:type="dxa"/>
          <w:bottom w:w="0" w:type="dxa"/>
          <w:right w:w="0" w:type="dxa"/>
        </w:tblCellMar>
      </w:tblPr>
      <w:tblGrid>
        <w:gridCol w:w="2390"/>
        <w:gridCol w:w="135"/>
      </w:tblGrid>
      <w:tr>
        <w:trPr/>
        <w:tc>
          <w:tcPr>
            <w:tcW w:w="2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11, 2023</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vAlign w:val="center"/>
          </w:tcPr>
          <w:p>
            <w:pPr>
              <w:pStyle w:val="TableContents"/>
              <w:pBdr>
                <w:bottom w:val="single" w:sz="12" w:space="1" w:color="000000"/>
              </w:pBd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L. Baum</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L. Baum</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3890" w:type="dxa"/>
        <w:jc w:val="left"/>
        <w:tblInd w:w="0" w:type="dxa"/>
        <w:tblLayout w:type="fixed"/>
        <w:tblCellMar>
          <w:top w:w="0" w:type="dxa"/>
          <w:left w:w="0" w:type="dxa"/>
          <w:bottom w:w="0" w:type="dxa"/>
          <w:right w:w="0" w:type="dxa"/>
        </w:tblCellMar>
      </w:tblPr>
      <w:tblGrid>
        <w:gridCol w:w="3755"/>
        <w:gridCol w:w="135"/>
      </w:tblGrid>
      <w:tr>
        <w:trPr/>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11, 2023</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vAlign w:val="center"/>
          </w:tcPr>
          <w:p>
            <w:pPr>
              <w:pStyle w:val="TableContents"/>
              <w:pBdr>
                <w:bottom w:val="single" w:sz="12" w:space="1" w:color="000000"/>
              </w:pBd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R. Boll</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Andrew R. Boll </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Financial Officer</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Financial and Accounting Officer)</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accompanies this Report on Form 10-Q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143399</Words>
  <Characters>773421</Characters>
  <CharactersWithSpaces>919639</CharactersWithSpaces>
  <Paragraphs>10890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