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September 23,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1823085</wp:posOffset>
            </wp:positionH>
            <wp:positionV relativeFrom="paragraph">
              <wp:posOffset>17145</wp:posOffset>
            </wp:positionV>
            <wp:extent cx="36188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On September 23, 2015, ImprimisRx PA, Inc. (“ImprimisRx”), a Delaware corporation and a wholly-owned subsidiary of Imprimis Pharmaceuticals, Inc. (collectively the “Company” or “Imprimis”), entered into an asset purchase agreement (the “Asset Purchase Agreement”) with Thousand Oaks Holding Company, a Delaware corporation, and its wholly owned subsidiaries Topical Apothecary Group, LLC, a Pennsylvania limited liability company and owner and operator of TAG Pharmacy, a licensed pharmacy in Folcroft, PA; Aerosol Science Laboratories, Inc., a California corporation and former operator of ASL Pharmacy; SinuTopic, Inc., a Delaware corporation and former operator of Sinus Dynamics Pharmacy; and Mycotoxins, LLC, a California limited liability company, (collectively the “Sellers”). Under the terms of the Asset Purchase Agreement, Imprimis has agreed to acquire substantially all of the assets of the Sellers including, but not limited to, intellectual property rights, trademarks, copyrights, inventories, equipment, customer lists, databases, permits, or licenses, and to assume certain limited liabilities, for a total cash purchase price of approximately $499,000, to be paid at closing.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above description of the Asset Purchase Agreement is only a summary and does not purport to be complete.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8-K, including the exhibits filed with this Form 8-K, contains certain forward-looking statements regarding the proposed transaction between the Company and the Sellers. Actual events or results may differ materially from those contained in these forward-looking statements. Among the important factors that could cause future events or results to vary from those addressed in the forward-looking statements include, without limitation, risks and uncertainties arising from the possibility that the closing of the transaction may be delayed or may not occur; difficulties with the integration process or the realization of the expected benefits of the transaction; and general regulatory developments impacting compounding pharmacies, outsourcing facilities and the pharmaceutical industry. In addition, please refer to the documents that the Company files with the Securities and Exchange Commission on Forms 10-K, 10-Q and 8-K, which identify and address other important factors that could cause events and results to differ materially from those contained in the forward-looking statements set forth in this Form 8-K and in the Company’s other filings. The Company is under no duty to update any of the forward-looking statements after the date of this Form 8-K to conform to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IMPRIMIS PHARMACEUTICALS, INC.</w:t>
            </w:r>
          </w:p>
        </w:tc>
      </w:tr>
      <w:tr>
        <w:trPr>
          <w:trHeight w:val="439"/>
        </w:trPr>
        <w:tc>
          <w:tcPr>
            <w:tcW w:w="3840" w:type="dxa"/>
            <w:vAlign w:val="bottom"/>
          </w:tcPr>
          <w:p>
            <w:pPr>
              <w:spacing w:after="0"/>
              <w:rPr>
                <w:sz w:val="20"/>
                <w:szCs w:val="20"/>
                <w:color w:val="auto"/>
              </w:rPr>
            </w:pPr>
            <w:r>
              <w:rPr>
                <w:rFonts w:ascii="Arial" w:cs="Arial" w:eastAsia="Arial" w:hAnsi="Arial"/>
                <w:sz w:val="18"/>
                <w:szCs w:val="18"/>
                <w:color w:val="auto"/>
              </w:rPr>
              <w:t>Dated: September 29, 2015</w:t>
            </w:r>
          </w:p>
        </w:tc>
        <w:tc>
          <w:tcPr>
            <w:tcW w:w="2440" w:type="dxa"/>
            <w:vAlign w:val="bottom"/>
          </w:tcPr>
          <w:p>
            <w:pPr>
              <w:ind w:left="18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840" w:type="dxa"/>
            <w:vAlign w:val="bottom"/>
          </w:tcPr>
          <w:p>
            <w:pPr>
              <w:spacing w:after="0"/>
              <w:rPr>
                <w:sz w:val="17"/>
                <w:szCs w:val="17"/>
                <w:color w:val="auto"/>
              </w:rPr>
            </w:pPr>
          </w:p>
        </w:tc>
        <w:tc>
          <w:tcPr>
            <w:tcW w:w="2440" w:type="dxa"/>
            <w:vAlign w:val="bottom"/>
          </w:tcPr>
          <w:p>
            <w:pPr>
              <w:ind w:left="1880"/>
              <w:spacing w:after="0" w:line="201"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84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2020-01-24T21:02:17Z</dcterms:created>
  <dcterms:modified xsi:type="dcterms:W3CDTF">2020-01-24T21:02:17Z</dcterms:modified>
</cp:coreProperties>
</file>