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of Incorporation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102 Woodmont Blvd., Suite 610</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Nashville, Tennessee</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500" w:type="dxa"/>
            <w:vAlign w:val="bottom"/>
          </w:tcPr>
          <w:p>
            <w:pPr>
              <w:spacing w:after="0"/>
              <w:rPr>
                <w:sz w:val="24"/>
                <w:szCs w:val="24"/>
                <w:color w:val="auto"/>
              </w:rPr>
            </w:pPr>
          </w:p>
        </w:tc>
      </w:tr>
      <w:tr>
        <w:trPr>
          <w:trHeight w:val="418"/>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w:t>
            </w:r>
          </w:p>
        </w:tc>
      </w:t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to be Registered</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Each Class is to be Registered</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8.625% Senior Notes due 2026</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333-239669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The class of securities to be registered hereby is the 8.625% Senior Notes due 2026 (the “</w:t>
      </w:r>
      <w:r>
        <w:rPr>
          <w:rFonts w:ascii="Arial" w:cs="Arial" w:eastAsia="Arial" w:hAnsi="Arial"/>
          <w:sz w:val="16"/>
          <w:szCs w:val="16"/>
          <w:u w:val="single" w:color="auto"/>
          <w:color w:val="auto"/>
        </w:rPr>
        <w:t>Senior Notes</w:t>
      </w:r>
      <w:r>
        <w:rPr>
          <w:rFonts w:ascii="Arial" w:cs="Arial" w:eastAsia="Arial" w:hAnsi="Arial"/>
          <w:sz w:val="16"/>
          <w:szCs w:val="16"/>
          <w:color w:val="auto"/>
        </w:rPr>
        <w:t>”) of Harrow 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For a description of the Senior Notes, reference is made to (i) the information under the heading “Description of the Debt Securities” in the Company’s shelf registration statement on Form S-3 (Registration No. 333-239669) initially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July 2, 2020, and declared effective by the Commission on July 13, 2020, and (ii) the information under the heading “Description of the Notes” included in the Prospectus Supplement with respect to the Senior Notes, filed with the Commission pursuant to Rule 424(b) of the general rules and regulations of the Securities Act of 1933, as amended, on April 16, 2021, which information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left="66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14">
        <w:r>
          <w:rPr>
            <w:rFonts w:ascii="Arial" w:cs="Arial" w:eastAsia="Arial" w:hAnsi="Arial"/>
            <w:sz w:val="17"/>
            <w:szCs w:val="17"/>
            <w:u w:val="single" w:color="auto"/>
            <w:color w:val="0000EE"/>
          </w:rPr>
          <w:t>Indenture, dated as of April 20, 2021, by and between the Company and U.S. Bank National Association, as Trustee (incorporated by reference to</w:t>
        </w:r>
      </w:hyperlink>
      <w:r>
        <w:rPr>
          <w:rFonts w:ascii="Arial" w:cs="Arial" w:eastAsia="Arial" w:hAnsi="Arial"/>
          <w:sz w:val="17"/>
          <w:szCs w:val="17"/>
          <w:u w:val="single" w:color="auto"/>
          <w:color w:val="0000EE"/>
        </w:rPr>
        <w:t xml:space="preserve"> </w:t>
      </w:r>
      <w:hyperlink r:id="rId14">
        <w:r>
          <w:rPr>
            <w:rFonts w:ascii="Arial" w:cs="Arial" w:eastAsia="Arial" w:hAnsi="Arial"/>
            <w:sz w:val="17"/>
            <w:szCs w:val="17"/>
            <w:u w:val="single" w:color="auto"/>
            <w:color w:val="0000EE"/>
          </w:rPr>
          <w:t>Exhibit 4.1 to the Company’s Current Report on Form 8-K filed on April 20, 2021 and incorporated herein by reference).</w:t>
        </w:r>
      </w:hyperlink>
    </w:p>
    <w:p>
      <w:pPr>
        <w:spacing w:after="0" w:line="146" w:lineRule="exact"/>
        <w:rPr>
          <w:sz w:val="20"/>
          <w:szCs w:val="20"/>
          <w:color w:val="auto"/>
        </w:rPr>
      </w:pPr>
    </w:p>
    <w:p>
      <w:pPr>
        <w:jc w:val="both"/>
        <w:ind w:left="660" w:hanging="647"/>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5">
        <w:r>
          <w:rPr>
            <w:rFonts w:ascii="Arial" w:cs="Arial" w:eastAsia="Arial" w:hAnsi="Arial"/>
            <w:sz w:val="18"/>
            <w:szCs w:val="18"/>
            <w:u w:val="single" w:color="auto"/>
            <w:color w:val="0000EE"/>
          </w:rPr>
          <w:t>First Supplemental Indenture, dated as of April 20, 2021, by and between the Company and U.S. Bank National Association, as Trustee</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(incorporated by reference to Exhibit 4.2 to the Company’s Current Report on Form 8-K filed on April 20, 2021 and incorporated herein by</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reference).</w:t>
        </w:r>
      </w:hyperlink>
    </w:p>
    <w:p>
      <w:pPr>
        <w:spacing w:after="0" w:line="184"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5">
        <w:r>
          <w:rPr>
            <w:rFonts w:ascii="Arial" w:cs="Arial" w:eastAsia="Arial" w:hAnsi="Arial"/>
            <w:sz w:val="16"/>
            <w:szCs w:val="16"/>
            <w:u w:val="single" w:color="auto"/>
            <w:color w:val="0000EE"/>
          </w:rPr>
          <w:t>Form of 8.625% Senior Note due 2026 (included as Exhibit A to Exhibit 4.2 above).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4" Type="http://schemas.openxmlformats.org/officeDocument/2006/relationships/hyperlink" Target="https://www.sec.gov/Archives/edgar/data/1360214/000149315221009249/ex4-1.htm" TargetMode="External"/><Relationship Id="rId15" Type="http://schemas.openxmlformats.org/officeDocument/2006/relationships/hyperlink" Target="https://www.sec.gov/Archives/edgar/data/1360214/000149315221009249/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2021-04-20T15:16:51Z</dcterms:created>
  <dcterms:modified xsi:type="dcterms:W3CDTF">2021-04-20T15:16:51Z</dcterms:modified>
</cp:coreProperties>
</file>