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102 Woodmont Blvd., Suite 610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86"/>
              </w:rPr>
              <w:t>Nashville, Tennessee</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37205</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w:t>
      </w:r>
    </w:p>
    <w:p>
      <w:pPr>
        <w:spacing w:after="0" w:line="170"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w w:val="99"/>
              </w:rPr>
              <w:t>[X]</w:t>
            </w:r>
          </w:p>
        </w:tc>
      </w:tr>
      <w:tr>
        <w:trPr>
          <w:trHeight w:val="230"/>
        </w:trPr>
        <w:tc>
          <w:tcPr>
            <w:tcW w:w="2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6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2019, there were 25,172,931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80" w:type="dxa"/>
            <w:vAlign w:val="bottom"/>
            <w:gridSpan w:val="6"/>
          </w:tcPr>
          <w:p>
            <w:pPr>
              <w:jc w:val="center"/>
              <w:ind w:right="28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740" w:type="dxa"/>
            <w:vAlign w:val="bottom"/>
            <w:gridSpan w:val="17"/>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80" w:type="dxa"/>
            <w:vAlign w:val="bottom"/>
            <w:tcBorders>
              <w:top w:val="single" w:sz="8" w:color="CCEEFF"/>
              <w:bottom w:val="single" w:sz="8" w:color="auto"/>
            </w:tcBorders>
            <w:gridSpan w:val="12"/>
          </w:tcPr>
          <w:p>
            <w:pPr>
              <w:jc w:val="center"/>
              <w:ind w:left="3090"/>
              <w:spacing w:after="0"/>
              <w:rPr>
                <w:sz w:val="20"/>
                <w:szCs w:val="20"/>
                <w:color w:val="auto"/>
              </w:rPr>
            </w:pPr>
            <w:r>
              <w:rPr>
                <w:rFonts w:ascii="Arial" w:cs="Arial" w:eastAsia="Arial" w:hAnsi="Arial"/>
                <w:sz w:val="18"/>
                <w:szCs w:val="18"/>
                <w:color w:val="auto"/>
                <w:w w:val="99"/>
              </w:rPr>
              <w:t>2</w:t>
            </w:r>
          </w:p>
        </w:tc>
        <w:tc>
          <w:tcPr>
            <w:tcW w:w="122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w w:val="96"/>
              </w:rPr>
              <w:t>September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2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22,120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32,374</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32,843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5,939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58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8,144</w:t>
            </w:r>
          </w:p>
        </w:tc>
        <w:tc>
          <w:tcPr>
            <w:tcW w:w="3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2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 net of unamortized discount</w:t>
            </w:r>
          </w:p>
        </w:tc>
        <w:tc>
          <w:tcPr>
            <w:tcW w:w="2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11,428</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portion</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Finance lease obligations, net of current portion and unamortized discount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2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12,865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$0.001 par value, 50,000,000 shares authorized, 25,168,841 and 24,339,610</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w w:val="97"/>
              </w:rPr>
              <w:t>shares issued and outstanding at September 30, 2019 and December 31, 2018, respectively</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(76,700)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54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60" w:right="3600" w:hanging="5660"/>
        <w:spacing w:after="0" w:line="528" w:lineRule="auto"/>
        <w:rPr>
          <w:sz w:val="20"/>
          <w:szCs w:val="20"/>
          <w:color w:val="auto"/>
        </w:rPr>
      </w:pPr>
      <w:r>
        <w:rPr>
          <w:rFonts w:ascii="Arial" w:cs="Arial" w:eastAsia="Arial" w:hAnsi="Arial"/>
          <w:sz w:val="18"/>
          <w:szCs w:val="18"/>
          <w:color w:val="auto"/>
        </w:rPr>
        <w:t>The accompanying notes are an integral part of these unaudited condensed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18"/>
                <w:szCs w:val="18"/>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Sales, net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12,748</w:t>
            </w: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10,729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38,540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revenues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12,755</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38,561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29,988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6,548</w:t>
            </w: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17,569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Impairment and disposal of long-lived assets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4,040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Investment gain (loss) from Melt Pharmaceuticals,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160"/>
              <w:spacing w:after="0" w:line="201" w:lineRule="exact"/>
              <w:rPr>
                <w:sz w:val="20"/>
                <w:szCs w:val="20"/>
                <w:color w:val="auto"/>
              </w:rPr>
            </w:pPr>
            <w:r>
              <w:rPr>
                <w:rFonts w:ascii="Arial" w:cs="Arial" w:eastAsia="Arial" w:hAnsi="Arial"/>
                <w:sz w:val="18"/>
                <w:szCs w:val="18"/>
                <w:color w:val="auto"/>
                <w:w w:val="93"/>
              </w:rPr>
              <w:t>Investment gain (loss) from Surface Pharmaceuticals,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Investment gain (loss) from Eton Pharmaceuticals,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Income tax benefit, net</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net loss including noncontrolling interests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Harrow Health, Inc.</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loss per share of common stock</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Weighted average number of shares of common stock</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80" w:type="dxa"/>
            <w:vAlign w:val="bottom"/>
            <w:gridSpan w:val="2"/>
          </w:tcPr>
          <w:p>
            <w:pPr>
              <w:spacing w:after="0"/>
              <w:rPr>
                <w:sz w:val="20"/>
                <w:szCs w:val="20"/>
                <w:color w:val="auto"/>
              </w:rPr>
            </w:pPr>
            <w:r>
              <w:rPr>
                <w:rFonts w:ascii="Arial" w:cs="Arial" w:eastAsia="Arial" w:hAnsi="Arial"/>
                <w:sz w:val="18"/>
                <w:szCs w:val="18"/>
                <w:color w:val="auto"/>
              </w:rPr>
              <w:t>outstanding, basic and diluted</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25,583,998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21,709,392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25,205,215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21,283,078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66"/>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9060" w:type="dxa"/>
            <w:vAlign w:val="bottom"/>
            <w:gridSpan w:val="56"/>
          </w:tcPr>
          <w:p>
            <w:pPr>
              <w:spacing w:after="0"/>
              <w:rPr>
                <w:sz w:val="20"/>
                <w:szCs w:val="20"/>
                <w:color w:val="auto"/>
              </w:rPr>
            </w:pPr>
            <w:r>
              <w:rPr>
                <w:rFonts w:ascii="Arial" w:cs="Arial" w:eastAsia="Arial" w:hAnsi="Arial"/>
                <w:sz w:val="18"/>
                <w:szCs w:val="18"/>
                <w:color w:val="auto"/>
              </w:rPr>
              <w:t>Harrow</w:t>
            </w:r>
          </w:p>
        </w:tc>
        <w:tc>
          <w:tcPr>
            <w:tcW w:w="2360" w:type="dxa"/>
            <w:vAlign w:val="bottom"/>
            <w:gridSpan w:val="10"/>
          </w:tcPr>
          <w:p>
            <w:pPr>
              <w:jc w:val="center"/>
              <w:ind w:right="16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12"/>
          </w:tcPr>
          <w:p>
            <w:pPr>
              <w:jc w:val="right"/>
              <w:ind w:right="10"/>
              <w:spacing w:after="0"/>
              <w:rPr>
                <w:sz w:val="20"/>
                <w:szCs w:val="20"/>
                <w:color w:val="auto"/>
              </w:rPr>
            </w:pPr>
            <w:r>
              <w:rPr>
                <w:rFonts w:ascii="Arial" w:cs="Arial" w:eastAsia="Arial" w:hAnsi="Arial"/>
                <w:sz w:val="18"/>
                <w:szCs w:val="18"/>
                <w:color w:val="auto"/>
              </w:rPr>
              <w:t>Common Stock</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11"/>
          </w:tcPr>
          <w:p>
            <w:pPr>
              <w:ind w:left="60"/>
              <w:spacing w:after="0"/>
              <w:rPr>
                <w:sz w:val="20"/>
                <w:szCs w:val="20"/>
                <w:color w:val="auto"/>
              </w:rPr>
            </w:pPr>
            <w:r>
              <w:rPr>
                <w:rFonts w:ascii="Arial" w:cs="Arial" w:eastAsia="Arial" w:hAnsi="Arial"/>
                <w:sz w:val="18"/>
                <w:szCs w:val="18"/>
                <w:color w:val="auto"/>
              </w:rPr>
              <w:t>Additional</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Health, Inc.</w:t>
            </w:r>
          </w:p>
        </w:tc>
        <w:tc>
          <w:tcPr>
            <w:tcW w:w="10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Par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8"/>
          </w:tcPr>
          <w:p>
            <w:pPr>
              <w:ind w:left="20"/>
              <w:spacing w:after="0"/>
              <w:rPr>
                <w:sz w:val="20"/>
                <w:szCs w:val="20"/>
                <w:color w:val="auto"/>
              </w:rPr>
            </w:pPr>
            <w:r>
              <w:rPr>
                <w:rFonts w:ascii="Arial" w:cs="Arial" w:eastAsia="Arial" w:hAnsi="Arial"/>
                <w:sz w:val="18"/>
                <w:szCs w:val="18"/>
                <w:color w:val="auto"/>
              </w:rPr>
              <w:t>Paid-in</w:t>
            </w:r>
          </w:p>
        </w:tc>
        <w:tc>
          <w:tcPr>
            <w:tcW w:w="20" w:type="dxa"/>
            <w:vAlign w:val="bottom"/>
          </w:tcPr>
          <w:p>
            <w:pPr>
              <w:spacing w:after="0"/>
              <w:rPr>
                <w:sz w:val="18"/>
                <w:szCs w:val="18"/>
                <w:color w:val="auto"/>
              </w:rPr>
            </w:pPr>
          </w:p>
        </w:tc>
        <w:tc>
          <w:tcPr>
            <w:tcW w:w="1160" w:type="dxa"/>
            <w:vAlign w:val="bottom"/>
            <w:gridSpan w:val="10"/>
          </w:tcPr>
          <w:p>
            <w:pPr>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jc w:val="center"/>
              <w:ind w:right="160"/>
              <w:spacing w:after="0"/>
              <w:rPr>
                <w:sz w:val="20"/>
                <w:szCs w:val="20"/>
                <w:color w:val="auto"/>
              </w:rPr>
            </w:pPr>
            <w:r>
              <w:rPr>
                <w:rFonts w:ascii="Arial" w:cs="Arial" w:eastAsia="Arial" w:hAnsi="Arial"/>
                <w:sz w:val="18"/>
                <w:szCs w:val="18"/>
                <w:color w:val="auto"/>
                <w:w w:val="92"/>
              </w:rPr>
              <w:t>Stockholders’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8"/>
                <w:szCs w:val="18"/>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7"/>
          </w:tcPr>
          <w:p>
            <w:pPr>
              <w:jc w:val="right"/>
              <w:ind w:right="36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7"/>
          </w:tcPr>
          <w:p>
            <w:pPr>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8"/>
          </w:tcPr>
          <w:p>
            <w:pPr>
              <w:ind w:left="20"/>
              <w:spacing w:after="0"/>
              <w:rPr>
                <w:sz w:val="20"/>
                <w:szCs w:val="20"/>
                <w:color w:val="auto"/>
              </w:rPr>
            </w:pPr>
            <w:r>
              <w:rPr>
                <w:rFonts w:ascii="Arial" w:cs="Arial" w:eastAsia="Arial" w:hAnsi="Arial"/>
                <w:sz w:val="18"/>
                <w:szCs w:val="18"/>
                <w:color w:val="auto"/>
              </w:rPr>
              <w:t>Capital</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Deficit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9"/>
              </w:rPr>
              <w:t>21,049,448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93,538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(89,827)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65"/>
            <w:shd w:val="clear" w:color="auto" w:fill="CCEEFF"/>
          </w:tcPr>
          <w:p>
            <w:pPr>
              <w:spacing w:after="0"/>
              <w:rPr>
                <w:sz w:val="20"/>
                <w:szCs w:val="20"/>
                <w:color w:val="auto"/>
              </w:rPr>
            </w:pPr>
            <w:r>
              <w:rPr>
                <w:rFonts w:ascii="Arial" w:cs="Arial" w:eastAsia="Arial" w:hAnsi="Arial"/>
                <w:sz w:val="18"/>
                <w:szCs w:val="18"/>
                <w:color w:val="auto"/>
                <w:w w:val="91"/>
              </w:rPr>
              <w:t>Issuance of common stock in connection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spacing w:after="0"/>
              <w:rPr>
                <w:sz w:val="18"/>
                <w:szCs w:val="18"/>
                <w:color w:val="auto"/>
              </w:rPr>
            </w:pPr>
          </w:p>
        </w:tc>
        <w:tc>
          <w:tcPr>
            <w:tcW w:w="1060" w:type="dxa"/>
            <w:vAlign w:val="bottom"/>
            <w:gridSpan w:val="8"/>
          </w:tcPr>
          <w:p>
            <w:pPr>
              <w:jc w:val="right"/>
              <w:spacing w:after="0"/>
              <w:rPr>
                <w:sz w:val="20"/>
                <w:szCs w:val="20"/>
                <w:color w:val="auto"/>
              </w:rPr>
            </w:pPr>
            <w:r>
              <w:rPr>
                <w:rFonts w:ascii="Arial" w:cs="Arial" w:eastAsia="Arial" w:hAnsi="Arial"/>
                <w:sz w:val="18"/>
                <w:szCs w:val="18"/>
                <w:color w:val="auto"/>
              </w:rPr>
              <w:t>1,606,735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2,642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stock, net of costs (ATM)</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590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2018</w:t>
            </w: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9"/>
              </w:rPr>
              <w:t>22,656,183</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96,771</w:t>
            </w: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(92,341</w:t>
            </w:r>
          </w:p>
        </w:tc>
        <w:tc>
          <w:tcPr>
            <w:tcW w:w="120" w:type="dxa"/>
            <w:vAlign w:val="bottom"/>
            <w:tcBorders>
              <w:top w:val="single" w:sz="8" w:color="CCEEFF"/>
            </w:tcBorders>
            <w:gridSpan w:val="3"/>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4,453</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4"/>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0" w:type="dxa"/>
            <w:vAlign w:val="bottom"/>
            <w:tcBorders>
              <w:bottom w:val="single" w:sz="8" w:color="auto"/>
            </w:tcBorders>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6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66"/>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9060" w:type="dxa"/>
            <w:vAlign w:val="bottom"/>
            <w:gridSpan w:val="56"/>
          </w:tcPr>
          <w:p>
            <w:pPr>
              <w:spacing w:after="0"/>
              <w:rPr>
                <w:sz w:val="20"/>
                <w:szCs w:val="20"/>
                <w:color w:val="auto"/>
              </w:rPr>
            </w:pPr>
            <w:r>
              <w:rPr>
                <w:rFonts w:ascii="Arial" w:cs="Arial" w:eastAsia="Arial" w:hAnsi="Arial"/>
                <w:sz w:val="18"/>
                <w:szCs w:val="18"/>
                <w:color w:val="auto"/>
              </w:rPr>
              <w:t>Harrow</w:t>
            </w:r>
          </w:p>
        </w:tc>
        <w:tc>
          <w:tcPr>
            <w:tcW w:w="2360" w:type="dxa"/>
            <w:vAlign w:val="bottom"/>
            <w:gridSpan w:val="10"/>
          </w:tcPr>
          <w:p>
            <w:pPr>
              <w:jc w:val="center"/>
              <w:ind w:right="146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Common Stock</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9"/>
          </w:tcPr>
          <w:p>
            <w:pPr>
              <w:ind w:left="60"/>
              <w:spacing w:after="0"/>
              <w:rPr>
                <w:sz w:val="20"/>
                <w:szCs w:val="20"/>
                <w:color w:val="auto"/>
              </w:rPr>
            </w:pPr>
            <w:r>
              <w:rPr>
                <w:rFonts w:ascii="Arial" w:cs="Arial" w:eastAsia="Arial" w:hAnsi="Arial"/>
                <w:sz w:val="18"/>
                <w:szCs w:val="18"/>
                <w:color w:val="auto"/>
              </w:rPr>
              <w:t>Additional</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Health, Inc.</w:t>
            </w:r>
          </w:p>
        </w:tc>
        <w:tc>
          <w:tcPr>
            <w:tcW w:w="100" w:type="dxa"/>
            <w:vAlign w:val="bottom"/>
          </w:tcPr>
          <w:p>
            <w:pPr>
              <w:spacing w:after="0"/>
              <w:rPr>
                <w:sz w:val="21"/>
                <w:szCs w:val="21"/>
                <w:color w:val="auto"/>
              </w:rPr>
            </w:pPr>
          </w:p>
        </w:tc>
        <w:tc>
          <w:tcPr>
            <w:tcW w:w="1260" w:type="dxa"/>
            <w:vAlign w:val="bottom"/>
            <w:gridSpan w:val="6"/>
          </w:tcPr>
          <w:p>
            <w:pPr>
              <w:jc w:val="center"/>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Par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7"/>
          </w:tcPr>
          <w:p>
            <w:pPr>
              <w:jc w:val="right"/>
              <w:ind w:right="200"/>
              <w:spacing w:after="0"/>
              <w:rPr>
                <w:sz w:val="20"/>
                <w:szCs w:val="20"/>
                <w:color w:val="auto"/>
              </w:rPr>
            </w:pPr>
            <w:r>
              <w:rPr>
                <w:rFonts w:ascii="Arial" w:cs="Arial" w:eastAsia="Arial" w:hAnsi="Arial"/>
                <w:sz w:val="18"/>
                <w:szCs w:val="18"/>
                <w:color w:val="auto"/>
                <w:w w:val="92"/>
              </w:rPr>
              <w:t>Paid-in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w w:val="97"/>
              </w:rPr>
              <w:t>Accumulated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Stockholders’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7"/>
          </w:tcPr>
          <w:p>
            <w:pPr>
              <w:jc w:val="right"/>
              <w:ind w:right="26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7"/>
          </w:tcPr>
          <w:p>
            <w:pPr>
              <w:ind w:left="10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7"/>
          </w:tcPr>
          <w:p>
            <w:pPr>
              <w:jc w:val="right"/>
              <w:ind w:right="200"/>
              <w:spacing w:after="0"/>
              <w:rPr>
                <w:sz w:val="20"/>
                <w:szCs w:val="20"/>
                <w:color w:val="auto"/>
              </w:rPr>
            </w:pPr>
            <w:r>
              <w:rPr>
                <w:rFonts w:ascii="Arial" w:cs="Arial" w:eastAsia="Arial" w:hAnsi="Arial"/>
                <w:sz w:val="18"/>
                <w:szCs w:val="18"/>
                <w:color w:val="auto"/>
                <w:w w:val="92"/>
              </w:rPr>
              <w:t>Capital</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25,138,958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100,271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(65,231)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65"/>
            <w:shd w:val="clear" w:color="auto" w:fill="CCEEFF"/>
          </w:tcPr>
          <w:p>
            <w:pPr>
              <w:spacing w:after="0"/>
              <w:rPr>
                <w:sz w:val="20"/>
                <w:szCs w:val="20"/>
                <w:color w:val="auto"/>
              </w:rPr>
            </w:pPr>
            <w:r>
              <w:rPr>
                <w:rFonts w:ascii="Arial" w:cs="Arial" w:eastAsia="Arial" w:hAnsi="Arial"/>
                <w:sz w:val="18"/>
                <w:szCs w:val="18"/>
                <w:color w:val="auto"/>
                <w:w w:val="91"/>
              </w:rPr>
              <w:t>Issuance of common stock in connection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25,135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20" w:type="dxa"/>
            <w:vAlign w:val="bottom"/>
            <w:gridSpan w:val="66"/>
          </w:tcPr>
          <w:p>
            <w:pPr>
              <w:spacing w:after="0"/>
              <w:rPr>
                <w:sz w:val="20"/>
                <w:szCs w:val="20"/>
                <w:color w:val="auto"/>
              </w:rPr>
            </w:pPr>
            <w:r>
              <w:rPr>
                <w:rFonts w:ascii="Arial" w:cs="Arial" w:eastAsia="Arial" w:hAnsi="Arial"/>
                <w:sz w:val="18"/>
                <w:szCs w:val="18"/>
                <w:color w:val="auto"/>
              </w:rPr>
              <w:t>Exercise of employee stock-based options,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 withholding</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4,748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w w:val="92"/>
              </w:rPr>
              <w:t>Stock-based payment for services provided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Stock-based compensation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7"/>
          </w:tcPr>
          <w:p>
            <w:pPr>
              <w:jc w:val="right"/>
              <w:spacing w:after="0"/>
              <w:rPr>
                <w:sz w:val="20"/>
                <w:szCs w:val="20"/>
                <w:color w:val="auto"/>
              </w:rPr>
            </w:pPr>
            <w:r>
              <w:rPr>
                <w:rFonts w:ascii="Arial" w:cs="Arial" w:eastAsia="Arial" w:hAnsi="Arial"/>
                <w:sz w:val="18"/>
                <w:szCs w:val="18"/>
                <w:color w:val="auto"/>
              </w:rPr>
              <w:t>(11,469)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(11,469)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25,168,841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100,630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(76,700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gridSpan w:val="6"/>
          </w:tcPr>
          <w:p>
            <w:pPr>
              <w:spacing w:after="0" w:line="20" w:lineRule="exact"/>
              <w:rPr>
                <w:sz w:val="1"/>
                <w:szCs w:val="1"/>
                <w:color w:val="auto"/>
              </w:rPr>
            </w:pPr>
          </w:p>
        </w:tc>
        <w:tc>
          <w:tcPr>
            <w:tcW w:w="900" w:type="dxa"/>
            <w:vAlign w:val="bottom"/>
            <w:tcBorders>
              <w:bottom w:val="single" w:sz="8" w:color="auto"/>
            </w:tcBorders>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tcBorders>
              <w:bottom w:val="single" w:sz="8" w:color="auto"/>
            </w:tcBorders>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8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66"/>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9060" w:type="dxa"/>
            <w:vAlign w:val="bottom"/>
            <w:gridSpan w:val="56"/>
          </w:tcPr>
          <w:p>
            <w:pPr>
              <w:spacing w:after="0"/>
              <w:rPr>
                <w:sz w:val="20"/>
                <w:szCs w:val="20"/>
                <w:color w:val="auto"/>
              </w:rPr>
            </w:pPr>
            <w:r>
              <w:rPr>
                <w:rFonts w:ascii="Arial" w:cs="Arial" w:eastAsia="Arial" w:hAnsi="Arial"/>
                <w:sz w:val="18"/>
                <w:szCs w:val="18"/>
                <w:color w:val="auto"/>
              </w:rPr>
              <w:t>Harrow</w:t>
            </w:r>
          </w:p>
        </w:tc>
        <w:tc>
          <w:tcPr>
            <w:tcW w:w="2360" w:type="dxa"/>
            <w:vAlign w:val="bottom"/>
            <w:gridSpan w:val="10"/>
          </w:tcPr>
          <w:p>
            <w:pPr>
              <w:jc w:val="center"/>
              <w:ind w:right="16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Common Stock</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9"/>
          </w:tcPr>
          <w:p>
            <w:pPr>
              <w:jc w:val="center"/>
              <w:ind w:right="140"/>
              <w:spacing w:after="0"/>
              <w:rPr>
                <w:sz w:val="20"/>
                <w:szCs w:val="20"/>
                <w:color w:val="auto"/>
              </w:rPr>
            </w:pPr>
            <w:r>
              <w:rPr>
                <w:rFonts w:ascii="Arial" w:cs="Arial" w:eastAsia="Arial" w:hAnsi="Arial"/>
                <w:sz w:val="18"/>
                <w:szCs w:val="18"/>
                <w:color w:val="auto"/>
                <w:w w:val="96"/>
              </w:rPr>
              <w:t>Additional</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Health, Inc.</w:t>
            </w:r>
          </w:p>
        </w:tc>
        <w:tc>
          <w:tcPr>
            <w:tcW w:w="10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5"/>
          </w:tcPr>
          <w:p>
            <w:pPr>
              <w:jc w:val="right"/>
              <w:ind w:right="90"/>
              <w:spacing w:after="0"/>
              <w:rPr>
                <w:sz w:val="20"/>
                <w:szCs w:val="20"/>
                <w:color w:val="auto"/>
              </w:rPr>
            </w:pPr>
            <w:r>
              <w:rPr>
                <w:rFonts w:ascii="Arial" w:cs="Arial" w:eastAsia="Arial" w:hAnsi="Arial"/>
                <w:sz w:val="18"/>
                <w:szCs w:val="18"/>
                <w:color w:val="auto"/>
              </w:rPr>
              <w:t>Par</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8"/>
          </w:tcPr>
          <w:p>
            <w:pPr>
              <w:jc w:val="center"/>
              <w:ind w:right="200"/>
              <w:spacing w:after="0"/>
              <w:rPr>
                <w:sz w:val="20"/>
                <w:szCs w:val="20"/>
                <w:color w:val="auto"/>
              </w:rPr>
            </w:pPr>
            <w:r>
              <w:rPr>
                <w:rFonts w:ascii="Arial" w:cs="Arial" w:eastAsia="Arial" w:hAnsi="Arial"/>
                <w:sz w:val="18"/>
                <w:szCs w:val="18"/>
                <w:color w:val="auto"/>
                <w:w w:val="92"/>
              </w:rPr>
              <w:t>Paid-in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9"/>
          </w:tcPr>
          <w:p>
            <w:pPr>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8"/>
                <w:szCs w:val="18"/>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7"/>
          </w:tcPr>
          <w:p>
            <w:pPr>
              <w:jc w:val="right"/>
              <w:ind w:right="34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7"/>
          </w:tcPr>
          <w:p>
            <w:pPr>
              <w:ind w:left="4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8"/>
          </w:tcPr>
          <w:p>
            <w:pPr>
              <w:jc w:val="center"/>
              <w:ind w:right="200"/>
              <w:spacing w:after="0"/>
              <w:rPr>
                <w:sz w:val="20"/>
                <w:szCs w:val="20"/>
                <w:color w:val="auto"/>
              </w:rPr>
            </w:pPr>
            <w:r>
              <w:rPr>
                <w:rFonts w:ascii="Arial" w:cs="Arial" w:eastAsia="Arial" w:hAnsi="Arial"/>
                <w:sz w:val="18"/>
                <w:szCs w:val="18"/>
                <w:color w:val="auto"/>
                <w:w w:val="92"/>
              </w:rPr>
              <w:t>Capital</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20,623,129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91,430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(88,836)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65"/>
            <w:shd w:val="clear" w:color="auto" w:fill="CCEEFF"/>
          </w:tcPr>
          <w:p>
            <w:pPr>
              <w:spacing w:after="0"/>
              <w:rPr>
                <w:sz w:val="20"/>
                <w:szCs w:val="20"/>
                <w:color w:val="auto"/>
              </w:rPr>
            </w:pPr>
            <w:r>
              <w:rPr>
                <w:rFonts w:ascii="Arial" w:cs="Arial" w:eastAsia="Arial" w:hAnsi="Arial"/>
                <w:sz w:val="18"/>
                <w:szCs w:val="18"/>
                <w:color w:val="auto"/>
                <w:w w:val="91"/>
              </w:rPr>
              <w:t>Issuance of common stock in connection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spacing w:after="0"/>
              <w:rPr>
                <w:sz w:val="18"/>
                <w:szCs w:val="18"/>
                <w:color w:val="auto"/>
              </w:rPr>
            </w:pPr>
          </w:p>
        </w:tc>
        <w:tc>
          <w:tcPr>
            <w:tcW w:w="1120" w:type="dxa"/>
            <w:vAlign w:val="bottom"/>
            <w:gridSpan w:val="9"/>
          </w:tcPr>
          <w:p>
            <w:pPr>
              <w:jc w:val="right"/>
              <w:ind w:right="60"/>
              <w:spacing w:after="0"/>
              <w:rPr>
                <w:sz w:val="20"/>
                <w:szCs w:val="20"/>
                <w:color w:val="auto"/>
              </w:rPr>
            </w:pPr>
            <w:r>
              <w:rPr>
                <w:rFonts w:ascii="Arial" w:cs="Arial" w:eastAsia="Arial" w:hAnsi="Arial"/>
                <w:sz w:val="18"/>
                <w:szCs w:val="18"/>
                <w:color w:val="auto"/>
              </w:rPr>
              <w:t>1,606,735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80"/>
              <w:spacing w:after="0"/>
              <w:rPr>
                <w:sz w:val="20"/>
                <w:szCs w:val="20"/>
                <w:color w:val="auto"/>
              </w:rPr>
            </w:pPr>
            <w:r>
              <w:rPr>
                <w:rFonts w:ascii="Arial" w:cs="Arial" w:eastAsia="Arial" w:hAnsi="Arial"/>
                <w:sz w:val="18"/>
                <w:szCs w:val="18"/>
                <w:color w:val="auto"/>
              </w:rPr>
              <w:t>2,642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Vesting of RSUs, net of tax withholding</w:t>
            </w:r>
          </w:p>
        </w:tc>
        <w:tc>
          <w:tcPr>
            <w:tcW w:w="300" w:type="dxa"/>
            <w:vAlign w:val="bottom"/>
            <w:shd w:val="clear" w:color="auto" w:fill="CCEEFF"/>
          </w:tcPr>
          <w:p>
            <w:pPr>
              <w:spacing w:after="0"/>
              <w:rPr>
                <w:sz w:val="18"/>
                <w:szCs w:val="18"/>
                <w:color w:val="auto"/>
              </w:rPr>
            </w:pPr>
          </w:p>
        </w:tc>
        <w:tc>
          <w:tcPr>
            <w:tcW w:w="112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60,000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Sale of stock, net of costs (ATM)</w:t>
            </w:r>
          </w:p>
        </w:tc>
        <w:tc>
          <w:tcPr>
            <w:tcW w:w="300" w:type="dxa"/>
            <w:vAlign w:val="bottom"/>
          </w:tcPr>
          <w:p>
            <w:pPr>
              <w:spacing w:after="0"/>
              <w:rPr>
                <w:sz w:val="18"/>
                <w:szCs w:val="18"/>
                <w:color w:val="auto"/>
              </w:rPr>
            </w:pPr>
          </w:p>
        </w:tc>
        <w:tc>
          <w:tcPr>
            <w:tcW w:w="1120" w:type="dxa"/>
            <w:vAlign w:val="bottom"/>
            <w:gridSpan w:val="9"/>
          </w:tcPr>
          <w:p>
            <w:pPr>
              <w:jc w:val="right"/>
              <w:ind w:right="60"/>
              <w:spacing w:after="0"/>
              <w:rPr>
                <w:sz w:val="20"/>
                <w:szCs w:val="20"/>
                <w:color w:val="auto"/>
              </w:rPr>
            </w:pPr>
            <w:r>
              <w:rPr>
                <w:rFonts w:ascii="Arial" w:cs="Arial" w:eastAsia="Arial" w:hAnsi="Arial"/>
                <w:sz w:val="18"/>
                <w:szCs w:val="18"/>
                <w:color w:val="auto"/>
              </w:rPr>
              <w:t>305,619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641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Stock-based payment for services provided</w:t>
            </w:r>
          </w:p>
        </w:tc>
        <w:tc>
          <w:tcPr>
            <w:tcW w:w="112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60,700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108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80"/>
              <w:spacing w:after="0"/>
              <w:rPr>
                <w:sz w:val="20"/>
                <w:szCs w:val="20"/>
                <w:color w:val="auto"/>
              </w:rPr>
            </w:pPr>
            <w:r>
              <w:rPr>
                <w:rFonts w:ascii="Arial" w:cs="Arial" w:eastAsia="Arial" w:hAnsi="Arial"/>
                <w:sz w:val="18"/>
                <w:szCs w:val="18"/>
                <w:color w:val="auto"/>
              </w:rPr>
              <w:t>1,950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2018</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9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7"/>
              </w:rPr>
              <w:t>22,656,183</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23</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96,771</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(92,341</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4,453</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5"/>
          </w:tcPr>
          <w:p>
            <w:pPr>
              <w:spacing w:after="0" w:line="20" w:lineRule="exact"/>
              <w:rPr>
                <w:sz w:val="1"/>
                <w:szCs w:val="1"/>
                <w:color w:val="auto"/>
              </w:rPr>
            </w:pPr>
          </w:p>
        </w:tc>
        <w:tc>
          <w:tcPr>
            <w:tcW w:w="900" w:type="dxa"/>
            <w:vAlign w:val="bottom"/>
            <w:tcBorders>
              <w:bottom w:val="single" w:sz="8" w:color="auto"/>
            </w:tcBorders>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Borders>
              <w:bottom w:val="single" w:sz="8" w:color="auto"/>
            </w:tcBorders>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6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66"/>
          </w:tcPr>
          <w:p>
            <w:pPr>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9060" w:type="dxa"/>
            <w:vAlign w:val="bottom"/>
            <w:gridSpan w:val="56"/>
          </w:tcPr>
          <w:p>
            <w:pPr>
              <w:spacing w:after="0"/>
              <w:rPr>
                <w:sz w:val="20"/>
                <w:szCs w:val="20"/>
                <w:color w:val="auto"/>
              </w:rPr>
            </w:pPr>
            <w:r>
              <w:rPr>
                <w:rFonts w:ascii="Arial" w:cs="Arial" w:eastAsia="Arial" w:hAnsi="Arial"/>
                <w:sz w:val="18"/>
                <w:szCs w:val="18"/>
                <w:color w:val="auto"/>
              </w:rPr>
              <w:t>Harrow</w:t>
            </w:r>
          </w:p>
        </w:tc>
        <w:tc>
          <w:tcPr>
            <w:tcW w:w="2360" w:type="dxa"/>
            <w:vAlign w:val="bottom"/>
            <w:gridSpan w:val="10"/>
          </w:tcPr>
          <w:p>
            <w:pPr>
              <w:jc w:val="center"/>
              <w:ind w:right="18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color w:val="auto"/>
                <w:w w:val="90"/>
              </w:rPr>
              <w:t>Common Stock</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11"/>
          </w:tcPr>
          <w:p>
            <w:pPr>
              <w:jc w:val="center"/>
              <w:spacing w:after="0"/>
              <w:rPr>
                <w:sz w:val="20"/>
                <w:szCs w:val="20"/>
                <w:color w:val="auto"/>
              </w:rPr>
            </w:pPr>
            <w:r>
              <w:rPr>
                <w:rFonts w:ascii="Arial" w:cs="Arial" w:eastAsia="Arial" w:hAnsi="Arial"/>
                <w:sz w:val="18"/>
                <w:szCs w:val="18"/>
                <w:color w:val="auto"/>
                <w:w w:val="98"/>
              </w:rPr>
              <w:t>Additional</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8"/>
          </w:tcPr>
          <w:p>
            <w:pPr>
              <w:jc w:val="center"/>
              <w:ind w:right="420"/>
              <w:spacing w:after="0"/>
              <w:rPr>
                <w:sz w:val="20"/>
                <w:szCs w:val="20"/>
                <w:color w:val="auto"/>
              </w:rPr>
            </w:pPr>
            <w:r>
              <w:rPr>
                <w:rFonts w:ascii="Arial" w:cs="Arial" w:eastAsia="Arial" w:hAnsi="Arial"/>
                <w:sz w:val="18"/>
                <w:szCs w:val="18"/>
                <w:color w:val="auto"/>
                <w:w w:val="92"/>
              </w:rPr>
              <w:t>Health, Inc.</w:t>
            </w:r>
          </w:p>
        </w:tc>
        <w:tc>
          <w:tcPr>
            <w:tcW w:w="1360" w:type="dxa"/>
            <w:vAlign w:val="bottom"/>
            <w:gridSpan w:val="7"/>
          </w:tcPr>
          <w:p>
            <w:pPr>
              <w:jc w:val="center"/>
              <w:ind w:right="180"/>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7"/>
          </w:tcPr>
          <w:p>
            <w:pPr>
              <w:jc w:val="right"/>
              <w:ind w:right="70"/>
              <w:spacing w:after="0"/>
              <w:rPr>
                <w:sz w:val="20"/>
                <w:szCs w:val="20"/>
                <w:color w:val="auto"/>
              </w:rPr>
            </w:pPr>
            <w:r>
              <w:rPr>
                <w:rFonts w:ascii="Arial" w:cs="Arial" w:eastAsia="Arial" w:hAnsi="Arial"/>
                <w:sz w:val="18"/>
                <w:szCs w:val="18"/>
                <w:color w:val="auto"/>
                <w:w w:val="78"/>
              </w:rPr>
              <w:t>Par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9"/>
          </w:tcPr>
          <w:p>
            <w:pPr>
              <w:jc w:val="center"/>
              <w:ind w:right="120"/>
              <w:spacing w:after="0"/>
              <w:rPr>
                <w:sz w:val="20"/>
                <w:szCs w:val="20"/>
                <w:color w:val="auto"/>
              </w:rPr>
            </w:pPr>
            <w:r>
              <w:rPr>
                <w:rFonts w:ascii="Arial" w:cs="Arial" w:eastAsia="Arial" w:hAnsi="Arial"/>
                <w:sz w:val="18"/>
                <w:szCs w:val="18"/>
                <w:color w:val="auto"/>
                <w:w w:val="92"/>
              </w:rPr>
              <w:t>Paid-in</w:t>
            </w:r>
          </w:p>
        </w:tc>
        <w:tc>
          <w:tcPr>
            <w:tcW w:w="240" w:type="dxa"/>
            <w:vAlign w:val="bottom"/>
          </w:tcPr>
          <w:p>
            <w:pPr>
              <w:spacing w:after="0"/>
              <w:rPr>
                <w:sz w:val="18"/>
                <w:szCs w:val="18"/>
                <w:color w:val="auto"/>
              </w:rPr>
            </w:pPr>
          </w:p>
        </w:tc>
        <w:tc>
          <w:tcPr>
            <w:tcW w:w="1120" w:type="dxa"/>
            <w:vAlign w:val="bottom"/>
            <w:gridSpan w:val="10"/>
          </w:tcPr>
          <w:p>
            <w:pPr>
              <w:jc w:val="right"/>
              <w:ind w:right="80"/>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10"/>
          </w:tcPr>
          <w:p>
            <w:pPr>
              <w:jc w:val="center"/>
              <w:ind w:right="260"/>
              <w:spacing w:after="0"/>
              <w:rPr>
                <w:sz w:val="20"/>
                <w:szCs w:val="20"/>
                <w:color w:val="auto"/>
              </w:rPr>
            </w:pPr>
            <w:r>
              <w:rPr>
                <w:rFonts w:ascii="Arial" w:cs="Arial" w:eastAsia="Arial" w:hAnsi="Arial"/>
                <w:sz w:val="18"/>
                <w:szCs w:val="18"/>
                <w:color w:val="auto"/>
                <w:w w:val="92"/>
              </w:rPr>
              <w:t>Stockholders’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4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8"/>
                <w:szCs w:val="18"/>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gridSpan w:val="6"/>
          </w:tcPr>
          <w:p>
            <w:pPr>
              <w:ind w:left="20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780" w:type="dxa"/>
            <w:vAlign w:val="bottom"/>
            <w:gridSpan w:val="9"/>
          </w:tcPr>
          <w:p>
            <w:pPr>
              <w:jc w:val="right"/>
              <w:ind w:right="19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9"/>
          </w:tcPr>
          <w:p>
            <w:pPr>
              <w:jc w:val="center"/>
              <w:ind w:right="12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6"/>
          </w:tcPr>
          <w:p>
            <w:pPr>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5"/>
          </w:tcPr>
          <w:p>
            <w:pPr>
              <w:jc w:val="center"/>
              <w:ind w:right="56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24,339,610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98,938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0" w:type="dxa"/>
            <w:vAlign w:val="bottom"/>
            <w:gridSpan w:val="65"/>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0" w:type="dxa"/>
            <w:vAlign w:val="bottom"/>
          </w:tcPr>
          <w:p>
            <w:pPr>
              <w:spacing w:after="0"/>
              <w:rPr>
                <w:sz w:val="1"/>
                <w:szCs w:val="1"/>
                <w:color w:val="auto"/>
              </w:rPr>
            </w:pPr>
          </w:p>
        </w:tc>
      </w:tr>
      <w:tr>
        <w:trPr>
          <w:trHeight w:val="230"/>
        </w:trPr>
        <w:tc>
          <w:tcPr>
            <w:tcW w:w="11420" w:type="dxa"/>
            <w:vAlign w:val="bottom"/>
            <w:gridSpan w:val="66"/>
          </w:tcPr>
          <w:p>
            <w:pPr>
              <w:spacing w:after="0"/>
              <w:rPr>
                <w:sz w:val="20"/>
                <w:szCs w:val="20"/>
                <w:color w:val="auto"/>
              </w:rPr>
            </w:pPr>
            <w:r>
              <w:rPr>
                <w:rFonts w:ascii="Arial" w:cs="Arial" w:eastAsia="Arial" w:hAnsi="Arial"/>
                <w:sz w:val="18"/>
                <w:szCs w:val="18"/>
                <w:color w:val="auto"/>
              </w:rPr>
              <w:t>connection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w w:val="89"/>
              </w:rPr>
              <w:t>788,528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5"/>
          </w:tcPr>
          <w:p>
            <w:pPr>
              <w:ind w:left="1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11420" w:type="dxa"/>
            <w:vAlign w:val="bottom"/>
            <w:gridSpan w:val="66"/>
          </w:tcPr>
          <w:p>
            <w:pPr>
              <w:spacing w:after="0"/>
              <w:rPr>
                <w:sz w:val="20"/>
                <w:szCs w:val="20"/>
                <w:color w:val="auto"/>
              </w:rPr>
            </w:pPr>
            <w:r>
              <w:rPr>
                <w:rFonts w:ascii="Arial" w:cs="Arial" w:eastAsia="Arial" w:hAnsi="Arial"/>
                <w:sz w:val="18"/>
                <w:szCs w:val="18"/>
                <w:color w:val="auto"/>
              </w:rPr>
              <w:t>Exercise of employee stock-based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net of tax withholding</w:t>
            </w:r>
          </w:p>
        </w:tc>
        <w:tc>
          <w:tcPr>
            <w:tcW w:w="300" w:type="dxa"/>
            <w:vAlign w:val="bottom"/>
            <w:shd w:val="clear" w:color="auto" w:fill="CCEEFF"/>
          </w:tcPr>
          <w:p>
            <w:pPr>
              <w:spacing w:after="0"/>
              <w:rPr>
                <w:sz w:val="20"/>
                <w:szCs w:val="20"/>
                <w:color w:val="auto"/>
              </w:rPr>
            </w:pP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25,703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3"/>
              </w:rPr>
              <w:t>(44)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11420" w:type="dxa"/>
            <w:vAlign w:val="bottom"/>
            <w:gridSpan w:val="66"/>
          </w:tcPr>
          <w:p>
            <w:pPr>
              <w:spacing w:after="0"/>
              <w:rPr>
                <w:sz w:val="20"/>
                <w:szCs w:val="20"/>
                <w:color w:val="auto"/>
              </w:rPr>
            </w:pPr>
            <w:r>
              <w:rPr>
                <w:rFonts w:ascii="Arial" w:cs="Arial" w:eastAsia="Arial" w:hAnsi="Arial"/>
                <w:sz w:val="18"/>
                <w:szCs w:val="18"/>
                <w:color w:val="auto"/>
              </w:rPr>
              <w:t>Stock-based payment for services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provided</w:t>
            </w:r>
          </w:p>
        </w:tc>
        <w:tc>
          <w:tcPr>
            <w:tcW w:w="300" w:type="dxa"/>
            <w:vAlign w:val="bottom"/>
          </w:tcPr>
          <w:p>
            <w:pPr>
              <w:spacing w:after="0"/>
              <w:rPr>
                <w:sz w:val="20"/>
                <w:szCs w:val="20"/>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25,168,841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9"/>
            <w:shd w:val="clear" w:color="auto" w:fill="CCEEFF"/>
          </w:tcPr>
          <w:p>
            <w:pPr>
              <w:jc w:val="right"/>
              <w:spacing w:after="0"/>
              <w:rPr>
                <w:sz w:val="20"/>
                <w:szCs w:val="20"/>
                <w:color w:val="auto"/>
              </w:rPr>
            </w:pPr>
            <w:r>
              <w:rPr>
                <w:rFonts w:ascii="Arial" w:cs="Arial" w:eastAsia="Arial" w:hAnsi="Arial"/>
                <w:sz w:val="18"/>
                <w:szCs w:val="18"/>
                <w:color w:val="auto"/>
                <w:w w:val="94"/>
              </w:rPr>
              <w:t>$ 100,630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(76,700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Borders>
              <w:bottom w:val="single" w:sz="8" w:color="auto"/>
            </w:tcBorders>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66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Nine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(2,717)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Investment (gain)/loss from Eton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(gain)/loss from Melt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Investment (gain)/loss from Surface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impairments and disposal of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Stock-based payment for services provided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impairments and disposals: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note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Proceeds on sale and disposal of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Payments of costs related to amendment of note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340"/>
              <w:spacing w:after="0" w:line="201" w:lineRule="exact"/>
              <w:rPr>
                <w:sz w:val="20"/>
                <w:szCs w:val="20"/>
                <w:color w:val="auto"/>
              </w:rPr>
            </w:pPr>
            <w:r>
              <w:rPr>
                <w:rFonts w:ascii="Arial" w:cs="Arial" w:eastAsia="Arial" w:hAnsi="Arial"/>
                <w:sz w:val="18"/>
                <w:szCs w:val="18"/>
                <w:color w:val="auto"/>
                <w:w w:val="93"/>
              </w:rPr>
              <w:t>Net proceeds from exercise of warrants and stock options, net of taxes remitted for RSU</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and options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(3,207)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2,096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3,431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Issuance of stock and stock options for consulting services included in accounts payable and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Harrow Health, Inc. (together with its consolidated subsidiaries, unless the context indicates or otherwise requires, the “Company”, “Harrow” or “We”) specializes in the development, production and sale of innovative medications that offer unique competitive advantages and serve unmet needs in the marketplace through its subsidiaries and deconsolidated companies. The Company owns one of the nation’s leading ophthalmology focused pharmaceutical businesses, ImprimisRx, LLC (“ImprimisRx”). In addition to wholly owning ImprimisRx, the Company also has equity positions in Eton Pharmaceuticals, Inc. (“Eton”), Surface Pharmaceuticals, Inc. (“Surface”), and Melt Pharmaceuticals, Inc. (“Melt”). More recently, the Company founded its subsidiaries Mayfield Pharmaceuticals, Inc. (“Mayfield”), Radley Pharmaceuticals, Inc. (“Radley”), and Stowe Pharmaceuticals, Inc. (“Stowe”). The Company owns royalty rights in certain 505(b)(2) drug candidates being developed by Surface, Melt, Radley and Mayfield. Harrow intends to continue to create, found, and hold equity and royalty rights in, new businesses that commercialize drug candidates that are internally developed or otherwise acquired or licensed from third parties.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more detail in Note 2, in August 2019, the Company restructured its Park Compounding, Inc. (“Park”) business, ceased operations at its Irvine, California-based pharmacy, and facilitated the transition of certain compounded formulations and related equipment from Park to the Company’s New Jersey-based compounded pharmaceutical production facilities (the “Park Restructuring”). Going forward, all compounding business is expected to be consolidated into the Company’s ImprimisRx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2019 are not necessarily indicative of the results that may be expected for the year ending December 31, 2019 or for any other period. For further information, refer to the Company’s audited consolidated financial statements and footnotes thereto included in the Company’s Annual Report on Form 10-K for the year ended December 31, 2018.</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include the accounts of Harrow and its wholly owned subsidiaries, as well as Mayfield and Stowe, 70% majority controlled subsidiaries of Harrow, as of September 30, 2019. The remaining 30% of Mayfield is owned by Elle Pharmaceutical, LLC (“Elle”), TGV-Health, LLC and affiliated entities (collectively “TGV”) or other consultants. Mayfield was organized to develop women’s health-focused drug candidates. The remaining 30% of Stowe is owned by TGV. Stowe was organized to develop ophthalmic drug candidates. All inter-company accounts and transactions have been eliminated in consolidation.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we have a controlling financial interest. We consolidate subsidiaries in which we hold and/or control, directly or indirectly, more than 50% of the voting rights.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sheets at September 30, 2019 and December 31, 2018 and the condensed consolidated statements of operations, stockholders’ equity and cash flows for the periods ended September 30, 2019 include our accounts and those of our wholly owned subsidiaries as well as Mayfield and Stowe. The condensed consolidated statements of operations, stockholders’ equity and cash flows for the periods ended September 30, 2018 include our accounts and those of our wholly owned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nine months ended September 30, 2019 to the significant accounting policies described in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incurred significant operating losses and negative cash flows from operations since its inception. The Company incurred net losses of $2,489 and $3,505 for the nine months ended September 30, 2019 and 2018, respectively, and had an accumulated deficit of $76,700 and $74,211 as of September 30, 2019 and December 31, 2018, respectively. In addition, the Company used cash in operating activities of $702 for the nine months ended September 30, 2019, while during the nine months ended September 30, 2018, operating activities provided cash of $723.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is no assurance, management of the Company believes existing cash resources and restricted cash of $3,631 at September 30, 2019,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on as operating segments. The Company has identified two operating segments as reportable segments. See Note 15 for more information regarding the Company’s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7" w:lineRule="exact"/>
        <w:rPr>
          <w:sz w:val="20"/>
          <w:szCs w:val="20"/>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loss attributable to common stockholders for the period by the weighted average number of common shares outstanding during the period. Diluted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unvested restricted stock units (“RSUs”) and warrants were 5,263,131 and 8,387,347 at September 30, 2019 and 2018, respectively, and are excluded from the calculation of diluted net loss per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September 30, 2019 and 2018 was 314,588 and 202,603,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loss per share of common stock for the three and nine months ended September 30,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6"/>
          </w:tcPr>
          <w:p>
            <w:pPr>
              <w:jc w:val="right"/>
              <w:ind w:right="540"/>
              <w:spacing w:after="0"/>
              <w:rPr>
                <w:sz w:val="20"/>
                <w:szCs w:val="20"/>
                <w:color w:val="auto"/>
              </w:rPr>
            </w:pPr>
            <w:r>
              <w:rPr>
                <w:rFonts w:ascii="Arial" w:cs="Arial" w:eastAsia="Arial" w:hAnsi="Arial"/>
                <w:sz w:val="18"/>
                <w:szCs w:val="18"/>
                <w:color w:val="auto"/>
                <w:w w:val="96"/>
              </w:rPr>
              <w:t>For the 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440"/>
              <w:spacing w:after="0"/>
              <w:rPr>
                <w:sz w:val="20"/>
                <w:szCs w:val="20"/>
                <w:color w:val="auto"/>
              </w:rPr>
            </w:pPr>
            <w:r>
              <w:rPr>
                <w:rFonts w:ascii="Arial" w:cs="Arial" w:eastAsia="Arial" w:hAnsi="Arial"/>
                <w:sz w:val="18"/>
                <w:szCs w:val="18"/>
                <w:color w:val="auto"/>
                <w:w w:val="96"/>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attributable to Harrow Health, Inc.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(11,469)</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Denominator – weighted average number of shares outstanding,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26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25,583,998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21,709,392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25,205,215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21,283,078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owns 3,500,000 shares of Eton common stock, which represents approximately 19.7% of the equity and voting interests of Eton as of September 30, 2019. At September 30, 2019, the fair market value of Eton’s common stock was $6.32 per share. In accordance with the Accounting Standards Update (“ASU”) 2016-01, </w:t>
      </w:r>
      <w:r>
        <w:rPr>
          <w:rFonts w:ascii="Arial" w:cs="Arial" w:eastAsia="Arial" w:hAnsi="Arial"/>
          <w:sz w:val="16"/>
          <w:szCs w:val="16"/>
          <w:i w:val="1"/>
          <w:iCs w:val="1"/>
          <w:color w:val="auto"/>
        </w:rPr>
        <w:t>Financial Instruments-Overall (Subtopic 825-10):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for the three months ended September 30, 2019, the Company recorded an investment loss from its Eton common stock position of $5,530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change in fair market value of the Company’s investment in Eton during the measurement period. For the nine months ended September 30, 2019, the Company recorded an investment gain from its Eton common stock position of $700 related to the change in fair market value of the Company’s investment in Eton during the measurement period. As of September 30, 2019, the fair market value of the Company’s investment in Eton was $22,120.</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2018, the Company entered into a lock-up agreement that prohibits the sale of any of its Eton common stock until November 15, 2019 without the approval of National Securities Corporation, the underwriter of Eton’s initial public offering of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the Company formed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308" w:lineRule="auto"/>
        <w:rPr>
          <w:sz w:val="20"/>
          <w:szCs w:val="20"/>
          <w:color w:val="auto"/>
        </w:rPr>
      </w:pPr>
      <w:r>
        <w:rPr>
          <w:rFonts w:ascii="Arial" w:cs="Arial" w:eastAsia="Arial" w:hAnsi="Arial"/>
          <w:sz w:val="17"/>
          <w:szCs w:val="17"/>
          <w:color w:val="auto"/>
        </w:rPr>
        <w:t xml:space="preserve">At the time of deconsolidation, the Company recorded a gain of $5,810 and adjusted the carrying value in Melt to reflect the increased valuation of Melt and the Company’s new ownership interest in accordance with Accounting Standard Codification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(which is approximately 44% of the equity interest as of September 30, 2019) of Melt and uses the equity method of accounting for this investment, as management has determined that the Company has the ability to exercise significant influence over the operating and financial decisions of Melt. Under this method, the Company recognizes earnings and losses of Melt in its consolidated financial statements and adjusts the carrying amount of its investment in Melt accordingly. The Company’s share of earnings and losses are based on the Company’s ownership interest of Melt. Any intra-entity profits and losses are eliminated. During the three and nine months ended September 30, 2019, the Company recorded equity in net loss of Melt of $682 and $1,293, respectively. As of September 30, 2019, the carrying value of the Company’s investment in Melt was $4,517.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formed Surface as a wholly owned subsidiary. In May and July 2018, Surface entered into a definitive stock purchase agreement with an institutional investor for the purchase of Surface’s Series A Preferred Stock (the “Surface Series A Stock”) and closed on the sale, resulting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time of deconsolidation, the Company recorded a gain of $5,320 and adjusted the carrying value in Surface to reflect the increased valuation of Surface and the Company’s new ownership interest in accordance with ASC 810-10-40-4(c).</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(which is approximately 30% of the equity interest as of September 30, 2019)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net loss of Surface of $400 and $904 during the three and nine months ended September 30, 2019. As of September 30, 2019, the carrying value of the Company’s investment in Surface was $4,043.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 Restructuring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2019, Park and Noice Rx, LLC (“Noice”) terminated an Asset Purchase Agreement, dated July 26, 2019 (the “Park Purchase Agreement”), between the parties. Under the terms of the Park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 The Company elected to restructure the Park business and facilitate the transition of certain compounded formulations and related equipment from Park to the Company’s New Jersey-based compounded pharmaceutical production facilities. As a result of the Park Restructuring, the Company incurred non-cash impairment costs of approximately $3,781 related to assets held at Park, primarily associated with property, plant, equipment, inventory, goodwill and other intangible assets, and $405 in one-time costs related to severance packages and other costs associated with the Park Restructuring during the three and nine months ended September 30,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right="20"/>
        <w:spacing w:after="0" w:line="264" w:lineRule="auto"/>
        <w:rPr>
          <w:sz w:val="20"/>
          <w:szCs w:val="20"/>
          <w:color w:val="auto"/>
        </w:rPr>
      </w:pPr>
      <w:r>
        <w:rPr>
          <w:rFonts w:ascii="Arial" w:cs="Arial" w:eastAsia="Arial" w:hAnsi="Arial"/>
          <w:sz w:val="18"/>
          <w:szCs w:val="18"/>
          <w:color w:val="auto"/>
        </w:rPr>
        <w:t>The Company has reduced the Park compounded product formulary to seven base formulations, based on factors including unit order volumes, revenues and gross margin percentages, and expect ImprimisRx to retain and re-acquire approximately half of Park’s revenue after a transitionary period within about six to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took effect for public companies in fiscal years beginning after December 15, 2018, including interim periods within those fiscal years. On January 1, 2019, the Company adopted Topic 842 using the modified retrospective transition method with no impact to stockholders’ equity. As of September 30, 2019, the Company held on its condensed consolidated balance sheet $5,939 for the right-of-use asset and $6,345 for the related lease liability related to operating leases. The difference between the right of use asset and related lease liability is predominantly deferred rent and other related lease expenses under the new lease accounting standard. For additional information regarding how the Company is accounting for leases under Topic 842, refer to Note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Revenues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four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disaggregated by revenue source for the three and nine months ended September 30, 2019 and 2018,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332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9"/>
                <w:szCs w:val="19"/>
                <w:color w:val="auto"/>
              </w:rPr>
            </w:pPr>
          </w:p>
        </w:tc>
        <w:tc>
          <w:tcPr>
            <w:tcW w:w="28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39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shd w:val="clear" w:color="auto" w:fill="CCEEFF"/>
          </w:tcPr>
          <w:p>
            <w:pPr>
              <w:spacing w:after="0"/>
              <w:rPr>
                <w:sz w:val="18"/>
                <w:szCs w:val="18"/>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License revenues</w:t>
            </w:r>
          </w:p>
        </w:tc>
        <w:tc>
          <w:tcPr>
            <w:tcW w:w="8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3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revenue and customer deposits at September 30, 2019 and December 31, 2018, was $48 and $119, retrospectively. All deferred revenue and customer deposit amounts at December 31, 2018 were recognized as revenue during the nine months ended September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eight percent (8%) of net sales of the Melt Products while any patent rights remain outstanding, as well as other conditions. In January and March 2019, the Company entered into the Melt Series A Preferred Stock Agreement.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the Company was due $701 from Melt for reimbursable expenses and amounts due under the Melt MSA and included in prepaid expenses and other current assets on the accompanying condensed consolidated balance sheets. During the nine months ended September 30, 2019, Melt paid the Company $50.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Mr. Dillaha and the Company’s Chief Financial Officer, Andrew Boll) entered into consulting agreements and provide consulting services to Melt.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820" w:type="dxa"/>
            <w:vAlign w:val="bottom"/>
            <w:tcBorders>
              <w:top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2,925</w:t>
            </w: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84"/>
              </w:rPr>
              <w:t>8,944</w:t>
            </w:r>
          </w:p>
        </w:tc>
        <w:tc>
          <w:tcPr>
            <w:tcW w:w="8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Non current assets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1680"/>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84"/>
              </w:rPr>
              <w:t>8,957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1,916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7,041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84"/>
              </w:rPr>
              <w:t>8,957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rPr>
              <w:t>13</w:t>
            </w: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entered into an asset purchase and license agreement in 2017, and amended it in April 2018 (the “Surface License Agreements”) with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“Surface MSA”), whereby the Company provided to Surface certain administrative services and support, including bookkeeping, web services and human resources related activities, and Surface paid the Company a monthly amount of $10. The Surface MSA was terminated effective July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2019, the Company was paid $50 from Surface for amounts due under the Surface MSA. There are no amounts due from Surface to the Company as of September 30,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the Company owned 3,500,000 shares of Surface common stock (approximately 30% of the issued and outstanding equity interests). A Company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three percent (3%) of net sales of certain Surface products while certain patent rights remain outstanding. Dr. Lindstrom is also a principal of Flying L Partners, an affiliate of the funding investor who purchased the Surface Series A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820" w:type="dxa"/>
            <w:vAlign w:val="bottom"/>
            <w:tcBorders>
              <w:top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83"/>
              </w:rPr>
              <w:t>17,024</w:t>
            </w:r>
          </w:p>
        </w:tc>
        <w:tc>
          <w:tcPr>
            <w:tcW w:w="8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 current assets</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w w:val="83"/>
              </w:rPr>
              <w:t>17,072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1380"/>
              <w:spacing w:after="0"/>
              <w:rPr>
                <w:sz w:val="20"/>
                <w:szCs w:val="20"/>
                <w:color w:val="auto"/>
              </w:rPr>
            </w:pPr>
            <w:r>
              <w:rPr>
                <w:rFonts w:ascii="Arial" w:cs="Arial" w:eastAsia="Arial" w:hAnsi="Arial"/>
                <w:sz w:val="18"/>
                <w:szCs w:val="18"/>
                <w:color w:val="auto"/>
                <w:w w:val="98"/>
              </w:rPr>
              <w:t>16,311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w w:val="83"/>
              </w:rPr>
              <w:t>17,072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rPr>
              <w:t>14</w:t>
            </w: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2019 and December 31, 2018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21"/>
                <w:szCs w:val="2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and nine months ended September 30, 2019 the Company impaired $805 of raw materials and finished goods related to the Park Restructuring.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Surface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Receivable due from Melt</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1,697</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10,158</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7"/>
        </w:trPr>
        <w:tc>
          <w:tcPr>
            <w:tcW w:w="5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three and nine months ended September 30, 2019, depreciation related to the property, plant and equipment was $397 and $1,365, respectively. During the three and nine months ended September 30, 2019 the Company impaired $445 worth of property, plant and equipment related to the Park Restructuring.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NOTE 9. INTANGIBLE ASSETS AND GOODWILL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40" w:type="dxa"/>
            <w:vAlign w:val="bottom"/>
            <w:gridSpan w:val="6"/>
          </w:tcPr>
          <w:p>
            <w:pPr>
              <w:spacing w:after="0"/>
              <w:rPr>
                <w:sz w:val="20"/>
                <w:szCs w:val="20"/>
                <w:color w:val="auto"/>
              </w:rPr>
            </w:pPr>
            <w:r>
              <w:rPr>
                <w:rFonts w:ascii="Arial" w:cs="Arial" w:eastAsia="Arial" w:hAnsi="Arial"/>
                <w:sz w:val="18"/>
                <w:szCs w:val="18"/>
                <w:color w:val="auto"/>
                <w:w w:val="96"/>
              </w:rPr>
              <w:t>The Company’s intangible assets at September 30, 2019 consisted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880" w:type="dxa"/>
            <w:vAlign w:val="bottom"/>
          </w:tcPr>
          <w:p>
            <w:pPr>
              <w:spacing w:after="0"/>
              <w:rPr>
                <w:sz w:val="19"/>
                <w:szCs w:val="19"/>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periods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Accumulated</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288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 years)</w:t>
            </w:r>
          </w:p>
        </w:tc>
        <w:tc>
          <w:tcPr>
            <w:tcW w:w="28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Impairment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Carrying value</w:t>
            </w: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Licenses</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20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9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3-15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9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4"/>
              </w:rPr>
              <w:t>5 years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Non-competition clause</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3-4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9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25 years</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17"/>
        </w:trPr>
        <w:tc>
          <w:tcPr>
            <w:tcW w:w="28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and nine months ended September 30, 2019 the Company incurred impairment charges of $612 related to intangible assets, including customer relationships, trade name, and state pharmacy licenses as a part of the Park Restructuring and $259 of impairment charges related to patents associated with the termination of an asset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2019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Nine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0"/>
              </w:rPr>
              <w:t>September 30,</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Licenses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Trade name</w:t>
            </w:r>
          </w:p>
        </w:tc>
        <w:tc>
          <w:tcPr>
            <w:tcW w:w="8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8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96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37"/>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40" w:type="dxa"/>
            <w:vAlign w:val="bottom"/>
            <w:tcBorders>
              <w:bottom w:val="single" w:sz="8" w:color="CCEEFF"/>
            </w:tcBorders>
          </w:tcPr>
          <w:p>
            <w:pPr>
              <w:spacing w:after="0"/>
              <w:rPr>
                <w:sz w:val="20"/>
                <w:szCs w:val="20"/>
                <w:color w:val="auto"/>
              </w:rPr>
            </w:pPr>
          </w:p>
        </w:tc>
      </w:tr>
      <w:tr>
        <w:trPr>
          <w:trHeight w:val="230"/>
        </w:trPr>
        <w:tc>
          <w:tcPr>
            <w:tcW w:w="28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the Company’s goodwill during the nine months ended September 30, 2019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3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Impairment of Park goodwill (see Note 2)</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(1,895)</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10. ACCOUNTS PAYABLE AND ACCRUED EXPENSES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w w:val="98"/>
              </w:rPr>
              <w:t>Accounts payable and accrued expenses consisted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litigation settlements</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exit fee for note payable</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21"/>
                <w:szCs w:val="21"/>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8,944</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7,050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(6,250)</w:t>
            </w: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SWK Refinance – May 2019</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2019, the Company entered into a joinder and amendment (the “Amendment”) to its term loan and security agreement dated as of July 19, 2017 (the “SWK Loan”), with SWK Funding LLC and its partners (the “Lender”), as lender and collateral agent. A summary of the material changes contained in the Amendment are as follows:</w:t>
      </w:r>
    </w:p>
    <w:p>
      <w:pPr>
        <w:spacing w:after="0" w:line="181" w:lineRule="exact"/>
        <w:rPr>
          <w:sz w:val="20"/>
          <w:szCs w:val="20"/>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interest rate calculation that the loan bears is now equal to the three-month London Inter-Bank Offered Rate (subject to a minimum of 2.00%), plus an applicable margin of 10.00% (the “Margin Rate”); provided that, if, two days prior to a payment date, the Company provides the Lender evidence that the Company has achieved a leverage ratio as of such date of less than 4.00:1:00, the Margin Rate shall equal 9.00%; and if the Company has achieved a leverage ratio as of such date of less than 3.00:1:00, the Margin Rate shall equal 7.00%;</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ratio in the Amendment means, as of any date of determination, the ratio of: (a) indebtedness as of such date to (b) EBITDA (as defined in the SWK Loan), of the Company for the immediately preceding twelve (12) month period, adding-back (i) actual litigation expenses for the immediately preceding twelve (12) month period, minus (ii) actual litigation expenses for the immediately preceding three (3) month period multiplied by four (4);</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the Company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the Company an additional principal amount of up to $5,000.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terms described above, the Amendment joined the Company’s recently created subsidiaries to the SWK Loan and added definitions related to excluded subsidiaries that are not considered co-borrowers and are subsidiaries of the Company which the Company believes it will eventually deconsolidate from its financials and lose 50% or more of the equity interests of the subsidiary.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to the Amendment, the Company incurred expenses related to legal and lender costs of $282 that are included in debt discount and will be amortized over the term of the SWK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At September 30, 2019, future minimum payments under the Company’s note payable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3,696</w:t>
            </w:r>
          </w:p>
        </w:tc>
        <w:tc>
          <w:tcPr>
            <w:tcW w:w="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w:t>
            </w:r>
          </w:p>
        </w:tc>
        <w:tc>
          <w:tcPr>
            <w:tcW w:w="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3,828</w:t>
            </w:r>
          </w:p>
        </w:tc>
        <w:tc>
          <w:tcPr>
            <w:tcW w:w="6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7,621</w:t>
            </w:r>
          </w:p>
        </w:tc>
        <w:tc>
          <w:tcPr>
            <w:tcW w:w="6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19,738</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15,250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(1,378)</w:t>
            </w:r>
          </w:p>
        </w:tc>
      </w:tr>
      <w:tr>
        <w:trPr>
          <w:trHeight w:val="203"/>
        </w:trPr>
        <w:tc>
          <w:tcPr>
            <w:tcW w:w="7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13,872</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r>
      <w:tr>
        <w:trPr>
          <w:trHeight w:val="21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2019, debt discount amortization related to note payable was $127 and $377,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adopted Topic 842 on January 1, 2019. Topic 842 allows the Company to elect a package 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 Another practical expedient allows the Company to use hindsight in determining the lease term when considering lessee options to extend or terminate the lease and to purchase the underlying asset. The Company has elected to utilize the package of practical expedients and has not elected the hindsight methodology in its implementation of Topic 842.</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to adopt this standard using the optional modified retrospective transition method and recognized a cumulative-effect adjustment to the condensed consolidated balance sheet on the date of adoption. Comparative periods have not been restated. With the adoption of Topic 842, the Company’s condensed consolidated balance sheet now contains the following line items: Right-of-use assets, Operating lease liabilities—short-term and Operating lease liabilities—long-term.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it held the following significant operating leases of office and laboratory space as of January 1, 2019:</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4,500 square feet of office and lab space in Irvine, California that expires in December 2020, with an option to extend the term for up to two five-year periods. As part of the Park Restructuring, the Company assessed its obligations under this lease. As of the date of this Quarterly Report, the Company expects to sublease this space and has determined that there is a practical ability to do so, and as a result did not recognize any impairment costs related to this lease and the Company’s right to use asset; and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extensions within the San Diego, California and Ledgewood, New Jersey operating lease agreements were included within the Company’s calculation of the new lease standard as the Company is reasonably certain it will exercise its option to extend these leases. The Company has elected to not recognize right-of-use assets and lease liabilities arising from short-term leases, which are leases that, at the commencement date, have a lease term of 12 months or less and do not include an option to purchase the underlying asset that the lessee is reasonably certain to exercise.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The previously classified capital leases are now classified as finance leases under the new standard. The Company has determined that the identified finance leases did not contain non-lease components and require no further allocation of the total lease cost. The Company has determined that the identified operating leases did contain non-lease components and elected an accounting policy to combine non-lease and lease components to determine the total lease cost. Additionally, the operating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September 30, 2019, the weighted average incremental borrowing rate and the weighted average remaining lease term for the operating leases held by the Company were 6.36% and 11.43 years,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adoption of Topic 842, the Company recorded a $6,325 increase in operating lease right-of-use assets, a $388 decrease in accounts payable and accrued expenses and a $6,712 increase in operating lease liability. The Company did not record any cumulative effect adjustments to opening stockholders’ equity. As of September 30, 2019, right-of-use assets and liabilities arising from operating leases were $5,939 and $6,345, respectively. During the three and nine months ended September 30, 2019, cash paid for amounts included for the operating lease liabilities was $228 and $676 and the Company recorded operating lease expense of $232 and $695 included in selling, general and administrative expenses,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as of September 30,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Operating Leases</w:t>
            </w: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5,304</w:t>
            </w: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(2,594)</w:t>
            </w:r>
          </w:p>
        </w:tc>
      </w:tr>
      <w:tr>
        <w:trPr>
          <w:trHeight w:val="216"/>
        </w:trPr>
        <w:tc>
          <w:tcPr>
            <w:tcW w:w="6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1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two additional finance leases that are included in its lease accounting but are not considered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non-cancelable finance leases as of September 30,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Finance Leases</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2020</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16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16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60" w:type="dxa"/>
            <w:vAlign w:val="bottom"/>
            <w:vMerge w:val="restart"/>
          </w:tcPr>
          <w:p>
            <w:pPr>
              <w:jc w:val="right"/>
              <w:ind w:right="35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At September 30, 2019, the weighted average incremental borrowing rate and the weighted average remaining lease term for the finance leases held by the Company were 6.36% and 4.33 years,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2019, debt discount amortization related to a finance lease obligation was $1 and $17, respectively, and included in interest expense, net.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nine months ended September 30, 2019, depreciation expense related to the equipment held under the finance lease obligations was $2 and $148,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2019, cash paid and expense recognized for interest expense related to the finance lease obligation was $2 and $17,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operating leases and future minimum finance lease payments as of December 31, 2018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Finance Leases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560" w:type="dxa"/>
            <w:vAlign w:val="bottom"/>
            <w:tcBorders>
              <w:top w:val="single" w:sz="8" w:color="auto"/>
            </w:tcBorders>
            <w:shd w:val="clear" w:color="auto" w:fill="CCEEFF"/>
          </w:tcPr>
          <w:p>
            <w:pPr>
              <w:jc w:val="right"/>
              <w:ind w:right="14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2020</w:t>
            </w:r>
          </w:p>
        </w:tc>
        <w:tc>
          <w:tcPr>
            <w:tcW w:w="15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2022</w:t>
            </w:r>
          </w:p>
        </w:tc>
        <w:tc>
          <w:tcPr>
            <w:tcW w:w="15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15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4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unamortized discount</w:t>
            </w:r>
          </w:p>
        </w:tc>
        <w:tc>
          <w:tcPr>
            <w:tcW w:w="15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obligation under capital leases</w:t>
            </w:r>
          </w:p>
        </w:tc>
        <w:tc>
          <w:tcPr>
            <w:tcW w:w="1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leases</w:t>
            </w:r>
          </w:p>
        </w:tc>
        <w:tc>
          <w:tcPr>
            <w:tcW w:w="15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9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Long term capital lease obligation</w:t>
            </w:r>
          </w:p>
        </w:tc>
        <w:tc>
          <w:tcPr>
            <w:tcW w:w="1560" w:type="dxa"/>
            <w:vAlign w:val="bottom"/>
            <w:tcBorders>
              <w:top w:val="single" w:sz="8" w:color="auto"/>
              <w:bottom w:val="single" w:sz="8" w:color="auto"/>
            </w:tcBorders>
          </w:tcPr>
          <w:p>
            <w:pPr>
              <w:jc w:val="right"/>
              <w:ind w:right="14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the Company issued 15,000 shares of its restricted common stock, with a fair value of $75, as consideration for commission expenses incurred during the nine months ended September 30,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the Company issued 23,831 shares of its common stock upon the cashless exercise of 73,555 options to purchase common stock, with exercise prices ranging from $1.70 to $4.17 per share, net of 6,584 shares of common stock withheld for payroll tax withholdings totaling $48.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the Company issued 1,872 shares of its common stock upon the exercise of 1,872 options to purchase common stock, with exercise prices ranging from $1.70 to $3.20 per share, and received net proceeds of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During the nine months ended September 30, 2019, the Company issued 688,473 shares of its common stock upon the cashless exercise of 964,532 warrants to purchase common stock with an exercise price of $1.79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2019, the Company issued 100,055 shares of its common stock upon the exercise of 100,055 warrants to purchase common stock with an exercise price of $1.79 per share, and received net proceeds of $179.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77,895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September 30, 2019,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1,002,906 shares available for future issuances under the 2017 Plan at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nine months ended September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Weighted Avg.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Weighted Avg.</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2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Contractual Life</w:t>
            </w:r>
          </w:p>
        </w:tc>
        <w:tc>
          <w:tcPr>
            <w:tcW w:w="1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2019</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2,482,009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362,000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6.19</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(86,976)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4.61</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2019</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w:t>
            </w:r>
          </w:p>
        </w:tc>
        <w:tc>
          <w:tcPr>
            <w:tcW w:w="16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4.62</w:t>
            </w: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5.86</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1,538,341</w:t>
            </w:r>
          </w:p>
        </w:tc>
        <w:tc>
          <w:tcPr>
            <w:tcW w:w="3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CCEEFF"/>
            </w:tcBorders>
            <w:gridSpan w:val="2"/>
            <w:vMerge w:val="continue"/>
          </w:tcPr>
          <w:p>
            <w:pPr>
              <w:spacing w:after="0"/>
              <w:rPr>
                <w:sz w:val="20"/>
                <w:szCs w:val="20"/>
                <w:color w:val="auto"/>
              </w:rPr>
            </w:pPr>
          </w:p>
        </w:tc>
        <w:tc>
          <w:tcPr>
            <w:tcW w:w="162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12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2,575,030</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5.25</w:t>
            </w:r>
          </w:p>
        </w:tc>
        <w:tc>
          <w:tcPr>
            <w:tcW w:w="162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5.36</w:t>
            </w:r>
          </w:p>
        </w:tc>
        <w:tc>
          <w:tcPr>
            <w:tcW w:w="3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2019, based on the closing price of the Company’s common stock of $5.62 on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6"/>
          <w:szCs w:val="16"/>
          <w:color w:val="auto"/>
        </w:rPr>
        <w:t>During the nine months ended September 30, 2019,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2019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100% of the shares subject to the option vest on a quarterly basis in equal installments over three years; and 90% of the shares subject to the option vest and become exercisable on the second month after the grant date and the remaining 10% of the shares subject to the option vest and become exercisable quarterly in equal installments thereafter over the next 11 months.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5.8 - 6.1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 - 67%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2.19% - 2.68%</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Options Outstanding</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64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2140" w:type="dxa"/>
            <w:vAlign w:val="bottom"/>
            <w:gridSpan w:val="3"/>
          </w:tcPr>
          <w:p>
            <w:pPr>
              <w:ind w:left="180"/>
              <w:spacing w:after="0"/>
              <w:rPr>
                <w:sz w:val="20"/>
                <w:szCs w:val="20"/>
                <w:color w:val="auto"/>
              </w:rPr>
            </w:pPr>
            <w:r>
              <w:rPr>
                <w:rFonts w:ascii="Arial" w:cs="Arial" w:eastAsia="Arial" w:hAnsi="Arial"/>
                <w:sz w:val="18"/>
                <w:szCs w:val="18"/>
                <w:b w:val="1"/>
                <w:bCs w:val="1"/>
                <w:color w:val="auto"/>
              </w:rPr>
              <w:t>Contractual</w:t>
            </w: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41"/>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Range of Exercise Prices</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Life in Years</w:t>
            </w:r>
          </w:p>
        </w:tc>
        <w:tc>
          <w:tcPr>
            <w:tcW w:w="1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$ 1.47 - $2.60</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797,312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$ 2.76</w:t>
            </w:r>
          </w:p>
        </w:tc>
        <w:tc>
          <w:tcPr>
            <w:tcW w:w="2640" w:type="dxa"/>
            <w:vAlign w:val="bottom"/>
          </w:tcPr>
          <w:p>
            <w:pPr>
              <w:ind w:left="20"/>
              <w:spacing w:after="0"/>
              <w:rPr>
                <w:sz w:val="20"/>
                <w:szCs w:val="20"/>
                <w:color w:val="auto"/>
              </w:rPr>
            </w:pPr>
            <w:r>
              <w:rPr>
                <w:rFonts w:ascii="Arial" w:cs="Arial" w:eastAsia="Arial" w:hAnsi="Arial"/>
                <w:sz w:val="18"/>
                <w:szCs w:val="18"/>
                <w:color w:val="auto"/>
              </w:rPr>
              <w:t>- $4.66</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461,121</w:t>
            </w: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6.35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3.96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435,445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$ 5.49</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$6.36</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440,350</w:t>
            </w: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$ 6.64</w:t>
            </w:r>
          </w:p>
        </w:tc>
        <w:tc>
          <w:tcPr>
            <w:tcW w:w="2640" w:type="dxa"/>
            <w:vAlign w:val="bottom"/>
          </w:tcPr>
          <w:p>
            <w:pPr>
              <w:ind w:left="20"/>
              <w:spacing w:after="0"/>
              <w:rPr>
                <w:sz w:val="20"/>
                <w:szCs w:val="20"/>
                <w:color w:val="auto"/>
              </w:rPr>
            </w:pPr>
            <w:r>
              <w:rPr>
                <w:rFonts w:ascii="Arial" w:cs="Arial" w:eastAsia="Arial" w:hAnsi="Arial"/>
                <w:sz w:val="18"/>
                <w:szCs w:val="18"/>
                <w:color w:val="auto"/>
              </w:rPr>
              <w:t>- $8.99</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977,793</w:t>
            </w: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2.27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8.01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367,475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$ 42.80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3"/>
        </w:trPr>
        <w:tc>
          <w:tcPr>
            <w:tcW w:w="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87"/>
              </w:rPr>
              <w:t>$ 1.47</w:t>
            </w:r>
          </w:p>
        </w:tc>
        <w:tc>
          <w:tcPr>
            <w:tcW w:w="26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 $42.80</w:t>
            </w:r>
          </w:p>
        </w:tc>
        <w:tc>
          <w:tcPr>
            <w:tcW w:w="240" w:type="dxa"/>
            <w:vAlign w:val="bottom"/>
            <w:tcBorders>
              <w:top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2,681,606</w:t>
            </w:r>
          </w:p>
        </w:tc>
        <w:tc>
          <w:tcPr>
            <w:tcW w:w="16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gridSpan w:val="3"/>
          </w:tcPr>
          <w:p>
            <w:pPr>
              <w:jc w:val="right"/>
              <w:ind w:right="340"/>
              <w:spacing w:after="0" w:line="203" w:lineRule="exact"/>
              <w:rPr>
                <w:sz w:val="20"/>
                <w:szCs w:val="20"/>
                <w:color w:val="auto"/>
              </w:rPr>
            </w:pPr>
            <w:r>
              <w:rPr>
                <w:rFonts w:ascii="Arial" w:cs="Arial" w:eastAsia="Arial" w:hAnsi="Arial"/>
                <w:sz w:val="18"/>
                <w:szCs w:val="18"/>
                <w:color w:val="auto"/>
              </w:rPr>
              <w:t>5.32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gridSpan w:val="2"/>
          </w:tcPr>
          <w:p>
            <w:pPr>
              <w:jc w:val="right"/>
              <w:ind w:right="320"/>
              <w:spacing w:after="0" w:line="203" w:lineRule="exact"/>
              <w:rPr>
                <w:sz w:val="20"/>
                <w:szCs w:val="20"/>
                <w:color w:val="auto"/>
              </w:rPr>
            </w:pPr>
            <w:r>
              <w:rPr>
                <w:rFonts w:ascii="Arial" w:cs="Arial" w:eastAsia="Arial" w:hAnsi="Arial"/>
                <w:sz w:val="18"/>
                <w:szCs w:val="18"/>
                <w:color w:val="auto"/>
              </w:rPr>
              <w:t>5.30</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1,538,341</w:t>
            </w: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vMerge w:val="restart"/>
          </w:tcPr>
          <w:p>
            <w:pPr>
              <w:jc w:val="right"/>
              <w:ind w:right="69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As of September 30, 2019, there was approximately $4,033 of total unrecognized compensation expense related to unvested stock options granted under the Plans. That expense is expected to be recognized over the weighted-average remaining vesting period of 4.62 years. The stock-based compensation expense for all stock options was $159 and $699 during the three and nine months ended September 30,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2019, 185,000 RSUs with a fair market value of $1,139 were issued to certain employees; the RSUs vest in full on the third anniversary of the grant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2019, the Company’s board of directors were granted 38,860 RSUs with a fair market value $300 which vests on a quarterly basis, over one year in equal installments.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r>
      <w:tr>
        <w:trPr>
          <w:trHeight w:val="241"/>
        </w:trPr>
        <w:tc>
          <w:tcPr>
            <w:tcW w:w="4580" w:type="dxa"/>
            <w:vAlign w:val="bottom"/>
          </w:tcPr>
          <w:p>
            <w:pPr>
              <w:spacing w:after="0"/>
              <w:rPr>
                <w:sz w:val="20"/>
                <w:szCs w:val="20"/>
                <w:color w:val="auto"/>
              </w:rPr>
            </w:pPr>
          </w:p>
        </w:tc>
        <w:tc>
          <w:tcPr>
            <w:tcW w:w="2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 of RSUs</w:t>
            </w:r>
          </w:p>
        </w:tc>
        <w:tc>
          <w:tcPr>
            <w:tcW w:w="180" w:type="dxa"/>
            <w:vAlign w:val="bottom"/>
          </w:tcPr>
          <w:p>
            <w:pPr>
              <w:spacing w:after="0"/>
              <w:rPr>
                <w:sz w:val="20"/>
                <w:szCs w:val="20"/>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Grant Date Fair Value</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RSUs granted</w:t>
            </w:r>
          </w:p>
        </w:tc>
        <w:tc>
          <w:tcPr>
            <w:tcW w:w="2200" w:type="dxa"/>
            <w:vAlign w:val="bottom"/>
            <w:gridSpan w:val="2"/>
          </w:tcPr>
          <w:p>
            <w:pPr>
              <w:jc w:val="right"/>
              <w:ind w:right="260"/>
              <w:spacing w:after="0"/>
              <w:rPr>
                <w:sz w:val="20"/>
                <w:szCs w:val="20"/>
                <w:color w:val="auto"/>
              </w:rPr>
            </w:pPr>
            <w:r>
              <w:rPr>
                <w:rFonts w:ascii="Arial" w:cs="Arial" w:eastAsia="Arial" w:hAnsi="Arial"/>
                <w:sz w:val="18"/>
                <w:szCs w:val="18"/>
                <w:color w:val="auto"/>
              </w:rPr>
              <w:t>223,860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2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2019</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1,421,645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r>
      <w:tr>
        <w:trPr>
          <w:trHeight w:val="20"/>
        </w:trPr>
        <w:tc>
          <w:tcPr>
            <w:tcW w:w="45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2019, the total unrecognized compensation expense related to unvested RSUs was approximately $1,200, which is expected to be recognized over a weighted-average period of 0.33 years, based on estimated and actual vesting schedules of the applicable RSUs. The stock-based compensation for RSUs during the three and nine months ended September 30, 2019 was $169 and $709,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w w:val="91"/>
              </w:rPr>
              <w:t>A summary of warrant activity for the nine months ended September 30, 2019 is as follows:</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Number of Shares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Subject to Warrants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Weighted Avg.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2019</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2,206,973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(1,064,587)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Expired</w:t>
            </w: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2019</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remaining contractual life of the outstanding warrants in years -</w:t>
            </w: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vMerge w:val="restart"/>
          </w:tcPr>
          <w:p>
            <w:pPr>
              <w:jc w:val="right"/>
              <w:ind w:right="750"/>
              <w:spacing w:after="0"/>
              <w:rPr>
                <w:sz w:val="20"/>
                <w:szCs w:val="20"/>
                <w:color w:val="auto"/>
              </w:rPr>
            </w:pPr>
            <w:r>
              <w:rPr>
                <w:rFonts w:ascii="Arial" w:cs="Arial" w:eastAsia="Arial" w:hAnsi="Arial"/>
                <w:sz w:val="18"/>
                <w:szCs w:val="18"/>
                <w:color w:val="auto"/>
              </w:rPr>
              <w:t>23</w:t>
            </w: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vMerge w:val="continue"/>
          </w:tcPr>
          <w:p>
            <w:pPr>
              <w:spacing w:after="0"/>
              <w:rPr>
                <w:sz w:val="24"/>
                <w:szCs w:val="24"/>
                <w:color w:val="auto"/>
              </w:rPr>
            </w:pPr>
          </w:p>
        </w:tc>
        <w:tc>
          <w:tcPr>
            <w:tcW w:w="6620" w:type="dxa"/>
            <w:vAlign w:val="bottom"/>
            <w:tcBorders>
              <w:bottom w:val="single" w:sz="8" w:color="auto"/>
            </w:tcBorders>
            <w:vMerge w:val="continue"/>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list of the warrants outstanding as of September 30, 2019 is included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Exercise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Expiration</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Warrant Series</w:t>
            </w: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Issue Date</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Price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Date</w:t>
            </w:r>
          </w:p>
        </w:tc>
      </w:tr>
      <w:tr>
        <w:trPr>
          <w:trHeight w:val="216"/>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5/11/2015</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79"/>
              </w:rPr>
              <w:t>1.79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2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3.75</w:t>
            </w:r>
          </w:p>
        </w:tc>
        <w:tc>
          <w:tcPr>
            <w:tcW w:w="1140" w:type="dxa"/>
            <w:vAlign w:val="bottom"/>
          </w:tcPr>
          <w:p>
            <w:pPr>
              <w:jc w:val="right"/>
              <w:spacing w:after="0"/>
              <w:rPr>
                <w:sz w:val="20"/>
                <w:szCs w:val="20"/>
                <w:color w:val="auto"/>
              </w:rPr>
            </w:pPr>
            <w:r>
              <w:rPr>
                <w:rFonts w:ascii="Arial" w:cs="Arial" w:eastAsia="Arial" w:hAnsi="Arial"/>
                <w:sz w:val="18"/>
                <w:szCs w:val="18"/>
                <w:color w:val="auto"/>
              </w:rPr>
              <w:t>8/16/2021</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 and placement agent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362,000</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12/27/2019</w:t>
            </w: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Lender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7/19/2017</w:t>
            </w:r>
          </w:p>
        </w:tc>
        <w:tc>
          <w:tcPr>
            <w:tcW w:w="24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615,386</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2.08</w:t>
            </w:r>
          </w:p>
        </w:tc>
        <w:tc>
          <w:tcPr>
            <w:tcW w:w="1140" w:type="dxa"/>
            <w:vAlign w:val="bottom"/>
          </w:tcPr>
          <w:p>
            <w:pPr>
              <w:jc w:val="right"/>
              <w:spacing w:after="0"/>
              <w:rPr>
                <w:sz w:val="20"/>
                <w:szCs w:val="20"/>
                <w:color w:val="auto"/>
              </w:rPr>
            </w:pPr>
            <w:r>
              <w:rPr>
                <w:rFonts w:ascii="Arial" w:cs="Arial" w:eastAsia="Arial" w:hAnsi="Arial"/>
                <w:sz w:val="18"/>
                <w:szCs w:val="18"/>
                <w:color w:val="auto"/>
              </w:rPr>
              <w:t>7/19/2024</w:t>
            </w:r>
          </w:p>
        </w:tc>
      </w:tr>
      <w:tr>
        <w:trPr>
          <w:trHeight w:val="230"/>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2.01</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Mayfield issued 1,000,000 shares of its common stock to Elle in connection with acquisition of certain drug candidate intellectual property and rights in February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Mayfield issued 300,000 shares of its common stock to TGV in connection with acquisition of certain drug candidate intellectual property and rights in July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Mayfield issued 2,450,000 shares of its restricted common stock that vest upon various performance based milestones and service periods to consultants of Mayfield, including Mayfield’s CEO candidate and to Harrow employees, including 725,000 shares to Mark Baum, CEO of the Company, and 362,500 shares to Andrew Boll, CFO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2019, Stowe agreed to issue 1,750,000 shares of its common stock to TGV in connection with acquisition of certain drug candidate intellectual property and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Nine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4"/>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1,158</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1,790</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3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9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03"/>
        </w:trPr>
        <w:tc>
          <w:tcPr>
            <w:tcW w:w="4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w:t>
            </w:r>
          </w:p>
        </w:tc>
        <w:tc>
          <w:tcPr>
            <w:tcW w:w="340" w:type="dxa"/>
            <w:vAlign w:val="bottom"/>
            <w:tcBorders>
              <w:top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1,558</w:t>
            </w:r>
          </w:p>
        </w:tc>
        <w:tc>
          <w:tcPr>
            <w:tcW w:w="32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30"/>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2,058</w:t>
            </w:r>
          </w:p>
        </w:tc>
        <w:tc>
          <w:tcPr>
            <w:tcW w:w="100" w:type="dxa"/>
            <w:vAlign w:val="bottom"/>
            <w:tcBorders>
              <w:top w:val="single" w:sz="8" w:color="CCEEFF"/>
            </w:tcBorders>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Court approved the parties’ proposed settlement agreement in the spring of 2019. During the year ended December 31, 2018, the Company accrued $640 for expected damages related to this matter and the proposed settlement amount. As a result of the low claim rate of approximately 1.4%, the Company’s total damages were $571, which was paid in October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2017, Allergan USA, Inc. (“Allergan”) filed a lawsuit in the U.S. District Court for the Central District of California against the Company, primarily claiming violations under the federal Lanham Act and California’s Sherman Act. The Court granted in part and denied in part each parties’ motions for summary judgement, resolving all issues except for whether Allergan was entitled to damages related to the Company’s purported Lanham Act violations. The parties went to trial in May 2019 to litigate damages related to the Lanham Act, and a jury found the Company liable for only $48 in lost profit damages, which was accrued as an expense during the period ended September 30, 2019 (see Note 10). In July 2019, the Court entered a permanent injunction, the scope of which is limited to compounded drugs prepared in, dispensed from within, or shipped to the state of California. The injunction requires the Company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The Company believes it was already in compliance with the order, prior to the injunction being ordered. On October 2, 2019, Allergan and the Company filed a joint stipulation to voluntarily dismiss each parties’ respective pending appeals arising out of the lawsuit. No economic consideration was exchanged between the parties related to the filing of the joint stipulation. This formally resolved all pending disputes between the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was required to, and did, surrender its California pharmacy license by August 27,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the Company and various Spectrum entities. The cross-complaint seeks indemnity and contribution from the Company and Spectrum. The Company answered the claims filed by Dr. Kelly in October 2018. The case is currently in the discovery phase.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Anna Sue Gaukel and Lawrence Gaukel served the Company with a lawsuit filed in state court in Idaho against Imprimis Pharmaceuticals, Inc. asserting class action allegations and product liability claims related to Mrs. Gaukel’s doctor’s use of a compounded drug injection in each of her eyes. In June 2019, the Company removed the case to Federal Court and subsequently answered the complaint. The case continues to be in its early phase.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$26 and $63 were made during the three and nine months ended September 30, 2019, respectively. $27 and $75 was incurred as royalty expense during the three and nine months ended September 30, 2019 and included in accounts payable to Dr. Lindstrom at September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Harrow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$0 and $75 of stock-based payments were made and $732 and $1,914 were incurred under these agreements for commission expenses during the three and nine months ended September 30,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$207 and $672 and $118 and $315 were incurred under these agreements as royalty expenses for the three and nine months ended September 30, 2019 and 2018, respectively, and $207 and $118 were included in accounts payable at September 30,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Mayfield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2019, Mayfield entered into a License Agreement (the “TGV License”) with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Stowe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2019, Stowe entered into a License Agreement (the “Stowe License”) with TGV, to acquire intellectual property rights for use in the ophthalmology and otic health field, related to Stowe’s proprietary drug candidate STE-006. The Stowe License provides that TGV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are based on segment contribution. The Company’s reportable segments consist of (i) its commercial stage pharmaceutical compounding business (Pharmaceutical Compounding), generally including the operations of ImprimisRx and Park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defines segment net revenues as pharmaceutical compounded drug sales, licenses and other revenue derived from related agreements.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Segment net revenues, segment operating expenses and segment contribution information consisted of the following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gridSpan w:val="8"/>
          </w:tcPr>
          <w:p>
            <w:pPr>
              <w:jc w:val="right"/>
              <w:ind w:right="740"/>
              <w:spacing w:after="0"/>
              <w:rPr>
                <w:sz w:val="20"/>
                <w:szCs w:val="20"/>
                <w:color w:val="auto"/>
              </w:rPr>
            </w:pPr>
            <w:r>
              <w:rPr>
                <w:rFonts w:ascii="Arial" w:cs="Arial" w:eastAsia="Arial" w:hAnsi="Arial"/>
                <w:sz w:val="18"/>
                <w:szCs w:val="18"/>
                <w:color w:val="auto"/>
              </w:rPr>
              <w:t>For the Three Months Ended September 30, 2019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88"/>
              </w:rPr>
              <w:t>Pharmaceutical</w:t>
            </w: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8"/>
              </w:rPr>
              <w:t>Pharmaceutical</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Compounding</w:t>
            </w:r>
          </w:p>
        </w:tc>
        <w:tc>
          <w:tcPr>
            <w:tcW w:w="12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Drug Development</w:t>
            </w:r>
          </w:p>
        </w:tc>
        <w:tc>
          <w:tcPr>
            <w:tcW w:w="36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2,257</w:t>
            </w:r>
          </w:p>
        </w:tc>
        <w:tc>
          <w:tcPr>
            <w:tcW w:w="3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300" w:type="dxa"/>
            <w:vAlign w:val="bottom"/>
            <w:tcBorders>
              <w:top w:val="single" w:sz="8" w:color="CCEEFF"/>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For the Nine Months Ended September 30, 2019</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Pharmaceutical</w:t>
            </w:r>
          </w:p>
        </w:tc>
        <w:tc>
          <w:tcPr>
            <w:tcW w:w="12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Pharmaceutical</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Compounding</w:t>
            </w:r>
          </w:p>
        </w:tc>
        <w:tc>
          <w:tcPr>
            <w:tcW w:w="12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Drug Development</w:t>
            </w:r>
          </w:p>
        </w:tc>
        <w:tc>
          <w:tcPr>
            <w:tcW w:w="36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(13,184)</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17,763</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Borders>
              <w:top w:val="single" w:sz="8" w:color="CCEEFF"/>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September 30, 2019 and December 31, 2018 are located in the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and nine months ended September 30, 2019 and 2018.</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69% and 66% of active pharmaceutical ingredient purchases during the three and nine months ended September 30, 2019, respectively, and 58% and 51% during the three and nine months ended September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2019 through the filing date of this Quarterly Report. Based on its evaluation, no events other than those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October 1, 2019 through the date of the filing of this Quarterly Report, the Company issued 250 shares of its common stock upon the exercise of 250 options to purchase common stock, with exercise price of $2.76 per share, and received net proceeds of $1.</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From October 1, 2019 through the date of the filing of this Quarterly Report, the Company issued 3,840 shares of its common stock related to the cashless exercise of 9,374 </w:t>
      </w:r>
      <w:r>
        <w:rPr>
          <w:rFonts w:ascii="Arial" w:cs="Arial" w:eastAsia="Arial" w:hAnsi="Arial"/>
          <w:sz w:val="18"/>
          <w:szCs w:val="18"/>
          <w:color w:val="auto"/>
        </w:rPr>
        <w:t>options to purchase common stock with an exercise price of $1.83.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2018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successful completion and close of the sale of Park Compounding, Inc.; the successful transfer of assets and/or revenues among our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one of the nation’s leading ophthalmology pharmaceutical businesses, ImprimisRx. In addition to wholly owning ImprimisRx, we also have equity positions in Eton Pharmaceuticals, Inc. (“Eton”), Surface Pharmaceuticals, Inc. (“Surface”), and Melt Pharmaceuticals, Inc. (“Melt”). More recently, we founded our drug development subsidiaries Mayfield Pharmaceuticals, Inc. (“Mayfield”), Radley Pharmaceuticals, Inc. (“Radley”), and Stowe Pharmaceuticals, Inc. (“Stowe”). We also own royalty rights in certain 505(b)(2)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ImprimisRx is our ophthalmology focused pharmaceutical compounding business. We offer thousands of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or other FDA guidance documents, in our FDA-registered outsourcing facility (“NJOF”).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ownership interests in Eton, Surface, Melt, Mayfield and Radley and hold royalty interests in certain of their drug candidates. These companies are pursuing market approval for their drug candidates under the United States Federal Food, Drug, and Cosmetic Act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Mayfield, and Stowe,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we estimate is approximately 19.7% of the equity and voting interests issued and outstanding of Eton as of September 30,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and renowned ophthalmologist Dr. Richard Lindstrom. Klarity is designed to protect and rehabilitate the ocular surface pathology for patients with dry eye disease, or DED. Surface’s drug candidate SURF-300 is a patent-pending oral capsule that will target patients also suffering from DED signs and symptoms.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we estimate is approximately 30% of the equity and voting interests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five percent (5%) of net sales of MELT-100, while any patent rights remain outstanding, subject to other conditions.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January and March 2019, Melt closed on the sale of its Series A Preferred Stock. At the time of the closing of the Melt Series A Round, we lost our controlling interest, and deconsolidated Melt from our consolidated financial statements. We own 3,500,000 shares of Melt common stock, which we estimate is approximately 44% of the equity and voting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women’s health-focused pharmaceutical company. Mayfield is focused on enhancing women’s lives by developing products that address significant and conspicuous unmet needs. Its development programs focus on using known molecules in dosage forms for new indications, and by developing new chemical entities with known mechanisms of action. Mayfield recently licensed worldwide rights to a first in class drug candidate with antibacterial, antiviral and antifungal activity for the women’s health field. MAY-66 a patented new chemical entity drug candidate,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Mayfield and Harrow acquired the intellectual property associated with MAY-44 in January 2019 from Elle Pharmaceutical LLC (the “Mayfield Asset Purchase Agreement”) in exchange for $25,000, with an additional $175,000 due upon third party financing of Mayfield, 1,000,000 shares of Mayfield common stock and a 7.5% royalty rate on sales of the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90" w:lineRule="auto"/>
        <w:rPr>
          <w:sz w:val="20"/>
          <w:szCs w:val="20"/>
          <w:color w:val="auto"/>
        </w:rPr>
      </w:pPr>
      <w:r>
        <w:rPr>
          <w:rFonts w:ascii="Arial" w:cs="Arial" w:eastAsia="Arial" w:hAnsi="Arial"/>
          <w:sz w:val="16"/>
          <w:szCs w:val="16"/>
          <w:color w:val="auto"/>
        </w:rPr>
        <w:t>In July 2019, Mayfield entered into a License Agreement (the “TGV License”) with TGV-Health, LLC and affiliated entities (collectively,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2,500,000 shares of Mayfield common stock, and control 70% of the equity and voting interests issued and outstanding of Mayfield at September 30, 2019. We intend to pursue a deconsolidating transaction for Mayfield during 2019. Once deconsolidated, we expect Mayfield to be run by experienced life science executive, Melissa Bradford-Klug.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Radley, a consolidated subsidiary of Harrow, is a development-stage pharmaceutical company focused on the development of proprietary 505(b)(2) drug candidates focused on rare diseases. Radley currently has three proprietary drug candidates in its pipeline. During 2019, and prior to initiating significant development activities and costs related to these drug candidates, we intend to meet with the FDA to establish and understand the expected clinical and regulatory path to approval for these drug candidates. We are also pursuing investigator-initiated studies for some of Radley’s drug candidates with two well-known healthcare institutions based in the New York and Boston areas. We believe this approach will allow us to better understand and weigh the economic costs, clinical feasibility and potential benefits associated with pursuing development activities associated with these drug candidates. Radley is also pursuing additional asset acquisition and licensing opportunities with a focus in oncology-related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firstLine="648"/>
        <w:spacing w:after="0" w:line="273" w:lineRule="auto"/>
        <w:rPr>
          <w:sz w:val="20"/>
          <w:szCs w:val="20"/>
          <w:color w:val="auto"/>
        </w:rPr>
      </w:pPr>
      <w:r>
        <w:rPr>
          <w:rFonts w:ascii="Arial" w:cs="Arial" w:eastAsia="Arial" w:hAnsi="Arial"/>
          <w:sz w:val="17"/>
          <w:szCs w:val="17"/>
          <w:color w:val="auto"/>
        </w:rPr>
        <w:t>On August 30, 2019, the Centers for Medicare &amp; Medicaid Services (“CMS”) issued an update to the Hospital Outpatient Prospective Payment System, with an effective date of October 1, 2019 (the “MLN Update”). The MLN Update included clarification on guidance for intraocular or periocular injections of combinations of anti-inflammatory drugs and antibiotics, including the family of Dropless® formulations made and sold by ImprimisRx. Specifically, the MLN Update stated that nothing in the current CMS policy is intended to preclude physicians or other professionals from discussing the potential benefits and drawbacks of Dropless Therapy® formulations with their patients, and to prescribe them if the patient so elects. Last year, ImprimisRx sold over 200,000 units of its Dropless formulations and believes this MLN Update may positively impact revenues from these formulations.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2019 to date that are important to understand our financial condition and results of operations. See the notes to our condensed consolidated financial statements included in this report for additional information about each of these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Asset Purchase Agreement and Series A 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“Melt Pharmaceuticals, Inc.”, we entered into the Melt Asset Purchase Agreement with our previously wholly owned subsidiary, Melt. Following closing of the Melt Series A Round, in January 2019, we lost controlling interest in Melt. Pursuant to the terms of the Melt Asset Purchase Agreement, we assigned and licensed to Melt certain intellectual property and related rights to develop, formulate, make, sell, and sub-license its current drug candidate pipeline.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MAY-44 Asset Purchase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described more fully above under the sub-heading “Mayfield Pharmaceuticals, Inc.”, in February 2019, we along with our subsidiary, Mayfield, entered the Mayfield Asset Purchase Agreement with Elle to acquire intellectual property associated with its drug candidate, MAY-44.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Refinance – May 2019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2019, we entered into a joinder and amendment (the “Amendment”) to our term loan and security agreement dated as of July 19, 2017 (the “SWK Loan”), with SWK Funding LLC and its partners (the “Lender”), as lender and collateral agent. A summary of the material changes contained in the Amendment are as follows:</w:t>
      </w:r>
    </w:p>
    <w:p>
      <w:pPr>
        <w:spacing w:after="0" w:line="181"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rate calculation that the loan bears is now equal to the three-month London Inter-Bank Offered Rate (subject to a minimum of 2.00%), plus an applicable margin of 10.00% (the “Margin Rate”) provided that, if, two days prior to a payment date, we provide the Lender evidence that we have achieved a leverage ratio as of such date of less than 4.00:1:00, the Margin Rate shall equal 9.00%; and if we have achieved a leverage ratio as of such date of less than 3.00:1:00, the Margin Rate shall equal 7.00%;</w:t>
      </w:r>
    </w:p>
    <w:p>
      <w:pPr>
        <w:spacing w:after="0" w:line="186"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Leverage ratio in the Amendment means, as of any date of determination, the ratio of: (a) indebtedness as of such date to (b) EBITDA (as defined in the SWK Loan), of us for the immediately preceding twelve (12) month period, adding-back (i) actual litigation expenses for the immediately preceding twelve (12) month period, minus (ii) actual litigation expenses for the immediately preceding three (3) month period multiplied by four</w:t>
      </w:r>
    </w:p>
    <w:p>
      <w:pPr>
        <w:ind w:left="66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1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us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us an additional principal amount of up to $5,000,000.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color w:val="auto"/>
        </w:rPr>
        <w:t>In addition to the terms described above, the Amendment joined our recently created subsidiaries to the SWK Loan and added definitions related to excluded subsidiaries that are not considered co-borrowers and are subsidiaries ours which we believe will eventually be deconsolidated from our financials and we will lose 50% or more of the equity interests of the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MAY-66 License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described more fully above under the sub-heading “Mayfield Pharmaceuticals, Inc.”, in July 2019, our subsidiary Mayfield, entered the TGV License Agreement to acquire intellectual property associated with its drug candidate, MAY-66.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License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2019, Stowe entered into a License Agreement (the “Stowe License”) with TGV (collectively, “TGV”), to acquire intellectual property rights for use in the ophthalmology and otic health fields, related to Stowe’s proprietary drug candidate STE-006. The Stowe License provides that TGV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Restructuring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30, 2019, Park Compounding, Inc. (“Park”) a wholly owned subsidiary of Harrow Health, Inc., and Noice Rx, LLC (“Noice”) terminated the Asset Purchase Agreement, dated July 26, 2019 (the “Purchase Agreement”), between the parties. Under the terms of the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closure of the Park pharmacy, the Company elected to restructure the Park business and facilitate the transition of certain compounded formulations and related equipment from Park to the Company’s New Jersey-based compounded pharmaceutical production facilities (the “Park Restructuring”). As a result of the Park Restructuring, the Company incurred non-cash impairment costs of approximately $3,781 related to assets held at Park, primarily associated with property, plant, equipment, goodwill and other intangible assets and, in addition, to incur approximately $405,000 in one-time costs related to severance packages and other costs associated with the Park Restructuring, during the three and nine months ended September 30, 2019. Going forward, all compounding business is expected to be consolidated into the Company’s ImprimisRx business.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reduced the Park compounded product formulary to seven base formulations, based on factors including unit order volumes, revenues and gross margin percentages, and expect ImprimisRx to retain and re-acquire approximately half of Park’s revenue after a transitionary period within about six to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nine months ended September 30, 2019 and 2018,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5"/>
              </w:rPr>
              <w:t>For the Three Months Ended</w:t>
            </w:r>
          </w:p>
        </w:tc>
        <w:tc>
          <w:tcPr>
            <w:tcW w:w="180" w:type="dxa"/>
            <w:vAlign w:val="bottom"/>
          </w:tcPr>
          <w:p>
            <w:pPr>
              <w:spacing w:after="0"/>
              <w:rPr>
                <w:sz w:val="19"/>
                <w:szCs w:val="19"/>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6"/>
              </w:rPr>
              <w:t>For the Nine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Variance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86"/>
              </w:rPr>
              <w:t>Product sales, net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12,748,000</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10,729,000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38,540,000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29,958,000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License revenues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4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80" w:type="dxa"/>
            <w:vAlign w:val="bottom"/>
            <w:tcBorders>
              <w:top w:val="single" w:sz="8" w:color="CCEEFF"/>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10,739,000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29,988,000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76" w:lineRule="auto"/>
        <w:rPr>
          <w:sz w:val="20"/>
          <w:szCs w:val="20"/>
          <w:color w:val="auto"/>
        </w:rPr>
      </w:pPr>
      <w:r>
        <w:rPr>
          <w:rFonts w:ascii="Arial" w:cs="Arial" w:eastAsia="Arial" w:hAnsi="Arial"/>
          <w:sz w:val="17"/>
          <w:szCs w:val="17"/>
          <w:color w:val="auto"/>
        </w:rPr>
        <w:t>The increase in revenues between periods was largely attributable to increased sales of our proprietary formulations and furtherance of our ophthalmology-related pharmaceutical compounded formulations. Our gross ophthalmology-related sales were approximately $12,263,000 and $35,337,000 for the three and nine months ended September 30, 2019, compared to $8,860,000 and $24,102,000 during the same periods last year, respectively. Net revenues generated from NJOF totaled $8,860,000 and $24,102,000 during the three and nine months ended September 30, 2019, respectively, and $6,378,000 and $16,876,000 during the three and nine months ended September 30,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19"/>
                <w:szCs w:val="19"/>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For the Nine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Variance</w:t>
            </w:r>
          </w:p>
        </w:tc>
        <w:tc>
          <w:tcPr>
            <w:tcW w:w="20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30"/>
        </w:trPr>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13,184,000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12,419,000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decrease in our cost of sales during the three months ended September 30, 2019 compared to the three months ended September 30, 2018 was largely attributable to improved utilization of capacity at our compounding facilities. The increase in our cost of sales during the nine months ended September 30, 2019 compared to the nine months ended September 30, 2018 was largely attributable to an increase in unit volumes sold.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center"/>
              <w:ind w:right="370"/>
              <w:spacing w:after="0"/>
              <w:rPr>
                <w:sz w:val="20"/>
                <w:szCs w:val="20"/>
                <w:color w:val="auto"/>
              </w:rPr>
            </w:pPr>
            <w:r>
              <w:rPr>
                <w:rFonts w:ascii="Arial" w:cs="Arial" w:eastAsia="Arial" w:hAnsi="Arial"/>
                <w:sz w:val="18"/>
                <w:szCs w:val="18"/>
                <w:b w:val="1"/>
                <w:bCs w:val="1"/>
                <w:color w:val="auto"/>
                <w:w w:val="92"/>
              </w:rPr>
              <w:t>For the 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center"/>
              <w:ind w:right="390"/>
              <w:spacing w:after="0"/>
              <w:rPr>
                <w:sz w:val="20"/>
                <w:szCs w:val="20"/>
                <w:color w:val="auto"/>
              </w:rPr>
            </w:pPr>
            <w:r>
              <w:rPr>
                <w:rFonts w:ascii="Arial" w:cs="Arial" w:eastAsia="Arial" w:hAnsi="Arial"/>
                <w:sz w:val="18"/>
                <w:szCs w:val="18"/>
                <w:b w:val="1"/>
                <w:bCs w:val="1"/>
                <w:color w:val="auto"/>
                <w:w w:val="91"/>
              </w:rPr>
              <w:t>For the Nine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Variance</w:t>
            </w: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6,548,000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17,569,000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4"/>
              </w:rPr>
              <w:t>%</w:t>
            </w: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3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extension of beyond using dating, or BUD, of some of our products, utilization of capacities as a result of increased output and unit volumes and an increase in sales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ind w:right="60"/>
        <w:spacing w:after="0"/>
        <w:rPr>
          <w:sz w:val="20"/>
          <w:szCs w:val="20"/>
          <w:color w:val="auto"/>
        </w:rPr>
      </w:pPr>
      <w:r>
        <w:rPr>
          <w:rFonts w:ascii="Arial" w:cs="Arial" w:eastAsia="Arial" w:hAnsi="Arial"/>
          <w:sz w:val="18"/>
          <w:szCs w:val="18"/>
          <w:color w:val="auto"/>
        </w:rPr>
        <w:t>The following presents our selling, general and administrative expenses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For the Three Months Ended</w:t>
            </w:r>
          </w:p>
        </w:tc>
        <w:tc>
          <w:tcPr>
            <w:tcW w:w="112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For the Nine Months Ended</w:t>
            </w:r>
          </w:p>
        </w:tc>
        <w:tc>
          <w:tcPr>
            <w:tcW w:w="108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Selling, general and administrative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1,644,000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25,399,000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20,231,000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$ 5,168,000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selling, general and administrative expenses between periods was largely attributable to increased sales commission amounts, severance costs associated with the Park Restructuring and legal expenses incurred associated with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For the Three Months Ended</w:t>
            </w:r>
          </w:p>
        </w:tc>
        <w:tc>
          <w:tcPr>
            <w:tcW w:w="112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For the Nine Months Ended</w:t>
            </w:r>
          </w:p>
        </w:tc>
        <w:tc>
          <w:tcPr>
            <w:tcW w:w="1080" w:type="dxa"/>
            <w:vAlign w:val="bottom"/>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$ 1,267,000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research and development expenses between periods was primarily attributable to the increase in formulation development studies for new ophthalmic formulations and clinical programs related to our drug development segment during the three and nine months ended September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Disposal of Long-Lived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2019, we recorded a loss of $4,040,000 related to the impairment and disposal of long-lived assets. $3,781,000 of these costs were related to the Park Restructuring and $259,000 of these expenses were related to the impairment of patents and patent-applications related to a terminated asset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net was $620,000 and $1,939,000 for the three and nine months ended September 30, 2019 compared to $705,000 and $2,039,000 during the same period last year. The decrease during the periods ending September 30, 2019 as compared to the same periods in 2018 was primarily due to interest expense recognition related to a decrease in the amortization of our capital lease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2019, we recorded a net gain of $4,517,000 related to our investment in Melt. We recorded a gain of $5,810,000 for the deconsolidation of Melt, and a loss of $1,293,000 for our share of losses based on our ownership of Melt after its deconsolidation. We began using equity method accounting for our investment in Melt beginning on January 30, 2019, the date we no longer had a controlling interest. Prior to that date, Melt’s losses were consolidated within our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three and nine months ended September 30, 2019, we recorded a loss of $400,000 and $904,000, respectively, for our share of losses based on our ownership of Surface. During the three and nine months ended September 30, 2018, we recorded a loss of $128,000 and $230,000, respectively, for our share of losses based on our ownership of Surface prior to its deconsolidation. During the nine months ended September 30, 2018, we recorded a gain of $5,320,000 in the deconsolidation of Surface. We began using equity method accounting for our investment in Surface beginning on June 11, 2018, the date we no longer had a controlling interest. Prior to that date, Surface’s losses were consolidated within our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recorded a loss of $(5,530,000) and gain of $700,000 related to the change in fair market value of Eton’s common stock for the three and nine months ended September 30, 2019, respectively. During the three and nine months ended September 30, 2018, we recorded a loss of $(1,032,000) and $(3,247,000), respectively, for our share of losses based on our ownership of Eton. We began recording our investment in Eton at fair market value, and ceased equity method accounting for our investment in Eton, in November 2018 following Eton’s IPO and our ownership percent falling below 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nine months ended September 30, 2019, we recorded other income, net of $630,000. This was the result of income of $630,000 related to expenses that were paid by us and will be reimbursed by Melt following its deconsolidation. During the three and nine months ended September 30, 2018, we recorded other expense, net of $255,000. This was due to a loss of $393,000 related to the impairment and write-off of a note receivable, and income of $138,000 related to expenses that were paid by us and reimbursed by Surface following its deconsolidation.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and nine months ended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6"/>
              </w:rPr>
              <w:t>For the Three Months Ended</w:t>
            </w:r>
          </w:p>
        </w:tc>
        <w:tc>
          <w:tcPr>
            <w:tcW w:w="240" w:type="dxa"/>
            <w:vAlign w:val="bottom"/>
          </w:tcPr>
          <w:p>
            <w:pPr>
              <w:spacing w:after="0"/>
              <w:rPr>
                <w:sz w:val="18"/>
                <w:szCs w:val="18"/>
                <w:color w:val="auto"/>
              </w:rPr>
            </w:pPr>
          </w:p>
        </w:tc>
        <w:tc>
          <w:tcPr>
            <w:tcW w:w="280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w w:val="97"/>
              </w:rPr>
              <w:t>For the Nine Months Ended</w:t>
            </w: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Harrow Health, Inc.</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(11,469,000</w:t>
            </w:r>
          </w:p>
        </w:tc>
        <w:tc>
          <w:tcPr>
            <w:tcW w:w="48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(2,514,000</w:t>
            </w:r>
          </w:p>
        </w:tc>
        <w:tc>
          <w:tcPr>
            <w:tcW w:w="44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(2,489,000</w:t>
            </w:r>
          </w:p>
        </w:tc>
        <w:tc>
          <w:tcPr>
            <w:tcW w:w="44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(3,505,000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(0.45</w:t>
            </w:r>
          </w:p>
        </w:tc>
        <w:tc>
          <w:tcPr>
            <w:tcW w:w="480" w:type="dxa"/>
            <w:vAlign w:val="bottom"/>
            <w:vMerge w:val="continue"/>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(0.12</w:t>
            </w:r>
          </w:p>
        </w:tc>
        <w:tc>
          <w:tcPr>
            <w:tcW w:w="44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(0.10</w:t>
            </w:r>
          </w:p>
        </w:tc>
        <w:tc>
          <w:tcPr>
            <w:tcW w:w="4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on January 1, 2019, we began evaluating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93" w:lineRule="exact"/>
        <w:rPr>
          <w:sz w:val="20"/>
          <w:szCs w:val="20"/>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to our condensed consolidated financial statements included in this Quarterly Report for more information about our reportable segments.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cash on hand (including restricted cash) at September 30, 2019 was $3,631,000, compared to $6,838,000 at December 31, 2018. Since inception through December 31, 2018, we have incurred aggregate losses of $74,211,000.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date of this Quarterly Report, we believe that cash and cash equivalents of $3,431,000 and restricted investments of $200,000 totaling approximately $3,631,000 at September 30, 2019,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i w:val="1"/>
                <w:iCs w:val="1"/>
                <w:color w:val="auto"/>
              </w:rPr>
              <w:t>Net Cash Flow</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00" w:type="dxa"/>
            <w:vAlign w:val="bottom"/>
          </w:tcPr>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41"/>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723,000</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(864,000)</w:t>
            </w: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(1,347,000)</w:t>
            </w: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(1,641,000)</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2,720,000</w:t>
            </w:r>
          </w:p>
        </w:tc>
        <w:tc>
          <w:tcPr>
            <w:tcW w:w="100" w:type="dxa"/>
            <w:vAlign w:val="bottom"/>
            <w:shd w:val="clear" w:color="auto" w:fill="CCEEFF"/>
          </w:tcPr>
          <w:p>
            <w:pPr>
              <w:spacing w:after="0"/>
              <w:rPr>
                <w:sz w:val="21"/>
                <w:szCs w:val="21"/>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(3,207,000)</w:t>
            </w: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2,096,000</w:t>
            </w:r>
          </w:p>
        </w:tc>
        <w:tc>
          <w:tcPr>
            <w:tcW w:w="100" w:type="dxa"/>
            <w:vAlign w:val="bottom"/>
            <w:tcBorders>
              <w:top w:val="single" w:sz="8" w:color="CCEEFF"/>
            </w:tcBorders>
          </w:tcPr>
          <w:p>
            <w:pPr>
              <w:spacing w:after="0"/>
              <w:rPr>
                <w:sz w:val="17"/>
                <w:szCs w:val="17"/>
                <w:color w:val="auto"/>
              </w:rPr>
            </w:pPr>
          </w:p>
        </w:tc>
      </w:tr>
      <w:tr>
        <w:trPr>
          <w:trHeight w:val="25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6,838,000</w:t>
            </w: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720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3,631,000</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6,315,000</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operating activities was $(702,000), compared to $723,000 in operating activities during the same period in the prior year. The increase in net cash used in operating activities during the periods was mainly attributed to increased unit volumes and sales, and the addition of new formulations which temporarily reduced operating 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during the nine months ended September 30, 2019 and 2018 was $(864,000) and $(1,347,000), respectively. Cash used in investing activities in 2019 and 2018, was primarily associated with equipment purchases and upgrades and investments in our intellectual property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financing activities during the nine months ended September 30, 2019 and 2018 was $(1,641,000) and $2,720,000, respectively. Cash used in financing activities during the nine months ended September 30, 2019 was mostly related to principal payments on our note payable and finance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 of cash consists of cash provided by operating activities from our pharmaceutical compounding business. We may also sell some or all of our ownership interests in Eton, Surface, Melt and/or our other subsidiaries. We just recently began producing cash from our operations during 2018, however historically and during the three and nine months ended September 30, 2019, we have not generated sufficient revenues to support our operations and may not be able to continue to do so.</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may receive additional proceeds from the exercise of stock purchase warrants and options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loan from SWK Funding, LLC and its partners.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2019. Based on this evaluation, our principal executive officer and principal financial officer have concluded that our disclosure controls and procedures were effective to achieve their stated purpose as of September 30, 2019,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September 30, 2019,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The Court approved the parties’ proposed settlement agreement in the spring of 2019 and total damages related to this case of $570,751 were paid in October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Imprimis Pharmaceuticals, Inc., primarily claiming violations under the federal Lanham Act and California’s Sherman Act. The Court granted in part and denied in part each parties’ motions for summary judgement, resolving all issues except for whether Allergan was entitled to damages related to Imprimis’ purported Lanham Act violations. The parties went to trial in May 2019 to litigate damages related to the Lanham Act, and a jury found Imprimis liable for only $48,500 in lost profit damages. In July 2019, the Court entered a permanent injunction, the scope of which is limited to compounded drugs prepared in, dispensed from within, or shipped to the State of California. The injunction requires Imprimis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We believe we were already in compliance with its order prior to the injunction being ordered. On October 2, 2019, we and Allergan filed a joint stipulation to voluntarily dismiss each parties’ respective pending appeals arising out of the lawsuit. No economic consideration was exchanged between the parties related to the filing of the joint stipulation. The stipulation formally resolved all pending disputes between the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 termination obligations to be litigated.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was required to, and did, surrender its California pharmacy license by August 27,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2019, Anna Sue Gaukel and Lawrence Gaukel served Imprimis with a lawsuit filed in state court in Idaho against Imprimis Pharmaceuticals, Inc. asserting class action allegations and product liability claims related to Mrs. Gaukel’s doctor’s use of a compounded drug injection in each of her eyes. In June 2019, Imprimis removed the case to Federal Court and subsequently answered the complaint. The case continues to be in its early phase.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Until last year, we incurred losses in every year of our operations, and we may not be profitable in the future.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Until 2018, we incurred losses in every year of our operations. As of September 30, 2019, our accumulated deficit was $(76,700,000).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compounding facilities in New Jersey. We may plan to expand our pharmacy operations and personnel and developing our facilities into a unified group compounding pharmacy facilities. We have been developing “ImprimisRx” as a uniform brand for certain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sell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In June 2019, our outsourcing facility was issued a warning letter related to an April 2017 inspection and our use of certain active pharmaceutical ingredients in our compounded medications. We responded to the warning letter in July 2019. We will continue to work with the FDA to assure that all allegations in the warning letters have been addressed. We believe, to date, we have addressed all of the material items of concern in the FDA’s warning letters and those related to the MedWatch notification (and any other requirements observed by FDA and noted to us), and we do not believe there will be any further action taken by FDA in these matters. Nonetheless, these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warning letters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related to a compounded formulation we believe was legally dispensed and was, without our knowledge, inappropriately administered to a patient unknown to us, by the prescribing healthcare professionals. While we dispute all claims against Park, we did enter into a settlement agreement with the California Board of Pharmacy and surrendered Park’s pharmacy license and ceased its sterile compounding operations. We intend to transfer approximately half of Park’s business to our New Jersey based pharmacy. Although we distribute our proprietary formulations through other compounding pharmacies, and not solely through Park, the loss of Park’s ability to compound sterile formulations could have an adverse impact on our ability to implement our business plan in a timely manner.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 Additionally, the permanent injunction entered on July 22, 2019, by the United States District Court of the Central District of California in the Allergan litigation (also referenced in Item. 1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seek FDA approval to market and sell any of our proprietary formulations, such as with drug candidates being developed by Stowe, Radley, Mayfield, Melt, and Surface, we may be unable to demonstrate the necessary safety and efficacy to obtain such FDA approval.</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28, 2019, we owned and/or licensed nine U.S. issued patents, two international issued patents, and 32 U.S. patent applications, including 29 utility (including continuation, continuation-in-part and divisional) and three provisional patent applications, and we owned seven international patent applications filed under the Patent Cooperation Treaty and 42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President of ImprimisRx,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Part I - Item 4 of this Quarterly Report, our management concluded that our internal controls over financial reporting were effective as of September 30, 2019.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such as those contained in our SWK loan agreement,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7980" w:type="dxa"/>
            <w:vAlign w:val="bottom"/>
            <w:tcBorders>
              <w:top w:val="single" w:sz="8" w:color="auto"/>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0"/>
              </w:rPr>
              <w:t>Asset Purchase Agreement, dated July 26, 2019, by and between Park Compounding, Inc. and Noice Rx, LLC.</w:t>
            </w:r>
          </w:p>
        </w:tc>
        <w:tc>
          <w:tcPr>
            <w:tcW w:w="2400" w:type="dxa"/>
            <w:vAlign w:val="bottom"/>
            <w:tcBorders>
              <w:top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72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Loan Agreement, dated July 26, 2019, by and between Park Compounding, Inc. and Noice Rx, LLC.</w:t>
            </w:r>
          </w:p>
        </w:tc>
        <w:tc>
          <w:tcPr>
            <w:tcW w:w="3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License Agreement, dated July 28, 2019, among Mayfield Pharmaceuticals, Inc., TGV-Health, LLC and TGV-Gyneconix, LLC.</w:t>
            </w: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Arial" w:cs="Arial" w:eastAsia="Arial" w:hAnsi="Arial"/>
                <w:sz w:val="18"/>
                <w:szCs w:val="18"/>
                <w:color w:val="0000EE"/>
              </w:rPr>
              <w:t>License Agreement, dated July 29, 2019, among Stowe Pharmaceuticals, Inc., TGV-Health, LLC and TGV-Ophthalnix, LLC.</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6"/>
              </w:rPr>
              <w:t>Certification of Mark L. Baum, principal executive officer, pursuant to Rule 13a-14(a) or 15d-14(a) of the Securities and Exchange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Arial" w:cs="Arial" w:eastAsia="Arial" w:hAnsi="Arial"/>
                <w:sz w:val="18"/>
                <w:szCs w:val="18"/>
                <w:color w:val="0000EE"/>
              </w:rPr>
              <w:t>1934, as adopted pursuant to Section 302 of the Sarbanes- Oxley Act of 2002.</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Arial" w:cs="Arial" w:eastAsia="Arial" w:hAnsi="Arial"/>
                <w:sz w:val="18"/>
                <w:szCs w:val="18"/>
                <w:color w:val="0000EE"/>
                <w:w w:val="97"/>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6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Exchange Act of 1934, as 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line="20" w:lineRule="exact"/>
              <w:rPr>
                <w:sz w:val="1"/>
                <w:szCs w:val="1"/>
                <w:color w:val="auto"/>
              </w:rPr>
            </w:pPr>
          </w:p>
        </w:tc>
        <w:tc>
          <w:tcPr>
            <w:tcW w:w="68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Certification pursuant to 18 U.S.C. Section 1350, as adopted pursuant to Section 906 of the Sarbanes-Oxley Act of 2002, executed by Mark 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Arial" w:cs="Arial" w:eastAsia="Arial" w:hAnsi="Arial"/>
                <w:sz w:val="18"/>
                <w:szCs w:val="18"/>
                <w:color w:val="0000EE"/>
              </w:rPr>
              <w:t>Baum, principal executive officer, and Andrew R. Boll, principal financial and accounting officer.</w:t>
            </w:r>
          </w:p>
        </w:tc>
        <w:tc>
          <w:tcPr>
            <w:tcW w:w="0" w:type="dxa"/>
            <w:vAlign w:val="bottom"/>
          </w:tcPr>
          <w:p>
            <w:pPr>
              <w:spacing w:after="0"/>
              <w:rPr>
                <w:sz w:val="1"/>
                <w:szCs w:val="1"/>
                <w:color w:val="auto"/>
              </w:rPr>
            </w:pPr>
          </w:p>
        </w:tc>
      </w:tr>
      <w:tr>
        <w:trPr>
          <w:trHeight w:val="453"/>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101.INS*</w:t>
            </w:r>
          </w:p>
        </w:tc>
        <w:tc>
          <w:tcPr>
            <w:tcW w:w="70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101.SCH*</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101.CAL*</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101.DEF*</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101.LAB*</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101.PRE*</w:t>
            </w:r>
          </w:p>
        </w:tc>
        <w:tc>
          <w:tcPr>
            <w:tcW w:w="103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13,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THIS ASSET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July 26, 2019, by and between Noice Rx, LLC a Texas limited liability company (“</w:t>
      </w:r>
      <w:r>
        <w:rPr>
          <w:rFonts w:ascii="Arial" w:cs="Arial" w:eastAsia="Arial" w:hAnsi="Arial"/>
          <w:sz w:val="16"/>
          <w:szCs w:val="16"/>
          <w:b w:val="1"/>
          <w:bCs w:val="1"/>
          <w:color w:val="auto"/>
        </w:rPr>
        <w:t>Buyer</w:t>
      </w:r>
      <w:r>
        <w:rPr>
          <w:rFonts w:ascii="Arial" w:cs="Arial" w:eastAsia="Arial" w:hAnsi="Arial"/>
          <w:sz w:val="16"/>
          <w:szCs w:val="16"/>
          <w:color w:val="auto"/>
        </w:rPr>
        <w:t>”), and Park Compounding, Inc., a California corporation (“</w:t>
      </w:r>
      <w:r>
        <w:rPr>
          <w:rFonts w:ascii="Arial" w:cs="Arial" w:eastAsia="Arial" w:hAnsi="Arial"/>
          <w:sz w:val="16"/>
          <w:szCs w:val="16"/>
          <w:b w:val="1"/>
          <w:bCs w:val="1"/>
          <w:color w:val="auto"/>
        </w:rPr>
        <w:t>Seller</w:t>
      </w:r>
      <w:r>
        <w:rPr>
          <w:rFonts w:ascii="Arial" w:cs="Arial" w:eastAsia="Arial" w:hAnsi="Arial"/>
          <w:sz w:val="16"/>
          <w:szCs w:val="16"/>
          <w:color w:val="auto"/>
        </w:rPr>
        <w:t>”). Buyer and Seller are sometimes referred to individually in this Agreement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Other capitalized terms used in this Agreement and not otherwise defined are defined in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Seller is engaged in the business of operating a compounding pharmacy (the “</w:t>
      </w:r>
      <w:r>
        <w:rPr>
          <w:rFonts w:ascii="Arial" w:cs="Arial" w:eastAsia="Arial" w:hAnsi="Arial"/>
          <w:sz w:val="18"/>
          <w:szCs w:val="18"/>
          <w:b w:val="1"/>
          <w:bCs w:val="1"/>
          <w:color w:val="auto"/>
        </w:rPr>
        <w:t>Business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wishes to sell and assign to Buyer, and Buyer wishes to purchase and assume from Seller, substantially all of the assets of the Business, on the terms and subject to the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TRANSACTION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 Sale and Purchase of the Purchased Assets. </w:t>
      </w:r>
      <w:r>
        <w:rPr>
          <w:rFonts w:ascii="Arial" w:cs="Arial" w:eastAsia="Arial" w:hAnsi="Arial"/>
          <w:sz w:val="18"/>
          <w:szCs w:val="18"/>
          <w:color w:val="auto"/>
        </w:rPr>
        <w:t>On the terms and subject to the conditions of this Agreement, at Closing, Seller will sell,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and convey to Buyer, and Buyer will purchase from Seller, all of Seller’s right, title and interest in and to the Purchased Assets, free and clear of all Encumbrances (other than Permitted Encumbrances).</w:t>
      </w:r>
    </w:p>
    <w:p>
      <w:pPr>
        <w:spacing w:after="0" w:line="176" w:lineRule="exact"/>
        <w:rPr>
          <w:sz w:val="20"/>
          <w:szCs w:val="20"/>
          <w:color w:val="auto"/>
        </w:rPr>
      </w:pPr>
    </w:p>
    <w:p>
      <w:pPr>
        <w:jc w:val="both"/>
        <w:ind w:firstLine="1305"/>
        <w:spacing w:after="0" w:line="266" w:lineRule="auto"/>
        <w:tabs>
          <w:tab w:leader="none" w:pos="154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Purchased Assets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Purchased Assets</w:t>
      </w:r>
      <w:r>
        <w:rPr>
          <w:rFonts w:ascii="Arial" w:cs="Arial" w:eastAsia="Arial" w:hAnsi="Arial"/>
          <w:sz w:val="18"/>
          <w:szCs w:val="18"/>
          <w:color w:val="auto"/>
        </w:rPr>
        <w:t>” means, except for the Excluded Assets, all property, assets and rights of any kind and description, whether real, personal or mixed, tangible or intangible, wherever located, owned by Seller associated with the Business, including:</w:t>
      </w:r>
    </w:p>
    <w:p>
      <w:pPr>
        <w:spacing w:after="0" w:line="180" w:lineRule="exact"/>
        <w:rPr>
          <w:rFonts w:ascii="Arial" w:cs="Arial" w:eastAsia="Arial" w:hAnsi="Arial"/>
          <w:sz w:val="18"/>
          <w:szCs w:val="18"/>
          <w:color w:val="auto"/>
        </w:rPr>
      </w:pPr>
    </w:p>
    <w:p>
      <w:pPr>
        <w:ind w:left="2180" w:hanging="227"/>
        <w:spacing w:after="0"/>
        <w:tabs>
          <w:tab w:leader="none" w:pos="21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furniture, fixtures, equipment and other tangible personal property used, or held for use, in connection with the operation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Business;</w:t>
      </w:r>
    </w:p>
    <w:p>
      <w:pPr>
        <w:spacing w:after="0" w:line="210" w:lineRule="exact"/>
        <w:rPr>
          <w:rFonts w:ascii="Arial" w:cs="Arial" w:eastAsia="Arial" w:hAnsi="Arial"/>
          <w:sz w:val="16"/>
          <w:szCs w:val="16"/>
          <w:color w:val="auto"/>
        </w:rPr>
      </w:pPr>
    </w:p>
    <w:p>
      <w:pPr>
        <w:ind w:left="2240" w:hanging="287"/>
        <w:spacing w:after="0"/>
        <w:tabs>
          <w:tab w:leader="none" w:pos="2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Prescription Files, Governmental Authorizations, Healthcare Authorizations, and National Provider Identifier numbers,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subject to applicable Laws;</w:t>
      </w:r>
    </w:p>
    <w:p>
      <w:pPr>
        <w:spacing w:after="0" w:line="210" w:lineRule="exact"/>
        <w:rPr>
          <w:rFonts w:ascii="Arial" w:cs="Arial" w:eastAsia="Arial" w:hAnsi="Arial"/>
          <w:sz w:val="17"/>
          <w:szCs w:val="17"/>
          <w:color w:val="auto"/>
        </w:rPr>
      </w:pPr>
    </w:p>
    <w:p>
      <w:pPr>
        <w:ind w:left="2260" w:hanging="307"/>
        <w:spacing w:after="0"/>
        <w:tabs>
          <w:tab w:leader="none" w:pos="2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Assigned Contracts;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pharmaceutical and non-pharmaceutical inventory that is located at the Leased Real Property and procured by Seller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normal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left="2200" w:hanging="247"/>
        <w:spacing w:after="0"/>
        <w:tabs>
          <w:tab w:leader="none" w:pos="2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expenses, deposits, claims for refunds, rebates and rights of offset, and claims against third Persons;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Books and Records (excluding Seller’s Organizational Documents);</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Owned Intellectual Property Assets (including telephone and telecopy numbers, e-mail addresses, trade names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names); and</w:t>
      </w:r>
    </w:p>
    <w:p>
      <w:pPr>
        <w:spacing w:after="0" w:line="211" w:lineRule="exact"/>
        <w:rPr>
          <w:sz w:val="20"/>
          <w:szCs w:val="20"/>
          <w:color w:val="auto"/>
        </w:rPr>
      </w:pPr>
    </w:p>
    <w:p>
      <w:pPr>
        <w:ind w:left="2360" w:hanging="407"/>
        <w:spacing w:after="0"/>
        <w:tabs>
          <w:tab w:leader="none" w:pos="2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goodwill associated with the Business.</w:t>
      </w:r>
    </w:p>
    <w:p>
      <w:pPr>
        <w:spacing w:after="0" w:line="221" w:lineRule="exact"/>
        <w:rPr>
          <w:rFonts w:ascii="Arial" w:cs="Arial" w:eastAsia="Arial" w:hAnsi="Arial"/>
          <w:sz w:val="18"/>
          <w:szCs w:val="18"/>
          <w:color w:val="auto"/>
        </w:rPr>
      </w:pPr>
    </w:p>
    <w:p>
      <w:pPr>
        <w:ind w:left="1560" w:hanging="255"/>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Excluded Assets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Excluded Assets</w:t>
      </w:r>
      <w:r>
        <w:rPr>
          <w:rFonts w:ascii="Arial" w:cs="Arial" w:eastAsia="Arial" w:hAnsi="Arial"/>
          <w:sz w:val="18"/>
          <w:szCs w:val="18"/>
          <w:color w:val="auto"/>
        </w:rPr>
        <w:t>” means:</w:t>
      </w:r>
    </w:p>
    <w:p>
      <w:pPr>
        <w:spacing w:after="0" w:line="229" w:lineRule="exact"/>
        <w:rPr>
          <w:rFonts w:ascii="Arial" w:cs="Arial" w:eastAsia="Arial" w:hAnsi="Arial"/>
          <w:sz w:val="18"/>
          <w:szCs w:val="18"/>
          <w:color w:val="auto"/>
        </w:rPr>
      </w:pPr>
    </w:p>
    <w:p>
      <w:pPr>
        <w:ind w:left="2160" w:hanging="207"/>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Seller’s cash and cash equivalents;</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accounts and notes receivable,</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Seller’s Organizational Documents;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rights and claims in any Tax refunds or prepaid Taxes of Seller;</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Insurance policies of Seller and any prepaid premiums or refunds related thereto;</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Seller Benefit Plans (and any related trusts or funding arrangements);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Tax Returns of Seller (including working papers related thereto);</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Seller’s rights in any Contracts not included among the Assigned Contracts;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assets related to the Medicare and Medicaid Programs;</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rights of Seller under this Agreement and the other Transaction Documents;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assets primarily used in Seller’s ophthalmology business, exclusive of those used in and related to the autologous serum eye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drops sales; and</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(xii) all assets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1.2 Assumed Liabilities; Excluded Liabilities</w:t>
      </w:r>
      <w:r>
        <w:rPr>
          <w:rFonts w:ascii="Arial" w:cs="Arial" w:eastAsia="Arial" w:hAnsi="Arial"/>
          <w:sz w:val="18"/>
          <w:szCs w:val="18"/>
          <w:color w:val="auto"/>
        </w:rPr>
        <w:t>. As additional consideration for the Purchased Assets, at Closing, Buyer will assume and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when due, the Assumed Liabilities. Except for the Assumed Liabilities, neither Buyer nor any of its Affiliates will assume or become liable for any liability or obligation of Seller.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jc w:val="both"/>
        <w:ind w:firstLine="1305"/>
        <w:spacing w:after="0" w:line="293" w:lineRule="auto"/>
        <w:tabs>
          <w:tab w:leader="none" w:pos="1555" w:val="left"/>
        </w:tabs>
        <w:numPr>
          <w:ilvl w:val="1"/>
          <w:numId w:val="2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Assumed Liabilities</w:t>
      </w:r>
      <w:r>
        <w:rPr>
          <w:rFonts w:ascii="Arial" w:cs="Arial" w:eastAsia="Arial" w:hAnsi="Arial"/>
          <w:sz w:val="16"/>
          <w:szCs w:val="16"/>
          <w:color w:val="auto"/>
        </w:rPr>
        <w:t>” means: (A) executory obligations arising in the Ordinary Course of Business under the Assigned Contracts, but excluding obligations arising from any breach of any Assigned Contracts prior to Closing; (B) Permitted Encumbrances;</w:t>
      </w:r>
    </w:p>
    <w:p>
      <w:pPr>
        <w:spacing w:after="0" w:line="1" w:lineRule="exact"/>
        <w:rPr>
          <w:rFonts w:ascii="Arial" w:cs="Arial" w:eastAsia="Arial" w:hAnsi="Arial"/>
          <w:sz w:val="16"/>
          <w:szCs w:val="16"/>
          <w:color w:val="auto"/>
        </w:rPr>
      </w:pPr>
    </w:p>
    <w:p>
      <w:pPr>
        <w:jc w:val="both"/>
        <w:ind w:firstLine="8"/>
        <w:spacing w:after="0" w:line="255" w:lineRule="auto"/>
        <w:tabs>
          <w:tab w:leader="none" w:pos="2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trade accounts payable of Seller to third parties in connection with the Business that remain unpaid and are not delinquent as of the Closing Date and that either are reflected on the Financial Statements or arose in the Ordinary Course of Business consistent with past practice since the date of the Financial Statements; and (D) post-Closing Liabilities relating to Buyer’s operation of the Business.</w:t>
      </w:r>
    </w:p>
    <w:p>
      <w:pPr>
        <w:spacing w:after="0" w:line="190" w:lineRule="exact"/>
        <w:rPr>
          <w:rFonts w:ascii="Arial" w:cs="Arial" w:eastAsia="Arial" w:hAnsi="Arial"/>
          <w:sz w:val="18"/>
          <w:szCs w:val="18"/>
          <w:color w:val="auto"/>
        </w:rPr>
      </w:pPr>
    </w:p>
    <w:p>
      <w:pPr>
        <w:jc w:val="both"/>
        <w:ind w:firstLine="1305"/>
        <w:spacing w:after="0" w:line="273" w:lineRule="auto"/>
        <w:tabs>
          <w:tab w:leader="none" w:pos="15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liabilities and obligations of Seller not expressly included among the Assumed Liabilities are retained by Seller and are collectively referred to in this Agreement as the “</w:t>
      </w:r>
      <w:r>
        <w:rPr>
          <w:rFonts w:ascii="Arial" w:cs="Arial" w:eastAsia="Arial" w:hAnsi="Arial"/>
          <w:sz w:val="17"/>
          <w:szCs w:val="17"/>
          <w:b w:val="1"/>
          <w:bCs w:val="1"/>
          <w:color w:val="auto"/>
        </w:rPr>
        <w:t>Excluded Liabilities</w:t>
      </w:r>
      <w:r>
        <w:rPr>
          <w:rFonts w:ascii="Arial" w:cs="Arial" w:eastAsia="Arial" w:hAnsi="Arial"/>
          <w:sz w:val="17"/>
          <w:szCs w:val="17"/>
          <w:color w:val="auto"/>
        </w:rPr>
        <w:t>.” The “</w:t>
      </w:r>
      <w:r>
        <w:rPr>
          <w:rFonts w:ascii="Arial" w:cs="Arial" w:eastAsia="Arial" w:hAnsi="Arial"/>
          <w:sz w:val="17"/>
          <w:szCs w:val="17"/>
          <w:b w:val="1"/>
          <w:bCs w:val="1"/>
          <w:color w:val="auto"/>
        </w:rPr>
        <w:t>Excluded Liabilities</w:t>
      </w:r>
      <w:r>
        <w:rPr>
          <w:rFonts w:ascii="Arial" w:cs="Arial" w:eastAsia="Arial" w:hAnsi="Arial"/>
          <w:sz w:val="17"/>
          <w:szCs w:val="17"/>
          <w:color w:val="auto"/>
        </w:rPr>
        <w:t>” include all: (A) liabilities and obligations related to Excluded Assets; (B) pre-Closing claims (whether in tort, contract or otherwise); (C) obligations for borrowed money or contracts entered into by Seller that are not otherwise included in the Purchased Assets; (D) pre-Closing Taxes; (E) liabilities and obligations related to the provision of any goods or services reimbursed or reimbursable by any healthcare program of any Governmental Body (including the Medicare and Medicaid Programs and related supplier agreements and supplier numbers); and (F) refunds and other liabilities and obligations related to any overpayment.</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1.3 Purchase Price</w:t>
      </w:r>
      <w:r>
        <w:rPr>
          <w:rFonts w:ascii="Arial" w:cs="Arial" w:eastAsia="Arial" w:hAnsi="Arial"/>
          <w:sz w:val="18"/>
          <w:szCs w:val="18"/>
          <w:color w:val="auto"/>
        </w:rPr>
        <w:t>. The aggregate purchase price of the Purchased Assets shall be equal to the principal amount of eight million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($8,000,000)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1.4 Payment of Purchase Price</w:t>
      </w:r>
      <w:r>
        <w:rPr>
          <w:rFonts w:ascii="Arial" w:cs="Arial" w:eastAsia="Arial" w:hAnsi="Arial"/>
          <w:sz w:val="18"/>
          <w:szCs w:val="18"/>
          <w:color w:val="auto"/>
        </w:rPr>
        <w:t>. The Purchase Price shall be payable pursuant to the terms and conditions of a Secured Promissory Note,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principal amount equal to the Purchase Price,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Seller Note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1.5 Purchase Price Allocation</w:t>
      </w:r>
      <w:r>
        <w:rPr>
          <w:rFonts w:ascii="Arial" w:cs="Arial" w:eastAsia="Arial" w:hAnsi="Arial"/>
          <w:sz w:val="18"/>
          <w:szCs w:val="18"/>
          <w:color w:val="auto"/>
        </w:rPr>
        <w:t>. The Purchase Price, including any adjustments thereto, and any other applicable amounts, will be allocated among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Purchased Assets and the restrictive covenants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in accordance with Section 1060 of the Code and the treasury regulations thereunder (and any similar provision of state, local, or non-U.S. law, as appropriate) as follows (the “</w:t>
      </w:r>
      <w:r>
        <w:rPr>
          <w:rFonts w:ascii="Arial" w:cs="Arial" w:eastAsia="Arial" w:hAnsi="Arial"/>
          <w:sz w:val="18"/>
          <w:szCs w:val="18"/>
          <w:b w:val="1"/>
          <w:bCs w:val="1"/>
          <w:color w:val="auto"/>
        </w:rPr>
        <w:t>Allocation</w:t>
      </w:r>
      <w:r>
        <w:rPr>
          <w:rFonts w:ascii="Arial" w:cs="Arial" w:eastAsia="Arial" w:hAnsi="Arial"/>
          <w:sz w:val="18"/>
          <w:szCs w:val="18"/>
          <w:color w:val="auto"/>
        </w:rPr>
        <w:t>”).</w:t>
      </w:r>
    </w:p>
    <w:p>
      <w:pPr>
        <w:spacing w:after="0" w:line="180" w:lineRule="exact"/>
        <w:rPr>
          <w:sz w:val="20"/>
          <w:szCs w:val="20"/>
          <w:color w:val="auto"/>
        </w:rPr>
      </w:pPr>
    </w:p>
    <w:p>
      <w:pPr>
        <w:jc w:val="both"/>
        <w:ind w:firstLine="1305"/>
        <w:spacing w:after="0" w:line="289" w:lineRule="auto"/>
        <w:tabs>
          <w:tab w:leader="none" w:pos="15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Buyer shall deliver a draft of such Allocation to Seller within sixty (60) calendar days after the Closing Date for Seller to comment and review such draft Allocation. In the event Seller does not provide Buyer with comments within thirty (30) calendar days from receipt, such Allocation shall be deemed final by the Parties hereto. In the event that Seller provides comments within such thirty (30) day period, and the Parties hereto cannot agree on a final Allocation schedule within thirty (30) days after Buyer has delivered the allocation schedule to Seller, then the Parties shall jointly retain an mutually-agreeable firm of independent certified public accountants (the “</w:t>
      </w:r>
      <w:r>
        <w:rPr>
          <w:rFonts w:ascii="Arial" w:cs="Arial" w:eastAsia="Arial" w:hAnsi="Arial"/>
          <w:sz w:val="16"/>
          <w:szCs w:val="16"/>
          <w:b w:val="1"/>
          <w:bCs w:val="1"/>
          <w:color w:val="auto"/>
        </w:rPr>
        <w:t>Independent Accountants</w:t>
      </w:r>
      <w:r>
        <w:rPr>
          <w:rFonts w:ascii="Arial" w:cs="Arial" w:eastAsia="Arial" w:hAnsi="Arial"/>
          <w:sz w:val="16"/>
          <w:szCs w:val="16"/>
          <w:color w:val="auto"/>
        </w:rPr>
        <w:t>”) to review the disputed item(s) on the allocation schedule. Buyer and Seller shall cooperate with the Independent Accountants and shall promptly provide such Independent Accountants with such documents and information as may be reasonably requested. The determination by the Independent Accountants of such allocation shall be final and binding on the Parties. The costs and expenses of the Independent Accountants in undertaking such review and determination shall be shared equally by Seller and Buyer and, to the extent required by the Independent Accountants or any Party shall be paid at the time of engagement of the Independent Accountants.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5" w:name="page76"/>
    <w:bookmarkEnd w:id="75"/>
    <w:p>
      <w:pPr>
        <w:jc w:val="both"/>
        <w:ind w:firstLine="1305"/>
        <w:spacing w:after="0" w:line="255" w:lineRule="auto"/>
        <w:tabs>
          <w:tab w:leader="none" w:pos="15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and Seller and their respective Affiliates shall report and file Tax Returns (including, but not limited to IRS Form 8594) in all respects and for all purposes consistent with such allocation, subject to any Purchase Price adjustment under this Agreement. Seller shall timely and properly prepare, execute, file and deliver all such documents, forms and other information as Buyer may reasonably request to prepare such allocation. Neither Buyer, Seller nor any other Party shall take any position (whether in audits, Tax Returns or otherwise) that is inconsistent with such allocation unless required to do so by applicable law. All values contained in such allocation shall be consistently reported by the parties hereto and their Affiliates for Tax purposes in accordance with the procedures reflected herein.</w:t>
      </w:r>
    </w:p>
    <w:p>
      <w:pPr>
        <w:spacing w:after="0" w:line="19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After Closing, the Parties will make consistent use of the Allocation for all Tax purposes and in all filings, declarations and reports with the IRS and any other applicable Governmental Body in respect thereof. The applicable Parties each will file an IRS Form 8594 “Asset Acquisition Statement Under Section 1060” at the time and in the manner as required by Treasury Regulation 1.1060-1 (and all other applicable Tax Returns required by applicable state or local law) consistent with the Allocation, and the Parties agree not to take any position inconsistent therewith for any Tax purpose.</w:t>
      </w:r>
    </w:p>
    <w:p>
      <w:pPr>
        <w:spacing w:after="0" w:line="15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1.6 Closing. </w:t>
      </w:r>
      <w:r>
        <w:rPr>
          <w:rFonts w:ascii="Arial" w:cs="Arial" w:eastAsia="Arial" w:hAnsi="Arial"/>
          <w:sz w:val="16"/>
          <w:szCs w:val="16"/>
          <w:color w:val="auto"/>
        </w:rPr>
        <w:t>Subject to the satisfaction or waiver of the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5</w:t>
      </w:r>
      <w:r>
        <w:rPr>
          <w:rFonts w:ascii="Arial" w:cs="Arial" w:eastAsia="Arial" w:hAnsi="Arial"/>
          <w:sz w:val="16"/>
          <w:szCs w:val="16"/>
          <w:color w:val="auto"/>
        </w:rPr>
        <w:t>, the consummation of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(“Closing”) will take place remotely via exchange of signature pages to the Transaction Documents on the third Business Day following the satisfaction or waiver of the conditions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(other than those conditions which by their nature are to be satisfied at Closing, which conditions must be satisfied at Closing unless waived) or at any other place, time or date as may be mutually agreed by Buyer and Seller. The date on which Closing occurs is referred to as the “Closing Date.” For Tax purposes, Closing will be deemed effective as of the close of business on the Closing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Deliveries at Closing.</w:t>
      </w:r>
    </w:p>
    <w:p>
      <w:pPr>
        <w:spacing w:after="0" w:line="229" w:lineRule="exact"/>
        <w:rPr>
          <w:sz w:val="20"/>
          <w:szCs w:val="20"/>
          <w:color w:val="auto"/>
        </w:rPr>
      </w:pPr>
    </w:p>
    <w:p>
      <w:pPr>
        <w:jc w:val="both"/>
        <w:ind w:firstLine="1305"/>
        <w:spacing w:after="0" w:line="293" w:lineRule="auto"/>
        <w:tabs>
          <w:tab w:leader="none" w:pos="154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Buyer Deliverables</w:t>
      </w:r>
      <w:r>
        <w:rPr>
          <w:rFonts w:ascii="Arial" w:cs="Arial" w:eastAsia="Arial" w:hAnsi="Arial"/>
          <w:sz w:val="16"/>
          <w:szCs w:val="16"/>
          <w:color w:val="auto"/>
        </w:rPr>
        <w:t xml:space="preserve">. At Closing, Buyer will deliver to Seller: (i) an executed copy of the Seller Note and any related documents required to perfect the security interest granted therein; (ii) certified copies of resolutions of Buyer, in a form reasonably acceptable to Seller, authorizing the consummation of the transactions contemplated by this Agreement; (iii) an executed instrument of assumption providing for Buyer’s assumption of the Assumed Liabilities; (iv) an executed copy of a Transition Services Agreement,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Transition</w:t>
      </w:r>
      <w:r>
        <w:rPr>
          <w:rFonts w:ascii="Arial" w:cs="Arial" w:eastAsia="Arial" w:hAnsi="Arial"/>
          <w:sz w:val="16"/>
          <w:szCs w:val="16"/>
          <w:color w:val="auto"/>
        </w:rPr>
        <w:t xml:space="preserve"> </w:t>
      </w:r>
      <w:r>
        <w:rPr>
          <w:rFonts w:ascii="Arial" w:cs="Arial" w:eastAsia="Arial" w:hAnsi="Arial"/>
          <w:sz w:val="16"/>
          <w:szCs w:val="16"/>
          <w:b w:val="1"/>
          <w:bCs w:val="1"/>
          <w:color w:val="auto"/>
        </w:rPr>
        <w:t>Services Agreement</w:t>
      </w:r>
      <w:r>
        <w:rPr>
          <w:rFonts w:ascii="Arial" w:cs="Arial" w:eastAsia="Arial" w:hAnsi="Arial"/>
          <w:sz w:val="16"/>
          <w:szCs w:val="16"/>
          <w:color w:val="auto"/>
        </w:rPr>
        <w:t>”); (v) deliver to Seller an executed copy of a Warrant, substantially in the form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Warrant</w:t>
      </w:r>
      <w:r>
        <w:rPr>
          <w:rFonts w:ascii="Arial" w:cs="Arial" w:eastAsia="Arial" w:hAnsi="Arial"/>
          <w:sz w:val="16"/>
          <w:szCs w:val="16"/>
          <w:color w:val="auto"/>
        </w:rPr>
        <w:t>”); and (vi)</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all other agreements, certificates, instruments and documents as may be reasonably required of Buyer under this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jc w:val="both"/>
        <w:ind w:firstLine="1305"/>
        <w:spacing w:after="0" w:line="268" w:lineRule="auto"/>
        <w:tabs>
          <w:tab w:leader="none" w:pos="155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Seller Deliverables</w:t>
      </w:r>
      <w:r>
        <w:rPr>
          <w:rFonts w:ascii="Arial" w:cs="Arial" w:eastAsia="Arial" w:hAnsi="Arial"/>
          <w:sz w:val="17"/>
          <w:szCs w:val="17"/>
          <w:color w:val="auto"/>
        </w:rPr>
        <w:t>. At Closing, Seller will: (i) deliver to Buyer possession of the Purchased Assets; (ii) deliver bills of sale and other assignments of the Purchased Assets, in forms reasonably acceptable to Buyer, executed by Seller and sufficient to transfer good and valid title to the Purchased Assets to Buyer; (iii) deliver all licenses, permits, registrations, authorizations, consents and approvals, in forms reasonably acceptable to Buyer, by any third Person, including any Governmental Authorizations and consents under Assigned Contracts, that are necessary for the consummation of the transactions contemplated by this Agreement or another Transaction Document; (iv) deliver evidence, in forms reasonably acceptable to Buyer, of the releases of all Encumbrances on the Purchased Assets, other than Permitted Encumbrances; (v) deliver a written assignment of the leasehold interest under the Real Property Lease, which shall be in form and substance acceptable to Buyer and executed by Seller; (vi) deliver certificates from Seller in the applicable form provided in Treasury Regulation Section 1.1445-2; (vii) deliver powers of attorney and/or management agreements, in a form approved by Buyer, allowing Buyer, to the extent permitted by applicable Law, to obtain from boards of pharmacy and any other applicable state or federal Governmental Body (the “</w:t>
      </w:r>
      <w:r>
        <w:rPr>
          <w:rFonts w:ascii="Arial" w:cs="Arial" w:eastAsia="Arial" w:hAnsi="Arial"/>
          <w:sz w:val="17"/>
          <w:szCs w:val="17"/>
          <w:b w:val="1"/>
          <w:bCs w:val="1"/>
          <w:color w:val="auto"/>
        </w:rPr>
        <w:t>Pharmacy Permits</w:t>
      </w:r>
      <w:r>
        <w:rPr>
          <w:rFonts w:ascii="Arial" w:cs="Arial" w:eastAsia="Arial" w:hAnsi="Arial"/>
          <w:sz w:val="17"/>
          <w:szCs w:val="17"/>
          <w:color w:val="auto"/>
        </w:rPr>
        <w:t>”) and from the United States Drug Enforcement Administration (the “</w:t>
      </w:r>
      <w:r>
        <w:rPr>
          <w:rFonts w:ascii="Arial" w:cs="Arial" w:eastAsia="Arial" w:hAnsi="Arial"/>
          <w:sz w:val="17"/>
          <w:szCs w:val="17"/>
          <w:b w:val="1"/>
          <w:bCs w:val="1"/>
          <w:color w:val="auto"/>
        </w:rPr>
        <w:t>DEA Registrations</w:t>
      </w:r>
      <w:r>
        <w:rPr>
          <w:rFonts w:ascii="Arial" w:cs="Arial" w:eastAsia="Arial" w:hAnsi="Arial"/>
          <w:sz w:val="17"/>
          <w:szCs w:val="17"/>
          <w:color w:val="auto"/>
        </w:rPr>
        <w:t>”) the authority to operate under licenses and registrations held by Seller for a period not to exceed ninety (90) days; (viii) to the extent permitted by applicable Law, an agreement to allow continued claims submission and/or assignment of claims for any Payment Programs; (ix) deliver to Buyer an executed copy of the Transition Services Agreement; (x) deliver to Buyer an executed copy of the Warrant; and (xi) deliver all other agreements, certificates, instruments and documents as may be reasonably required of Seller under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Seller hereby makes the following representations and warranties as of the date of this Agreement and again on the Closing Date immediately preceding Closing to induce Buyer to enter into this Agreement and to consummate the transactions contemplated hereby. These representations and warranties will survive Closing for the periods specified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2.1 Organization. </w:t>
      </w:r>
      <w:r>
        <w:rPr>
          <w:rFonts w:ascii="Arial" w:cs="Arial" w:eastAsia="Arial" w:hAnsi="Arial"/>
          <w:sz w:val="16"/>
          <w:szCs w:val="16"/>
          <w:color w:val="auto"/>
        </w:rPr>
        <w:t>Seller is a corporation, duly organized, validly existing and in good standing under the Laws of the State of California. Seller</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requisite power and authority to conduct its Business as it is now being conducted, to own and use the Purchased Assets and to perform its obligations under its Contracts. Seller is duly qualified to do business as a foreign entity and is in good standing in each state or other jurisdiction in which either the ownership or use of its Purchased Assets or the nature of the activities conducted by it requires such qualification, except where the failure to be so qualified or in good standing would not have a Material Adverse Effect. Certified copies of Seller’s Organizational Documents have been delivered to Buyer.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2.2 Financial Statements and Financial Matters.</w:t>
      </w:r>
    </w:p>
    <w:p>
      <w:pPr>
        <w:spacing w:after="0" w:line="229" w:lineRule="exact"/>
        <w:rPr>
          <w:sz w:val="20"/>
          <w:szCs w:val="20"/>
          <w:color w:val="auto"/>
        </w:rPr>
      </w:pPr>
    </w:p>
    <w:p>
      <w:pPr>
        <w:jc w:val="both"/>
        <w:ind w:firstLine="1305"/>
        <w:spacing w:after="0" w:line="273" w:lineRule="auto"/>
        <w:tabs>
          <w:tab w:leader="none" w:pos="15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Copies of the statement of operations of Seller at and for the fiscal year ended December 31, 2018 and interim period ended June 30, 2019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were delivered to Buyer. The Financial Statements are complete and accurate in all respects and present fairly the financial condition of Seller at the dates indicated and Seller’s results of operations for the periods then ended. The Financial Statements (i) were prepared on a pro forma basis and included non-GAAP based adjustments to depict operations of Seller as a separate entity from Seller Parent, and (ii) are consistent with the Books and Records of Seller Parent’s consolidated audited financial statements prepared in accordance with GAAP (subject, in the case of the Interim Financial Statements, to the absence of footnotes and normal year-end adjustments consistent with prior periods).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jc w:val="both"/>
        <w:ind w:firstLine="1305"/>
        <w:spacing w:after="0" w:line="257" w:lineRule="auto"/>
        <w:tabs>
          <w:tab w:leader="none" w:pos="1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Except for obligations under Contracts (other than those arising from a breach by Seller of such Contracts) and the liabilities and obligations set forth on </w:t>
      </w:r>
      <w:r>
        <w:rPr>
          <w:rFonts w:ascii="Arial" w:cs="Arial" w:eastAsia="Arial" w:hAnsi="Arial"/>
          <w:sz w:val="18"/>
          <w:szCs w:val="18"/>
          <w:u w:val="single" w:color="auto"/>
          <w:color w:val="auto"/>
        </w:rPr>
        <w:t>Schedule 2.2(b)</w:t>
      </w:r>
      <w:r>
        <w:rPr>
          <w:rFonts w:ascii="Arial" w:cs="Arial" w:eastAsia="Arial" w:hAnsi="Arial"/>
          <w:sz w:val="18"/>
          <w:szCs w:val="18"/>
          <w:color w:val="auto"/>
        </w:rPr>
        <w:t>, Seller has no liabilities or obligations (whether known or unknown, absolute, accrued, contingent or otherwise), except for (i) liabilities and obligations reflected or reserved against on the Balance Sheet and (ii) current liabilities and obligations (other than those that arise from a breach of Contract or violation of a Law) incurred in the Ordinary Course of Business since the date of the Balance Sheet which are not materially different in nature or amount than those incurred in prior periods.</w:t>
      </w:r>
    </w:p>
    <w:p>
      <w:pPr>
        <w:spacing w:after="0" w:line="188" w:lineRule="exact"/>
        <w:rPr>
          <w:rFonts w:ascii="Arial" w:cs="Arial" w:eastAsia="Arial" w:hAnsi="Arial"/>
          <w:sz w:val="18"/>
          <w:szCs w:val="18"/>
          <w:color w:val="auto"/>
        </w:rPr>
      </w:pPr>
    </w:p>
    <w:p>
      <w:pPr>
        <w:ind w:left="1540" w:hanging="235"/>
        <w:spacing w:after="0"/>
        <w:tabs>
          <w:tab w:leader="none" w:pos="15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Schedule 2.2(c)</w:t>
      </w:r>
      <w:r>
        <w:rPr>
          <w:rFonts w:ascii="Arial" w:cs="Arial" w:eastAsia="Arial" w:hAnsi="Arial"/>
          <w:sz w:val="16"/>
          <w:szCs w:val="16"/>
          <w:color w:val="auto"/>
        </w:rPr>
        <w:t xml:space="preserve"> lists all of the outstanding Indebtedness of Seller and the principal balance thereof as of a recent date identified thereon.</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2.3 Books and Records. </w:t>
      </w:r>
      <w:r>
        <w:rPr>
          <w:rFonts w:ascii="Arial" w:cs="Arial" w:eastAsia="Arial" w:hAnsi="Arial"/>
          <w:sz w:val="18"/>
          <w:szCs w:val="18"/>
          <w:color w:val="auto"/>
        </w:rPr>
        <w:t>The Books and Records of Seller have been made available to Buyer, are complete and accurate in all material respects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maintained in accordance with sound business practices. At Closing, the Books and Records of Seller included among the Purchased Assets will be delivered to Buyer.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2.4 Taxes.</w:t>
      </w:r>
    </w:p>
    <w:p>
      <w:pPr>
        <w:spacing w:after="0" w:line="229" w:lineRule="exact"/>
        <w:rPr>
          <w:sz w:val="20"/>
          <w:szCs w:val="20"/>
          <w:color w:val="auto"/>
        </w:rPr>
      </w:pPr>
    </w:p>
    <w:p>
      <w:pPr>
        <w:jc w:val="both"/>
        <w:ind w:firstLine="1305"/>
        <w:spacing w:after="0" w:line="255" w:lineRule="auto"/>
        <w:tabs>
          <w:tab w:leader="none" w:pos="15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has timely filed all Tax Returns that it was required to file. All such Tax Returns were correct and complete in all respects and were prepared in substantial compliance with all applicable Laws and regulations. All Taxes owed by Seller (whether or not shown or required to be shown on any Tax Return) have been paid. Seller currently is not the beneficiary of any extension of time within which to file any Tax Return. No claim has ever been made by a Governmental Body in a jurisdiction where Seller does not file Tax Returns that Seller is or may be subject to taxation by that jurisdiction. There are no Encumbrances, other than Permitted Encumbrances, on any of the assets of Seller that arose in connection with any failure (or alleged failure) to pay any Tax.</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5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has withheld and paid all Taxes required to have been withheld and paid in connection with any amounts paid or owing to any employee, independent contractor, creditor, stockholder, or other third party, and all Forms W-2 and 1099 (and corresponding state and local forms) required with respect thereto have been properly completed and timely filed.</w:t>
      </w:r>
    </w:p>
    <w:p>
      <w:pPr>
        <w:spacing w:after="0" w:line="181" w:lineRule="exact"/>
        <w:rPr>
          <w:rFonts w:ascii="Arial" w:cs="Arial" w:eastAsia="Arial" w:hAnsi="Arial"/>
          <w:sz w:val="18"/>
          <w:szCs w:val="18"/>
          <w:color w:val="auto"/>
        </w:rPr>
      </w:pPr>
    </w:p>
    <w:p>
      <w:pPr>
        <w:jc w:val="both"/>
        <w:ind w:firstLine="1305"/>
        <w:spacing w:after="0" w:line="302" w:lineRule="auto"/>
        <w:tabs>
          <w:tab w:leader="none" w:pos="154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Schedule 2.4</w:t>
      </w:r>
      <w:r>
        <w:rPr>
          <w:rFonts w:ascii="Arial" w:cs="Arial" w:eastAsia="Arial" w:hAnsi="Arial"/>
          <w:sz w:val="16"/>
          <w:szCs w:val="16"/>
          <w:color w:val="auto"/>
        </w:rPr>
        <w:t xml:space="preserve"> contains a list of each jurisdiction to which Taxes have been claimed to be or are payable by Seller and </w:t>
      </w:r>
      <w:r>
        <w:rPr>
          <w:rFonts w:ascii="Arial" w:cs="Arial" w:eastAsia="Arial" w:hAnsi="Arial"/>
          <w:sz w:val="16"/>
          <w:szCs w:val="16"/>
          <w:u w:val="single" w:color="auto"/>
          <w:color w:val="auto"/>
        </w:rPr>
        <w:t>Schedule 2.4</w:t>
      </w:r>
      <w:r>
        <w:rPr>
          <w:rFonts w:ascii="Arial" w:cs="Arial" w:eastAsia="Arial" w:hAnsi="Arial"/>
          <w:sz w:val="16"/>
          <w:szCs w:val="16"/>
          <w:color w:val="auto"/>
        </w:rPr>
        <w:t xml:space="preserve"> lists all federal, state, local, and non-U.S. Tax Returns filed with respect to Seller for taxable periods ended on or after December 31, 2016, indicates those Tax Returns that have been audited, and indicates those Tax Returns that currently are the subject of audit. Seller have delivered to Buyer correct and complete copies of all income Tax Returns, examination reports, and statements of deficiencies assessed against or agreed to by Seller since January 1, 2016.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jc w:val="both"/>
        <w:ind w:firstLine="1305"/>
        <w:spacing w:after="0" w:line="279" w:lineRule="auto"/>
        <w:tabs>
          <w:tab w:leader="none" w:pos="15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Seller does not expect any Governmental Body to assess any additional Taxes for any period ending on or before the Closing Date. There are no audits of or other Proceedings pending with respect to a Tax Return of Seller, and there are no outstanding waivers of statutes of limitations regarding Taxes payable by Seller. There is no dispute or claim concerning any Tax liability of Seller either (i) claimed or raised by any Governmental Body in writing or (ii) as to which Seller has Knowledge based upon personal contact with any agent of such Governmental Body.</w:t>
      </w:r>
    </w:p>
    <w:p>
      <w:pPr>
        <w:spacing w:after="0" w:line="171" w:lineRule="exact"/>
        <w:rPr>
          <w:rFonts w:ascii="Arial" w:cs="Arial" w:eastAsia="Arial" w:hAnsi="Arial"/>
          <w:sz w:val="17"/>
          <w:szCs w:val="17"/>
          <w:color w:val="auto"/>
        </w:rPr>
      </w:pPr>
    </w:p>
    <w:p>
      <w:pPr>
        <w:ind w:left="1540" w:hanging="235"/>
        <w:spacing w:after="0"/>
        <w:tabs>
          <w:tab w:leader="none" w:pos="1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Seller has not waived any statute of limitations in respect of Taxes or agreed to any extension of time with respect to a Tax assessment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deficiency.</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5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Taxes incurred by Seller but not yet paid are, and on the Closing Date will be, reflected or reserved against on the Balance Sheet, other than Taxes incurred in the Ordinary Course of Business since the date of the Balance Sheet that are not materially different in nature or amount than those incurred in prior periods.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557"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Seller is not a party to a Contract, arrangement or plan that could result, separately or in the aggregate, in the payment of (i) an “excess parachute payment” within the meaning of Section 280G of the Code (or a corresponding provision of state, local or non-U.S. Tax law) or (ii) an amount that would not be fully deductible as a result of Section 162(m) of the Code (or a corresponding provision of state, local or non-U.S. Tax law).</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579"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Seller is not a party to any Tax allocation or sharing agreement. Seller (i) has not been a member of an Affiliated Group filing a consolidated federal income Tax Return (other than a group the common parent of which was Seller) and (ii) has no liability for the Taxes of any Person under Treasury Regulation §1.1502-6 (or any similar provision of state, local, or non-U.S. law), as a transferee or successor, by contract, or otherwise.</w:t>
      </w:r>
    </w:p>
    <w:p>
      <w:pPr>
        <w:spacing w:after="0" w:line="165" w:lineRule="exact"/>
        <w:rPr>
          <w:rFonts w:ascii="Arial" w:cs="Arial" w:eastAsia="Arial" w:hAnsi="Arial"/>
          <w:sz w:val="17"/>
          <w:szCs w:val="17"/>
          <w:color w:val="auto"/>
        </w:rPr>
      </w:pPr>
    </w:p>
    <w:p>
      <w:pPr>
        <w:ind w:firstLine="1305"/>
        <w:spacing w:after="0" w:line="277" w:lineRule="auto"/>
        <w:tabs>
          <w:tab w:leader="none" w:pos="15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 will not be required to include any item of income in, or exclude any item of deduction from, taxable income for any taxable period (or portion thereof) ending after the Closing Date as a result of any:</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 in method of accounting for a taxable period (or portion thereof) ending on or prior to the Closing Date;</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‘‘closing agreement,’’ as described in Code Section 7121 (or any corresponding provision of state, local, or non-U.S. income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Tax law);</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Intercompany transaction within the meaning of Treasury Regulation §1.1502-13 or any excess loss account within the meaning of Treasury Regulation. §1.1502-19 (or any corresponding or similar provision or administrative rule of federal, state, local, or non-U.S. income Tax law);</w:t>
      </w:r>
    </w:p>
    <w:p>
      <w:pPr>
        <w:spacing w:after="0" w:line="181" w:lineRule="exact"/>
        <w:rPr>
          <w:rFonts w:ascii="Arial" w:cs="Arial" w:eastAsia="Arial" w:hAnsi="Arial"/>
          <w:sz w:val="18"/>
          <w:szCs w:val="18"/>
          <w:color w:val="auto"/>
        </w:rPr>
      </w:pPr>
    </w:p>
    <w:p>
      <w:pPr>
        <w:ind w:left="2260" w:hanging="307"/>
        <w:spacing w:after="0"/>
        <w:tabs>
          <w:tab w:leader="none" w:pos="2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installment sale or open transaction made on or prior to the Closing Date;</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prepaid amount received on or prior to the Closing Date;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ind w:left="2240" w:hanging="307"/>
        <w:spacing w:after="0"/>
        <w:tabs>
          <w:tab w:leader="none" w:pos="22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election under Code Section 108(i).</w:t>
      </w:r>
    </w:p>
    <w:p>
      <w:pPr>
        <w:spacing w:after="0" w:line="225" w:lineRule="exact"/>
        <w:rPr>
          <w:rFonts w:ascii="Arial" w:cs="Arial" w:eastAsia="Arial" w:hAnsi="Arial"/>
          <w:sz w:val="18"/>
          <w:szCs w:val="18"/>
          <w:color w:val="auto"/>
        </w:rPr>
      </w:pPr>
    </w:p>
    <w:p>
      <w:pPr>
        <w:ind w:left="-20" w:firstLine="1305"/>
        <w:spacing w:after="0" w:line="277" w:lineRule="auto"/>
        <w:tabs>
          <w:tab w:leader="none" w:pos="14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 has not distributed stock of another Person, or has had its stock distributed by another Person, in a transaction that was purported or intended to be governed in whole or in part by Code Section 355 or Code Section 361.</w:t>
      </w:r>
    </w:p>
    <w:p>
      <w:pPr>
        <w:spacing w:after="0" w:line="170" w:lineRule="exact"/>
        <w:rPr>
          <w:rFonts w:ascii="Arial" w:cs="Arial" w:eastAsia="Arial" w:hAnsi="Arial"/>
          <w:sz w:val="18"/>
          <w:szCs w:val="18"/>
          <w:color w:val="auto"/>
        </w:rPr>
      </w:pPr>
    </w:p>
    <w:p>
      <w:pPr>
        <w:ind w:left="1540" w:hanging="255"/>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 is not a “foreign person” within the meaning of Section 1445 of the Code.</w:t>
      </w:r>
    </w:p>
    <w:p>
      <w:pPr>
        <w:spacing w:after="0" w:line="225" w:lineRule="exact"/>
        <w:rPr>
          <w:rFonts w:ascii="Arial" w:cs="Arial" w:eastAsia="Arial" w:hAnsi="Arial"/>
          <w:sz w:val="18"/>
          <w:szCs w:val="18"/>
          <w:color w:val="auto"/>
        </w:rPr>
      </w:pPr>
    </w:p>
    <w:p>
      <w:pPr>
        <w:ind w:left="-20" w:right="20" w:firstLine="1305"/>
        <w:spacing w:after="0" w:line="277" w:lineRule="auto"/>
        <w:tabs>
          <w:tab w:leader="none" w:pos="14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issue has been raised by written inquiry of any Governmental Body which would reasonably be expected to affect the Tax treatment of the Purchased Assets or the Business for any taxable period (or portion thereof) ending after the Closing Date</w:t>
      </w:r>
    </w:p>
    <w:p>
      <w:pPr>
        <w:spacing w:after="0" w:line="170" w:lineRule="exact"/>
        <w:rPr>
          <w:rFonts w:ascii="Arial" w:cs="Arial" w:eastAsia="Arial" w:hAnsi="Arial"/>
          <w:sz w:val="18"/>
          <w:szCs w:val="18"/>
          <w:color w:val="auto"/>
        </w:rPr>
      </w:pPr>
    </w:p>
    <w:p>
      <w:pPr>
        <w:ind w:left="-20" w:firstLine="1305"/>
        <w:spacing w:after="0" w:line="277" w:lineRule="auto"/>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power of attorney with respect to any Tax matter is currently in force with respect to the Purchased Assets or the Business that would, in any manner, bind, obligate or restrict the Buyer.</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15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Purchased Assets is an interest in an entity taxable as a corporation, partnership, trust or real estate mortgage investment conduit for federal income tax purposes.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5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 has disclosed on its federal income Tax Returns all positions taken therein that would reasonably be expected to give rise to a substantial understatement of federal income Tax within the meaning of Code Section 6662. Seller is not and has not been a party to any ‘‘reportable transaction,’’ as defined in Code Section 6707A(c)(1) and Treasury Regulation §1.6011-4(b)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2.5 Business Operations.</w:t>
      </w:r>
    </w:p>
    <w:p>
      <w:pPr>
        <w:spacing w:after="0" w:line="229" w:lineRule="exact"/>
        <w:rPr>
          <w:sz w:val="20"/>
          <w:szCs w:val="20"/>
          <w:color w:val="auto"/>
        </w:rPr>
      </w:pPr>
    </w:p>
    <w:p>
      <w:pPr>
        <w:jc w:val="both"/>
        <w:ind w:left="-20" w:firstLine="1305"/>
        <w:spacing w:after="0" w:line="264" w:lineRule="auto"/>
        <w:tabs>
          <w:tab w:leader="none" w:pos="15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2.5(a)</w:t>
      </w:r>
      <w:r>
        <w:rPr>
          <w:rFonts w:ascii="Arial" w:cs="Arial" w:eastAsia="Arial" w:hAnsi="Arial"/>
          <w:sz w:val="18"/>
          <w:szCs w:val="18"/>
          <w:color w:val="auto"/>
        </w:rPr>
        <w:t>, since March 31, 2019: (i) the operations and affairs of Seller and the Business have been conducted only in the Ordinary Course of Business; (ii) no Restricted Event has occurred or is reasonably likely to occur; and (iii) no event has occurred or circumstance exists that has caused or would reasonably be expected to result in a Material Adverse Effect.</w:t>
      </w:r>
    </w:p>
    <w:p>
      <w:pPr>
        <w:spacing w:after="0" w:line="181" w:lineRule="exact"/>
        <w:rPr>
          <w:rFonts w:ascii="Arial" w:cs="Arial" w:eastAsia="Arial" w:hAnsi="Arial"/>
          <w:sz w:val="18"/>
          <w:szCs w:val="18"/>
          <w:color w:val="auto"/>
        </w:rPr>
      </w:pPr>
    </w:p>
    <w:p>
      <w:pPr>
        <w:jc w:val="both"/>
        <w:ind w:left="-20" w:firstLine="1305"/>
        <w:spacing w:after="0" w:line="257" w:lineRule="auto"/>
        <w:tabs>
          <w:tab w:leader="none" w:pos="15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2.5(b)</w:t>
      </w:r>
      <w:r>
        <w:rPr>
          <w:rFonts w:ascii="Arial" w:cs="Arial" w:eastAsia="Arial" w:hAnsi="Arial"/>
          <w:sz w:val="18"/>
          <w:szCs w:val="18"/>
          <w:color w:val="auto"/>
        </w:rPr>
        <w:t xml:space="preserve">, no Affiliates or Related Persons of Seller is or has during the prior three years engaged in any transaction with Seller, whether directly or indirectly, as an owner, shareholder, creditor or agent of, or consultant or lender to a Person engaged in business with Seller, including as a supplier or purchaser of goods or services to or from Seller or the Business or any part of which is or was in actual or potential competition with Seller or the Business. </w:t>
      </w:r>
      <w:r>
        <w:rPr>
          <w:rFonts w:ascii="Arial" w:cs="Arial" w:eastAsia="Arial" w:hAnsi="Arial"/>
          <w:sz w:val="18"/>
          <w:szCs w:val="18"/>
          <w:u w:val="single" w:color="auto"/>
          <w:color w:val="auto"/>
        </w:rPr>
        <w:t>Schedule 2.5(b)</w:t>
      </w:r>
      <w:r>
        <w:rPr>
          <w:rFonts w:ascii="Arial" w:cs="Arial" w:eastAsia="Arial" w:hAnsi="Arial"/>
          <w:sz w:val="18"/>
          <w:szCs w:val="18"/>
          <w:color w:val="auto"/>
        </w:rPr>
        <w:t xml:space="preserve"> sets forth any Contracts between Seller, on one hand, and any of its Affiliates or Related Persons, on the other hand.</w:t>
      </w:r>
    </w:p>
    <w:p>
      <w:pPr>
        <w:spacing w:after="0" w:line="188" w:lineRule="exact"/>
        <w:rPr>
          <w:rFonts w:ascii="Arial" w:cs="Arial" w:eastAsia="Arial" w:hAnsi="Arial"/>
          <w:sz w:val="18"/>
          <w:szCs w:val="18"/>
          <w:color w:val="auto"/>
        </w:rPr>
      </w:pPr>
    </w:p>
    <w:p>
      <w:pPr>
        <w:jc w:val="both"/>
        <w:ind w:left="-20" w:firstLine="1305"/>
        <w:spacing w:after="0" w:line="255" w:lineRule="auto"/>
        <w:tabs>
          <w:tab w:leader="none" w:pos="15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express warranties applicable to the services or products sold or to be sold by Seller are attached to </w:t>
      </w:r>
      <w:r>
        <w:rPr>
          <w:rFonts w:ascii="Arial" w:cs="Arial" w:eastAsia="Arial" w:hAnsi="Arial"/>
          <w:sz w:val="18"/>
          <w:szCs w:val="18"/>
          <w:u w:val="single" w:color="auto"/>
          <w:color w:val="auto"/>
        </w:rPr>
        <w:t>Schedule 2.5(c)</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2.5(c)</w:t>
      </w:r>
      <w:r>
        <w:rPr>
          <w:rFonts w:ascii="Arial" w:cs="Arial" w:eastAsia="Arial" w:hAnsi="Arial"/>
          <w:sz w:val="18"/>
          <w:szCs w:val="18"/>
          <w:color w:val="auto"/>
        </w:rPr>
        <w:t xml:space="preserve">, there is no claim outstanding or Proceeding pending or, to Seller’s Knowledge, Threatened under any warranty of Seller or any supplier to Seller. </w:t>
      </w:r>
      <w:r>
        <w:rPr>
          <w:rFonts w:ascii="Arial" w:cs="Arial" w:eastAsia="Arial" w:hAnsi="Arial"/>
          <w:sz w:val="18"/>
          <w:szCs w:val="18"/>
          <w:u w:val="single" w:color="auto"/>
          <w:color w:val="auto"/>
        </w:rPr>
        <w:t>Schedule 2.5(c)</w:t>
      </w:r>
      <w:r>
        <w:rPr>
          <w:rFonts w:ascii="Arial" w:cs="Arial" w:eastAsia="Arial" w:hAnsi="Arial"/>
          <w:sz w:val="18"/>
          <w:szCs w:val="18"/>
          <w:color w:val="auto"/>
        </w:rPr>
        <w:t xml:space="preserve"> summarizes material warranty claims that have been asserted against Seller within the past three years, indicating for each claim whether it has been resolved or remains outstanding and, if resolved, the manner and cost of resolution. No warranty claim, individually or in the aggregate with other warranty claims, has had or would reasonably be expected to result in a material liability to Seller that is not reserved or accrued for on the Balance Sheet.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0" w:name="page81"/>
    <w:bookmarkEnd w:id="80"/>
    <w:p>
      <w:pPr>
        <w:ind w:left="-20" w:right="20" w:firstLine="1305"/>
        <w:spacing w:after="0" w:line="277" w:lineRule="auto"/>
        <w:tabs>
          <w:tab w:leader="none" w:pos="154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Schedule 2.5(d)</w:t>
      </w:r>
      <w:r>
        <w:rPr>
          <w:rFonts w:ascii="Arial" w:cs="Arial" w:eastAsia="Arial" w:hAnsi="Arial"/>
          <w:sz w:val="18"/>
          <w:szCs w:val="18"/>
          <w:color w:val="auto"/>
        </w:rPr>
        <w:t xml:space="preserve"> lists the names, account numbers and locations of all banks and other financial institutions at which Seller has an account or safe deposit box and the name of all Persons authorized to draft on or have access to any such accounts.</w:t>
      </w:r>
    </w:p>
    <w:p>
      <w:pPr>
        <w:spacing w:after="0" w:line="166" w:lineRule="exact"/>
        <w:rPr>
          <w:rFonts w:ascii="Arial" w:cs="Arial" w:eastAsia="Arial" w:hAnsi="Arial"/>
          <w:sz w:val="18"/>
          <w:szCs w:val="18"/>
          <w:color w:val="auto"/>
        </w:rPr>
      </w:pPr>
    </w:p>
    <w:p>
      <w:pPr>
        <w:jc w:val="both"/>
        <w:ind w:left="-20" w:firstLine="1305"/>
        <w:spacing w:after="0" w:line="274" w:lineRule="auto"/>
        <w:tabs>
          <w:tab w:leader="none" w:pos="1521"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Schedule 2.5(e)</w:t>
      </w:r>
      <w:r>
        <w:rPr>
          <w:rFonts w:ascii="Arial" w:cs="Arial" w:eastAsia="Arial" w:hAnsi="Arial"/>
          <w:sz w:val="17"/>
          <w:szCs w:val="17"/>
          <w:color w:val="auto"/>
        </w:rPr>
        <w:t xml:space="preserve"> sets forth: (i) a list of (A) the top 10 payors of Seller by revenue (the “</w:t>
      </w:r>
      <w:r>
        <w:rPr>
          <w:rFonts w:ascii="Arial" w:cs="Arial" w:eastAsia="Arial" w:hAnsi="Arial"/>
          <w:sz w:val="17"/>
          <w:szCs w:val="17"/>
          <w:b w:val="1"/>
          <w:bCs w:val="1"/>
          <w:color w:val="auto"/>
        </w:rPr>
        <w:t>Material Payors</w:t>
      </w:r>
      <w:r>
        <w:rPr>
          <w:rFonts w:ascii="Arial" w:cs="Arial" w:eastAsia="Arial" w:hAnsi="Arial"/>
          <w:sz w:val="17"/>
          <w:szCs w:val="17"/>
          <w:color w:val="auto"/>
        </w:rPr>
        <w:t>”) and (B) the top 10 suppliers of Seller by cost (the “</w:t>
      </w:r>
      <w:r>
        <w:rPr>
          <w:rFonts w:ascii="Arial" w:cs="Arial" w:eastAsia="Arial" w:hAnsi="Arial"/>
          <w:sz w:val="17"/>
          <w:szCs w:val="17"/>
          <w:b w:val="1"/>
          <w:bCs w:val="1"/>
          <w:color w:val="auto"/>
        </w:rPr>
        <w:t>Material Suppliers</w:t>
      </w:r>
      <w:r>
        <w:rPr>
          <w:rFonts w:ascii="Arial" w:cs="Arial" w:eastAsia="Arial" w:hAnsi="Arial"/>
          <w:sz w:val="17"/>
          <w:szCs w:val="17"/>
          <w:color w:val="auto"/>
        </w:rPr>
        <w:t>”), in each case, for the 12-month period ended December 31, 2018; and (ii) the corresponding amount in dollars of sales or purchases (as applicable) made to or from the Material Payors and the Material Suppliers during such time periods. Since the Balance Sheet Date, no Material Payor or Material Supplier has canceled or otherwise terminated its relationship with Seller. Seller has not received any notice from any Material Payor or Material Supplier indicating that such Material Payor or Material Supplier may terminate or materially adversely modify its relationship with Seller and, to Seller’s Knowledge, no such termination or modification is anticipated.</w:t>
      </w:r>
    </w:p>
    <w:p>
      <w:pPr>
        <w:spacing w:after="0" w:line="177" w:lineRule="exact"/>
        <w:rPr>
          <w:rFonts w:ascii="Arial" w:cs="Arial" w:eastAsia="Arial" w:hAnsi="Arial"/>
          <w:sz w:val="17"/>
          <w:szCs w:val="17"/>
          <w:color w:val="auto"/>
        </w:rPr>
      </w:pPr>
    </w:p>
    <w:p>
      <w:pPr>
        <w:jc w:val="both"/>
        <w:ind w:left="-20" w:firstLine="1305"/>
        <w:spacing w:after="0" w:line="271" w:lineRule="auto"/>
        <w:tabs>
          <w:tab w:leader="none" w:pos="15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Neither Seller nor any of its Representatives acting on its behalf: (i) has used any company or other funds for unlawful contributions, payments or gratuities, or made any unlawful expenditures relating to political or administrative activity to officials of a Governmental Body or to any other Person, or established or maintained any unlawful or unrecorded funds in violation of applicable Law; (ii) accepted or received any unlawful contributions, payments, gifts or gratuities; (iii) made any unlawful payment to foreign or domestic government officials or employees or to foreign or domestic political parties or campaigns or violated any provision of the Foreign Corrupt Practices Act of 1977, as amended, or the Uniting and Strengthening America by Providing Appropriate Tools Required to Intercept and Obstruct Terrorism (USA PATRIOT ACT) Act of 2001, as amended or (iv) conducted business or engaged in a transaction with any Person (A) who was identified on the OFAC List at such time or (B) with whom a citizen of the United States was prohibited from engaging in such business or transaction by any trade embargo, economic sanction, executive order or Law.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2.6 Employees.</w:t>
      </w:r>
    </w:p>
    <w:p>
      <w:pPr>
        <w:spacing w:after="0" w:line="229" w:lineRule="exact"/>
        <w:rPr>
          <w:sz w:val="20"/>
          <w:szCs w:val="20"/>
          <w:color w:val="auto"/>
        </w:rPr>
      </w:pPr>
    </w:p>
    <w:p>
      <w:pPr>
        <w:jc w:val="both"/>
        <w:ind w:left="-20" w:firstLine="1305"/>
        <w:spacing w:after="0" w:line="286" w:lineRule="auto"/>
        <w:tabs>
          <w:tab w:leader="none" w:pos="152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2.6(a)</w:t>
      </w:r>
      <w:r>
        <w:rPr>
          <w:rFonts w:ascii="Arial" w:cs="Arial" w:eastAsia="Arial" w:hAnsi="Arial"/>
          <w:sz w:val="16"/>
          <w:szCs w:val="16"/>
          <w:color w:val="auto"/>
        </w:rPr>
        <w:t xml:space="preserve"> contains, as of a recent date specified therein, the following information (i) for each employee of Seller (including, as designated thereon, each employee on leave of absence or layoff status), the name, job title, hire date, current compensation paid or payable on an annualized basis, annual vacation days and accrued vacation, license or registration numbers of pharmacists and technicians with renewal dates, and any other information reasonably requested by Buyer to determine whether such employees are included in any government exclusion list, including the OIG List of Excluded Individuals/Entities (“</w:t>
      </w:r>
      <w:r>
        <w:rPr>
          <w:rFonts w:ascii="Arial" w:cs="Arial" w:eastAsia="Arial" w:hAnsi="Arial"/>
          <w:sz w:val="16"/>
          <w:szCs w:val="16"/>
          <w:b w:val="1"/>
          <w:bCs w:val="1"/>
          <w:color w:val="auto"/>
        </w:rPr>
        <w:t>LEIE</w:t>
      </w:r>
      <w:r>
        <w:rPr>
          <w:rFonts w:ascii="Arial" w:cs="Arial" w:eastAsia="Arial" w:hAnsi="Arial"/>
          <w:sz w:val="16"/>
          <w:szCs w:val="16"/>
          <w:color w:val="auto"/>
        </w:rPr>
        <w:t>”) and the General Service Administration (“</w:t>
      </w:r>
      <w:r>
        <w:rPr>
          <w:rFonts w:ascii="Arial" w:cs="Arial" w:eastAsia="Arial" w:hAnsi="Arial"/>
          <w:sz w:val="16"/>
          <w:szCs w:val="16"/>
          <w:b w:val="1"/>
          <w:bCs w:val="1"/>
          <w:color w:val="auto"/>
        </w:rPr>
        <w:t>GSA</w:t>
      </w:r>
      <w:r>
        <w:rPr>
          <w:rFonts w:ascii="Arial" w:cs="Arial" w:eastAsia="Arial" w:hAnsi="Arial"/>
          <w:sz w:val="16"/>
          <w:szCs w:val="16"/>
          <w:color w:val="auto"/>
        </w:rPr>
        <w:t>”) Exclusion List (collectively, the “</w:t>
      </w:r>
      <w:r>
        <w:rPr>
          <w:rFonts w:ascii="Arial" w:cs="Arial" w:eastAsia="Arial" w:hAnsi="Arial"/>
          <w:sz w:val="16"/>
          <w:szCs w:val="16"/>
          <w:b w:val="1"/>
          <w:bCs w:val="1"/>
          <w:color w:val="auto"/>
        </w:rPr>
        <w:t>Exclusion Lists</w:t>
      </w:r>
      <w:r>
        <w:rPr>
          <w:rFonts w:ascii="Arial" w:cs="Arial" w:eastAsia="Arial" w:hAnsi="Arial"/>
          <w:sz w:val="16"/>
          <w:szCs w:val="16"/>
          <w:color w:val="auto"/>
        </w:rPr>
        <w:t xml:space="preserve">”); (ii) for each independent contractor used by Seller at any time since January 1, 2018, the name of such independent contractor, type of services provided by such independent contractor and aggregate amount of consideration paid to such independent contractors by Seller during such time and (iii) for each temporary staffing personnel or temporary employee used by Seller at any time since January 1, 2018, the name of such temporary employee, type of services provided by them and aggregate amount of consideration paid to them by Seller during such time. Seller has not received written notice that an employee intends to terminate his or her employment relationship with Seller and, to Seller’s Knowledge, there is no reason to reasonably expect that any such employee is likely to refuse an offer of employment from Buyer. The employees of Seller are either United States citizens or permanent resident aliens. Except as set forth on </w:t>
      </w:r>
      <w:r>
        <w:rPr>
          <w:rFonts w:ascii="Arial" w:cs="Arial" w:eastAsia="Arial" w:hAnsi="Arial"/>
          <w:sz w:val="16"/>
          <w:szCs w:val="16"/>
          <w:u w:val="single" w:color="auto"/>
          <w:color w:val="auto"/>
        </w:rPr>
        <w:t>Schedule 2.6(a)</w:t>
      </w:r>
      <w:r>
        <w:rPr>
          <w:rFonts w:ascii="Arial" w:cs="Arial" w:eastAsia="Arial" w:hAnsi="Arial"/>
          <w:sz w:val="16"/>
          <w:szCs w:val="16"/>
          <w:color w:val="auto"/>
        </w:rPr>
        <w:t>, the employees of Seller are employed on an “at will” basis and are terminable by Seller without penalty or severance obligation. A copy of the current version of the policy manual and handbook provided to or governing the employees of Seller, and a copy of the application forms currently being used by Seller in connection with the hiring of new employees, have been delivered to Buyer.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1" w:name="page82"/>
    <w:bookmarkEnd w:id="81"/>
    <w:p>
      <w:pPr>
        <w:jc w:val="both"/>
        <w:ind w:left="-20" w:firstLine="1305"/>
        <w:spacing w:after="0" w:line="255" w:lineRule="auto"/>
        <w:tabs>
          <w:tab w:leader="none" w:pos="15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Seller is not now, nor in the past three years has it been, a party to a collective bargaining or similar labor Contract. With respect to Seller or the Business, there has not been in the last three years, there is not now pending or existing and, to Seller’s Knowledge, there is not Threatened: (i) a union organizational activity, strike, slowdown, picketing, work stoppage, lockout or other labor dispute or Proceeding; (ii) an application, complaint, charge or other Proceeding filed with a Governmental Body regarding a labor or employment matter; or (iii) an application, petition or demand for recognition or certification of a collective bargaining agent. To Seller’s Knowledge, no event has occurred or circumstance exists that would reasonably be expected to give rise to the matters described in clauses (i), (ii) or (iii).</w:t>
      </w:r>
    </w:p>
    <w:p>
      <w:pPr>
        <w:spacing w:after="0" w:line="193" w:lineRule="exact"/>
        <w:rPr>
          <w:rFonts w:ascii="Arial" w:cs="Arial" w:eastAsia="Arial" w:hAnsi="Arial"/>
          <w:sz w:val="18"/>
          <w:szCs w:val="18"/>
          <w:color w:val="auto"/>
        </w:rPr>
      </w:pPr>
    </w:p>
    <w:p>
      <w:pPr>
        <w:jc w:val="both"/>
        <w:ind w:left="-20" w:firstLine="1305"/>
        <w:spacing w:after="0" w:line="255" w:lineRule="auto"/>
        <w:tabs>
          <w:tab w:leader="none" w:pos="1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Seller is complying, and has complied in the last three years, in all material respects with applicable Law and its own policies relating to labor and employment matters, including those relating to fair employment practices, terms and conditions of employment, contractual obligations, equal employment opportunity, nondiscrimination, immigration, wages, hours, benefits, workers’ compensation, the payment of social security and similar Taxes, employee termination (actual or constructive), occupational safety, plant closing, mass layoffs and changes in operations. Except as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2.6(c)</w:t>
      </w:r>
      <w:r>
        <w:rPr>
          <w:rFonts w:ascii="Arial" w:cs="Arial" w:eastAsia="Arial" w:hAnsi="Arial"/>
          <w:sz w:val="18"/>
          <w:szCs w:val="18"/>
          <w:color w:val="auto"/>
        </w:rPr>
        <w:t>, there is not currently, nor has there been in the past three years, a Proceeding against Seller or one of its employees alleging harassment, discrimination or other similar conduct or an internal investigation of an allegation, charge or complaint against Seller or one of its employees alleging harassment, discrimination or other similar conduct.</w:t>
      </w:r>
    </w:p>
    <w:p>
      <w:pPr>
        <w:spacing w:after="0" w:line="189" w:lineRule="exact"/>
        <w:rPr>
          <w:rFonts w:ascii="Arial" w:cs="Arial" w:eastAsia="Arial" w:hAnsi="Arial"/>
          <w:sz w:val="18"/>
          <w:szCs w:val="18"/>
          <w:color w:val="auto"/>
        </w:rPr>
      </w:pPr>
    </w:p>
    <w:p>
      <w:pPr>
        <w:jc w:val="both"/>
        <w:ind w:left="-20" w:firstLine="1305"/>
        <w:spacing w:after="0" w:line="312"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2.6(d)</w:t>
      </w:r>
      <w:r>
        <w:rPr>
          <w:rFonts w:ascii="Arial" w:cs="Arial" w:eastAsia="Arial" w:hAnsi="Arial"/>
          <w:sz w:val="16"/>
          <w:szCs w:val="16"/>
          <w:color w:val="auto"/>
        </w:rPr>
        <w:t>, Seller is not a party to a Contract with a present or former director, officer, manager, employee (leased or otherwise), agent, consultant or independent contractor with respect to length, duration or condition of employment or engagement (or the termination thereof), salary, bonus, compensation, deferred compensation, health Insurance, severance, other form of remuneration or otherwise.</w:t>
      </w:r>
    </w:p>
    <w:p>
      <w:pPr>
        <w:spacing w:after="0" w:line="146" w:lineRule="exact"/>
        <w:rPr>
          <w:rFonts w:ascii="Arial" w:cs="Arial" w:eastAsia="Arial" w:hAnsi="Arial"/>
          <w:sz w:val="16"/>
          <w:szCs w:val="16"/>
          <w:color w:val="auto"/>
        </w:rPr>
      </w:pPr>
    </w:p>
    <w:p>
      <w:pPr>
        <w:jc w:val="both"/>
        <w:ind w:left="-20" w:firstLine="1305"/>
        <w:spacing w:after="0" w:line="257" w:lineRule="auto"/>
        <w:tabs>
          <w:tab w:leader="none" w:pos="15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2.6(e)</w:t>
      </w:r>
      <w:r>
        <w:rPr>
          <w:rFonts w:ascii="Arial" w:cs="Arial" w:eastAsia="Arial" w:hAnsi="Arial"/>
          <w:sz w:val="18"/>
          <w:szCs w:val="18"/>
          <w:color w:val="auto"/>
        </w:rPr>
        <w:t>, there is no Proceeding pending or, to Seller’s Knowledge, Threatened against or affecting Seller relating to the alleged violation of a Law pertaining to labor relations or employment matters. Seller has not committed an unfair labor practice, nor has there has been a complaint, claim, charge or other Proceeding of unfair labor practice filed or, to Seller’s Knowledge, Threatened against Seller before the National Labor Relations Board or other Governmental Body. There has been no complaint, claim, charge or other Proceeding of discrimination filed or, to Seller’s Knowledge, Threatened against Seller with the EEOC or other Governmental Body.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2" w:name="page83"/>
    <w:bookmarkEnd w:id="82"/>
    <w:p>
      <w:pPr>
        <w:ind w:firstLine="1305"/>
        <w:spacing w:after="0" w:line="308" w:lineRule="auto"/>
        <w:tabs>
          <w:tab w:leader="none" w:pos="1523"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Seller has made all required payments to its unemployment compensation reserve accounts with the appropriate Governmental Bodies of the states or other jurisdictions where it is required to maintain such accounts, and each such account has a positive balance.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5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Within the twelve (12) months prior to the date of this Agreement, Seller has not implemented a plant closing or layoff of employees that could implicate the WARN Act or similar Law. </w:t>
      </w:r>
      <w:r>
        <w:rPr>
          <w:rFonts w:ascii="Arial" w:cs="Arial" w:eastAsia="Arial" w:hAnsi="Arial"/>
          <w:sz w:val="18"/>
          <w:szCs w:val="18"/>
          <w:u w:val="single" w:color="auto"/>
          <w:color w:val="auto"/>
        </w:rPr>
        <w:t>Schedule 2.6(g)</w:t>
      </w:r>
      <w:r>
        <w:rPr>
          <w:rFonts w:ascii="Arial" w:cs="Arial" w:eastAsia="Arial" w:hAnsi="Arial"/>
          <w:sz w:val="18"/>
          <w:szCs w:val="18"/>
          <w:color w:val="auto"/>
        </w:rPr>
        <w:t xml:space="preserve"> lists the employees of Seller who have been terminated or laid off, or whose hours of work have been reduced by more than 50%, in the twelve (12) months prior to the date of this Agreement.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2.7 Employee Benefit Plans. </w:t>
      </w:r>
      <w:r>
        <w:rPr>
          <w:rFonts w:ascii="Arial" w:cs="Arial" w:eastAsia="Arial" w:hAnsi="Arial"/>
          <w:sz w:val="17"/>
          <w:szCs w:val="17"/>
          <w:u w:val="single" w:color="auto"/>
          <w:color w:val="auto"/>
        </w:rPr>
        <w:t>Schedule 2.7(a)</w:t>
      </w:r>
      <w:r>
        <w:rPr>
          <w:rFonts w:ascii="Arial" w:cs="Arial" w:eastAsia="Arial" w:hAnsi="Arial"/>
          <w:sz w:val="17"/>
          <w:szCs w:val="17"/>
          <w:b w:val="1"/>
          <w:bCs w:val="1"/>
          <w:color w:val="auto"/>
        </w:rPr>
        <w:t xml:space="preserve"> </w:t>
      </w:r>
      <w:r>
        <w:rPr>
          <w:rFonts w:ascii="Arial" w:cs="Arial" w:eastAsia="Arial" w:hAnsi="Arial"/>
          <w:sz w:val="17"/>
          <w:szCs w:val="17"/>
          <w:color w:val="auto"/>
        </w:rPr>
        <w:t>lists all Seller Benefit Plans. All Seller Benefit Plans are provided by Seller Parent. Copies of all Seller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Plan have been delivered to Buyer, including summary plan descriptions, summaries of material modifications and related Contracts (including descriptions of vacation, separation and other personnel policies). Each of Seller and Seller Parent is complying, and has complied in the last three years, in all material respects with its obligations under or relating to Seller Benefit Plan (including, if applicable, reporting, disclosure, prohibited transaction, IRS qualification, Section 409A of the Code, ERISA and funding obligations). No prohibited transaction (within the meaning of Section 406 of ERISA or Section 4975 of the Code) for which a statutory or administrative exemption does not exist has occurred with respect to Seller Benefit Plan. The consummation of the transactions contemplated by this Agreement will not result in a prohibited transaction described in Section 406 of ERISA or Section 4975 of the Code for which an exemption is not available. No Proceeding with respect to the administration or the investment of assets of Seller Benefit Plan (other than routine claims for benefits) is pending or, to Seller’s Knowledge, Threatened.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2.8 Real Property.</w:t>
      </w:r>
    </w:p>
    <w:p>
      <w:pPr>
        <w:spacing w:after="0" w:line="225" w:lineRule="exact"/>
        <w:rPr>
          <w:sz w:val="20"/>
          <w:szCs w:val="20"/>
          <w:color w:val="auto"/>
        </w:rPr>
      </w:pPr>
    </w:p>
    <w:p>
      <w:pPr>
        <w:jc w:val="both"/>
        <w:ind w:firstLine="1305"/>
        <w:spacing w:after="0" w:line="272" w:lineRule="auto"/>
        <w:tabs>
          <w:tab w:leader="none" w:pos="15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Seller has a valid leasehold interest in the real property leased by it and located at 9257 Research Drive, Irvine, California (the “</w:t>
      </w:r>
      <w:r>
        <w:rPr>
          <w:rFonts w:ascii="Arial" w:cs="Arial" w:eastAsia="Arial" w:hAnsi="Arial"/>
          <w:sz w:val="17"/>
          <w:szCs w:val="17"/>
          <w:b w:val="1"/>
          <w:bCs w:val="1"/>
          <w:color w:val="auto"/>
        </w:rPr>
        <w:t>Leased</w:t>
      </w:r>
      <w:r>
        <w:rPr>
          <w:rFonts w:ascii="Arial" w:cs="Arial" w:eastAsia="Arial" w:hAnsi="Arial"/>
          <w:sz w:val="17"/>
          <w:szCs w:val="17"/>
          <w:color w:val="auto"/>
        </w:rPr>
        <w:t xml:space="preserve"> </w:t>
      </w:r>
      <w:r>
        <w:rPr>
          <w:rFonts w:ascii="Arial" w:cs="Arial" w:eastAsia="Arial" w:hAnsi="Arial"/>
          <w:sz w:val="17"/>
          <w:szCs w:val="17"/>
          <w:b w:val="1"/>
          <w:bCs w:val="1"/>
          <w:color w:val="auto"/>
        </w:rPr>
        <w:t>Real Property</w:t>
      </w:r>
      <w:r>
        <w:rPr>
          <w:rFonts w:ascii="Arial" w:cs="Arial" w:eastAsia="Arial" w:hAnsi="Arial"/>
          <w:sz w:val="17"/>
          <w:szCs w:val="17"/>
          <w:color w:val="auto"/>
        </w:rPr>
        <w:t>”), free and clear of all Encumbrances other than Permitted Encumbrances. True, correct and complete copies of each lease governing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Leased Real Property, together with all amendments thereto (a “</w:t>
      </w:r>
      <w:r>
        <w:rPr>
          <w:rFonts w:ascii="Arial" w:cs="Arial" w:eastAsia="Arial" w:hAnsi="Arial"/>
          <w:sz w:val="17"/>
          <w:szCs w:val="17"/>
          <w:b w:val="1"/>
          <w:bCs w:val="1"/>
          <w:color w:val="auto"/>
        </w:rPr>
        <w:t>Real Property Lease</w:t>
      </w:r>
      <w:r>
        <w:rPr>
          <w:rFonts w:ascii="Arial" w:cs="Arial" w:eastAsia="Arial" w:hAnsi="Arial"/>
          <w:sz w:val="17"/>
          <w:szCs w:val="17"/>
          <w:color w:val="auto"/>
        </w:rPr>
        <w:t xml:space="preserve">”), have been delivered to Buyer. Except as set forth on </w:t>
      </w:r>
      <w:r>
        <w:rPr>
          <w:rFonts w:ascii="Arial" w:cs="Arial" w:eastAsia="Arial" w:hAnsi="Arial"/>
          <w:sz w:val="17"/>
          <w:szCs w:val="17"/>
          <w:u w:val="single" w:color="auto"/>
          <w:color w:val="auto"/>
        </w:rPr>
        <w:t>Schedule 2.8(b)</w:t>
      </w:r>
      <w:r>
        <w:rPr>
          <w:rFonts w:ascii="Arial" w:cs="Arial" w:eastAsia="Arial" w:hAnsi="Arial"/>
          <w:sz w:val="17"/>
          <w:szCs w:val="17"/>
          <w:color w:val="auto"/>
        </w:rPr>
        <w:t xml:space="preserve">, Seller’s right to use any Leased Real Property has not been sublet, assigned or otherwise granted to any third-party. Except as set forth on </w:t>
      </w:r>
      <w:r>
        <w:rPr>
          <w:rFonts w:ascii="Arial" w:cs="Arial" w:eastAsia="Arial" w:hAnsi="Arial"/>
          <w:sz w:val="17"/>
          <w:szCs w:val="17"/>
          <w:u w:val="single" w:color="auto"/>
          <w:color w:val="auto"/>
        </w:rPr>
        <w:t>Schedule 2.8(b)</w:t>
      </w:r>
      <w:r>
        <w:rPr>
          <w:rFonts w:ascii="Arial" w:cs="Arial" w:eastAsia="Arial" w:hAnsi="Arial"/>
          <w:sz w:val="17"/>
          <w:szCs w:val="17"/>
          <w:color w:val="auto"/>
        </w:rPr>
        <w:t>, there are no parties in possession of any of the Leased Real Property other than Seller. Each Real Property Lease is in full force and effect. Seller is not in breach of its obligations under any Real Property Lease, all payments due under the Real Property Leases are current, and no other party to any Real Property Lease is in breach of its obligations thereunder. The consummation of the transactions provided for in this Agreement will not create or constitute a default under any Real Property Lease.</w:t>
      </w:r>
    </w:p>
    <w:p>
      <w:pPr>
        <w:spacing w:after="0" w:line="176" w:lineRule="exact"/>
        <w:rPr>
          <w:rFonts w:ascii="Arial" w:cs="Arial" w:eastAsia="Arial" w:hAnsi="Arial"/>
          <w:sz w:val="17"/>
          <w:szCs w:val="17"/>
          <w:color w:val="auto"/>
        </w:rPr>
      </w:pPr>
    </w:p>
    <w:p>
      <w:pPr>
        <w:jc w:val="both"/>
        <w:ind w:firstLine="1305"/>
        <w:spacing w:after="0" w:line="259" w:lineRule="auto"/>
        <w:tabs>
          <w:tab w:leader="none" w:pos="15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Seller do not use, occupy or operate any real property other than the Leased Real Property, and no other real property is necessary for the operation of the Business as currently conducted by Seller. Neither Seller nor any of the Leased Real Property is, or during the last three years has been, in violation in any material respect of a zoning regulation, building restriction, restrictive covenant, ordinance, plat, declaration or other Law or a Contract relating to the Leased Real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jc w:val="both"/>
        <w:ind w:left="-20" w:firstLine="1305"/>
        <w:spacing w:after="0" w:line="286" w:lineRule="auto"/>
        <w:tabs>
          <w:tab w:leader="none" w:pos="15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Leased Real Property is not the subject of a condemnation action and, to Seller’s Knowledge, no such action is Threatened. To Seller’s Knowledge, there is no proposal under consideration by a Governmental Body to take or use any portion of the Leased Real Property. There is no pending or, to Seller’s Knowledge, proposed special assessment affecting or which may affect the whole or any party of the Leased Real Property.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2.9 Other Assets.</w:t>
      </w:r>
    </w:p>
    <w:p>
      <w:pPr>
        <w:spacing w:after="0" w:line="229" w:lineRule="exact"/>
        <w:rPr>
          <w:sz w:val="20"/>
          <w:szCs w:val="20"/>
          <w:color w:val="auto"/>
        </w:rPr>
      </w:pPr>
    </w:p>
    <w:p>
      <w:pPr>
        <w:jc w:val="both"/>
        <w:ind w:left="-20" w:firstLine="1305"/>
        <w:spacing w:after="0" w:line="255" w:lineRule="auto"/>
        <w:tabs>
          <w:tab w:leader="none" w:pos="15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2.9(a)</w:t>
      </w:r>
      <w:r>
        <w:rPr>
          <w:rFonts w:ascii="Arial" w:cs="Arial" w:eastAsia="Arial" w:hAnsi="Arial"/>
          <w:sz w:val="18"/>
          <w:szCs w:val="18"/>
          <w:color w:val="auto"/>
        </w:rPr>
        <w:t xml:space="preserve">, the Purchased Assets are, or as of Closing will be, free and clear of all Encumbrances other than Permitted Encumbrances. At Closing, Seller will deliver to Buyer good and valid title to all of the Purchased Assets free and clear of all Encumbrances other than Permitted Encumbrances. </w:t>
      </w:r>
      <w:r>
        <w:rPr>
          <w:rFonts w:ascii="Arial" w:cs="Arial" w:eastAsia="Arial" w:hAnsi="Arial"/>
          <w:sz w:val="18"/>
          <w:szCs w:val="18"/>
          <w:u w:val="single" w:color="auto"/>
          <w:color w:val="auto"/>
        </w:rPr>
        <w:t>Schedule 2.9(a)</w:t>
      </w:r>
      <w:r>
        <w:rPr>
          <w:rFonts w:ascii="Arial" w:cs="Arial" w:eastAsia="Arial" w:hAnsi="Arial"/>
          <w:sz w:val="18"/>
          <w:szCs w:val="18"/>
          <w:color w:val="auto"/>
        </w:rPr>
        <w:t xml:space="preserve"> identifies each lease (other than a Real Property Lease) of tangible property and assets that is included among the Purchased Assets (each a “</w:t>
      </w:r>
      <w:r>
        <w:rPr>
          <w:rFonts w:ascii="Arial" w:cs="Arial" w:eastAsia="Arial" w:hAnsi="Arial"/>
          <w:sz w:val="18"/>
          <w:szCs w:val="18"/>
          <w:b w:val="1"/>
          <w:bCs w:val="1"/>
          <w:color w:val="auto"/>
        </w:rPr>
        <w:t>Personal Property Lease</w:t>
      </w:r>
      <w:r>
        <w:rPr>
          <w:rFonts w:ascii="Arial" w:cs="Arial" w:eastAsia="Arial" w:hAnsi="Arial"/>
          <w:sz w:val="18"/>
          <w:szCs w:val="18"/>
          <w:color w:val="auto"/>
        </w:rPr>
        <w:t>” and collectively, the “</w:t>
      </w:r>
      <w:r>
        <w:rPr>
          <w:rFonts w:ascii="Arial" w:cs="Arial" w:eastAsia="Arial" w:hAnsi="Arial"/>
          <w:sz w:val="18"/>
          <w:szCs w:val="18"/>
          <w:b w:val="1"/>
          <w:bCs w:val="1"/>
          <w:color w:val="auto"/>
        </w:rPr>
        <w:t>Personal Property Leases</w:t>
      </w:r>
      <w:r>
        <w:rPr>
          <w:rFonts w:ascii="Arial" w:cs="Arial" w:eastAsia="Arial" w:hAnsi="Arial"/>
          <w:sz w:val="18"/>
          <w:szCs w:val="18"/>
          <w:color w:val="auto"/>
        </w:rPr>
        <w:t xml:space="preserve">”). The Purchased Assets (including rights under Contracts) are sufficient in form and quality so that following Closing Buyer will be able to continue to operate the Business as currently conducted by Seller. On the Closing Date, the tangible Purchased Assets will be located on the Leased Real Property or in one or more other locations identified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2.9(a)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20" w:firstLine="1305"/>
        <w:spacing w:after="0" w:line="255" w:lineRule="auto"/>
        <w:tabs>
          <w:tab w:leader="none" w:pos="15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tangible personal property (other than inventory) included among the Purchased Assets: (i) is in good operating condition and repair, normal wear and tear excepted, is adequately serviced by required utilities and is adequate for the uses to which it is being put; (ii) is free of physical, mechanical and structural defect and does not need maintenance or repair, except for ordinary, routine maintenance and repair that is not material in nature or cost; and (iii) is sufficient for the continued conduct of the Business after Closing in substantially the same manner as conducted by Seller before Closing. </w:t>
      </w:r>
      <w:r>
        <w:rPr>
          <w:rFonts w:ascii="Arial" w:cs="Arial" w:eastAsia="Arial" w:hAnsi="Arial"/>
          <w:sz w:val="18"/>
          <w:szCs w:val="18"/>
          <w:u w:val="single" w:color="auto"/>
          <w:color w:val="auto"/>
        </w:rPr>
        <w:t>Schedule 2.9(b)</w:t>
      </w:r>
      <w:r>
        <w:rPr>
          <w:rFonts w:ascii="Arial" w:cs="Arial" w:eastAsia="Arial" w:hAnsi="Arial"/>
          <w:sz w:val="18"/>
          <w:szCs w:val="18"/>
          <w:color w:val="auto"/>
        </w:rPr>
        <w:t xml:space="preserve"> sets forth a list and general description of each item of tangible personal property (other than inventory) included in the Purchased Assets having a book value of more than $10,000.</w:t>
      </w:r>
    </w:p>
    <w:p>
      <w:pPr>
        <w:spacing w:after="0" w:line="193" w:lineRule="exact"/>
        <w:rPr>
          <w:rFonts w:ascii="Arial" w:cs="Arial" w:eastAsia="Arial" w:hAnsi="Arial"/>
          <w:sz w:val="18"/>
          <w:szCs w:val="18"/>
          <w:color w:val="auto"/>
        </w:rPr>
      </w:pPr>
    </w:p>
    <w:p>
      <w:pPr>
        <w:jc w:val="both"/>
        <w:ind w:left="-20" w:firstLine="1305"/>
        <w:spacing w:after="0" w:line="268" w:lineRule="auto"/>
        <w:tabs>
          <w:tab w:leader="none" w:pos="152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Schedule 2.9(c)</w:t>
      </w:r>
      <w:r>
        <w:rPr>
          <w:rFonts w:ascii="Arial" w:cs="Arial" w:eastAsia="Arial" w:hAnsi="Arial"/>
          <w:sz w:val="17"/>
          <w:szCs w:val="17"/>
          <w:color w:val="auto"/>
        </w:rPr>
        <w:t xml:space="preserve"> sets forth: (i) the Intellectual Property Assets owned by Seller, including trade names, trademarks, services marks, brand names and other business identifiers and logos (the “</w:t>
      </w:r>
      <w:r>
        <w:rPr>
          <w:rFonts w:ascii="Arial" w:cs="Arial" w:eastAsia="Arial" w:hAnsi="Arial"/>
          <w:sz w:val="17"/>
          <w:szCs w:val="17"/>
          <w:b w:val="1"/>
          <w:bCs w:val="1"/>
          <w:color w:val="auto"/>
        </w:rPr>
        <w:t>Owned Intellectual Property Assets</w:t>
      </w:r>
      <w:r>
        <w:rPr>
          <w:rFonts w:ascii="Arial" w:cs="Arial" w:eastAsia="Arial" w:hAnsi="Arial"/>
          <w:sz w:val="17"/>
          <w:szCs w:val="17"/>
          <w:color w:val="auto"/>
        </w:rPr>
        <w:t>”); (ii) the Intellectual Property Assets used but not owned by Seller, including all software (the “</w:t>
      </w:r>
      <w:r>
        <w:rPr>
          <w:rFonts w:ascii="Arial" w:cs="Arial" w:eastAsia="Arial" w:hAnsi="Arial"/>
          <w:sz w:val="17"/>
          <w:szCs w:val="17"/>
          <w:b w:val="1"/>
          <w:bCs w:val="1"/>
          <w:color w:val="auto"/>
        </w:rPr>
        <w:t>Other Intellectual Property Assets</w:t>
      </w:r>
      <w:r>
        <w:rPr>
          <w:rFonts w:ascii="Arial" w:cs="Arial" w:eastAsia="Arial" w:hAnsi="Arial"/>
          <w:sz w:val="17"/>
          <w:szCs w:val="17"/>
          <w:color w:val="auto"/>
        </w:rPr>
        <w:t>”); (iii) a list of all Contracts pursuant to which rights in the Owned Intellectual Property Assets are granted by Seller (the “</w:t>
      </w:r>
      <w:r>
        <w:rPr>
          <w:rFonts w:ascii="Arial" w:cs="Arial" w:eastAsia="Arial" w:hAnsi="Arial"/>
          <w:sz w:val="17"/>
          <w:szCs w:val="17"/>
          <w:b w:val="1"/>
          <w:bCs w:val="1"/>
          <w:color w:val="auto"/>
        </w:rPr>
        <w:t>Outbound Intellectual Property Licenses</w:t>
      </w:r>
      <w:r>
        <w:rPr>
          <w:rFonts w:ascii="Arial" w:cs="Arial" w:eastAsia="Arial" w:hAnsi="Arial"/>
          <w:sz w:val="17"/>
          <w:szCs w:val="17"/>
          <w:color w:val="auto"/>
        </w:rPr>
        <w:t>”); and (iv) a list of all Contracts pursuant to which rights in the Other Intellectual Property Assets are granted to Seller (the “</w:t>
      </w:r>
      <w:r>
        <w:rPr>
          <w:rFonts w:ascii="Arial" w:cs="Arial" w:eastAsia="Arial" w:hAnsi="Arial"/>
          <w:sz w:val="17"/>
          <w:szCs w:val="17"/>
          <w:b w:val="1"/>
          <w:bCs w:val="1"/>
          <w:color w:val="auto"/>
        </w:rPr>
        <w:t>Inbound Intellectual Property Licenses</w:t>
      </w:r>
      <w:r>
        <w:rPr>
          <w:rFonts w:ascii="Arial" w:cs="Arial" w:eastAsia="Arial" w:hAnsi="Arial"/>
          <w:sz w:val="17"/>
          <w:szCs w:val="17"/>
          <w:color w:val="auto"/>
        </w:rPr>
        <w:t>” and together with the Outbound Intellectual Property Licenses, the “</w:t>
      </w:r>
      <w:r>
        <w:rPr>
          <w:rFonts w:ascii="Arial" w:cs="Arial" w:eastAsia="Arial" w:hAnsi="Arial"/>
          <w:sz w:val="17"/>
          <w:szCs w:val="17"/>
          <w:b w:val="1"/>
          <w:bCs w:val="1"/>
          <w:color w:val="auto"/>
        </w:rPr>
        <w:t>Intellectual Property Licenses</w:t>
      </w:r>
      <w:r>
        <w:rPr>
          <w:rFonts w:ascii="Arial" w:cs="Arial" w:eastAsia="Arial" w:hAnsi="Arial"/>
          <w:sz w:val="17"/>
          <w:szCs w:val="17"/>
          <w:color w:val="auto"/>
        </w:rPr>
        <w:t>”). True, correct and complete copies of the Intellectual Property Licenses (and all amendments thereto) have been delivered to Buyer. Subject to the terms of the Outbound Intellectual Property Licenses, Seller exclusively owns the entire right, title and interest in and to the Owned Intellectual Property Assets free and clear of all rights, licenses, restrictions and Encumbrances (other than Permitted Encumbrances) and has the valid right to use the Other Intellectual Property Assets subject to existing Inbound Intellectual Property Licenses. Each item of the Owned Intellectual Property Assets registered with a Governmental Body is valid and subsisting, and all necessary registration, maintenance and renewal fees in connection with such Owned Intellectual Property Assets have been paid and all necessary documents and articles in connection with such Owned Intellectual Property Assets have been filed with the relevant Governmental Bodies. At Closing, Seller will transfer and convey to Buyer all right, title and interest in and to the Owned Intellectual Property Assets and Intellectual Property Licenses free and clear of any transfer or assignment fees or obligations owing to a third Person and all Encumbrances, other than Permitted Encumbrances.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4" w:name="page85"/>
    <w:bookmarkEnd w:id="84"/>
    <w:p>
      <w:pPr>
        <w:jc w:val="both"/>
        <w:ind w:firstLine="1305"/>
        <w:spacing w:after="0" w:line="269" w:lineRule="auto"/>
        <w:tabs>
          <w:tab w:leader="none" w:pos="15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2.9(d)</w:t>
      </w:r>
      <w:r>
        <w:rPr>
          <w:rFonts w:ascii="Arial" w:cs="Arial" w:eastAsia="Arial" w:hAnsi="Arial"/>
          <w:sz w:val="17"/>
          <w:szCs w:val="17"/>
          <w:color w:val="auto"/>
        </w:rPr>
        <w:t>, the operation of the Business by Seller has not infringed, violated, misappropriated or unlawfully used, and is not infringing, violating, misappropriating or unlawfully using, any Intellectual Property Asset of any other Person. Seller has not received any notice from any Person claiming that the operation of the Business by Seller violates, infringes or misappropriates the Intellectual Property Assets of any Person nor is there any basis therefor. There is, and has been, no pending, decided or settled Proceeding related to any Owned Intellectual Property Assets or Other Intellectual Property Assets (“</w:t>
      </w:r>
      <w:r>
        <w:rPr>
          <w:rFonts w:ascii="Arial" w:cs="Arial" w:eastAsia="Arial" w:hAnsi="Arial"/>
          <w:sz w:val="17"/>
          <w:szCs w:val="17"/>
          <w:b w:val="1"/>
          <w:bCs w:val="1"/>
          <w:color w:val="auto"/>
        </w:rPr>
        <w:t>IP Dispute</w:t>
      </w:r>
      <w:r>
        <w:rPr>
          <w:rFonts w:ascii="Arial" w:cs="Arial" w:eastAsia="Arial" w:hAnsi="Arial"/>
          <w:sz w:val="17"/>
          <w:szCs w:val="17"/>
          <w:color w:val="auto"/>
        </w:rPr>
        <w:t>”), nor, to Seller’s Knowledge, has any such IP Dispute been Threatened, challenging the legality, validity, enforceability or ownership of any Owned Intellectual Property Asset. To Seller’s Knowledge, no circumstances or grounds exist that would reasonably be exected to give rise to a valid IP Dispute. Seller has not sent any notice of any IP Dispute and, to Seller’s Knowledge, there exists no circumstance or grounds upon which Seller could reasonably assert any IP Dispute and, to Seller’s Knowledge, there is no infringement of or unlawful use by any other Person of any Owned Intellectual Property Asset. No Owned Intellectual Property Asset is subject to any outstanding Order restricting its use or any pending or, to Seller’s Knowledge, Threatened Proceeding. No Other Intellectual Property Asset is subject to any outstanding Order materially restricting its use by Seller in a manner currently used.</w:t>
      </w:r>
    </w:p>
    <w:p>
      <w:pPr>
        <w:spacing w:after="0" w:line="182" w:lineRule="exact"/>
        <w:rPr>
          <w:rFonts w:ascii="Arial" w:cs="Arial" w:eastAsia="Arial" w:hAnsi="Arial"/>
          <w:sz w:val="17"/>
          <w:szCs w:val="17"/>
          <w:color w:val="auto"/>
        </w:rPr>
      </w:pPr>
    </w:p>
    <w:p>
      <w:pPr>
        <w:jc w:val="both"/>
        <w:ind w:firstLine="1305"/>
        <w:spacing w:after="0" w:line="272" w:lineRule="auto"/>
        <w:tabs>
          <w:tab w:leader="none" w:pos="1549"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Seller own or has a valid and enforceable license to use all Intellectual Property Assets used in or necessary to conduct the Business as currently conducted by Seller. Except for the Other Intellectual Property Assets licensed pursuant to Inbound Intellectual Property Licenses, all Intellectual Property Assets used by Seller or necessary to conduct the Business as presently conducted were created or developed solely by (i) Seller’s employees acting within the scope of their employment who have validly and irrevocably assigned all of their rights to such Intellectual Property Assets to Seller or (ii) other Persons, including any independent contractors or Persons acting under the direction or supervision of Seller’s employees or independent contractors, who have validly and irrevocably assigned all of their rights to such Intellectual Property Assets to Seller. Seller has taken all necessary steps to maintain and protect all of the Owned Intellectual Property Assets, including those required by applicable Law.</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2.10 Litigation.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2.10:</w:t>
      </w:r>
      <w:r>
        <w:rPr>
          <w:rFonts w:ascii="Arial" w:cs="Arial" w:eastAsia="Arial" w:hAnsi="Arial"/>
          <w:sz w:val="18"/>
          <w:szCs w:val="18"/>
          <w:b w:val="1"/>
          <w:bCs w:val="1"/>
          <w:color w:val="auto"/>
        </w:rPr>
        <w:t xml:space="preserve"> </w:t>
      </w:r>
      <w:r>
        <w:rPr>
          <w:rFonts w:ascii="Arial" w:cs="Arial" w:eastAsia="Arial" w:hAnsi="Arial"/>
          <w:sz w:val="18"/>
          <w:szCs w:val="18"/>
          <w:color w:val="auto"/>
        </w:rPr>
        <w:t>(a) there is no Proceeding or Order pending with respect to Seller, the Business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Asset; (b) to Seller’s Knowledge, no such Proceeding or Order has been Threatened; and (c) no event has occurred or circumstance exists that would reasonably be expected to give rise to or serve as a basis for such Proceeding or Order.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ind w:left="652"/>
        <w:spacing w:after="0"/>
        <w:rPr>
          <w:sz w:val="20"/>
          <w:szCs w:val="20"/>
          <w:color w:val="auto"/>
        </w:rPr>
      </w:pPr>
      <w:r>
        <w:rPr>
          <w:rFonts w:ascii="Arial" w:cs="Arial" w:eastAsia="Arial" w:hAnsi="Arial"/>
          <w:sz w:val="18"/>
          <w:szCs w:val="18"/>
          <w:b w:val="1"/>
          <w:bCs w:val="1"/>
          <w:color w:val="auto"/>
        </w:rPr>
        <w:t>2.11 Authorization and Enforceability; No Conflict.</w:t>
      </w:r>
    </w:p>
    <w:p>
      <w:pPr>
        <w:spacing w:after="0" w:line="229" w:lineRule="exact"/>
        <w:rPr>
          <w:sz w:val="20"/>
          <w:szCs w:val="20"/>
          <w:color w:val="auto"/>
        </w:rPr>
      </w:pPr>
    </w:p>
    <w:p>
      <w:pPr>
        <w:jc w:val="both"/>
        <w:ind w:left="-8" w:firstLine="1305"/>
        <w:spacing w:after="0" w:line="255" w:lineRule="auto"/>
        <w:tabs>
          <w:tab w:leader="none" w:pos="1545"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Seller has the requisite capacity, power and authority to enter into and perform the Transaction Documents to which it or he is a party and to carry out the transactions contemplated thereby. The execution, delivery and performance by Seller of this Agreement and each of the other Transaction Documents to which it or he will be a party and the consummation by Seller of the transactions contemplated hereby and thereby have been duly and validly authorized by all necessary corporate, company or other action (as applicable). This Agreement and each other Transaction Document to which Seller is a signatory is binding upon it or him and is enforceable against it or him in accordance with the terms of this Agreement or such other Transaction Document, except as enforceability may be limited by applicable bankruptcy, insolvency, reorganization, moratorium and similar laws affecting creditors’ rights and remedies generally.</w:t>
      </w:r>
    </w:p>
    <w:p>
      <w:pPr>
        <w:spacing w:after="0" w:line="189" w:lineRule="exact"/>
        <w:rPr>
          <w:rFonts w:ascii="Arial" w:cs="Arial" w:eastAsia="Arial" w:hAnsi="Arial"/>
          <w:sz w:val="18"/>
          <w:szCs w:val="18"/>
          <w:color w:val="auto"/>
        </w:rPr>
      </w:pPr>
    </w:p>
    <w:p>
      <w:pPr>
        <w:jc w:val="both"/>
        <w:ind w:left="-8" w:firstLine="1305"/>
        <w:spacing w:after="0" w:line="285" w:lineRule="auto"/>
        <w:tabs>
          <w:tab w:leader="none" w:pos="1578"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other Transaction Documents and the consummation of the transactions contemplated hereby and thereby will not (i) contravene the Organizational Documents of Seller or result in a breach of, or constitute a default under, any Assigned Contract or any other Contract by which Seller is bound or affected; (ii) violate a Law or Order or give a Governmental Body the right to revoke, withdraw, suspend, cancel, terminate or modify a Governmental Authorization relating to Seller or the Business; (iii) result in the acceleration of a liability of Seller or adversely modify the terms of such liability; (iv) result in an Encumbrance being created or imposed upon Buyer or a Purchased Asset; or</w:t>
      </w:r>
    </w:p>
    <w:p>
      <w:pPr>
        <w:spacing w:after="0" w:line="2" w:lineRule="exact"/>
        <w:rPr>
          <w:rFonts w:ascii="Arial" w:cs="Arial" w:eastAsia="Arial" w:hAnsi="Arial"/>
          <w:sz w:val="16"/>
          <w:szCs w:val="16"/>
          <w:color w:val="auto"/>
        </w:rPr>
      </w:pPr>
    </w:p>
    <w:p>
      <w:pPr>
        <w:jc w:val="both"/>
        <w:ind w:left="-8" w:firstLine="8"/>
        <w:spacing w:after="0" w:line="271" w:lineRule="auto"/>
        <w:tabs>
          <w:tab w:leader="none" w:pos="267"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for filings under any Governmental Authorizations set forth on </w:t>
      </w:r>
      <w:r>
        <w:rPr>
          <w:rFonts w:ascii="Arial" w:cs="Arial" w:eastAsia="Arial" w:hAnsi="Arial"/>
          <w:sz w:val="17"/>
          <w:szCs w:val="17"/>
          <w:u w:val="single" w:color="auto"/>
          <w:color w:val="auto"/>
        </w:rPr>
        <w:t>Schedule 2.11(b)(v)</w:t>
      </w:r>
      <w:r>
        <w:rPr>
          <w:rFonts w:ascii="Arial" w:cs="Arial" w:eastAsia="Arial" w:hAnsi="Arial"/>
          <w:sz w:val="17"/>
          <w:szCs w:val="17"/>
          <w:color w:val="auto"/>
        </w:rPr>
        <w:t xml:space="preserve"> (the “</w:t>
      </w:r>
      <w:r>
        <w:rPr>
          <w:rFonts w:ascii="Arial" w:cs="Arial" w:eastAsia="Arial" w:hAnsi="Arial"/>
          <w:sz w:val="17"/>
          <w:szCs w:val="17"/>
          <w:b w:val="1"/>
          <w:bCs w:val="1"/>
          <w:color w:val="auto"/>
        </w:rPr>
        <w:t>Regulatory Approvals</w:t>
      </w:r>
      <w:r>
        <w:rPr>
          <w:rFonts w:ascii="Arial" w:cs="Arial" w:eastAsia="Arial" w:hAnsi="Arial"/>
          <w:sz w:val="17"/>
          <w:szCs w:val="17"/>
          <w:color w:val="auto"/>
        </w:rPr>
        <w:t xml:space="preserve">”), require any Governmental Authorization or other consent, approval, exemption or other authority or notice to a Governmental Body. The consents, approvals or authorizations of and declarations, filings or registrations with a Person required (including those required under the terms of a Contract to avoid a breach or default thereunder or to effectively convey such Contract to Buyer) in connection with Seller’s execution, delivery and performance of this Agreement and the other Transaction Documents and the consummation of the transactions contemplated hereby or thereby are set forth on </w:t>
      </w:r>
      <w:r>
        <w:rPr>
          <w:rFonts w:ascii="Arial" w:cs="Arial" w:eastAsia="Arial" w:hAnsi="Arial"/>
          <w:sz w:val="17"/>
          <w:szCs w:val="17"/>
          <w:u w:val="single" w:color="auto"/>
          <w:color w:val="auto"/>
        </w:rPr>
        <w:t>Schedule 2.11(b)</w:t>
      </w:r>
      <w:r>
        <w:rPr>
          <w:rFonts w:ascii="Arial" w:cs="Arial" w:eastAsia="Arial" w:hAnsi="Arial"/>
          <w:sz w:val="17"/>
          <w:szCs w:val="17"/>
          <w:color w:val="auto"/>
        </w:rPr>
        <w:t>.</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2.12 Contracts; Insurance.</w:t>
      </w:r>
    </w:p>
    <w:p>
      <w:pPr>
        <w:spacing w:after="0" w:line="229" w:lineRule="exact"/>
        <w:rPr>
          <w:sz w:val="20"/>
          <w:szCs w:val="20"/>
          <w:color w:val="auto"/>
        </w:rPr>
      </w:pPr>
    </w:p>
    <w:p>
      <w:pPr>
        <w:jc w:val="both"/>
        <w:ind w:left="-8" w:firstLine="1305"/>
        <w:spacing w:after="0" w:line="276" w:lineRule="auto"/>
        <w:tabs>
          <w:tab w:leader="none" w:pos="1557"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Assigned Contract is in full force and effect and is valid and enforceable in accordance with its terms. Seller and, to Seller’s Knowledge, each other Person that is a party to such Assigned Contract has complied and is complying with the terms of such Assigned Contract in all material respects. To Seller’s Knowledge, no event has occurred or circumstance exists that (with or without notice or lapse of time) would reasonably be expected to result in a material breach of such Assigned Contract. True, correct and complete copies of each Assigned Contract and each other Contract listed on </w:t>
      </w:r>
      <w:r>
        <w:rPr>
          <w:rFonts w:ascii="Arial" w:cs="Arial" w:eastAsia="Arial" w:hAnsi="Arial"/>
          <w:sz w:val="17"/>
          <w:szCs w:val="17"/>
          <w:u w:val="single" w:color="auto"/>
          <w:color w:val="auto"/>
        </w:rPr>
        <w:t>Schedule 2.12(b)</w:t>
      </w:r>
      <w:r>
        <w:rPr>
          <w:rFonts w:ascii="Arial" w:cs="Arial" w:eastAsia="Arial" w:hAnsi="Arial"/>
          <w:sz w:val="17"/>
          <w:szCs w:val="17"/>
          <w:color w:val="auto"/>
        </w:rPr>
        <w:t xml:space="preserve"> (in each case, together with any amendments thereto) have been delivered to Buyer.</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86" w:name="page87"/>
    <w:bookmarkEnd w:id="86"/>
    <w:p>
      <w:pPr>
        <w:ind w:left="1560" w:hanging="255"/>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Schedule 2.12(b)</w:t>
      </w:r>
      <w:r>
        <w:rPr>
          <w:rFonts w:ascii="Arial" w:cs="Arial" w:eastAsia="Arial" w:hAnsi="Arial"/>
          <w:sz w:val="18"/>
          <w:szCs w:val="18"/>
          <w:color w:val="auto"/>
        </w:rPr>
        <w:t xml:space="preserve"> lists each Contract to which Seller is a party that:</w:t>
      </w:r>
    </w:p>
    <w:p>
      <w:pPr>
        <w:spacing w:after="0" w:line="225" w:lineRule="exact"/>
        <w:rPr>
          <w:rFonts w:ascii="Arial" w:cs="Arial" w:eastAsia="Arial" w:hAnsi="Arial"/>
          <w:sz w:val="18"/>
          <w:szCs w:val="18"/>
          <w:color w:val="auto"/>
        </w:rPr>
      </w:pPr>
    </w:p>
    <w:p>
      <w:pPr>
        <w:ind w:right="20" w:firstLine="1953"/>
        <w:spacing w:after="0" w:line="277" w:lineRule="auto"/>
        <w:tabs>
          <w:tab w:leader="none" w:pos="21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involves performance of services or delivery of goods or materials by or to Seller either of an amount or value in excess of in excess of $100,000 during any 12-month period;</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commits Seller to make an expenditure in excess of $100,000 during any 12-month period;</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was not entered into the Ordinary Course of Business;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cannot be terminated by Seller upon less than 90 days’ notice without penalty;</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requires Seller to purchase its total requirements of a good or service from another Person or that includes a “take or pay”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provision;</w:t>
      </w:r>
    </w:p>
    <w:p>
      <w:pPr>
        <w:spacing w:after="0" w:line="210" w:lineRule="exact"/>
        <w:rPr>
          <w:rFonts w:ascii="Arial" w:cs="Arial" w:eastAsia="Arial" w:hAnsi="Arial"/>
          <w:sz w:val="16"/>
          <w:szCs w:val="16"/>
          <w:color w:val="auto"/>
        </w:rPr>
      </w:pPr>
    </w:p>
    <w:p>
      <w:pPr>
        <w:ind w:firstLine="1953"/>
        <w:spacing w:after="0" w:line="277" w:lineRule="auto"/>
        <w:tabs>
          <w:tab w:leader="none" w:pos="22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 collective bargaining agreement or otherwise involves a labor union or other representative of a group of employees relating to wages, hours or conditions of employment;</w:t>
      </w:r>
    </w:p>
    <w:p>
      <w:pPr>
        <w:spacing w:after="0" w:line="170" w:lineRule="exact"/>
        <w:rPr>
          <w:rFonts w:ascii="Arial" w:cs="Arial" w:eastAsia="Arial" w:hAnsi="Arial"/>
          <w:sz w:val="18"/>
          <w:szCs w:val="18"/>
          <w:color w:val="auto"/>
        </w:rPr>
      </w:pPr>
    </w:p>
    <w:p>
      <w:pPr>
        <w:ind w:firstLine="1953"/>
        <w:spacing w:after="0" w:line="277" w:lineRule="auto"/>
        <w:tabs>
          <w:tab w:leader="none" w:pos="23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restricts Seller’s or any of its Affiliate’s business activity or limits the right or ability of Seller or any of its Affiliates to engage in any line of business or to compete with another Person;</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involves the grant of a power of attorney by Seller to another Person;</w:t>
      </w:r>
    </w:p>
    <w:p>
      <w:pPr>
        <w:spacing w:after="0" w:line="225" w:lineRule="exact"/>
        <w:rPr>
          <w:rFonts w:ascii="Arial" w:cs="Arial" w:eastAsia="Arial" w:hAnsi="Arial"/>
          <w:sz w:val="18"/>
          <w:szCs w:val="18"/>
          <w:color w:val="auto"/>
        </w:rPr>
      </w:pPr>
    </w:p>
    <w:p>
      <w:pPr>
        <w:ind w:firstLine="1953"/>
        <w:spacing w:after="0" w:line="277" w:lineRule="auto"/>
        <w:tabs>
          <w:tab w:leader="none" w:pos="22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relates to a joint venture, partnership, strategic alliance or similar arrangement or that involves a sharing of profits, losses, costs or liabilities with another Person;</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an employment or consulting agreement or involves engagement of an individual as an independent contractor;</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provides for payment to or by a Person based on sales, purchases, profits or other metrics other than direct payment for goods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services;</w:t>
      </w:r>
    </w:p>
    <w:p>
      <w:pPr>
        <w:spacing w:after="0" w:line="210" w:lineRule="exact"/>
        <w:rPr>
          <w:rFonts w:ascii="Arial" w:cs="Arial" w:eastAsia="Arial" w:hAnsi="Arial"/>
          <w:sz w:val="16"/>
          <w:szCs w:val="16"/>
          <w:color w:val="auto"/>
        </w:rPr>
      </w:pPr>
    </w:p>
    <w:p>
      <w:pPr>
        <w:ind w:left="2320" w:hanging="367"/>
        <w:spacing w:after="0"/>
        <w:tabs>
          <w:tab w:leader="none" w:pos="23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is a distributor, broker, dealer, franchise, manufacturer’s representative, agency, sales promotion, market research, marketing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advertising Contract;</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provides for or otherwise involves a volume discount from vendors, rebates, marketing arrangements or other similar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arrangements;</w:t>
      </w:r>
    </w:p>
    <w:p>
      <w:pPr>
        <w:spacing w:after="0" w:line="210" w:lineRule="exact"/>
        <w:rPr>
          <w:rFonts w:ascii="Arial" w:cs="Arial" w:eastAsia="Arial" w:hAnsi="Arial"/>
          <w:sz w:val="17"/>
          <w:szCs w:val="17"/>
          <w:color w:val="auto"/>
        </w:rPr>
      </w:pPr>
    </w:p>
    <w:p>
      <w:pPr>
        <w:ind w:left="2340" w:hanging="387"/>
        <w:spacing w:after="0"/>
        <w:tabs>
          <w:tab w:leader="none" w:pos="23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a loan, credit or similar Contract or that otherwise relates to Indebtedness;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grants a lien, security interest or other Encumbrance on a Purchased Asset;</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with a Governmental Body;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ind w:right="20" w:firstLine="1953"/>
        <w:spacing w:after="0" w:line="277" w:lineRule="auto"/>
        <w:tabs>
          <w:tab w:leader="none" w:pos="2399"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involves or relates to the acquisition of a business or a material amount of assets, properties or securities of another Person (whether by merger, sale of stock, sale of assets, lease, license or otherwise);</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involves a warranty obligation of Seller;</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creates or purports to create an exclusive or preferential relationship or arrangement (including a most favored nation pricing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w:t>
      </w:r>
    </w:p>
    <w:p>
      <w:pPr>
        <w:spacing w:after="0" w:line="210" w:lineRule="exact"/>
        <w:rPr>
          <w:rFonts w:ascii="Arial" w:cs="Arial" w:eastAsia="Arial" w:hAnsi="Arial"/>
          <w:sz w:val="16"/>
          <w:szCs w:val="16"/>
          <w:color w:val="auto"/>
        </w:rPr>
      </w:pPr>
    </w:p>
    <w:p>
      <w:pPr>
        <w:ind w:left="2300" w:hanging="347"/>
        <w:spacing w:after="0"/>
        <w:tabs>
          <w:tab w:leader="none" w:pos="2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is with any customer or supplier of Seller identified on </w:t>
      </w:r>
      <w:r>
        <w:rPr>
          <w:rFonts w:ascii="Arial" w:cs="Arial" w:eastAsia="Arial" w:hAnsi="Arial"/>
          <w:sz w:val="18"/>
          <w:szCs w:val="18"/>
          <w:u w:val="single" w:color="auto"/>
          <w:color w:val="auto"/>
        </w:rPr>
        <w:t>Schedule 2.5(e)</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 material to the Business but is not an Assigned Contract.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55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Schedule 2.12(c)</w:t>
      </w:r>
      <w:r>
        <w:rPr>
          <w:rFonts w:ascii="Arial" w:cs="Arial" w:eastAsia="Arial" w:hAnsi="Arial"/>
          <w:sz w:val="17"/>
          <w:szCs w:val="17"/>
          <w:color w:val="auto"/>
        </w:rPr>
        <w:t xml:space="preserve"> lists the policies of Insurance, and for each policy indicates: (i) the name of the insurer; (ii) the deductible or self-insurance retention amount and the coverage limit; (iii) the type of Insurance; (iv) the policy number; (v) the expiration date; and (vi) pending claims under the policy. True, correct and complete copies of each such Insurance policy have been delivered to Buyer. Each policy of Insurance is in full force and effect and will remain in full force through the Closing Date. Premiums with respect to such policies of Insurance have been timely paid and the duties of the insureds under such policies have been fully discharged. Except as set forth on </w:t>
      </w:r>
      <w:r>
        <w:rPr>
          <w:rFonts w:ascii="Arial" w:cs="Arial" w:eastAsia="Arial" w:hAnsi="Arial"/>
          <w:sz w:val="17"/>
          <w:szCs w:val="17"/>
          <w:u w:val="single" w:color="auto"/>
          <w:color w:val="auto"/>
        </w:rPr>
        <w:t>Schedule 2.12(c)</w:t>
      </w:r>
      <w:r>
        <w:rPr>
          <w:rFonts w:ascii="Arial" w:cs="Arial" w:eastAsia="Arial" w:hAnsi="Arial"/>
          <w:sz w:val="17"/>
          <w:szCs w:val="17"/>
          <w:color w:val="auto"/>
        </w:rPr>
        <w:t xml:space="preserve">, Seller has not been refused Insurance by a carrier to which it has applied for Insurance within the past three years. Except as set forth on </w:t>
      </w:r>
      <w:r>
        <w:rPr>
          <w:rFonts w:ascii="Arial" w:cs="Arial" w:eastAsia="Arial" w:hAnsi="Arial"/>
          <w:sz w:val="17"/>
          <w:szCs w:val="17"/>
          <w:u w:val="single" w:color="auto"/>
          <w:color w:val="auto"/>
        </w:rPr>
        <w:t>Schedule 2.12(c)</w:t>
      </w:r>
      <w:r>
        <w:rPr>
          <w:rFonts w:ascii="Arial" w:cs="Arial" w:eastAsia="Arial" w:hAnsi="Arial"/>
          <w:sz w:val="17"/>
          <w:szCs w:val="17"/>
          <w:color w:val="auto"/>
        </w:rPr>
        <w:t>, in the past three years, the general liability and similar Insurance policies have been “occurrence” policies and not “claims made” policies.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2.13 Permits and Licenses; Compliance with Laws.</w:t>
      </w:r>
    </w:p>
    <w:p>
      <w:pPr>
        <w:spacing w:after="0" w:line="229" w:lineRule="exact"/>
        <w:rPr>
          <w:sz w:val="20"/>
          <w:szCs w:val="20"/>
          <w:color w:val="auto"/>
        </w:rPr>
      </w:pPr>
    </w:p>
    <w:p>
      <w:pPr>
        <w:jc w:val="both"/>
        <w:ind w:firstLine="1305"/>
        <w:spacing w:after="0" w:line="271" w:lineRule="auto"/>
        <w:tabs>
          <w:tab w:leader="none" w:pos="154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Schedule 2.13</w:t>
      </w:r>
      <w:r>
        <w:rPr>
          <w:rFonts w:ascii="Arial" w:cs="Arial" w:eastAsia="Arial" w:hAnsi="Arial"/>
          <w:sz w:val="17"/>
          <w:szCs w:val="17"/>
          <w:color w:val="auto"/>
        </w:rPr>
        <w:t xml:space="preserve"> sets forth the Governmental Authorizations required or maintained to carry on the Business as now conducted. Each such Governmental Authorization has been timely obtained by Seller and is in full force and effect. Except as set forth on </w:t>
      </w:r>
      <w:r>
        <w:rPr>
          <w:rFonts w:ascii="Arial" w:cs="Arial" w:eastAsia="Arial" w:hAnsi="Arial"/>
          <w:sz w:val="17"/>
          <w:szCs w:val="17"/>
          <w:u w:val="single" w:color="auto"/>
          <w:color w:val="auto"/>
        </w:rPr>
        <w:t>Schedule 2.13(a)</w:t>
      </w:r>
      <w:r>
        <w:rPr>
          <w:rFonts w:ascii="Arial" w:cs="Arial" w:eastAsia="Arial" w:hAnsi="Arial"/>
          <w:sz w:val="17"/>
          <w:szCs w:val="17"/>
          <w:color w:val="auto"/>
        </w:rPr>
        <w:t xml:space="preserve">, no such Governmental Authorization will be voided, nullified or impacted by the consummation of the transactions contemplated by this Agreement.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2.13(a)</w:t>
      </w:r>
      <w:r>
        <w:rPr>
          <w:rFonts w:ascii="Arial" w:cs="Arial" w:eastAsia="Arial" w:hAnsi="Arial"/>
          <w:sz w:val="17"/>
          <w:szCs w:val="17"/>
          <w:color w:val="auto"/>
        </w:rPr>
        <w:t>, at Closing, unless specifically excluded by Buyer, all such Governmental Authorizations will be assigned, transferred and conveyed to Buyer and will remain in full force and effect after such assignment and transfer. Seller is not subject to nor, to Seller’s Knowledge, has it been Threatened with, any Losses as a result of a failure to comply with a Law, and no event has occurred or circumstance formerly existed or currently exists that (with or without notice or lapse of time) would reasonably be expected to give rise to such Losses. Seller is in compliance in all material respects with all Laws applicable to the conduct of the Business as currently conducted or the ownership and use of the Purchased Assets.</w:t>
      </w:r>
    </w:p>
    <w:p>
      <w:pPr>
        <w:spacing w:after="0" w:line="178" w:lineRule="exact"/>
        <w:rPr>
          <w:rFonts w:ascii="Arial" w:cs="Arial" w:eastAsia="Arial" w:hAnsi="Arial"/>
          <w:sz w:val="17"/>
          <w:szCs w:val="17"/>
          <w:color w:val="auto"/>
        </w:rPr>
      </w:pPr>
    </w:p>
    <w:p>
      <w:pPr>
        <w:ind w:left="1560" w:hanging="255"/>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2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Seller has not (A) received any written notice from any Governmental Body of any Threatened or pending violation, investigation, audit or inquiry into an alleged or suspected violation of any Law or result in the suspension, revocation or limitation or restriction of any Governmental Authorization, or (B) entered into any agreement or settlement with any Governmental Body with respect to its alleged non-compliance with, or violation of, any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8" w:name="page89"/>
    <w:bookmarkEnd w:id="88"/>
    <w:p>
      <w:pPr>
        <w:ind w:left="-20" w:firstLine="1953"/>
        <w:spacing w:after="0" w:line="277" w:lineRule="auto"/>
        <w:tabs>
          <w:tab w:leader="none" w:pos="22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has not received any written notice from any current or former employee of any alleged or suspected violation of any Law pertaining to any state or federal pharmacy law or other Healthcare Laws.</w:t>
      </w:r>
    </w:p>
    <w:p>
      <w:pPr>
        <w:spacing w:after="0" w:line="170" w:lineRule="exact"/>
        <w:rPr>
          <w:rFonts w:ascii="Arial" w:cs="Arial" w:eastAsia="Arial" w:hAnsi="Arial"/>
          <w:sz w:val="18"/>
          <w:szCs w:val="18"/>
          <w:color w:val="auto"/>
        </w:rPr>
      </w:pPr>
    </w:p>
    <w:p>
      <w:pPr>
        <w:jc w:val="both"/>
        <w:ind w:left="-20" w:firstLine="1953"/>
        <w:spacing w:after="0" w:line="255" w:lineRule="auto"/>
        <w:tabs>
          <w:tab w:leader="none" w:pos="2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and all of its current or former managers, officers and directors and professionally licensed employees and contractors who provide, or have provided, professional services to, or at, or in connection with the Business (“</w:t>
      </w:r>
      <w:r>
        <w:rPr>
          <w:rFonts w:ascii="Arial" w:cs="Arial" w:eastAsia="Arial" w:hAnsi="Arial"/>
          <w:sz w:val="18"/>
          <w:szCs w:val="18"/>
          <w:b w:val="1"/>
          <w:bCs w:val="1"/>
          <w:color w:val="auto"/>
        </w:rPr>
        <w:t>Professional Personnel</w:t>
      </w:r>
      <w:r>
        <w:rPr>
          <w:rFonts w:ascii="Arial" w:cs="Arial" w:eastAsia="Arial" w:hAnsi="Arial"/>
          <w:sz w:val="18"/>
          <w:szCs w:val="18"/>
          <w:color w:val="auto"/>
        </w:rPr>
        <w:t>”), are in compliance in all material respects with all Laws applicable to Governmental Programs and all Laws and guidance relating to health care fraud and abuse, including the Anti-Kickback Statute, 42 U.S. Code § 1320a-7b, 42 C.F.R. § 1001.952, the federal false coding statute, 42 U.S. Code § 1320a-7a, the federal physician self-referral prohibition, 42 U.S. Code § 1395nn, 42 C.F.R. § 411.351 et seq., and the False Claims Act, 31 U.S. Code § 3729 et seq. (collectively, “</w:t>
      </w:r>
      <w:r>
        <w:rPr>
          <w:rFonts w:ascii="Arial" w:cs="Arial" w:eastAsia="Arial" w:hAnsi="Arial"/>
          <w:sz w:val="18"/>
          <w:szCs w:val="18"/>
          <w:b w:val="1"/>
          <w:bCs w:val="1"/>
          <w:color w:val="auto"/>
        </w:rPr>
        <w:t>Healthcare</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20" w:right="20" w:firstLine="1953"/>
        <w:spacing w:after="0" w:line="264" w:lineRule="auto"/>
        <w:tabs>
          <w:tab w:leader="none" w:pos="22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Professional Personnel providing professional services, including but not limited to, pharmacists and pharmacy technicians, currently hold in good standing and unrestricted, any and all appropriate licensure, registration or certification required to perform services related to the Business (“</w:t>
      </w:r>
      <w:r>
        <w:rPr>
          <w:rFonts w:ascii="Arial" w:cs="Arial" w:eastAsia="Arial" w:hAnsi="Arial"/>
          <w:sz w:val="18"/>
          <w:szCs w:val="18"/>
          <w:b w:val="1"/>
          <w:bCs w:val="1"/>
          <w:color w:val="auto"/>
        </w:rPr>
        <w:t>Professional Licenses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1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(A) is not a party to any corporate integrity agreement or similar memorandum of understanding with any Governmental Body, (B) is not subject to any order, judgment, injunction, award, decree or writ handed down, adopted or imposed by any Governmental Body and (C) has not entered into any other Contract at the request of any Governmental Body that restricts the conduct of the Business or that impacts upon the management or operation of the Business (collectively, “</w:t>
      </w:r>
      <w:r>
        <w:rPr>
          <w:rFonts w:ascii="Arial" w:cs="Arial" w:eastAsia="Arial" w:hAnsi="Arial"/>
          <w:sz w:val="18"/>
          <w:szCs w:val="18"/>
          <w:b w:val="1"/>
          <w:bCs w:val="1"/>
          <w:color w:val="auto"/>
        </w:rPr>
        <w:t>Regulatory Agreements</w:t>
      </w:r>
      <w:r>
        <w:rPr>
          <w:rFonts w:ascii="Arial" w:cs="Arial" w:eastAsia="Arial" w:hAnsi="Arial"/>
          <w:sz w:val="18"/>
          <w:szCs w:val="18"/>
          <w:color w:val="auto"/>
        </w:rPr>
        <w:t>”). Seller has not received written notice from any Governmental Body that such Governmental Body is considering issuing or requesting any Regulatory Agreement.</w:t>
      </w:r>
    </w:p>
    <w:p>
      <w:pPr>
        <w:spacing w:after="0" w:line="184" w:lineRule="exact"/>
        <w:rPr>
          <w:rFonts w:ascii="Arial" w:cs="Arial" w:eastAsia="Arial" w:hAnsi="Arial"/>
          <w:sz w:val="18"/>
          <w:szCs w:val="18"/>
          <w:color w:val="auto"/>
        </w:rPr>
      </w:pPr>
    </w:p>
    <w:p>
      <w:pPr>
        <w:jc w:val="both"/>
        <w:ind w:left="-20" w:firstLine="1953"/>
        <w:spacing w:after="0" w:line="277" w:lineRule="auto"/>
        <w:tabs>
          <w:tab w:leader="none" w:pos="2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the extent Seller directly receives reimbursement under Titles XVIII and XIX of the Social Security Act (the “</w:t>
      </w:r>
      <w:r>
        <w:rPr>
          <w:rFonts w:ascii="Arial" w:cs="Arial" w:eastAsia="Arial" w:hAnsi="Arial"/>
          <w:sz w:val="17"/>
          <w:szCs w:val="17"/>
          <w:b w:val="1"/>
          <w:bCs w:val="1"/>
          <w:color w:val="auto"/>
        </w:rPr>
        <w:t>Medicare</w:t>
      </w:r>
      <w:r>
        <w:rPr>
          <w:rFonts w:ascii="Arial" w:cs="Arial" w:eastAsia="Arial" w:hAnsi="Arial"/>
          <w:sz w:val="17"/>
          <w:szCs w:val="17"/>
          <w:color w:val="auto"/>
        </w:rPr>
        <w:t xml:space="preserve"> </w:t>
      </w:r>
      <w:r>
        <w:rPr>
          <w:rFonts w:ascii="Arial" w:cs="Arial" w:eastAsia="Arial" w:hAnsi="Arial"/>
          <w:sz w:val="17"/>
          <w:szCs w:val="17"/>
          <w:b w:val="1"/>
          <w:bCs w:val="1"/>
          <w:color w:val="auto"/>
        </w:rPr>
        <w:t>and Medicaid Programs</w:t>
      </w:r>
      <w:r>
        <w:rPr>
          <w:rFonts w:ascii="Arial" w:cs="Arial" w:eastAsia="Arial" w:hAnsi="Arial"/>
          <w:sz w:val="17"/>
          <w:szCs w:val="17"/>
          <w:color w:val="auto"/>
        </w:rPr>
        <w:t>”), the CHAMPUS/TRICARE programs and other reimbursement programs of any Governmental Body (each a “</w:t>
      </w:r>
      <w:r>
        <w:rPr>
          <w:rFonts w:ascii="Arial" w:cs="Arial" w:eastAsia="Arial" w:hAnsi="Arial"/>
          <w:sz w:val="17"/>
          <w:szCs w:val="17"/>
          <w:b w:val="1"/>
          <w:bCs w:val="1"/>
          <w:color w:val="auto"/>
        </w:rPr>
        <w:t>Governmental Program</w:t>
      </w:r>
      <w:r>
        <w:rPr>
          <w:rFonts w:ascii="Arial" w:cs="Arial" w:eastAsia="Arial" w:hAnsi="Arial"/>
          <w:sz w:val="17"/>
          <w:szCs w:val="17"/>
          <w:color w:val="auto"/>
        </w:rPr>
        <w:t>”), Seller is appropriately registered, accredited and/or certified for participation and reimbursement under the Medicare and Medicaid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that Seller directly receives reimbursement under the Medicare and Medicaid Programs, Seller has all current provider numbers and is in compliance in all material respects with all provider agreements required under such Governmental Programs.</w:t>
      </w:r>
    </w:p>
    <w:p>
      <w:pPr>
        <w:spacing w:after="0" w:line="172" w:lineRule="exact"/>
        <w:rPr>
          <w:rFonts w:ascii="Arial" w:cs="Arial" w:eastAsia="Arial" w:hAnsi="Arial"/>
          <w:sz w:val="17"/>
          <w:szCs w:val="17"/>
          <w:color w:val="auto"/>
        </w:rPr>
      </w:pPr>
    </w:p>
    <w:p>
      <w:pPr>
        <w:ind w:left="-20" w:firstLine="1953"/>
        <w:spacing w:after="0" w:line="277" w:lineRule="auto"/>
        <w:tabs>
          <w:tab w:leader="none" w:pos="22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Seller directly or indirectly receives payments under Private Programs, Seller has all provider agreements, certifications, credentials, and provider numbers that are required under such Private Programs.</w:t>
      </w:r>
    </w:p>
    <w:p>
      <w:pPr>
        <w:spacing w:after="0" w:line="170" w:lineRule="exact"/>
        <w:rPr>
          <w:rFonts w:ascii="Arial" w:cs="Arial" w:eastAsia="Arial" w:hAnsi="Arial"/>
          <w:sz w:val="18"/>
          <w:szCs w:val="18"/>
          <w:color w:val="auto"/>
        </w:rPr>
      </w:pPr>
    </w:p>
    <w:p>
      <w:pPr>
        <w:jc w:val="both"/>
        <w:ind w:left="-20" w:firstLine="1953"/>
        <w:spacing w:after="0" w:line="264" w:lineRule="auto"/>
        <w:tabs>
          <w:tab w:leader="none" w:pos="2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has been no Proceeding instituted against Seller or any of its Professional Personnel and in any way related to the Business, the Purchased Assets, or with respect to Pharmacy Permits, DEA Registrations, or certifications, provider agreements or provider numbers related to any Governmental Program (collectively, “</w:t>
      </w:r>
      <w:r>
        <w:rPr>
          <w:rFonts w:ascii="Arial" w:cs="Arial" w:eastAsia="Arial" w:hAnsi="Arial"/>
          <w:sz w:val="18"/>
          <w:szCs w:val="18"/>
          <w:b w:val="1"/>
          <w:bCs w:val="1"/>
          <w:color w:val="auto"/>
        </w:rPr>
        <w:t>Healthcare Authorizations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9" w:name="page90"/>
    <w:bookmarkEnd w:id="89"/>
    <w:p>
      <w:pPr>
        <w:jc w:val="both"/>
        <w:ind w:left="-20" w:firstLine="1953"/>
        <w:spacing w:after="0" w:line="264" w:lineRule="auto"/>
        <w:tabs>
          <w:tab w:leader="none" w:pos="2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Knowledge of Seller, no event has occurred that, with the giving of notice, the passage of time, or both, would constitute reasonable grounds for a violation or exclusion order with respect to any Healthcare Authorization, or the revocation, withdrawal or suspension of any Healthcare Authorization, or the termination of the participation of Seller in any Payment Program.</w:t>
      </w:r>
    </w:p>
    <w:p>
      <w:pPr>
        <w:spacing w:after="0" w:line="181" w:lineRule="exact"/>
        <w:rPr>
          <w:rFonts w:ascii="Arial" w:cs="Arial" w:eastAsia="Arial" w:hAnsi="Arial"/>
          <w:sz w:val="18"/>
          <w:szCs w:val="18"/>
          <w:color w:val="auto"/>
        </w:rPr>
      </w:pPr>
    </w:p>
    <w:p>
      <w:pPr>
        <w:jc w:val="both"/>
        <w:ind w:left="-20" w:firstLine="1953"/>
        <w:spacing w:after="0" w:line="302" w:lineRule="auto"/>
        <w:tabs>
          <w:tab w:leader="none" w:pos="22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Seller nor any of its Professional Personnel has been determined or alleged by a Governmental Body to have committed a violation of any Healthcare Laws or other Laws relating to the referral of patients or health care business in exchange for remuneration or to entities in which the referring Person has an ownership or financial relationship, in connection with such employment by, or activity on behalf of, Seller. Neither Seller nor any of its Professional Personnel are or were under investigation by a Governmental Body in connection with any of the foregoing.</w:t>
      </w:r>
    </w:p>
    <w:p>
      <w:pPr>
        <w:spacing w:after="0" w:line="154" w:lineRule="exact"/>
        <w:rPr>
          <w:rFonts w:ascii="Arial" w:cs="Arial" w:eastAsia="Arial" w:hAnsi="Arial"/>
          <w:sz w:val="16"/>
          <w:szCs w:val="16"/>
          <w:color w:val="auto"/>
        </w:rPr>
      </w:pPr>
    </w:p>
    <w:p>
      <w:pPr>
        <w:jc w:val="both"/>
        <w:ind w:left="-20" w:firstLine="1953"/>
        <w:spacing w:after="0" w:line="293" w:lineRule="auto"/>
        <w:tabs>
          <w:tab w:leader="none" w:pos="2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Seller nor any of its Professional Personnel (during the term of such individual’s employment with Seller or while acting as an agent of Seller): (A) has been convicted of or indicted for any crime, for which debarment or similar punishment is mandated or permitted by any applicable Law, (B) has engaged in any activities that are prohibited, or cause for the imposition of penalties or mandatory or permissive exclusion, under 42 U.S.C. §§ 1320a-7, 1320a-7a, 1320a-7b, 1395nn or 1396b, 31 U.S.C. §§ 3729-3733, the federal CHAMPUS/TRICARE statute (or other Laws related to false or fraudulent claims), any Healthcare Law or any criminal Law relating to health care services or payments, or that are prohibited by rules of professional conduct, or (C) has received written notice that Seller or any of its Professional Personnel is under investigation with respect to any of the foregoing.</w:t>
      </w:r>
    </w:p>
    <w:p>
      <w:pPr>
        <w:spacing w:after="0" w:line="164" w:lineRule="exact"/>
        <w:rPr>
          <w:rFonts w:ascii="Arial" w:cs="Arial" w:eastAsia="Arial" w:hAnsi="Arial"/>
          <w:sz w:val="16"/>
          <w:szCs w:val="16"/>
          <w:color w:val="auto"/>
        </w:rPr>
      </w:pPr>
    </w:p>
    <w:p>
      <w:pPr>
        <w:jc w:val="both"/>
        <w:ind w:left="-20" w:firstLine="1953"/>
        <w:spacing w:after="0" w:line="257" w:lineRule="auto"/>
        <w:tabs>
          <w:tab w:leader="none" w:pos="22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Seller has: (A) timely filed all reports and billings required to be filed prior to the date hereof with respect to all applicable Payment Programs (all of which reports and billings are complete and accurate in all material respects and have been prepared in compliance in all material respects with applicable Laws); (B) paid or caused to be paid all known and undisputed refunds, overpayments, discounts or adjustments that have become due pursuant to such reports and billings; and (C) will continue to timely file all reports and billings and comply with (B) of this subsection </w:t>
      </w:r>
      <w:r>
        <w:rPr>
          <w:rFonts w:ascii="Arial" w:cs="Arial" w:eastAsia="Arial" w:hAnsi="Arial"/>
          <w:sz w:val="18"/>
          <w:szCs w:val="18"/>
          <w:u w:val="single" w:color="auto"/>
          <w:color w:val="auto"/>
        </w:rPr>
        <w:t>(b)(x)(ii)</w:t>
      </w:r>
      <w:r>
        <w:rPr>
          <w:rFonts w:ascii="Arial" w:cs="Arial" w:eastAsia="Arial" w:hAnsi="Arial"/>
          <w:sz w:val="18"/>
          <w:szCs w:val="18"/>
          <w:color w:val="auto"/>
        </w:rPr>
        <w:t xml:space="preserve"> through the Closing Date.</w:t>
      </w:r>
    </w:p>
    <w:p>
      <w:pPr>
        <w:spacing w:after="0" w:line="188" w:lineRule="exact"/>
        <w:rPr>
          <w:rFonts w:ascii="Arial" w:cs="Arial" w:eastAsia="Arial" w:hAnsi="Arial"/>
          <w:sz w:val="18"/>
          <w:szCs w:val="18"/>
          <w:color w:val="auto"/>
        </w:rPr>
      </w:pPr>
    </w:p>
    <w:p>
      <w:pPr>
        <w:jc w:val="both"/>
        <w:ind w:left="-20" w:firstLine="1953"/>
        <w:spacing w:after="0" w:line="264" w:lineRule="auto"/>
        <w:tabs>
          <w:tab w:leader="none" w:pos="23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 has not claimed or received reimbursements from Payment Programs in excess of amounts permitted by applicable Law, and Seller has no liability or obligation of any kind, whether accrued, contingent, absolute, inchoate or otherwise, whether due or to become due, under any Payment Program for any refund, overpayment, discount or adjustment.</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3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pending or, to the Knowledge of Seller, Threatened, appeals, adjustments, challenges, audits, inquiries, litigation or written notices of intent to audit with respect to such prior reports or billings, and Seller has not been audited, or otherwise examined by any Payment Programs.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0" w:name="page91"/>
    <w:bookmarkEnd w:id="90"/>
    <w:p>
      <w:pPr>
        <w:jc w:val="both"/>
        <w:ind w:firstLine="1953"/>
        <w:spacing w:after="0" w:line="264" w:lineRule="auto"/>
        <w:tabs>
          <w:tab w:leader="none" w:pos="2302"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employee of Seller, either before or during such employment, has been excluded or suspended from participation in any Governmental Program, and no employee of Seller has been debarred, suspended or are otherwise ineligible to participate in any Governmental Program, or are otherwise included in any Exclusion List.</w:t>
      </w:r>
    </w:p>
    <w:p>
      <w:pPr>
        <w:spacing w:after="0" w:line="181" w:lineRule="exact"/>
        <w:rPr>
          <w:rFonts w:ascii="Arial" w:cs="Arial" w:eastAsia="Arial" w:hAnsi="Arial"/>
          <w:sz w:val="18"/>
          <w:szCs w:val="18"/>
          <w:color w:val="auto"/>
        </w:rPr>
      </w:pPr>
    </w:p>
    <w:p>
      <w:pPr>
        <w:ind w:firstLine="1953"/>
        <w:spacing w:after="0" w:line="277" w:lineRule="auto"/>
        <w:tabs>
          <w:tab w:leader="none" w:pos="233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Knowledge of Seller, no employee of Seller, either before or during such employment, has committed any offense that may reasonably serve as the basis for any such exclusion, suspension, debarment or other ineligibility.</w:t>
      </w:r>
    </w:p>
    <w:p>
      <w:pPr>
        <w:spacing w:after="0" w:line="170" w:lineRule="exact"/>
        <w:rPr>
          <w:rFonts w:ascii="Arial" w:cs="Arial" w:eastAsia="Arial" w:hAnsi="Arial"/>
          <w:sz w:val="18"/>
          <w:szCs w:val="18"/>
          <w:color w:val="auto"/>
        </w:rPr>
      </w:pPr>
    </w:p>
    <w:p>
      <w:pPr>
        <w:ind w:firstLine="1953"/>
        <w:spacing w:after="0" w:line="277" w:lineRule="auto"/>
        <w:tabs>
          <w:tab w:leader="none" w:pos="2417"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Seller has not arranged or contracted with any Person that is suspended, excluded or debarred from participation in, or otherwise ineligible to participate in, any Governmental Program.</w:t>
      </w:r>
    </w:p>
    <w:p>
      <w:pPr>
        <w:spacing w:after="0" w:line="170" w:lineRule="exact"/>
        <w:rPr>
          <w:rFonts w:ascii="Arial" w:cs="Arial" w:eastAsia="Arial" w:hAnsi="Arial"/>
          <w:sz w:val="18"/>
          <w:szCs w:val="18"/>
          <w:color w:val="auto"/>
        </w:rPr>
      </w:pPr>
    </w:p>
    <w:p>
      <w:pPr>
        <w:jc w:val="both"/>
        <w:ind w:firstLine="1953"/>
        <w:spacing w:after="0" w:line="279" w:lineRule="auto"/>
        <w:tabs>
          <w:tab w:leader="none" w:pos="2455" w:val="left"/>
        </w:tabs>
        <w:numPr>
          <w:ilvl w:val="1"/>
          <w:numId w:val="51"/>
        </w:numPr>
        <w:rPr>
          <w:rFonts w:ascii="Arial" w:cs="Arial" w:eastAsia="Arial" w:hAnsi="Arial"/>
          <w:sz w:val="17"/>
          <w:szCs w:val="17"/>
          <w:color w:val="auto"/>
        </w:rPr>
      </w:pPr>
      <w:r>
        <w:rPr>
          <w:rFonts w:ascii="Arial" w:cs="Arial" w:eastAsia="Arial" w:hAnsi="Arial"/>
          <w:sz w:val="17"/>
          <w:szCs w:val="17"/>
          <w:color w:val="auto"/>
        </w:rPr>
        <w:t>Seller has operated the Business in compliance in all material respects with all applicable Laws affecting contractors and subcontractors under Governmental Programs (including the Medicare and Medicaid Programs), and all manuals and other interpretations thereof promulgated by Governmental Programs, including the Social Security Act, Federal Acquisition Regulations, and the regulations, manuals, guidance, and other pronouncements of the United States Department of Health and Human Services and the Centers for Medicare and Medicaid Services.</w:t>
      </w:r>
    </w:p>
    <w:p>
      <w:pPr>
        <w:spacing w:after="0" w:line="171" w:lineRule="exact"/>
        <w:rPr>
          <w:rFonts w:ascii="Arial" w:cs="Arial" w:eastAsia="Arial" w:hAnsi="Arial"/>
          <w:sz w:val="17"/>
          <w:szCs w:val="17"/>
          <w:color w:val="auto"/>
        </w:rPr>
      </w:pPr>
    </w:p>
    <w:p>
      <w:pPr>
        <w:ind w:left="2360" w:hanging="407"/>
        <w:spacing w:after="0"/>
        <w:tabs>
          <w:tab w:leader="none" w:pos="23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Seller has not received any notice of any complaint filed against Seller under HIPAA or any other applicable patient privacy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data protection Law.</w:t>
      </w:r>
    </w:p>
    <w:p>
      <w:pPr>
        <w:spacing w:after="0" w:line="210" w:lineRule="exact"/>
        <w:rPr>
          <w:rFonts w:ascii="Arial" w:cs="Arial" w:eastAsia="Arial" w:hAnsi="Arial"/>
          <w:sz w:val="16"/>
          <w:szCs w:val="16"/>
          <w:color w:val="auto"/>
        </w:rPr>
      </w:pPr>
    </w:p>
    <w:p>
      <w:pPr>
        <w:jc w:val="both"/>
        <w:ind w:firstLine="1953"/>
        <w:spacing w:after="0" w:line="288" w:lineRule="auto"/>
        <w:tabs>
          <w:tab w:leader="none" w:pos="2326" w:val="left"/>
        </w:tabs>
        <w:numPr>
          <w:ilvl w:val="1"/>
          <w:numId w:val="51"/>
        </w:numPr>
        <w:rPr>
          <w:rFonts w:ascii="Arial" w:cs="Arial" w:eastAsia="Arial" w:hAnsi="Arial"/>
          <w:sz w:val="16"/>
          <w:szCs w:val="16"/>
          <w:color w:val="auto"/>
        </w:rPr>
      </w:pPr>
      <w:r>
        <w:rPr>
          <w:rFonts w:ascii="Arial" w:cs="Arial" w:eastAsia="Arial" w:hAnsi="Arial"/>
          <w:sz w:val="16"/>
          <w:szCs w:val="16"/>
          <w:color w:val="auto"/>
        </w:rPr>
        <w:t>Seller has implemented physical, technical and administrative safeguards designed to ensure compliance in all material respects with (A) all Laws, including HIPAA, relating to the collection, use, privacy or protection of Personal Data and all additional or higher industry standards or requirements related to Personal Data, (B) all requirements applicable to a covered entity (as defined in HIPAA) to the extent applicable to Seller,</w:t>
      </w:r>
    </w:p>
    <w:p>
      <w:pPr>
        <w:ind w:left="300" w:hanging="292"/>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requirements of all business associate agreements (as defined in HIPAA) entered into by Seller, and (D) Seller’s privacy and security policies.</w:t>
      </w:r>
    </w:p>
    <w:p>
      <w:pPr>
        <w:spacing w:after="0" w:line="222" w:lineRule="exact"/>
        <w:rPr>
          <w:rFonts w:ascii="Arial" w:cs="Arial" w:eastAsia="Arial" w:hAnsi="Arial"/>
          <w:sz w:val="17"/>
          <w:szCs w:val="17"/>
          <w:color w:val="auto"/>
        </w:rPr>
      </w:pPr>
    </w:p>
    <w:p>
      <w:pPr>
        <w:jc w:val="both"/>
        <w:ind w:firstLine="1953"/>
        <w:spacing w:after="0" w:line="257" w:lineRule="auto"/>
        <w:tabs>
          <w:tab w:leader="none" w:pos="2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Since January 1, 2016, Seller has not experienced any incident in which personally identifiable information or other protected information, including any Person’s name, address, credit card information, health information, email address, date of birth, social security number or account information (“</w:t>
      </w:r>
      <w:r>
        <w:rPr>
          <w:rFonts w:ascii="Arial" w:cs="Arial" w:eastAsia="Arial" w:hAnsi="Arial"/>
          <w:sz w:val="18"/>
          <w:szCs w:val="18"/>
          <w:b w:val="1"/>
          <w:bCs w:val="1"/>
          <w:color w:val="auto"/>
        </w:rPr>
        <w:t>Personal Data</w:t>
      </w:r>
      <w:r>
        <w:rPr>
          <w:rFonts w:ascii="Arial" w:cs="Arial" w:eastAsia="Arial" w:hAnsi="Arial"/>
          <w:sz w:val="18"/>
          <w:szCs w:val="18"/>
          <w:color w:val="auto"/>
        </w:rPr>
        <w:t>”), has been or may have been stolen or improperly accessed or any other security breach, and Seller is not aware of any facts exist suggesting any of the foregoing has occurred, including, to the Knowledge of Seller, any breach of security or any written notices or complaints from any Person regarding any Personal Data</w:t>
      </w:r>
    </w:p>
    <w:p>
      <w:pPr>
        <w:spacing w:after="0" w:line="188" w:lineRule="exact"/>
        <w:rPr>
          <w:rFonts w:ascii="Arial" w:cs="Arial" w:eastAsia="Arial" w:hAnsi="Arial"/>
          <w:sz w:val="18"/>
          <w:szCs w:val="18"/>
          <w:color w:val="auto"/>
        </w:rPr>
      </w:pPr>
    </w:p>
    <w:p>
      <w:pPr>
        <w:jc w:val="both"/>
        <w:ind w:firstLine="1953"/>
        <w:spacing w:after="0" w:line="286" w:lineRule="auto"/>
        <w:tabs>
          <w:tab w:leader="none" w:pos="2397" w:val="left"/>
        </w:tabs>
        <w:numPr>
          <w:ilvl w:val="1"/>
          <w:numId w:val="52"/>
        </w:numPr>
        <w:rPr>
          <w:rFonts w:ascii="Arial" w:cs="Arial" w:eastAsia="Arial" w:hAnsi="Arial"/>
          <w:sz w:val="17"/>
          <w:szCs w:val="17"/>
          <w:color w:val="auto"/>
        </w:rPr>
      </w:pPr>
      <w:r>
        <w:rPr>
          <w:rFonts w:ascii="Arial" w:cs="Arial" w:eastAsia="Arial" w:hAnsi="Arial"/>
          <w:sz w:val="17"/>
          <w:szCs w:val="17"/>
          <w:color w:val="auto"/>
        </w:rPr>
        <w:t>Seller and Professional Personnel are complying, and have complied in the last three years, in all material respects with the Federal Food Drug and Cosmetic Act, the Telephone Consumer Protection Act and all Laws relating to the procurement, marketing and promotion of prescription drugs and all applicable Laws and any related guidance documents published by a Governmental Body.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1" w:name="page92"/>
    <w:bookmarkEnd w:id="91"/>
    <w:p>
      <w:pPr>
        <w:ind w:left="640"/>
        <w:spacing w:after="0"/>
        <w:rPr>
          <w:sz w:val="20"/>
          <w:szCs w:val="20"/>
          <w:color w:val="auto"/>
        </w:rPr>
      </w:pPr>
      <w:r>
        <w:rPr>
          <w:rFonts w:ascii="Arial" w:cs="Arial" w:eastAsia="Arial" w:hAnsi="Arial"/>
          <w:sz w:val="18"/>
          <w:szCs w:val="18"/>
          <w:b w:val="1"/>
          <w:bCs w:val="1"/>
          <w:color w:val="auto"/>
        </w:rPr>
        <w:t>2.14 Environmental Matters.</w:t>
      </w:r>
    </w:p>
    <w:p>
      <w:pPr>
        <w:spacing w:after="0" w:line="229" w:lineRule="exact"/>
        <w:rPr>
          <w:sz w:val="20"/>
          <w:szCs w:val="20"/>
          <w:color w:val="auto"/>
        </w:rPr>
      </w:pPr>
    </w:p>
    <w:p>
      <w:pPr>
        <w:jc w:val="both"/>
        <w:ind w:left="-20" w:firstLine="1305"/>
        <w:spacing w:after="0" w:line="291" w:lineRule="auto"/>
        <w:tabs>
          <w:tab w:leader="none" w:pos="15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Seller (i) has obtained and has held, during all applicable statute of limitations periods, and currently holds all Governmental Authorizations that are required under any Environmental Law to operate its Business and the Purchased Assets to their full physical capacity; and (ii) is, and has been during all applicable statute of limitations periods, in compliance in all material respects with all such Governmental Authorizations. There is no action pending or, to Seller’s Knowledge, Threatened by any Government Body to revoke, limit or modify such Governmental Authorizations. Seller is, and during all applicable statute of limitation periods has been, in compliance in all material respects with all Environmental Laws. Seller has not been subject of any Proceedings relating to Environmental Laws or which could have resulted in Environmental Liabilities, and neither Seller nor any of its Affiliates has received written notice alleging that Seller or the Business is not, or has not been, in compliance with, or is liable under, any Environmental Law.</w:t>
      </w:r>
    </w:p>
    <w:p>
      <w:pPr>
        <w:spacing w:after="0" w:line="167" w:lineRule="exact"/>
        <w:rPr>
          <w:rFonts w:ascii="Arial" w:cs="Arial" w:eastAsia="Arial" w:hAnsi="Arial"/>
          <w:sz w:val="16"/>
          <w:szCs w:val="16"/>
          <w:color w:val="auto"/>
        </w:rPr>
      </w:pPr>
    </w:p>
    <w:p>
      <w:pPr>
        <w:jc w:val="both"/>
        <w:ind w:left="-20" w:firstLine="1305"/>
        <w:spacing w:after="0" w:line="259" w:lineRule="auto"/>
        <w:tabs>
          <w:tab w:leader="none" w:pos="15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Leased Real Property is not listed on and, to Seller’s Knowledge, is not being considered for listing on a list maintained under an Environmental Law of contaminated or potentially contaminated sites or a list maintained under an Environmental Law of sites where certain environmentally related activities occurred or are occurring. The Leased Real Property is not the subject of or, to Seller’s Knowledge, is not being considered to be the subject of, an enforcement action under an Environmental Law.</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5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Real Property is free of the presence of Hazardous Substances in the soil, subsurface strata, groundwater, surface water, air, buildings, fixtures, outdoor artificial surfaces and structures, piping, drains, sumps, pits, ditches and equipment in a quantity, concentration or condition that has resulted in or would reasonably be expected to result in an Environmental Liability and no Hazardous Substances have migrated, are migrating or will migrate on or off the Leased Real Property through any environmental medium other than pursuant to and in compliance with a Governmental Authorization issued under Environmental Law.</w:t>
      </w:r>
    </w:p>
    <w:p>
      <w:pPr>
        <w:spacing w:after="0" w:line="188" w:lineRule="exact"/>
        <w:rPr>
          <w:rFonts w:ascii="Arial" w:cs="Arial" w:eastAsia="Arial" w:hAnsi="Arial"/>
          <w:sz w:val="18"/>
          <w:szCs w:val="18"/>
          <w:color w:val="auto"/>
        </w:rPr>
      </w:pPr>
    </w:p>
    <w:p>
      <w:pPr>
        <w:ind w:left="-20" w:firstLine="1305"/>
        <w:spacing w:after="0" w:line="277" w:lineRule="auto"/>
        <w:tabs>
          <w:tab w:leader="none" w:pos="15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Hazardous Substance is or was used, generated, Released, emitted, transported, stored, treated or disposed on or off the Leased Real Property by Seller or, to Seller’s Knowledge, any other Person.</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5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There are not now, and except as listed on </w:t>
      </w:r>
      <w:r>
        <w:rPr>
          <w:rFonts w:ascii="Arial" w:cs="Arial" w:eastAsia="Arial" w:hAnsi="Arial"/>
          <w:sz w:val="18"/>
          <w:szCs w:val="18"/>
          <w:u w:val="single" w:color="auto"/>
          <w:color w:val="auto"/>
        </w:rPr>
        <w:t>Schedule 2.14(e)</w:t>
      </w:r>
      <w:r>
        <w:rPr>
          <w:rFonts w:ascii="Arial" w:cs="Arial" w:eastAsia="Arial" w:hAnsi="Arial"/>
          <w:sz w:val="18"/>
          <w:szCs w:val="18"/>
          <w:color w:val="auto"/>
        </w:rPr>
        <w:t xml:space="preserve"> never have been, any above-ground or underground storage tanks or tank systems at, on or under any Real Property. Each such tank and tank system listed on </w:t>
      </w:r>
      <w:r>
        <w:rPr>
          <w:rFonts w:ascii="Arial" w:cs="Arial" w:eastAsia="Arial" w:hAnsi="Arial"/>
          <w:sz w:val="18"/>
          <w:szCs w:val="18"/>
          <w:u w:val="single" w:color="auto"/>
          <w:color w:val="auto"/>
        </w:rPr>
        <w:t>Schedule 2.14(e)</w:t>
      </w:r>
      <w:r>
        <w:rPr>
          <w:rFonts w:ascii="Arial" w:cs="Arial" w:eastAsia="Arial" w:hAnsi="Arial"/>
          <w:sz w:val="18"/>
          <w:szCs w:val="18"/>
          <w:color w:val="auto"/>
        </w:rPr>
        <w:t xml:space="preserve"> has been registered, operated and maintained in full compliance with Environmental Law and no such tank or tank system is or has been the source of a Release of a Hazardous Substance. All underground and above-ground storage tanks and tank systems which have been removed from the Leased Real Property were removed and closed in accordance with Environmental Law.</w:t>
      </w:r>
    </w:p>
    <w:p>
      <w:pPr>
        <w:spacing w:after="0" w:line="188" w:lineRule="exact"/>
        <w:rPr>
          <w:rFonts w:ascii="Arial" w:cs="Arial" w:eastAsia="Arial" w:hAnsi="Arial"/>
          <w:sz w:val="18"/>
          <w:szCs w:val="18"/>
          <w:color w:val="auto"/>
        </w:rPr>
      </w:pPr>
    </w:p>
    <w:p>
      <w:pPr>
        <w:jc w:val="both"/>
        <w:ind w:left="-20" w:firstLine="1305"/>
        <w:spacing w:after="0" w:line="259" w:lineRule="auto"/>
        <w:tabs>
          <w:tab w:leader="none" w:pos="15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True, correct and complete copies of each site assessment, audit or report about the Environment concerning any Real Property in the possession or control of Seller or any of its Affiliates has been delivered to Buyer. Seller has delivered to Buyer all documents in Seller’s or any of its Affiliate’s possession or control evidencing a land use restriction or institutional control relating to the Environment with respect to the Leased Real Property, the Business or a Purchased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88" w:right="239" w:bottom="1440" w:gutter="0" w:footer="0" w:header="0"/>
        </w:sectPr>
      </w:pPr>
    </w:p>
    <w:bookmarkStart w:id="92" w:name="page93"/>
    <w:bookmarkEnd w:id="92"/>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2.15 Broker’s Fees.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2.15</w:t>
      </w:r>
      <w:r>
        <w:rPr>
          <w:rFonts w:ascii="Arial" w:cs="Arial" w:eastAsia="Arial" w:hAnsi="Arial"/>
          <w:sz w:val="16"/>
          <w:szCs w:val="16"/>
          <w:color w:val="auto"/>
        </w:rPr>
        <w:t>, neither Seller nor anyone acting on its behalf has incurred or will incur a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pay fees or commissions to a broker, finder or agent with respect to the transactions contemplated by this Agreement or any other Transaction Document for which Buyer or its Affiliates could be or become liable. Seller will be solely responsible for the fees and other amounts due legal counsel and other advisors engaged by Seller in connection with the transactions contemplated by this Agreement or another Transaction Document.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2.16 Accuracy of Statements. </w:t>
      </w:r>
      <w:r>
        <w:rPr>
          <w:rFonts w:ascii="Arial" w:cs="Arial" w:eastAsia="Arial" w:hAnsi="Arial"/>
          <w:sz w:val="18"/>
          <w:szCs w:val="18"/>
          <w:color w:val="auto"/>
        </w:rPr>
        <w:t>No representation or warranty made by Seller in this Agreement or other Transaction Document or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schedule furnished to Buyer pursuant to this Agreement or other Transaction Document in connection with the transactions contemplated hereby or thereby contains any untrue statement of a material fact or omits to state a material fact necessary to make the statements contained herein or therein not misleading. Buyer has been delivered a true, complete and correct copy of each document (together with all amendments thereto) required to have been provided to Buyer or attached to a schedule under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Buyer makes the following representations and warranties as of the date of this Agreement and again on the Closing Date immediately preceding Closing to induce Seller to enter into this Agreement and consummate the transactions contemplated hereby. These representations and warranties will survive Closing for the periods specified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3.1 Organization and Good Standing. </w:t>
      </w:r>
      <w:r>
        <w:rPr>
          <w:rFonts w:ascii="Arial" w:cs="Arial" w:eastAsia="Arial" w:hAnsi="Arial"/>
          <w:sz w:val="18"/>
          <w:szCs w:val="18"/>
          <w:color w:val="auto"/>
        </w:rPr>
        <w:t>Buyer is a limited liability company duly organized, validly existing and in good standing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Texas. Buyer has the requisite corporate power and authority to conduct its business as it is now being conducted and to own and use its properties and assets.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 Authorization and Enforceability; No Conflict.</w:t>
      </w:r>
    </w:p>
    <w:p>
      <w:pPr>
        <w:spacing w:after="0" w:line="229" w:lineRule="exact"/>
        <w:rPr>
          <w:sz w:val="20"/>
          <w:szCs w:val="20"/>
          <w:color w:val="auto"/>
        </w:rPr>
      </w:pPr>
    </w:p>
    <w:p>
      <w:pPr>
        <w:jc w:val="both"/>
        <w:ind w:firstLine="1305"/>
        <w:spacing w:after="0" w:line="257" w:lineRule="auto"/>
        <w:tabs>
          <w:tab w:leader="none" w:pos="15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Buyer has the requisite company power and authority to enter into and perform the Transaction Documents to which it is a party and to carry out the transactions contemplated thereby. The execution, delivery and performance by Buyer of each Transaction Document to which it is a party has been duly authorized, approved and adopted by it. Each Transaction Document to which Buyer is a party is binding upon it and is enforceable against it in accordance with the terms of that Transaction Document, except as such enforceability may be limited by applicable bankruptcy, insolvency, reorganization, moratorium and similar laws affecting creditors’ rights and remedies generally.</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5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execution, delivery and performance by Buyer of the Transaction Documents to which it is a party and the consummation by Buyer of the transactions contemplated thereby will not (i) contravene the Organizational Document of Buyer or result in a breach of, or constitute a default under, any Contract to which Buyer is a party or by which its assets are bound or affected or (ii) violate a Law or Order.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3.3 Regulatory Matters. </w:t>
      </w:r>
      <w:r>
        <w:rPr>
          <w:rFonts w:ascii="Arial" w:cs="Arial" w:eastAsia="Arial" w:hAnsi="Arial"/>
          <w:sz w:val="17"/>
          <w:szCs w:val="17"/>
          <w:u w:val="single" w:color="auto"/>
          <w:color w:val="auto"/>
        </w:rPr>
        <w:t>Schedule 3.3</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names of each of the officers, directors and managers of Buyer who will be identified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for licenses, authorizations, consents and approvals (including, without limitation, the Regulatory Approvals and any other Governmental Authorizations) submitted by Buyer in connection with the consummation of the transactions contemplated by this Agreement.</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3.4 No Third-Party Approval or Consent. </w:t>
      </w:r>
      <w:r>
        <w:rPr>
          <w:rFonts w:ascii="Arial" w:cs="Arial" w:eastAsia="Arial" w:hAnsi="Arial"/>
          <w:sz w:val="17"/>
          <w:szCs w:val="17"/>
          <w:color w:val="auto"/>
        </w:rPr>
        <w:t>Except for the Regulatory Approvals, no consent, authorization, order or approval of, or filing or</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with, any Governmental Body or other person is required for the execution and delivery by Buyer of this Agreement and any other agreements provided herein, and the consummation by Buyer of the transactions contemplated by this Agreement and such other agreements.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3.5 No Broker’s Fees. </w:t>
      </w:r>
      <w:r>
        <w:rPr>
          <w:rFonts w:ascii="Arial" w:cs="Arial" w:eastAsia="Arial" w:hAnsi="Arial"/>
          <w:sz w:val="18"/>
          <w:szCs w:val="18"/>
          <w:color w:val="auto"/>
        </w:rPr>
        <w:t>Neither Buyer nor anyone acting on its behalf has incurred or will incur a liability or obligation to pay fees or commissions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 broker, finder or agent with respect to the transactions contemplated by this Agreement or any other Transaction Document for which Seller could become liable. Buyer will be solely responsible for the fees and other amounts due legal counsel and other advisors engaged by Buyer in connection with the transactions contemplated by this Agreement or another Transaction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3.6 Accuracy of Statements. </w:t>
      </w:r>
      <w:r>
        <w:rPr>
          <w:rFonts w:ascii="Arial" w:cs="Arial" w:eastAsia="Arial" w:hAnsi="Arial"/>
          <w:sz w:val="18"/>
          <w:szCs w:val="18"/>
          <w:color w:val="auto"/>
        </w:rPr>
        <w:t>No representation or warranty made by Buyer in this Agreement or other Transaction Document or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schedule furnished to Seller pursuant to this Agreement or other Transaction Document in connection with the transactions contemplated hereby or thereby contains any untrue statement of a material fact or omits to state a material fact necessary to make the statements contained herein or therein not misleading.</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3.7 Sufficiency of Funds</w:t>
      </w:r>
      <w:r>
        <w:rPr>
          <w:rFonts w:ascii="Arial" w:cs="Arial" w:eastAsia="Arial" w:hAnsi="Arial"/>
          <w:sz w:val="18"/>
          <w:szCs w:val="18"/>
          <w:color w:val="auto"/>
        </w:rPr>
        <w:t>. Buyer (i) has sufficient cash, available lines of credit, or other sources of funds to enable it to pay the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this Agreement; (ii) has the resources and capabilities (financial and otherwise) to perform its obligations hereunder and under the Seller Note and Warrant; and (iii) has not incurred any obligation, commitment, restriction or liability which could impair adversely affect its ability to perform its obligations hereunder and under the Seller Note and Warrant.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AGREEMENTS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Parties hereby covenant and agree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Conduct Pending Closing.</w:t>
      </w:r>
    </w:p>
    <w:p>
      <w:pPr>
        <w:spacing w:after="0" w:line="229" w:lineRule="exact"/>
        <w:rPr>
          <w:sz w:val="20"/>
          <w:szCs w:val="20"/>
          <w:color w:val="auto"/>
        </w:rPr>
      </w:pPr>
    </w:p>
    <w:p>
      <w:pPr>
        <w:jc w:val="both"/>
        <w:ind w:firstLine="1305"/>
        <w:spacing w:after="0" w:line="279" w:lineRule="auto"/>
        <w:tabs>
          <w:tab w:leader="none" w:pos="1548" w:val="left"/>
        </w:tabs>
        <w:numPr>
          <w:ilvl w:val="0"/>
          <w:numId w:val="55"/>
        </w:numPr>
        <w:rPr>
          <w:rFonts w:ascii="Arial" w:cs="Arial" w:eastAsia="Arial" w:hAnsi="Arial"/>
          <w:sz w:val="17"/>
          <w:szCs w:val="17"/>
          <w:color w:val="auto"/>
        </w:rPr>
      </w:pPr>
      <w:r>
        <w:rPr>
          <w:rFonts w:ascii="Arial" w:cs="Arial" w:eastAsia="Arial" w:hAnsi="Arial"/>
          <w:sz w:val="17"/>
          <w:szCs w:val="17"/>
          <w:color w:val="auto"/>
        </w:rPr>
        <w:t>From the date of this Agreement to Closing, Seller will conduct its operations and affairs diligently and only in the Ordinary Course of Business, except for actions taken with Buyer’s prior written consent necessary to prepare for the consummation of the transactions contemplated by this Agreement. Seller will exercise its commercially reasonable efforts to preserve intact the present business organization, including completing all applicable renewals and revalidations, personnel and goodwill of Seller and the Business and to comply with applicable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4" w:name="page95"/>
    <w:bookmarkEnd w:id="94"/>
    <w:p>
      <w:pPr>
        <w:jc w:val="both"/>
        <w:ind w:firstLine="1305"/>
        <w:spacing w:after="0" w:line="269" w:lineRule="auto"/>
        <w:tabs>
          <w:tab w:leader="none" w:pos="155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Until Closing, Seller will not, and will cause its Affiliates and Representatives not to, directly or indirectly: (i) enter into or continue any negotiations, discussions or Contracts contemplating or relating to the acquisition by a Person other than Buyer of all or any part of the Purchased Assets, equity securities or other securities, properties, Assets or business of Seller or the Business (regardless of the form of the transaction); (ii) take an action that could interfere with or prevent the timely consummation of the transactions contemplated by this Agreement or another Transaction Document; or (iii) except for actions taken with Buyer’s prior written consent necessary for the consummation of the transactions contemplated by this Agreement, take an action that would constitute a Restricted Event or that would be inconsistent with a representation, warranty, covenant or agreement set forth in this Agreement, as if such representation, warranty, covenant or agreement were made both before and after such action. If there is a breach of clause (i) of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and the transactions contemplated by this Agreement are not consummated for any reason, in addition to other rights and remedies available to Buyer (which will remain available to Buyer notwithstanding anything else in this Agreement), Seller will, within three Business Days following written demand by Buyer, immediately reimburse Buyer for all fees and expenses actually paid or incurred by Buyer and its Affiliates in connection with the transactions contemplated by this Agreement, including fees of its Representatives.</w:t>
      </w:r>
    </w:p>
    <w:p>
      <w:pPr>
        <w:spacing w:after="0" w:line="182" w:lineRule="exact"/>
        <w:rPr>
          <w:rFonts w:ascii="Arial" w:cs="Arial" w:eastAsia="Arial" w:hAnsi="Arial"/>
          <w:sz w:val="17"/>
          <w:szCs w:val="17"/>
          <w:color w:val="auto"/>
        </w:rPr>
      </w:pPr>
    </w:p>
    <w:p>
      <w:pPr>
        <w:jc w:val="both"/>
        <w:ind w:firstLine="1305"/>
        <w:spacing w:after="0" w:line="255" w:lineRule="auto"/>
        <w:tabs>
          <w:tab w:leader="none" w:pos="1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Buyer shall prepare and submit all applicable notices and change of ownership applications (at Buyer’s sole expense) related to the Governmental Authorizations with each applicable Governmental Body necessary to continue to operate the Business in the same manner as Seller prior to Closing. Seller shall fully cooperate with Buyer and provide any documents or information required for Buyer to complete such submissions; provided, however, that Seller will have an opportunity to review such applications (which may be redacted to protect confidential or proprietary information, as determined by Buyer in its sole discretion) in advance of filing and will be afforded reasonable access to all communications with Governmental Bodies related to such applications and related consents, notices and approvals (which may also be redacted to protect confidential or proprietary information as determined by Buyer in its sole discretion).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4.2 Access and Investigation by Buyer; Customer Meetings. </w:t>
      </w:r>
      <w:r>
        <w:rPr>
          <w:rFonts w:ascii="Arial" w:cs="Arial" w:eastAsia="Arial" w:hAnsi="Arial"/>
          <w:sz w:val="17"/>
          <w:szCs w:val="17"/>
          <w:color w:val="auto"/>
        </w:rPr>
        <w:t>From the date of this Agreement to Closing, Seller will: (a) give Buyer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full and free access to Seller’s Books and Records, Assets and Representatives; and (b) promptly provide to Buyer and its Representatives copies of any information and documents relating to Seller, its Business or the Purchased Assets as Buyer or its Representatives may reasonably request. With the prior consent of Seller, Buyer and its Representatives will be given access to the employees and suppliers of Seller as designated by Buyer pursuant to an agreed upon protocol and format. Buyer and its Representatives will conduct themselves with respect to the access described in clause (a) above in a manner that does not unreasonably interfere with the normal operations of the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b w:val="1"/>
          <w:bCs w:val="1"/>
          <w:color w:val="auto"/>
        </w:rPr>
        <w:t>4.3 Reasonable Best Efforts; Notices.</w:t>
      </w:r>
    </w:p>
    <w:p>
      <w:pPr>
        <w:spacing w:after="0" w:line="229" w:lineRule="exact"/>
        <w:rPr>
          <w:sz w:val="20"/>
          <w:szCs w:val="20"/>
          <w:color w:val="auto"/>
        </w:rPr>
      </w:pPr>
    </w:p>
    <w:p>
      <w:pPr>
        <w:jc w:val="both"/>
        <w:ind w:firstLine="1305"/>
        <w:spacing w:after="0" w:line="271" w:lineRule="auto"/>
        <w:tabs>
          <w:tab w:leader="none" w:pos="15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Each Party will use its reasonable best efforts to fulfill, or cause to be fulfilled, the conditions required to be fulfilled by it or him to bring about the timely consummation of the transactions contemplated by this Agreement and the other Transaction Documents. Each Party will give prompt notice to the other Parties of the occurrence of any event or the failure of any event to occur that might preclude or interfere with the satisfaction of any condition precedent to the obligations of a Party under this Agreement or the timely consummation of the transactions contemplated by this Agreement or the other Transaction Documents. Without limiting the generality of the foregoing, Seller will promptly notify Buyer of any fact or circumstance that could constitute a breach of any of the representations and warranties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notification will not be deemed to be part of the Disclosure Schedule for purposes of this Agreement, will not be deemed to modify or cure any breach of a representation or warranty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limit in any way Buyer’s rights or remedies with respect to any such breach.</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5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Party will use reasonable best efforts to promptly make all filings and submissions required by Law, and promptly provide any additional information requested from any Governmental Body with respect to filings or submissions. Each Party will promptly inform the other Parties of any communication, and any proposed understanding, undertaking or agreement, with a Governmental Body in connection with any filing or submission related to the transactions contemplated by this Agreement.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5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or any other provision of this Agreement to the contrary, (i) Seller will not, without Buyer’s prior written consent, commit to any divestiture transaction or agree to any restriction on the Business, (ii) Buyer will not be required to contest or otherwise resist any administrative or judicial action or proceeding, including any proceeding by a private party, challenging any of the transactions contemplated by this Agreement as violating any antitrust or competition Law, and (iii) Buyer will not be required to offer, accept or agree (A) to dispose or hold separate any part of the Business, the Purchased Assets, or any other business, assets, operations or product lines of Buyer, (B) not to compete in any geographic area or line of business, or (C) to restrict the manner in which, or whether, Buyer or any of its Affiliates may carry on the Business or any other business in any part of the world.</w:t>
      </w:r>
    </w:p>
    <w:p>
      <w:pPr>
        <w:spacing w:after="0" w:line="189" w:lineRule="exact"/>
        <w:rPr>
          <w:rFonts w:ascii="Arial" w:cs="Arial" w:eastAsia="Arial" w:hAnsi="Arial"/>
          <w:sz w:val="18"/>
          <w:szCs w:val="18"/>
          <w:color w:val="auto"/>
        </w:rPr>
      </w:pPr>
    </w:p>
    <w:p>
      <w:pPr>
        <w:ind w:firstLine="1305"/>
        <w:spacing w:after="0" w:line="277" w:lineRule="auto"/>
        <w:tabs>
          <w:tab w:leader="none" w:pos="15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will not limit any applicable rights a Party may have to terminate this Agreement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so long as such Party has complied in all material respects with its obligations under this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4.4 Public Announcements. </w:t>
      </w:r>
      <w:r>
        <w:rPr>
          <w:rFonts w:ascii="Arial" w:cs="Arial" w:eastAsia="Arial" w:hAnsi="Arial"/>
          <w:sz w:val="17"/>
          <w:szCs w:val="17"/>
          <w:color w:val="auto"/>
        </w:rPr>
        <w:t>Following Closing, any public announcement concerning this Agreement and the transactions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by Seller or any of its Affiliates or Representatives will be subject to the prior written approval of Buyer. Prior to Closing, no Party will make any such public announcement except as required by Law without the consent of the other Parties, such consent not to be unreasonably withheld, conditioned or delayed; provided, however, that Seller Parent may make an announcement related to the signing of this Agreement and its material terms, without such approval, as it believes are required pursuant to any listing agreement with any national securities exchange or stock market or applicable securities Laws, in which case Seller shall allow Buyer reasonable time to comment on such release or announcement in advance of such issuance. The Parties will issue a joint press release for the transactions contemplated herein at Closing.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ind w:left="652"/>
        <w:spacing w:after="0"/>
        <w:rPr>
          <w:sz w:val="20"/>
          <w:szCs w:val="20"/>
          <w:color w:val="auto"/>
        </w:rPr>
      </w:pPr>
      <w:r>
        <w:rPr>
          <w:rFonts w:ascii="Arial" w:cs="Arial" w:eastAsia="Arial" w:hAnsi="Arial"/>
          <w:sz w:val="18"/>
          <w:szCs w:val="18"/>
          <w:b w:val="1"/>
          <w:bCs w:val="1"/>
          <w:color w:val="auto"/>
        </w:rPr>
        <w:t>4.5 Restrictive Covenants.</w:t>
      </w:r>
    </w:p>
    <w:p>
      <w:pPr>
        <w:spacing w:after="0" w:line="229" w:lineRule="exact"/>
        <w:rPr>
          <w:sz w:val="20"/>
          <w:szCs w:val="20"/>
          <w:color w:val="auto"/>
        </w:rPr>
      </w:pPr>
    </w:p>
    <w:p>
      <w:pPr>
        <w:jc w:val="both"/>
        <w:ind w:left="-8" w:firstLine="1305"/>
        <w:spacing w:after="0" w:line="286" w:lineRule="auto"/>
        <w:tabs>
          <w:tab w:leader="none" w:pos="153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Restricted Period, Buyer will not, directly or indirectly: (i) compete or plan to compete with Seller, Seller Parent or any of their Affiliates in the business of providing healthcare or compounded pharmaceutical products or services in the ophthalmic market (the “</w:t>
      </w:r>
      <w:r>
        <w:rPr>
          <w:rFonts w:ascii="Arial" w:cs="Arial" w:eastAsia="Arial" w:hAnsi="Arial"/>
          <w:sz w:val="16"/>
          <w:szCs w:val="16"/>
          <w:b w:val="1"/>
          <w:bCs w:val="1"/>
          <w:color w:val="auto"/>
        </w:rPr>
        <w:t>Buyer Restricted Business</w:t>
      </w:r>
      <w:r>
        <w:rPr>
          <w:rFonts w:ascii="Arial" w:cs="Arial" w:eastAsia="Arial" w:hAnsi="Arial"/>
          <w:sz w:val="16"/>
          <w:szCs w:val="16"/>
          <w:color w:val="auto"/>
        </w:rPr>
        <w:t>”), (ii) participate in the ownership, management, financing or control of, or act as an employee, advisor, consultant or agent to, or furnish services, information or advice to, whether or not for consideration, a Person that competes or plans to compete in the Buyer Restricted Business, or</w:t>
      </w:r>
    </w:p>
    <w:p>
      <w:pPr>
        <w:spacing w:after="0" w:line="1" w:lineRule="exact"/>
        <w:rPr>
          <w:rFonts w:ascii="Arial" w:cs="Arial" w:eastAsia="Arial" w:hAnsi="Arial"/>
          <w:sz w:val="16"/>
          <w:szCs w:val="16"/>
          <w:color w:val="auto"/>
        </w:rPr>
      </w:pPr>
    </w:p>
    <w:p>
      <w:pPr>
        <w:jc w:val="both"/>
        <w:ind w:left="-8" w:firstLine="8"/>
        <w:spacing w:after="0" w:line="281" w:lineRule="auto"/>
        <w:tabs>
          <w:tab w:leader="none" w:pos="30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take or encourage an action the purpose or effect of which is to evade the intent of this </w:t>
      </w:r>
      <w:r>
        <w:rPr>
          <w:rFonts w:ascii="Arial" w:cs="Arial" w:eastAsia="Arial" w:hAnsi="Arial"/>
          <w:sz w:val="16"/>
          <w:szCs w:val="16"/>
          <w:u w:val="single" w:color="auto"/>
          <w:color w:val="auto"/>
        </w:rPr>
        <w:t>Section 4.5</w:t>
      </w:r>
      <w:r>
        <w:rPr>
          <w:rFonts w:ascii="Arial" w:cs="Arial" w:eastAsia="Arial" w:hAnsi="Arial"/>
          <w:sz w:val="16"/>
          <w:szCs w:val="16"/>
          <w:color w:val="auto"/>
        </w:rPr>
        <w:t>. Notwithstanding the foregoing, Buyer may (i) engage in the business of providing autologous serum eye drops and dispensing of commercially available non-compounded finished form FDA approved drugs or</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57" w:val="left"/>
        </w:tabs>
        <w:numPr>
          <w:ilvl w:val="0"/>
          <w:numId w:val="60"/>
        </w:numPr>
        <w:rPr>
          <w:rFonts w:ascii="Arial" w:cs="Arial" w:eastAsia="Arial" w:hAnsi="Arial"/>
          <w:sz w:val="18"/>
          <w:szCs w:val="18"/>
          <w:color w:val="auto"/>
        </w:rPr>
      </w:pPr>
      <w:r>
        <w:rPr>
          <w:rFonts w:ascii="Arial" w:cs="Arial" w:eastAsia="Arial" w:hAnsi="Arial"/>
          <w:sz w:val="18"/>
          <w:szCs w:val="18"/>
          <w:color w:val="auto"/>
        </w:rPr>
        <w:t>own, directly or indirectly, solely as an investment, securities of any Person if Buyer is not a controlling Person of, or a member of a group which controls, such Person and does not, directly or indirectly, own twenty-five percent (25%) or more of any class of securities of such Person. The geographic scope of the foregoing covenant is the United States of America.</w:t>
      </w:r>
    </w:p>
    <w:p>
      <w:pPr>
        <w:spacing w:after="0" w:line="190" w:lineRule="exact"/>
        <w:rPr>
          <w:rFonts w:ascii="Arial" w:cs="Arial" w:eastAsia="Arial" w:hAnsi="Arial"/>
          <w:sz w:val="18"/>
          <w:szCs w:val="18"/>
          <w:color w:val="auto"/>
        </w:rPr>
      </w:pPr>
    </w:p>
    <w:p>
      <w:pPr>
        <w:ind w:left="1552" w:hanging="255"/>
        <w:spacing w:after="0"/>
        <w:tabs>
          <w:tab w:leader="none" w:pos="155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953"/>
        <w:spacing w:after="0" w:line="272" w:lineRule="auto"/>
        <w:tabs>
          <w:tab w:leader="none" w:pos="2169" w:val="left"/>
        </w:tabs>
        <w:numPr>
          <w:ilvl w:val="2"/>
          <w:numId w:val="60"/>
        </w:numPr>
        <w:rPr>
          <w:rFonts w:ascii="Arial" w:cs="Arial" w:eastAsia="Arial" w:hAnsi="Arial"/>
          <w:sz w:val="17"/>
          <w:szCs w:val="17"/>
          <w:color w:val="auto"/>
        </w:rPr>
      </w:pPr>
      <w:r>
        <w:rPr>
          <w:rFonts w:ascii="Arial" w:cs="Arial" w:eastAsia="Arial" w:hAnsi="Arial"/>
          <w:sz w:val="17"/>
          <w:szCs w:val="17"/>
          <w:color w:val="auto"/>
        </w:rPr>
        <w:t>During the period beginning on the Closing Date and ending three (3) years after the Closing Date, Seller will not, and will cause its Affiliates not to, directly or indirectly, (i) solicit for hire an employee of Buyer or any of its Affiliates, except pursuant to a general solicitation which is not directed specifically to any such employee, (ii) encourage, induce, seek to encourage or induce, or assist another Person to encourage, induce or seek to encourage or induce an employee, agent, independent contractor, customer, supplier or creditor of, or another Person having a business relationship with, Buyer or any of its Affiliates, to cease or adversely change its, his or her business relationship or dealings with Buyer or any such Affiliate or (iii) in any way deliberately interfere with the relationship between Buyer or its Affiliates and an employee, agent, independent contractor, customer, supplier or creditor of, or another Person having a business relationship with, Buyer or any such Affiliate.</w:t>
      </w:r>
    </w:p>
    <w:p>
      <w:pPr>
        <w:spacing w:after="0" w:line="177" w:lineRule="exact"/>
        <w:rPr>
          <w:rFonts w:ascii="Arial" w:cs="Arial" w:eastAsia="Arial" w:hAnsi="Arial"/>
          <w:sz w:val="17"/>
          <w:szCs w:val="17"/>
          <w:color w:val="auto"/>
        </w:rPr>
      </w:pPr>
    </w:p>
    <w:p>
      <w:pPr>
        <w:jc w:val="both"/>
        <w:ind w:left="-8" w:firstLine="1953"/>
        <w:spacing w:after="0" w:line="272" w:lineRule="auto"/>
        <w:tabs>
          <w:tab w:leader="none" w:pos="2216" w:val="left"/>
        </w:tabs>
        <w:numPr>
          <w:ilvl w:val="2"/>
          <w:numId w:val="60"/>
        </w:numPr>
        <w:rPr>
          <w:rFonts w:ascii="Arial" w:cs="Arial" w:eastAsia="Arial" w:hAnsi="Arial"/>
          <w:sz w:val="17"/>
          <w:szCs w:val="17"/>
          <w:color w:val="auto"/>
        </w:rPr>
      </w:pPr>
      <w:r>
        <w:rPr>
          <w:rFonts w:ascii="Arial" w:cs="Arial" w:eastAsia="Arial" w:hAnsi="Arial"/>
          <w:sz w:val="17"/>
          <w:szCs w:val="17"/>
          <w:color w:val="auto"/>
        </w:rPr>
        <w:t>During the period beginning on the Closing Date and ending three (3) years after the Closing Date, Buyer will not, and will cause its Affiliates not to, directly or indirectly, (i) solicit for hire an employee of Seller or any of its Affiliates, except pursuant to a general solicitation which is not directed specifically to any such employee, (ii) encourage, induce, seek to encourage or induce, or assist another Person to encourage, induce or seek to encourage or induce an employee, agent, independent contractor, customer, supplier or creditor of, or another Person having a business relationship with, Seller or any of its Affiliates, to cease or adversely change its, his or her business relationship or dealings with Seller or any such Affiliate or (iii) in any way deliberately interfere with the relationship between Seller or its Affiliates and an employee, agent, independent contractor, customer, supplier or creditor of, or another Person having a business relationship with, Seller or any such Affiliate.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97" w:name="page98"/>
    <w:bookmarkEnd w:id="97"/>
    <w:p>
      <w:pPr>
        <w:jc w:val="both"/>
        <w:ind w:firstLine="1305"/>
        <w:spacing w:after="0" w:line="255" w:lineRule="auto"/>
        <w:tabs>
          <w:tab w:leader="none" w:pos="154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From the date of this Agreement and forever afterward, Seller will not, and will cause its Affiliates not to, directly or indirectly, use or disclose to another Person any proprietary, secret or confidential information of or relating to the Business or Buyer or any of its Affiliates, other than such information that: (i) enters the public domain through no fault of Seller or any of its Affiliates; or (ii) is required by legal process or other applicable Law to be disclosed. If Seller or any of its Affiliates is required by legal process or other applicable Law to disclose such information, then Seller (or, if applicable, its Affiliate) will provide Buyer notice thereof a reasonable time before complying with the disclosure requirement so that Buyer (or, if applicable, its Affiliate) may seek an appropriate protective order, and Seller (as applicable) will (and, if applicable, will cause its Affiliates to) cooperate with the efforts of Buyer (or, if applicable, its Affiliate) to obtain the protective order.</w:t>
      </w:r>
    </w:p>
    <w:p>
      <w:pPr>
        <w:spacing w:after="0" w:line="189" w:lineRule="exact"/>
        <w:rPr>
          <w:rFonts w:ascii="Arial" w:cs="Arial" w:eastAsia="Arial" w:hAnsi="Arial"/>
          <w:sz w:val="18"/>
          <w:szCs w:val="18"/>
          <w:color w:val="auto"/>
        </w:rPr>
      </w:pPr>
    </w:p>
    <w:p>
      <w:pPr>
        <w:jc w:val="both"/>
        <w:ind w:firstLine="1305"/>
        <w:spacing w:after="0" w:line="287" w:lineRule="auto"/>
        <w:tabs>
          <w:tab w:leader="none" w:pos="157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In the event of any breach or violation by Seller, Buyer or any of their respective Affiliates of any of the covenants set forth in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time period of such covenant will be tolled until such breach or violation is resolved. If a court of competent jurisdiction finds that the time period of any of the foregoing covenants is too lengthy or the geographic coverage or scope is too broad, the restrictive time period will be deemed to be the longest period and the geographic coverage and scope will be deemed to comprise the largest coverage and scope, in either instance, as is permissible under applicable Law. It is the Parties’ intent, and a critical inducement to the Parties entering into this Agreement and the Transaction Documents and consummating the transactions contemplated hereby and thereby, and thus the Parties agree that the time period and the geographic coverage and scope of the covenants set forth in this Agreement are reasonable and necessary. If Seller, Buyer or any of their respective Affiliates breaches or Threatens to breach any of the foregoing covenants, the non-breaching Party and its Affiliates will be entitled to: (i) seek and receive specific performance and any other requested injunctive and other equitable relief in any court of competent jurisdiction, without the requirement of posting a bond or other security or proving the lack or inadequacy of a remedy at Law; and (ii) require such breaching Person to account for and pay over to the non-breaching Party any profits, monies, accruals, increments or other benefits derived or received by such Person as the result of any transactions constituting a breach of the provisions of this </w:t>
      </w:r>
      <w:r>
        <w:rPr>
          <w:rFonts w:ascii="Arial" w:cs="Arial" w:eastAsia="Arial" w:hAnsi="Arial"/>
          <w:sz w:val="16"/>
          <w:szCs w:val="16"/>
          <w:u w:val="single" w:color="auto"/>
          <w:color w:val="auto"/>
        </w:rPr>
        <w:t>Section 4.5</w:t>
      </w:r>
      <w:r>
        <w:rPr>
          <w:rFonts w:ascii="Arial" w:cs="Arial" w:eastAsia="Arial" w:hAnsi="Arial"/>
          <w:sz w:val="16"/>
          <w:szCs w:val="16"/>
          <w:color w:val="auto"/>
        </w:rPr>
        <w:t>, in each case in addition to other rights and remedies that may be available under applicable Law or otherwise.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4.6 Further Assurances; Cooperation. </w:t>
      </w:r>
      <w:r>
        <w:rPr>
          <w:rFonts w:ascii="Arial" w:cs="Arial" w:eastAsia="Arial" w:hAnsi="Arial"/>
          <w:sz w:val="17"/>
          <w:szCs w:val="17"/>
          <w:color w:val="auto"/>
        </w:rPr>
        <w:t>Following Closing: (a) each Party will take such additional actions, execute and deliver such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do such other acts and things as another Party may reasonably request for the purpose of carrying out and documenting the intent of this Agreement and the other Transaction Documents; (b) Seller will reasonably cooperate with Buyer in its efforts to continue and maintain the relationships of Seller existing prior to Closing, including relationships with lessors, Governmental Bodies, customers, suppliers, employees, independent contractors, creditors and others; (c) Seller will not take any action that could tend to diminish the value of a Purchased Asset or the Business or that could interfere with the operation of the Business; and (d) Seller will not, and will cause its Affiliates not to, directly or indirectly, make or publish a negative or disparaging comment or remark regarding the Business, the Purchased Assets, Buyer or its Affiliates.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 Tax Matters.</w:t>
      </w:r>
    </w:p>
    <w:p>
      <w:pPr>
        <w:spacing w:after="0" w:line="229" w:lineRule="exact"/>
        <w:rPr>
          <w:sz w:val="20"/>
          <w:szCs w:val="20"/>
          <w:color w:val="auto"/>
        </w:rPr>
      </w:pPr>
    </w:p>
    <w:p>
      <w:pPr>
        <w:jc w:val="both"/>
        <w:ind w:firstLine="1305"/>
        <w:spacing w:after="0" w:line="279" w:lineRule="auto"/>
        <w:tabs>
          <w:tab w:leader="none" w:pos="155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Any Taxes payable by reason of transfer and conveyance of the Purchased Assets will be paid entirely by Seller, and Seller shall indemnify, defend and hold the Buyer Indemnified Parties harmless from and against any and all Losses arising out of or relating to or resulting from the failure by Seller to timely pay such Taxes. Seller shall prepare and file all necessary Tax Returns and other documentation with respect to all such transfer Taxes as may be necessary to comply with the laws and regulations relating to such sales, use and/or transfer Taxes.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8" w:name="page99"/>
    <w:bookmarkEnd w:id="98"/>
    <w:p>
      <w:pPr>
        <w:jc w:val="both"/>
        <w:ind w:left="-20" w:firstLine="1305"/>
        <w:spacing w:after="0" w:line="268" w:lineRule="auto"/>
        <w:tabs>
          <w:tab w:leader="none" w:pos="153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Seller hereby agrees to indemnify, defend and hold the Buyer Indemnified Parties harmless from and against any and all Losses arising out of or relating to or resulting from: (i) all Taxes (or the non-payment thereof) of Seller, or relating or arising out of the operation of the Business, for all taxable periods ending on or before the Closing Date and the portion through the end of the Closing Date of any Straddle Period (such Taxes, “</w:t>
      </w:r>
      <w:r>
        <w:rPr>
          <w:rFonts w:ascii="Arial" w:cs="Arial" w:eastAsia="Arial" w:hAnsi="Arial"/>
          <w:sz w:val="17"/>
          <w:szCs w:val="17"/>
          <w:b w:val="1"/>
          <w:bCs w:val="1"/>
          <w:color w:val="auto"/>
        </w:rPr>
        <w:t>Pre-Closing Taxes</w:t>
      </w:r>
      <w:r>
        <w:rPr>
          <w:rFonts w:ascii="Arial" w:cs="Arial" w:eastAsia="Arial" w:hAnsi="Arial"/>
          <w:sz w:val="17"/>
          <w:szCs w:val="17"/>
          <w:color w:val="auto"/>
        </w:rPr>
        <w:t>” and such period, “</w:t>
      </w:r>
      <w:r>
        <w:rPr>
          <w:rFonts w:ascii="Arial" w:cs="Arial" w:eastAsia="Arial" w:hAnsi="Arial"/>
          <w:sz w:val="17"/>
          <w:szCs w:val="17"/>
          <w:b w:val="1"/>
          <w:bCs w:val="1"/>
          <w:color w:val="auto"/>
        </w:rPr>
        <w:t>Pre-Closing Tax Period</w:t>
      </w:r>
      <w:r>
        <w:rPr>
          <w:rFonts w:ascii="Arial" w:cs="Arial" w:eastAsia="Arial" w:hAnsi="Arial"/>
          <w:sz w:val="17"/>
          <w:szCs w:val="17"/>
          <w:color w:val="auto"/>
        </w:rPr>
        <w:t xml:space="preserve">”), (ii) all Taxes of any member of an affiliated, combined or unitary group of which Seller is or was a member on or prior to the Closing Date, including pursuant to Treasury Regulation §1.1502-6 or any analogous or similar state, local or foreign Law, and/or (iii) any Taxes of any other Person for which the Buyer Indemnified Parties or any of Seller is or may become liable as a transferee in equity or in law or by contract which Taxes relate to an event or transaction occurring on or before the Closing Date. For purposes of this </w:t>
      </w:r>
      <w:r>
        <w:rPr>
          <w:rFonts w:ascii="Arial" w:cs="Arial" w:eastAsia="Arial" w:hAnsi="Arial"/>
          <w:sz w:val="17"/>
          <w:szCs w:val="17"/>
          <w:u w:val="single" w:color="auto"/>
          <w:color w:val="auto"/>
        </w:rPr>
        <w:t>Section 4.7(b)</w:t>
      </w:r>
      <w:r>
        <w:rPr>
          <w:rFonts w:ascii="Arial" w:cs="Arial" w:eastAsia="Arial" w:hAnsi="Arial"/>
          <w:sz w:val="17"/>
          <w:szCs w:val="17"/>
          <w:color w:val="auto"/>
        </w:rPr>
        <w:t>, in the case of any Straddle Period, the determination of the amount of any Taxes based on or measured by income, receipts, or payroll for the Pre-Closing Tax Period shall be made by assuming that the Straddle Period consisted of two taxable years or periods, one which ended at the close of the Closing Date and the other which began at the beginning of the day following the Closing Date. Items of income, gain, deduction, loss or credit of Seller for the Straddle Period shall be allocated between such two taxable years or periods on a “closing of the books basis” by assuming that the books of Seller were closed at the close of the Closing Date; provided, however, that exemptions, allowances or deductions that are calculated on an annual basis, such as property Taxes and depreciation deductions, shall be apportioned between such two taxable years or periods on a daily basis. The determination of the amount of any other Taxes for a Straddle Period that relates to the Pre-Closing Tax Period shall be made by multiplying the amount of such Tax for the entire taxable period by a fraction the numerator of which is the number of days in the taxable period ending on the Closing Date and the denominator of which is the number of days in such Straddle Period.</w:t>
      </w:r>
    </w:p>
    <w:p>
      <w:pPr>
        <w:spacing w:after="0" w:line="180" w:lineRule="exact"/>
        <w:rPr>
          <w:rFonts w:ascii="Arial" w:cs="Arial" w:eastAsia="Arial" w:hAnsi="Arial"/>
          <w:sz w:val="17"/>
          <w:szCs w:val="17"/>
          <w:color w:val="auto"/>
        </w:rPr>
      </w:pPr>
    </w:p>
    <w:p>
      <w:pPr>
        <w:jc w:val="both"/>
        <w:ind w:left="-20" w:firstLine="1305"/>
        <w:spacing w:after="0" w:line="257" w:lineRule="auto"/>
        <w:tabs>
          <w:tab w:leader="none" w:pos="152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Tax Clearance Certificate</w:t>
      </w:r>
      <w:r>
        <w:rPr>
          <w:rFonts w:ascii="Arial" w:cs="Arial" w:eastAsia="Arial" w:hAnsi="Arial"/>
          <w:sz w:val="18"/>
          <w:szCs w:val="18"/>
          <w:color w:val="auto"/>
        </w:rPr>
        <w:t>. If requested by Buyer, Seller shall notify all of the taxing authorities in the jurisdictions that impose Taxes on Seller or where Seller has a duty to file Tax Returns of the transactions contemplated by this Agreement in the form and manner required by such taxing authorities, if the failure to make such notifications or receive any available tax clearance certificate (a “</w:t>
      </w:r>
      <w:r>
        <w:rPr>
          <w:rFonts w:ascii="Arial" w:cs="Arial" w:eastAsia="Arial" w:hAnsi="Arial"/>
          <w:sz w:val="18"/>
          <w:szCs w:val="18"/>
          <w:b w:val="1"/>
          <w:bCs w:val="1"/>
          <w:color w:val="auto"/>
        </w:rPr>
        <w:t>Tax Clearance Certificate</w:t>
      </w:r>
      <w:r>
        <w:rPr>
          <w:rFonts w:ascii="Arial" w:cs="Arial" w:eastAsia="Arial" w:hAnsi="Arial"/>
          <w:sz w:val="18"/>
          <w:szCs w:val="18"/>
          <w:color w:val="auto"/>
        </w:rPr>
        <w:t>”) could subject Buyer to any Taxes of Seller. If any taxing authority asserts that Seller is liable for any Tax, Seller shall promptly pay any and all such amounts and shall provide evidence to Buyer that such liabilities have been paid in full or otherwise satisfied.</w:t>
      </w:r>
    </w:p>
    <w:p>
      <w:pPr>
        <w:spacing w:after="0" w:line="188" w:lineRule="exact"/>
        <w:rPr>
          <w:rFonts w:ascii="Arial" w:cs="Arial" w:eastAsia="Arial" w:hAnsi="Arial"/>
          <w:sz w:val="18"/>
          <w:szCs w:val="18"/>
          <w:color w:val="auto"/>
        </w:rPr>
      </w:pPr>
    </w:p>
    <w:p>
      <w:pPr>
        <w:ind w:left="1540" w:hanging="255"/>
        <w:spacing w:after="0"/>
        <w:tabs>
          <w:tab w:leader="none" w:pos="154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Assistance and Cooperation</w:t>
      </w:r>
      <w:r>
        <w:rPr>
          <w:rFonts w:ascii="Arial" w:cs="Arial" w:eastAsia="Arial" w:hAnsi="Arial"/>
          <w:sz w:val="17"/>
          <w:szCs w:val="17"/>
          <w:color w:val="auto"/>
        </w:rPr>
        <w:t>. After the Closing Date, each of Seller and Buyer shall (and shall cause their respective Affiliates to):</w:t>
      </w:r>
    </w:p>
    <w:p>
      <w:pPr>
        <w:spacing w:after="0" w:line="236" w:lineRule="exact"/>
        <w:rPr>
          <w:rFonts w:ascii="Arial" w:cs="Arial" w:eastAsia="Arial" w:hAnsi="Arial"/>
          <w:sz w:val="17"/>
          <w:szCs w:val="17"/>
          <w:color w:val="auto"/>
        </w:rPr>
      </w:pPr>
    </w:p>
    <w:p>
      <w:pPr>
        <w:ind w:left="-20" w:firstLine="1953"/>
        <w:spacing w:after="0" w:line="277" w:lineRule="auto"/>
        <w:tabs>
          <w:tab w:leader="none" w:pos="21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timely sign and deliver such certificates or forms as may be necessary or appropriate to establish an exemption from (or otherwise reduce), or file Tax Returns or other reports with respect to, Taxes described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9" w:name="page100"/>
    <w:bookmarkEnd w:id="99"/>
    <w:p>
      <w:pPr>
        <w:ind w:firstLine="1953"/>
        <w:spacing w:after="0" w:line="277" w:lineRule="auto"/>
        <w:tabs>
          <w:tab w:leader="none" w:pos="221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assist the other Party in preparing any Tax Returns which such other Party is responsible for preparing and filing in accordance with </w:t>
      </w:r>
      <w:r>
        <w:rPr>
          <w:rFonts w:ascii="Arial" w:cs="Arial" w:eastAsia="Arial" w:hAnsi="Arial"/>
          <w:sz w:val="18"/>
          <w:szCs w:val="18"/>
          <w:u w:val="single" w:color="auto"/>
          <w:color w:val="auto"/>
        </w:rPr>
        <w:t>Section 4.7(d)</w:t>
      </w:r>
      <w:r>
        <w:rPr>
          <w:rFonts w:ascii="Arial" w:cs="Arial" w:eastAsia="Arial" w:hAnsi="Arial"/>
          <w:sz w:val="18"/>
          <w:szCs w:val="18"/>
          <w:color w:val="auto"/>
        </w:rPr>
        <w:t xml:space="preserve"> and, in connection therewith, provide the other Party with any necessary powers of attorney;</w:t>
      </w:r>
    </w:p>
    <w:p>
      <w:pPr>
        <w:spacing w:after="0" w:line="170" w:lineRule="exact"/>
        <w:rPr>
          <w:rFonts w:ascii="Arial" w:cs="Arial" w:eastAsia="Arial" w:hAnsi="Arial"/>
          <w:sz w:val="18"/>
          <w:szCs w:val="18"/>
          <w:color w:val="auto"/>
        </w:rPr>
      </w:pPr>
    </w:p>
    <w:p>
      <w:pPr>
        <w:ind w:firstLine="1953"/>
        <w:spacing w:after="0" w:line="277" w:lineRule="auto"/>
        <w:tabs>
          <w:tab w:leader="none" w:pos="22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cooperate fully, as and to the extent reasonably requested by the other Party, in preparing for and defending any audits of, or disputes with Taxing authorities regarding, any Tax Returns of Seller;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make available to the other Party, and to any Taxing authority as reasonably requested, all information, records, and documents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relating to Taxes of Seller;</w:t>
      </w:r>
    </w:p>
    <w:p>
      <w:pPr>
        <w:spacing w:after="0" w:line="210" w:lineRule="exact"/>
        <w:rPr>
          <w:rFonts w:ascii="Arial" w:cs="Arial" w:eastAsia="Arial" w:hAnsi="Arial"/>
          <w:sz w:val="16"/>
          <w:szCs w:val="16"/>
          <w:color w:val="auto"/>
        </w:rPr>
      </w:pPr>
    </w:p>
    <w:p>
      <w:pPr>
        <w:ind w:firstLine="1953"/>
        <w:spacing w:after="0" w:line="277" w:lineRule="auto"/>
        <w:tabs>
          <w:tab w:leader="none" w:pos="22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furnish the other Party with copies of all correspondence received from any Taxing authority in connection with any Tax Proceeding, audit or information request; and</w:t>
      </w:r>
    </w:p>
    <w:p>
      <w:pPr>
        <w:spacing w:after="0" w:line="170" w:lineRule="exact"/>
        <w:rPr>
          <w:rFonts w:ascii="Arial" w:cs="Arial" w:eastAsia="Arial" w:hAnsi="Arial"/>
          <w:sz w:val="18"/>
          <w:szCs w:val="18"/>
          <w:color w:val="auto"/>
        </w:rPr>
      </w:pPr>
    </w:p>
    <w:p>
      <w:pPr>
        <w:jc w:val="both"/>
        <w:ind w:firstLine="1953"/>
        <w:spacing w:after="0" w:line="286" w:lineRule="auto"/>
        <w:tabs>
          <w:tab w:leader="none" w:pos="2251"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retain, or cause to be retained, for so long as any such taxable years or audits shall remain open for adjustments, any records or information which may be reasonably relevant to any such Tax Returns or audits, provided that such records and information are not required to be retained for a period in excess of seven (7) years from the close of taxable year to which such information may be relevant.</w:t>
      </w:r>
    </w:p>
    <w:p>
      <w:pPr>
        <w:spacing w:after="0" w:line="165" w:lineRule="exact"/>
        <w:rPr>
          <w:rFonts w:ascii="Arial" w:cs="Arial" w:eastAsia="Arial" w:hAnsi="Arial"/>
          <w:sz w:val="17"/>
          <w:szCs w:val="17"/>
          <w:color w:val="auto"/>
        </w:rPr>
      </w:pPr>
    </w:p>
    <w:p>
      <w:pPr>
        <w:ind w:left="1540" w:hanging="235"/>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Tax Proceedings and Audits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to the contrary herein, Seller shall exclusively control (at their own expense) the contest of the portions of any audits, disputes, administrative, judicial or other Proceedings relating to income Taxes of Seller for the portion through the end of the Closing Date of any Straddle Period; provided, however, that Seller may not settle any such claim without the consent of Buyer, which shall not be unreasonably withheld or delayed.</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214"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to the contrary herein, Seller and Buyer shall jointly control (each at its own expense) the contest of the portions of any audits, disputes, administrative, judicial or other Proceedings relating to Taxes other than income Taxes of Seller for the portion through the end of the Closing Date of any Straddle Period, and neither Seller nor Buyer may settle such claim without the consent of the other Party, which shall not be unreasonably withheld or delayed.</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2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the avoidance of doubt, Buyer shall control (at Seller’s expense) the contest of the portion of any audits, disputes, administrative, judicial or other Proceedings relating to the Taxes of Seller for the portion of any Straddle Period beginning after the Closing Date and all periods beginning after the Closing Date.</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1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Seller shall timely file or cause to be timely filed when due all Tax Returns that are required to be filed by or with respect to Seller on or prior to the Closing Date and such Tax Returns shall be filed in a manner consistent with past practice (to the extent in compliance with applicable law) and no position shall be taken, election made or method adopted that is inconsistent with positions taken, elections made or methods used in prior periods in preparing and filing similar Tax Returns (unless otherwise required by applicable law). In each case, Seller shall remit any Taxes due in respect of such Tax Returns.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0" w:name="page101"/>
    <w:bookmarkEnd w:id="100"/>
    <w:p>
      <w:pPr>
        <w:ind w:firstLine="1953"/>
        <w:spacing w:after="0" w:line="277" w:lineRule="auto"/>
        <w:tabs>
          <w:tab w:leader="none" w:pos="2219"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4.7(a)</w:t>
      </w:r>
      <w:r>
        <w:rPr>
          <w:rFonts w:ascii="Arial" w:cs="Arial" w:eastAsia="Arial" w:hAnsi="Arial"/>
          <w:sz w:val="18"/>
          <w:szCs w:val="18"/>
          <w:color w:val="auto"/>
        </w:rPr>
        <w:t>, Buyer shall timely file or cause to be timely filed when due all Tax Returns that are required to be filed by or with respect to Seller after the Closing Date.</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56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 Rights</w:t>
      </w:r>
      <w:r>
        <w:rPr>
          <w:rFonts w:ascii="Arial" w:cs="Arial" w:eastAsia="Arial" w:hAnsi="Arial"/>
          <w:sz w:val="18"/>
          <w:szCs w:val="18"/>
          <w:color w:val="auto"/>
        </w:rPr>
        <w:t>. Buyer shall be entitled to deduct and withhold from any amounts payable to Seller under this Agreement or any other Transaction Document such amounts as Buyer is required to deduct and withhold with respect to the making of such payment under the Code, or any provision of applicable Tax law and shall timely remit to the appropriate Taxing authority any and all amounts so deducted or withheld. To the extent that such amounts are so withheld or paid over to or deposited with the relevant Taxing authority by Buyer in accordance with the foregoing, such withheld amounts shall be treated for all purposes of this Agreement and the other Transaction Documents as having been paid to the applicable Seller in respect to which such deduction and withholding was made. To the extent required in connection with any withholding Taxes or obligations, or any applicable exemption therefrom with respect to the Transactions or the payment of the Purchase Price, Seller shall promptly provide documentation or certification reasonably requested by Buyer.</w:t>
      </w:r>
    </w:p>
    <w:p>
      <w:pPr>
        <w:spacing w:after="0" w:line="18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4.8 Payments Received. </w:t>
      </w:r>
      <w:r>
        <w:rPr>
          <w:rFonts w:ascii="Arial" w:cs="Arial" w:eastAsia="Arial" w:hAnsi="Arial"/>
          <w:sz w:val="17"/>
          <w:szCs w:val="17"/>
          <w:color w:val="auto"/>
        </w:rPr>
        <w:t>After Closing, Seller will hold and promptly remit to Buyer any cash, checks (with appropriate endorsements)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received by Seller following Closing which are included among the Purchased Assets or properly belongs to Buyer under this Agreement. Buyer may, upon reasonable notice, audit the Books and Records of Seller to ensure compliance with this </w:t>
      </w:r>
      <w:r>
        <w:rPr>
          <w:rFonts w:ascii="Arial" w:cs="Arial" w:eastAsia="Arial" w:hAnsi="Arial"/>
          <w:sz w:val="17"/>
          <w:szCs w:val="17"/>
          <w:u w:val="single" w:color="auto"/>
          <w:color w:val="auto"/>
        </w:rPr>
        <w:t>Section 4.8</w:t>
      </w:r>
      <w:r>
        <w:rPr>
          <w:rFonts w:ascii="Arial" w:cs="Arial" w:eastAsia="Arial" w:hAnsi="Arial"/>
          <w:sz w:val="17"/>
          <w:szCs w:val="17"/>
          <w:color w:val="auto"/>
        </w:rPr>
        <w:t>. From and after Closing, Buyer may endorse the name of Seller on any check or other evidences of indebtedness received on account of any Purchased Asset.</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4.9 Names. </w:t>
      </w:r>
      <w:r>
        <w:rPr>
          <w:rFonts w:ascii="Arial" w:cs="Arial" w:eastAsia="Arial" w:hAnsi="Arial"/>
          <w:sz w:val="18"/>
          <w:szCs w:val="18"/>
          <w:color w:val="auto"/>
        </w:rPr>
        <w:t>From and after the date of this Agreement, Seller will cease to use the trade names included among the Purchased Assets, any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derivations thereof and any names confusingly similar to any of the foregoing, except in connection with Tax Returns and for similar purposes relating to periods prior to Closing. Within ten (10) days following Closing, Seller will take all necessary actions, including the filing of any documents to no longer use the name “Park Compounding”in any trade related materials.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4.10 Employee Matters; Benefit Plans.</w:t>
      </w:r>
    </w:p>
    <w:p>
      <w:pPr>
        <w:spacing w:after="0" w:line="229" w:lineRule="exact"/>
        <w:rPr>
          <w:sz w:val="20"/>
          <w:szCs w:val="20"/>
          <w:color w:val="auto"/>
        </w:rPr>
      </w:pPr>
    </w:p>
    <w:p>
      <w:pPr>
        <w:jc w:val="both"/>
        <w:ind w:firstLine="1305"/>
        <w:spacing w:after="0" w:line="272" w:lineRule="auto"/>
        <w:tabs>
          <w:tab w:leader="none" w:pos="1551"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Seller will reasonably assist Buyer and its Affiliates in their efforts to hire the employees of Seller identified by Buyer, and Seller will not attempt to retain any such employees or encourage them to accept employment with another Person. Buyer may, at its option, offer employment to any of the employees of Seller pursuant to a protocol agreed to by the Parties, such employment to commence immediately after Closing. Subject to applicable Law, Seller will furnish to Buyer and its Representatives such information in Seller’s personnel files as Buyer may reasonably request in connection with determining whether to offer employment to such employees. Seller will use reasonable efforts to assist Buyer in encouraging all employees of Seller who receive an offer of employment from Buyer or its Affiliates to accept such offer on the terms and conditions offered by Buyer or such Affiliate. Those employees of Seller that accept employment with Buyer or its Affiliates will be referred to as “</w:t>
      </w:r>
      <w:r>
        <w:rPr>
          <w:rFonts w:ascii="Arial" w:cs="Arial" w:eastAsia="Arial" w:hAnsi="Arial"/>
          <w:sz w:val="17"/>
          <w:szCs w:val="17"/>
          <w:b w:val="1"/>
          <w:bCs w:val="1"/>
          <w:color w:val="auto"/>
        </w:rPr>
        <w:t>Transferred Employees</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1" w:name="page102"/>
    <w:bookmarkEnd w:id="101"/>
    <w:p>
      <w:pPr>
        <w:jc w:val="both"/>
        <w:ind w:firstLine="1305"/>
        <w:spacing w:after="0" w:line="270" w:lineRule="auto"/>
        <w:tabs>
          <w:tab w:leader="none" w:pos="15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Seller will comply with all WARN Act requirements, if applicable, and terminate all employees (including but not limited to Transferred Employees) prior to the Closing. Seller will be responsible for all Losses relating to or arising out of the employment, engagement, remuneration or cessation of employment of Seller’s employees hired by Buyer or its Affiliates immediately after Closing (and the dependents of such individuals) with respect to all periods prior to Closing, except to the extent any such Losses are included among the Assumed Liabilities. Seller will pay each Transferred Employee’s earned or accrued wages, salary, commission, bonus, vacation pay, paid time off and other employee compensation and benefits related to his or her employment with Seller for all periods through Closing in a timely fashion and not later than the date such payment is required by Law or the provisions of Seller Benefit Plan or Contract under which such compensation is or becomes duly payable, except, in each case, to the extent such obligations are included among the Assumed Liabilities. Seller will be responsible for payment of all wages, salary, commission, bonus, vacation pay, paid time off and other employee compensation and benefits related to employment with Seller for all periods, before, on, and, if any, after Closing, with respect to the employees of Seller who are not hired by Buyer or any of its Affiliates.</w:t>
      </w:r>
    </w:p>
    <w:p>
      <w:pPr>
        <w:spacing w:after="0" w:line="177" w:lineRule="exact"/>
        <w:rPr>
          <w:rFonts w:ascii="Arial" w:cs="Arial" w:eastAsia="Arial" w:hAnsi="Arial"/>
          <w:sz w:val="17"/>
          <w:szCs w:val="17"/>
          <w:color w:val="auto"/>
        </w:rPr>
      </w:pPr>
    </w:p>
    <w:p>
      <w:pPr>
        <w:ind w:left="1540" w:hanging="235"/>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Buyer nor any of its Affiliates will assume, or be deemed to have assumed, Seller Benefit Plan.</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5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 provision in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will (i) create any third-party beneficiary or other rights in any employee or former employee (including any beneficiary or dependent thereof) of Seller or any other Person other than the Parties and their respective successors and permitted assigns, (ii) constitute or create or be deemed to constitute or create an employment agreement or otherwise alter the at-will nature of any employment relationship or (iii) constitute or be deemed to constitute an amendment to any Employee Benefit Plan sponsored or maintained by Seller, Buyer or any of their respective Affiliates.</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4.11 Interim Financials. </w:t>
      </w:r>
      <w:r>
        <w:rPr>
          <w:rFonts w:ascii="Arial" w:cs="Arial" w:eastAsia="Arial" w:hAnsi="Arial"/>
          <w:sz w:val="18"/>
          <w:szCs w:val="18"/>
          <w:color w:val="auto"/>
        </w:rPr>
        <w:t>As promptly as practicable following each calendar month between the date of this Agreement and the Closing Date, Seller</w:t>
      </w:r>
      <w:r>
        <w:rPr>
          <w:rFonts w:ascii="Arial" w:cs="Arial" w:eastAsia="Arial" w:hAnsi="Arial"/>
          <w:sz w:val="18"/>
          <w:szCs w:val="18"/>
          <w:b w:val="1"/>
          <w:bCs w:val="1"/>
          <w:color w:val="auto"/>
        </w:rPr>
        <w:t xml:space="preserve"> </w:t>
      </w:r>
      <w:r>
        <w:rPr>
          <w:rFonts w:ascii="Arial" w:cs="Arial" w:eastAsia="Arial" w:hAnsi="Arial"/>
          <w:sz w:val="18"/>
          <w:szCs w:val="18"/>
          <w:color w:val="auto"/>
        </w:rPr>
        <w:t>will deliver to Buyer periodic financial reports in the form that is consistent with the Financial Statements concerning the Business and, if available, unaudited statements of the financial position of the Business as of the last day of such calendar month and statements of income of the Business for the calendar month then ended. Seller covenant that such interim statements (a) will present fairly the financial condition of the Business and Seller as of their respective dates and the related results of their respective operations for the respective calendar month then ended and (b) will be prepared on a basis consistent with prior interim periods.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4.12 Discharge of Excluded Liabilities. </w:t>
      </w:r>
      <w:r>
        <w:rPr>
          <w:rFonts w:ascii="Arial" w:cs="Arial" w:eastAsia="Arial" w:hAnsi="Arial"/>
          <w:sz w:val="18"/>
          <w:szCs w:val="18"/>
          <w:color w:val="auto"/>
        </w:rPr>
        <w:t>Seller will timely discharge, or make adequate provisions for the timely discharge of, the Excluded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other liabilities and obligations of Seller under this Agreement and the Transaction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2" w:name="page103"/>
    <w:bookmarkEnd w:id="102"/>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4.13 Certain Assigned Contracts. </w:t>
      </w:r>
      <w:r>
        <w:rPr>
          <w:rFonts w:ascii="Arial" w:cs="Arial" w:eastAsia="Arial" w:hAnsi="Arial"/>
          <w:sz w:val="16"/>
          <w:szCs w:val="16"/>
          <w:color w:val="auto"/>
        </w:rPr>
        <w:t>To the extent that any Assigned Contract is not capable of being assigned to Buyer at Closing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waiver, confirmation or agreement of the other party thereto or any other Person which, in any case, has not been obtained, or if such assignment or attempted assignment would constitute a breach thereof or a violation of any Law, neither this Agreement nor any other Transaction Document will constitute an assignment or an attempted assignment of such Assigned Contract. If any Assigned Contract is not transferred to Buyer at Closing because a required third-party consent, waiver, confirmation or agreement has not been obtained, then this Agreement and the other Transaction Documents will constitute an equitable assignment by Seller to Buyer of all of Seller’s rights, benefits, title and interest in and to such Assigned Contract, to the extent permitted by Law, and Buyer will be deemed to be Seller’s agent for the purpose of performing, fulfilling and discharging Seller’s rights and obligations arising after the Closing Date under such Assigned Contract. In furtherance of the foregoing, following Closing, until the completion of the transfer of all Assigned Contracts to Buyer, Seller will, and they will cause their respective Affiliates to, (i) provide to Buyer the benefits of each Assigned Contract, (ii) cooperate in reasonable and lawful arrangements designed to provide such benefits to Buyer, (iii) enforce, at the request of Buyer and for the account of Buyer, any rights of Seller arising from or related to such Assigned Contracts and (iv) promptly pay over and remit to Buyer without consideration any payments or other rights or benefits received by Seller or its Affiliates with respect to any such Assigned Contracts.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4.14 Prorations. </w:t>
      </w:r>
      <w:r>
        <w:rPr>
          <w:rFonts w:ascii="Arial" w:cs="Arial" w:eastAsia="Arial" w:hAnsi="Arial"/>
          <w:sz w:val="18"/>
          <w:szCs w:val="18"/>
          <w:color w:val="auto"/>
        </w:rPr>
        <w:t>All Proration Items that relate, in whole or in part, to periods on or prior to the Closing Date will be apportioned as of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net amount of all Proration Items will be settled, if practicable, within 90 days following Closing. In the event that the amount of any of the Proration Items is not then known by Buyer and Seller, the proration will be made based upon the amount of the most recent cost of such Proration Item to Seller. Thereafter, Buyer and Seller each will provide to the other written notice, within ten (10) days after receipt, of each invoice relating to any Proration Item so estimated. Within ten (10) days thereafter, Buyer or Seller, as applicable, will make any payment to the other that is necessary to true up any proration based on the actual invoice.</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4.15 Prescription Files. </w:t>
      </w:r>
      <w:r>
        <w:rPr>
          <w:rFonts w:ascii="Arial" w:cs="Arial" w:eastAsia="Arial" w:hAnsi="Arial"/>
          <w:sz w:val="18"/>
          <w:szCs w:val="18"/>
          <w:color w:val="auto"/>
        </w:rPr>
        <w:t>On the Closing Date, Seller will deliver the Prescription Files to Buyer, in an electronic format reasonably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Buyer in accordance with all applicable state and federal pharmacy regulations. Prior to the Closing Date, to the extent permitted by applicable Law, Seller will afford promptly to Buyer and its agents access to the Prescription Files (with an opportunity to make copies), during normal business hours and upon reasonable notice to Seller.</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4.16 Data Transfer Requirements. </w:t>
      </w:r>
      <w:r>
        <w:rPr>
          <w:rFonts w:ascii="Arial" w:cs="Arial" w:eastAsia="Arial" w:hAnsi="Arial"/>
          <w:sz w:val="17"/>
          <w:szCs w:val="17"/>
          <w:color w:val="auto"/>
        </w:rPr>
        <w:t>Not less than ten (10) days prior to the Closing Date, Buyer and Seller will have agreed to a final approach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conversion of Prescription Files (including e-commerce Prescription Files), such Prescription Files will have been converted in accordance with such agreed final approach, and a user interface test with respect to patient outreach, prescription transfer and transfer of prescription images will have been performed by Buyer and Seller immediately after such conversion, which test will have produced results reasonably acceptable to Buyer.</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4.17 Controlled Substances Inventory. </w:t>
      </w:r>
      <w:r>
        <w:rPr>
          <w:rFonts w:ascii="Arial" w:cs="Arial" w:eastAsia="Arial" w:hAnsi="Arial"/>
          <w:sz w:val="16"/>
          <w:szCs w:val="16"/>
          <w:color w:val="auto"/>
        </w:rPr>
        <w:t>To the extent required by applicable Law, including United States Drug Enforcement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in connection with the transactions contemplated by this Agreement, Seller will undertake and deliver to Buyer, immediately prior to the Closing Date, an inventory of “controlled substances” located each location owned or leased by Seller or used by Seller used in connection with the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b w:val="1"/>
          <w:bCs w:val="1"/>
          <w:color w:val="auto"/>
        </w:rPr>
        <w:t>4.18 HIPAA Privacy Standards.</w:t>
      </w:r>
    </w:p>
    <w:p>
      <w:pPr>
        <w:spacing w:after="0" w:line="229" w:lineRule="exact"/>
        <w:rPr>
          <w:sz w:val="20"/>
          <w:szCs w:val="20"/>
          <w:color w:val="auto"/>
        </w:rPr>
      </w:pPr>
    </w:p>
    <w:p>
      <w:pPr>
        <w:jc w:val="both"/>
        <w:ind w:firstLine="1305"/>
        <w:spacing w:after="0" w:line="264" w:lineRule="auto"/>
        <w:tabs>
          <w:tab w:leader="none" w:pos="15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the Closing Date, (i) Buyer will make the Prescription Files available for access and amendment to applicable Persons in accordance with HIPAA and other applicable Laws and (ii) Seller will respond, in accordance with HIPPA, to requests from applicable Persons for accounting of disclosure of protected health information for periods prior to the Closing Date.</w:t>
      </w:r>
    </w:p>
    <w:p>
      <w:pPr>
        <w:spacing w:after="0" w:line="181" w:lineRule="exact"/>
        <w:rPr>
          <w:rFonts w:ascii="Arial" w:cs="Arial" w:eastAsia="Arial" w:hAnsi="Arial"/>
          <w:sz w:val="18"/>
          <w:szCs w:val="18"/>
          <w:color w:val="auto"/>
        </w:rPr>
      </w:pPr>
    </w:p>
    <w:p>
      <w:pPr>
        <w:ind w:right="20" w:firstLine="1305"/>
        <w:spacing w:after="0" w:line="277" w:lineRule="auto"/>
        <w:tabs>
          <w:tab w:leader="none" w:pos="15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Buyer will maintain the Prescription Files and all protected health information transferred by Seller in accordance with HIPAA security standards governing electronic protected health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OBLIGATION TO CLOSE</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5.1 Conditions to Obligation of Buyer. </w:t>
      </w:r>
      <w:r>
        <w:rPr>
          <w:rFonts w:ascii="Arial" w:cs="Arial" w:eastAsia="Arial" w:hAnsi="Arial"/>
          <w:sz w:val="17"/>
          <w:szCs w:val="17"/>
          <w:color w:val="auto"/>
        </w:rPr>
        <w:t>Buyer’s obligation to consummate the transactions contemplated by this Agreement and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Documents and to take the other actions required to be taken by Buyer at Closing is subject to the satisfaction, at or before Closing, as applicable, of each of the following conditions (any of which may be waived in writing by Buyer in its sole discretion, in whole or in part):</w:t>
      </w:r>
    </w:p>
    <w:p>
      <w:pPr>
        <w:spacing w:after="0" w:line="158" w:lineRule="exact"/>
        <w:rPr>
          <w:sz w:val="20"/>
          <w:szCs w:val="20"/>
          <w:color w:val="auto"/>
        </w:rPr>
      </w:pPr>
    </w:p>
    <w:p>
      <w:pPr>
        <w:jc w:val="both"/>
        <w:ind w:firstLine="1305"/>
        <w:spacing w:after="0" w:line="281" w:lineRule="auto"/>
        <w:tabs>
          <w:tab w:leader="none" w:pos="155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Without regard to any reference to “</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or other materiality qualification contained therein, the representations and warranties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individually and collectively, must have been accurate as of the date of this Agreement and must be accurate as of the Closing Date as if made again on the Closing Date (except for a representation or warranty made as of a specific date or for a particular period, the accuracy of which will be determined as of such specific date or for such particular period) in all material respects;</w:t>
      </w:r>
    </w:p>
    <w:p>
      <w:pPr>
        <w:spacing w:after="0" w:line="168" w:lineRule="exact"/>
        <w:rPr>
          <w:rFonts w:ascii="Arial" w:cs="Arial" w:eastAsia="Arial" w:hAnsi="Arial"/>
          <w:sz w:val="17"/>
          <w:szCs w:val="17"/>
          <w:color w:val="auto"/>
        </w:rPr>
      </w:pPr>
    </w:p>
    <w:p>
      <w:pPr>
        <w:ind w:firstLine="1305"/>
        <w:spacing w:after="0" w:line="277" w:lineRule="auto"/>
        <w:tabs>
          <w:tab w:leader="none" w:pos="15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Seller must have performed and complied with, in all material respects, its covenants, agreements and obligations under each Transaction Document required to be performed or complied with before Closing;</w:t>
      </w:r>
    </w:p>
    <w:p>
      <w:pPr>
        <w:spacing w:after="0" w:line="170" w:lineRule="exact"/>
        <w:rPr>
          <w:rFonts w:ascii="Arial" w:cs="Arial" w:eastAsia="Arial" w:hAnsi="Arial"/>
          <w:sz w:val="18"/>
          <w:szCs w:val="18"/>
          <w:color w:val="auto"/>
        </w:rPr>
      </w:pPr>
    </w:p>
    <w:p>
      <w:pPr>
        <w:ind w:firstLine="1305"/>
        <w:spacing w:after="0" w:line="308" w:lineRule="auto"/>
        <w:tabs>
          <w:tab w:leader="none" w:pos="15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Seller must have delivered to Buyer, in form reasonably acceptable to Buyer: (i) a certificate dated as of the Closing Date certifying that the conditions set forth in </w:t>
      </w:r>
      <w:r>
        <w:rPr>
          <w:rFonts w:ascii="Arial" w:cs="Arial" w:eastAsia="Arial" w:hAnsi="Arial"/>
          <w:sz w:val="17"/>
          <w:szCs w:val="17"/>
          <w:u w:val="single" w:color="auto"/>
          <w:color w:val="auto"/>
        </w:rPr>
        <w:t>Sections 5.1(a)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5.1(b)</w:t>
      </w:r>
      <w:r>
        <w:rPr>
          <w:rFonts w:ascii="Arial" w:cs="Arial" w:eastAsia="Arial" w:hAnsi="Arial"/>
          <w:sz w:val="17"/>
          <w:szCs w:val="17"/>
          <w:color w:val="auto"/>
        </w:rPr>
        <w:t xml:space="preserve"> have been satisfied and (ii) each of the Closing deliveries set forth in </w:t>
      </w:r>
      <w:r>
        <w:rPr>
          <w:rFonts w:ascii="Arial" w:cs="Arial" w:eastAsia="Arial" w:hAnsi="Arial"/>
          <w:sz w:val="17"/>
          <w:szCs w:val="17"/>
          <w:u w:val="single" w:color="auto"/>
          <w:color w:val="auto"/>
        </w:rPr>
        <w:t>Section 1.7(b)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305"/>
        <w:spacing w:after="0" w:line="312" w:lineRule="auto"/>
        <w:tabs>
          <w:tab w:leader="none" w:pos="157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There must not be a Proceeding or Order pending or Threatened or a Law in effect that would prevent the consummation of the transactions contemplated by this Agreement or another Transaction Document or that would be reasonably likely to result in Losses with respect to Buyer, the Business or any Purchased Asset if the transactions contemplated by this Agreement or the other Transaction Documents were consummated;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4" w:name="page105"/>
    <w:bookmarkEnd w:id="104"/>
    <w:p>
      <w:pPr>
        <w:ind w:left="1540" w:hanging="235"/>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Material Adverse Effect must have occurred or be reasonably likely to occur following Closing;</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licenses, authorizations, consents and approvals by any Person, including the Regulatory Approvals and any other Governmental Authorizations or consents under Assigned Contracts (including without limitation, all URAC accreditations) that are necessary for the consummation of the transactions contemplated by this Agreement or any other Transaction Document must have been received, in forms reasonably acceptable to Buyer, and be in full force and effect;</w:t>
      </w:r>
    </w:p>
    <w:p>
      <w:pPr>
        <w:spacing w:after="0" w:line="186" w:lineRule="exact"/>
        <w:rPr>
          <w:rFonts w:ascii="Arial" w:cs="Arial" w:eastAsia="Arial" w:hAnsi="Arial"/>
          <w:sz w:val="18"/>
          <w:szCs w:val="18"/>
          <w:color w:val="auto"/>
        </w:rPr>
      </w:pPr>
    </w:p>
    <w:p>
      <w:pPr>
        <w:ind w:firstLine="1305"/>
        <w:spacing w:after="0" w:line="308" w:lineRule="auto"/>
        <w:tabs>
          <w:tab w:leader="none" w:pos="1582" w:val="left"/>
        </w:tabs>
        <w:numPr>
          <w:ilvl w:val="0"/>
          <w:numId w:val="72"/>
        </w:numPr>
        <w:rPr>
          <w:rFonts w:ascii="Arial" w:cs="Arial" w:eastAsia="Arial" w:hAnsi="Arial"/>
          <w:sz w:val="17"/>
          <w:szCs w:val="17"/>
          <w:color w:val="auto"/>
        </w:rPr>
      </w:pPr>
      <w:r>
        <w:rPr>
          <w:rFonts w:ascii="Arial" w:cs="Arial" w:eastAsia="Arial" w:hAnsi="Arial"/>
          <w:sz w:val="17"/>
          <w:szCs w:val="17"/>
          <w:color w:val="auto"/>
        </w:rPr>
        <w:t>Seller must have delivered to Buyer a certificate of non-foreign status pursuant to Treasury Regulations §1.1445-2(b) from Seller certifying that Seller is not a foreign person subject to withholding under Code Section 1445 and the Treasury Regulations promulgated thereunder;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required filings, declarations and notices of, with or to any Person must have been timely and properly made or given and be in full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force and effect.</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5.2 Conditions to Obligations of Seller. </w:t>
      </w:r>
      <w:r>
        <w:rPr>
          <w:rFonts w:ascii="Arial" w:cs="Arial" w:eastAsia="Arial" w:hAnsi="Arial"/>
          <w:sz w:val="17"/>
          <w:szCs w:val="17"/>
          <w:color w:val="auto"/>
        </w:rPr>
        <w:t>The obligation of Seller to consummate the transactions contemplated by this Agreement and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Documents and to take the other actions required to be taken by Seller at Closing is subject to the satisfaction, at or before Closing, as applicable, of each of the following conditions (any of which may be waived in writing by Seller in its sole discretion, in whole or in part):</w:t>
      </w:r>
    </w:p>
    <w:p>
      <w:pPr>
        <w:spacing w:after="0" w:line="162" w:lineRule="exact"/>
        <w:rPr>
          <w:sz w:val="20"/>
          <w:szCs w:val="20"/>
          <w:color w:val="auto"/>
        </w:rPr>
      </w:pPr>
    </w:p>
    <w:p>
      <w:pPr>
        <w:ind w:firstLine="1305"/>
        <w:spacing w:after="0" w:line="277" w:lineRule="auto"/>
        <w:tabs>
          <w:tab w:leader="none" w:pos="15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individually and collectively, must be accurate in all material respects as of the date of this Agreement and as of the Closing Date as if made again on the Closing Date;</w:t>
      </w:r>
    </w:p>
    <w:p>
      <w:pPr>
        <w:spacing w:after="0" w:line="170" w:lineRule="exact"/>
        <w:rPr>
          <w:rFonts w:ascii="Arial" w:cs="Arial" w:eastAsia="Arial" w:hAnsi="Arial"/>
          <w:sz w:val="18"/>
          <w:szCs w:val="18"/>
          <w:color w:val="auto"/>
        </w:rPr>
      </w:pPr>
    </w:p>
    <w:p>
      <w:pPr>
        <w:ind w:firstLine="1305"/>
        <w:spacing w:after="0" w:line="277" w:lineRule="auto"/>
        <w:tabs>
          <w:tab w:leader="none" w:pos="15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Buyer must have performed and complied with, in all material respects, its covenants, agreements and obligations under this Agreement required to be performed or complied with prior to Closing;</w:t>
      </w:r>
    </w:p>
    <w:p>
      <w:pPr>
        <w:spacing w:after="0" w:line="170" w:lineRule="exact"/>
        <w:rPr>
          <w:rFonts w:ascii="Arial" w:cs="Arial" w:eastAsia="Arial" w:hAnsi="Arial"/>
          <w:sz w:val="18"/>
          <w:szCs w:val="18"/>
          <w:color w:val="auto"/>
        </w:rPr>
      </w:pPr>
    </w:p>
    <w:p>
      <w:pPr>
        <w:ind w:right="20" w:firstLine="1305"/>
        <w:spacing w:after="0" w:line="342" w:lineRule="auto"/>
        <w:tabs>
          <w:tab w:leader="none" w:pos="1542"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Buyer must have delivered to Seller, in forms reasonably acceptable to Seller: (i) a certificate dated as of the Closing Date certifying that the conditions set forth in </w:t>
      </w:r>
      <w:r>
        <w:rPr>
          <w:rFonts w:ascii="Arial" w:cs="Arial" w:eastAsia="Arial" w:hAnsi="Arial"/>
          <w:sz w:val="16"/>
          <w:szCs w:val="16"/>
          <w:u w:val="single" w:color="auto"/>
          <w:color w:val="auto"/>
        </w:rPr>
        <w:t>Sections 5.2(a)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5.2(b)</w:t>
      </w:r>
      <w:r>
        <w:rPr>
          <w:rFonts w:ascii="Arial" w:cs="Arial" w:eastAsia="Arial" w:hAnsi="Arial"/>
          <w:sz w:val="16"/>
          <w:szCs w:val="16"/>
          <w:color w:val="auto"/>
        </w:rPr>
        <w:t xml:space="preserve"> have been satisfied; and (ii) each of the Closing deliveries set forth in </w:t>
      </w:r>
      <w:r>
        <w:rPr>
          <w:rFonts w:ascii="Arial" w:cs="Arial" w:eastAsia="Arial" w:hAnsi="Arial"/>
          <w:sz w:val="16"/>
          <w:szCs w:val="16"/>
          <w:u w:val="single" w:color="auto"/>
          <w:color w:val="auto"/>
        </w:rPr>
        <w:t>Section 1.7(a)</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firstLine="1305"/>
        <w:spacing w:after="0" w:line="277" w:lineRule="auto"/>
        <w:tabs>
          <w:tab w:leader="none" w:pos="15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must not be an Order entered or a Law enacted since the date of this Agreement that would prevent the consummation by Seller of the transactions contemplated by this Agreement or another Transaction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6.1 Termination Events. </w:t>
      </w:r>
      <w:r>
        <w:rPr>
          <w:rFonts w:ascii="Arial" w:cs="Arial" w:eastAsia="Arial" w:hAnsi="Arial"/>
          <w:sz w:val="16"/>
          <w:szCs w:val="16"/>
          <w:color w:val="auto"/>
        </w:rPr>
        <w:t>This Agreement may be terminated upon mutual written consent of Buyer and Seller or by written notice given before or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1305"/>
        <w:spacing w:after="0" w:line="259" w:lineRule="auto"/>
        <w:tabs>
          <w:tab w:leader="none" w:pos="15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By Buyer, on one hand, or Seller (acting through Seller), on the other hand, if a breach of a representation, warranty, covenant or agreement in this Agreement has been committed by the other that constitutes a failure of a condition contained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if such breach occurred immediately prior to Closing and such breach has not been waived or cured to the reasonable satisfaction of the non-breaching Party within ten (10) days following the delivery of written notice of such breach;</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Buyer, on one hand, or Seller (acting through Seller), on the other hand, if Closing has not occurred (other than through the failure of the Party seeking to terminate this Agreement or such Party’s Affiliate to comply fully with his or its, as applicable, obligations under this Agreement) on or before August 26, 2019 or such later date as Buyer and Seller may agree in writing; or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any time by Buyer, on one hand, or Seller (acting through Seller), if (i) a Governmental Body has issued a final non-appealable Order enjoining or otherwise prohibiting the consummation of the transactions contemplated by this Agreement or (ii) a Law is enacted following the date of this Agreement preventing the consummation of the transactions contemplated by a Transaction Document.</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6.2 Effect of Termination. </w:t>
      </w:r>
      <w:r>
        <w:rPr>
          <w:rFonts w:ascii="Arial" w:cs="Arial" w:eastAsia="Arial" w:hAnsi="Arial"/>
          <w:sz w:val="17"/>
          <w:szCs w:val="17"/>
          <w:color w:val="auto"/>
        </w:rPr>
        <w:t>The right of termination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b w:val="1"/>
          <w:bCs w:val="1"/>
          <w:color w:val="auto"/>
        </w:rPr>
        <w:t xml:space="preserve"> </w:t>
      </w:r>
      <w:r>
        <w:rPr>
          <w:rFonts w:ascii="Arial" w:cs="Arial" w:eastAsia="Arial" w:hAnsi="Arial"/>
          <w:sz w:val="17"/>
          <w:szCs w:val="17"/>
          <w:color w:val="auto"/>
        </w:rPr>
        <w:t>is in addition to any other rights and remedies a Party may have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applicable Laws or otherwise, and the exercise of a right of termination will not be deemed an election of remedies. If this Agreement is terminated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all further obligations of the Parties to consummate the transactions contemplated by this Agreement and all obligations of the Parties under this Agreement will terminate;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obligations set forth in the last sentence of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will survive any such termination;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this Agreement is terminated by a Party because of a breach of this Agreement by another Party or such other Party’s Affiliate or because one or more of the conditions to the terminating Party’s obligations under this Agreement is not satisfied as a result of a failure of another Party or such other Party’s Affiliate to comply with its obligations under this Agreement, the terminating Party’s right to pursue all available rights and remedies will survive 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7.1 Indemnification and Reimbursement by Seller. </w:t>
      </w:r>
      <w:r>
        <w:rPr>
          <w:rFonts w:ascii="Arial" w:cs="Arial" w:eastAsia="Arial" w:hAnsi="Arial"/>
          <w:sz w:val="16"/>
          <w:szCs w:val="16"/>
          <w:color w:val="auto"/>
        </w:rPr>
        <w:t>Seller will indemnify and hold harmless Buyer,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(“Buyer Indemnified Parties”), and will reimburse Buyer Indemnified Parties, for all Losses arising from or relating to (a) any inaccuracy in or breach of any of the representations or warranties of Seller contained in this Agreement, (b) a breach of or failure to perform any of Seller’s covenants or agreements in this Agreement, (c) an Excluded Liability or Excluded Asset, (d) Seller Transaction Expenses and (e) any Existing Litigation.</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7.2 Indemnification and Reimbursement by Buyer. </w:t>
      </w:r>
      <w:r>
        <w:rPr>
          <w:rFonts w:ascii="Arial" w:cs="Arial" w:eastAsia="Arial" w:hAnsi="Arial"/>
          <w:sz w:val="18"/>
          <w:szCs w:val="18"/>
          <w:color w:val="auto"/>
        </w:rPr>
        <w:t>Buyer will indemnify and hold harmless Seller and its Affiliates and their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Indemnified Parties”), and will reimburse Seller Indemnified Parties, for all Losses arising from or relating to (a) any inaccuracy in or breach of any of the representations or warranties of Buyer contained in this Agreement, (b) a breach of or failure to perform any covenant or agreement of Buyer in this Agreement, and (c) a Purchased Asset or Assumed Liability.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6" w:name="page107"/>
    <w:bookmarkEnd w:id="106"/>
    <w:p>
      <w:pPr>
        <w:ind w:left="640"/>
        <w:spacing w:after="0"/>
        <w:rPr>
          <w:sz w:val="20"/>
          <w:szCs w:val="20"/>
          <w:color w:val="auto"/>
        </w:rPr>
      </w:pPr>
      <w:r>
        <w:rPr>
          <w:rFonts w:ascii="Arial" w:cs="Arial" w:eastAsia="Arial" w:hAnsi="Arial"/>
          <w:sz w:val="18"/>
          <w:szCs w:val="18"/>
          <w:b w:val="1"/>
          <w:bCs w:val="1"/>
          <w:color w:val="auto"/>
        </w:rPr>
        <w:t>7.3 Certain Indemnification Provisions.</w:t>
      </w:r>
    </w:p>
    <w:p>
      <w:pPr>
        <w:spacing w:after="0" w:line="229" w:lineRule="exact"/>
        <w:rPr>
          <w:sz w:val="20"/>
          <w:szCs w:val="20"/>
          <w:color w:val="auto"/>
        </w:rPr>
      </w:pPr>
    </w:p>
    <w:p>
      <w:pPr>
        <w:jc w:val="both"/>
        <w:ind w:left="-20" w:firstLine="1305"/>
        <w:spacing w:after="0" w:line="297" w:lineRule="auto"/>
        <w:tabs>
          <w:tab w:leader="none" w:pos="153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Deductible</w:t>
      </w:r>
      <w:r>
        <w:rPr>
          <w:rFonts w:ascii="Arial" w:cs="Arial" w:eastAsia="Arial" w:hAnsi="Arial"/>
          <w:sz w:val="16"/>
          <w:szCs w:val="16"/>
          <w:color w:val="auto"/>
        </w:rPr>
        <w:t xml:space="preserve">. Seller will not have any liability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until the aggregate amount of Losses incurred or suffered by Buyer Indemnified Parties arising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exceeds $250,000 (the “</w:t>
      </w:r>
      <w:r>
        <w:rPr>
          <w:rFonts w:ascii="Arial" w:cs="Arial" w:eastAsia="Arial" w:hAnsi="Arial"/>
          <w:sz w:val="16"/>
          <w:szCs w:val="16"/>
          <w:b w:val="1"/>
          <w:bCs w:val="1"/>
          <w:color w:val="auto"/>
        </w:rPr>
        <w:t>Deductible</w:t>
      </w:r>
      <w:r>
        <w:rPr>
          <w:rFonts w:ascii="Arial" w:cs="Arial" w:eastAsia="Arial" w:hAnsi="Arial"/>
          <w:sz w:val="16"/>
          <w:szCs w:val="16"/>
          <w:color w:val="auto"/>
        </w:rPr>
        <w:t xml:space="preserve">”), at which time the indemnified party will be entitled to indemnification only for the amounts exceeding the Deductible;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Deductible will not apply to, and there will be first dollar indemnity for, all Losses arising from or relating to any inaccuracy in or breach of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Fundamental Representations</w:t>
      </w:r>
      <w:r>
        <w:rPr>
          <w:rFonts w:ascii="Arial" w:cs="Arial" w:eastAsia="Arial" w:hAnsi="Arial"/>
          <w:sz w:val="16"/>
          <w:szCs w:val="16"/>
          <w:color w:val="auto"/>
        </w:rPr>
        <w:t xml:space="preserve">”), any Existing Litigation or an event of fraud, willful misconduct or intentional breach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20" w:firstLine="1305"/>
        <w:spacing w:after="0" w:line="264" w:lineRule="auto"/>
        <w:tabs>
          <w:tab w:leader="none" w:pos="154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Cap</w:t>
      </w:r>
      <w:r>
        <w:rPr>
          <w:rFonts w:ascii="Arial" w:cs="Arial" w:eastAsia="Arial" w:hAnsi="Arial"/>
          <w:sz w:val="18"/>
          <w:szCs w:val="18"/>
          <w:color w:val="auto"/>
        </w:rPr>
        <w:t xml:space="preserve">. The aggregate maximum liability of Seller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excluding any Losses arising from or relating to any Excluded Claim, will not exceed $1,000,000 (the “</w:t>
      </w:r>
      <w:r>
        <w:rPr>
          <w:rFonts w:ascii="Arial" w:cs="Arial" w:eastAsia="Arial" w:hAnsi="Arial"/>
          <w:sz w:val="18"/>
          <w:szCs w:val="18"/>
          <w:b w:val="1"/>
          <w:bCs w:val="1"/>
          <w:color w:val="auto"/>
        </w:rPr>
        <w:t>Cap</w:t>
      </w:r>
      <w:r>
        <w:rPr>
          <w:rFonts w:ascii="Arial" w:cs="Arial" w:eastAsia="Arial" w:hAnsi="Arial"/>
          <w:sz w:val="18"/>
          <w:szCs w:val="18"/>
          <w:color w:val="auto"/>
        </w:rPr>
        <w:t xml:space="preserve">”). The aggregate maximum liability of Seller for Losses arising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including any Losses from or relating to any Excluded Claim, shall be the Purchase Price.</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52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Loss Calculation</w:t>
      </w:r>
      <w:r>
        <w:rPr>
          <w:rFonts w:ascii="Arial" w:cs="Arial" w:eastAsia="Arial" w:hAnsi="Arial"/>
          <w:sz w:val="18"/>
          <w:szCs w:val="18"/>
          <w:color w:val="auto"/>
        </w:rPr>
        <w:t xml:space="preserve">. For purposes of calculating Losses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81" w:lineRule="exact"/>
        <w:rPr>
          <w:rFonts w:ascii="Arial" w:cs="Arial" w:eastAsia="Arial" w:hAnsi="Arial"/>
          <w:sz w:val="18"/>
          <w:szCs w:val="18"/>
          <w:color w:val="auto"/>
        </w:rPr>
      </w:pPr>
    </w:p>
    <w:p>
      <w:pPr>
        <w:jc w:val="both"/>
        <w:ind w:left="-20" w:firstLine="1305"/>
        <w:spacing w:after="0" w:line="257" w:lineRule="auto"/>
        <w:tabs>
          <w:tab w:leader="none" w:pos="15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Payments by an Indemnifying Party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in respect of any Losses shall be limited to the amount of any liability or damage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w:t>
      </w:r>
    </w:p>
    <w:p>
      <w:pPr>
        <w:spacing w:after="0" w:line="188" w:lineRule="exact"/>
        <w:rPr>
          <w:rFonts w:ascii="Arial" w:cs="Arial" w:eastAsia="Arial" w:hAnsi="Arial"/>
          <w:sz w:val="18"/>
          <w:szCs w:val="18"/>
          <w:color w:val="auto"/>
        </w:rPr>
      </w:pPr>
    </w:p>
    <w:p>
      <w:pPr>
        <w:ind w:left="-20" w:right="20" w:firstLine="1305"/>
        <w:spacing w:after="0" w:line="277" w:lineRule="auto"/>
        <w:tabs>
          <w:tab w:leader="none" w:pos="15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Payments by an Indemnifying Party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in respect of any Losses shall be reduced by an amount equal to any Tax benefit realized or reasonably expected to be realized as a result of such Losses by the Indemnified Party.</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5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5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88" w:right="239" w:bottom="1440" w:gutter="0" w:footer="0" w:header="0"/>
        </w:sectPr>
      </w:pPr>
    </w:p>
    <w:bookmarkStart w:id="107" w:name="page108"/>
    <w:bookmarkEnd w:id="107"/>
    <w:p>
      <w:pPr>
        <w:ind w:left="-20" w:firstLine="1305"/>
        <w:spacing w:after="0" w:line="308" w:lineRule="auto"/>
        <w:tabs>
          <w:tab w:leader="none" w:pos="155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Seller shall not be liable under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for any Losses based upon or arising out of any inaccuracy in or breach of any of the representations or warranties of Seller contained in this Agreement if Buyer had knowledge of such inaccuracy or breach prior to the Closing.</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7.3 Indemnification Procedures.</w:t>
      </w:r>
    </w:p>
    <w:p>
      <w:pPr>
        <w:spacing w:after="0" w:line="229" w:lineRule="exact"/>
        <w:rPr>
          <w:sz w:val="20"/>
          <w:szCs w:val="20"/>
          <w:color w:val="auto"/>
        </w:rPr>
      </w:pPr>
    </w:p>
    <w:p>
      <w:pPr>
        <w:ind w:left="1520" w:hanging="235"/>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Third-Party Proceedings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20" w:firstLine="1953"/>
        <w:spacing w:after="0" w:line="256" w:lineRule="auto"/>
        <w:tabs>
          <w:tab w:leader="none" w:pos="215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Promptly after receipt by a Person entitled to be indemnified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 “</w:t>
      </w:r>
      <w:r>
        <w:rPr>
          <w:rFonts w:ascii="Arial" w:cs="Arial" w:eastAsia="Arial" w:hAnsi="Arial"/>
          <w:sz w:val="18"/>
          <w:szCs w:val="18"/>
          <w:b w:val="1"/>
          <w:bCs w:val="1"/>
          <w:color w:val="auto"/>
        </w:rPr>
        <w:t>Indemnified Party</w:t>
      </w:r>
      <w:r>
        <w:rPr>
          <w:rFonts w:ascii="Arial" w:cs="Arial" w:eastAsia="Arial" w:hAnsi="Arial"/>
          <w:sz w:val="18"/>
          <w:szCs w:val="18"/>
          <w:color w:val="auto"/>
        </w:rPr>
        <w:t>”) of notice of the commencement of a Proceeding against it, such Indemnified Party will, if a claim for indemnification is to be made against a Party (an “</w:t>
      </w:r>
      <w:r>
        <w:rPr>
          <w:rFonts w:ascii="Arial" w:cs="Arial" w:eastAsia="Arial" w:hAnsi="Arial"/>
          <w:sz w:val="18"/>
          <w:szCs w:val="18"/>
          <w:b w:val="1"/>
          <w:bCs w:val="1"/>
          <w:color w:val="auto"/>
        </w:rPr>
        <w:t>Indemnifying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color w:val="auto"/>
        </w:rPr>
        <w:t>, give notice to the Indemnifying Party of the commencement of such Proceeding specifying with reasonable particularity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such information is available) the factual basis for the indemnity claim and the amount of the indemnity claim if known. Any delay in providing such notice to the Indemnifying Party will not relieve the Indemnifying Party of any liability that it may have to an Indemnified Party, except to the extent that the defense of such action was materially and irreparably prejudiced by the delay.</w:t>
      </w:r>
    </w:p>
    <w:p>
      <w:pPr>
        <w:spacing w:after="0" w:line="191" w:lineRule="exact"/>
        <w:rPr>
          <w:rFonts w:ascii="Arial" w:cs="Arial" w:eastAsia="Arial" w:hAnsi="Arial"/>
          <w:sz w:val="18"/>
          <w:szCs w:val="18"/>
          <w:color w:val="auto"/>
        </w:rPr>
      </w:pPr>
    </w:p>
    <w:p>
      <w:pPr>
        <w:jc w:val="both"/>
        <w:ind w:left="-20" w:firstLine="1953"/>
        <w:spacing w:after="0" w:line="286" w:lineRule="auto"/>
        <w:tabs>
          <w:tab w:leader="none" w:pos="2196"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If any Proceeding is brought against an Indemnified Party and it gives notice to the Indemnifying Party of the commencement of such Proceeding, the Indemnifying Party will be entitled to participate in such Proceeding and, subject to </w:t>
      </w:r>
      <w:r>
        <w:rPr>
          <w:rFonts w:ascii="Arial" w:cs="Arial" w:eastAsia="Arial" w:hAnsi="Arial"/>
          <w:sz w:val="16"/>
          <w:szCs w:val="16"/>
          <w:u w:val="single" w:color="auto"/>
          <w:color w:val="auto"/>
        </w:rPr>
        <w:t>subsection (a)(iii)</w:t>
      </w:r>
      <w:r>
        <w:rPr>
          <w:rFonts w:ascii="Arial" w:cs="Arial" w:eastAsia="Arial" w:hAnsi="Arial"/>
          <w:sz w:val="16"/>
          <w:szCs w:val="16"/>
          <w:color w:val="auto"/>
        </w:rPr>
        <w:t xml:space="preserve"> below, to the extent that it wishes and can demonstrate its financial capability to assume and diligently pursue such defense and the resolution thereof, to assume the defense of such Proceeding with counsel of its choice reasonably satisfactory to the Indemnified Party. Following a proper assumption of defense by an Indemnifying Party, as long as the Indemnifying Party diligently conducts such defense, it will not be liable for any subsequent fees of legal counsel or other expenses incurred by the Indemnified Party in connection with the defense of such Proceeding, other than reasonable costs incurred in investigation and providing requested assistance. If the Indemnifying Party assumes the defense of a Proceeding, (A) it will be conclusively established for purposes of this Agreement that the claims made in that Proceeding are within the scope of and subject to indemnification hereunder and (B) no compromise or settlement of such claims may be effected by the Indemnifying Party without the Indemnified Party’s written consent unless (1) there is no finding or admission of any violation of Laws or any violation of the rights of any Person and no effect on any other claims that may be made by or against the Indemnified Party and (2) the sole relief provided is monetary damages that are paid in full by the Indemnifying Party concurrently with the compromise or settlement. If notice is given to an Indemnifying Party of the commencement of any Proceeding and the Indemnifying Party does not within twenty (20) days, or such lesser period of time as required to meet any deadline for a response, properly exercise its election to assume the defense of such Proceeding, the Indemnifying Party will be bound by any determination made in such Proceeding or any compromise or settlement thereof reasonably effected by the Indemnified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8" w:name="page109"/>
    <w:bookmarkEnd w:id="108"/>
    <w:p>
      <w:pPr>
        <w:jc w:val="both"/>
        <w:ind w:firstLine="1953"/>
        <w:spacing w:after="0" w:line="293" w:lineRule="auto"/>
        <w:tabs>
          <w:tab w:leader="none" w:pos="22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the foregoing, if an Indemnified Party determines in good faith that (A) a Proceeding may adversely affect it or any of its Affiliates other than as a result of monetary damages for which it would be entitled to indemnification under this Agreement, (B) there are defenses available to it that may be unavailable to, or inconsistent with or contrary to the interests of the Indemnifying Party or (C) a Proceeding may result in Losses which would reasonably be expected to exceed the Cap, the Indemnified Party may, by notice to the Indemnifying Party, retain the exclusive right to defend, compromise or settle such Proceeding, but the Indemnifying Party will reserve the right to contest indemnification with respect to any determination, compromise or settlement of such Proceeding effected without its consent (which consent will not be unreasonably withheld, delayed or conditioned).</w:t>
      </w:r>
    </w:p>
    <w:p>
      <w:pPr>
        <w:spacing w:after="0" w:line="164" w:lineRule="exact"/>
        <w:rPr>
          <w:rFonts w:ascii="Arial" w:cs="Arial" w:eastAsia="Arial" w:hAnsi="Arial"/>
          <w:sz w:val="16"/>
          <w:szCs w:val="16"/>
          <w:color w:val="auto"/>
        </w:rPr>
      </w:pPr>
    </w:p>
    <w:p>
      <w:pPr>
        <w:jc w:val="both"/>
        <w:ind w:firstLine="1953"/>
        <w:spacing w:after="0" w:line="264" w:lineRule="auto"/>
        <w:tabs>
          <w:tab w:leader="none" w:pos="22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to the extent it would cause a waiver of a privilege, each Party will make available to the other Parties and the other Parties’ Representatives all of its or his Books and Records relating to a third-party Proceeding, and each Party will render to the other Parties assistance as may be reasonably required to ensure the proper and adequate defense of such third-party Proceeding.</w:t>
      </w:r>
    </w:p>
    <w:p>
      <w:pPr>
        <w:spacing w:after="0" w:line="181" w:lineRule="exact"/>
        <w:rPr>
          <w:rFonts w:ascii="Arial" w:cs="Arial" w:eastAsia="Arial" w:hAnsi="Arial"/>
          <w:sz w:val="18"/>
          <w:szCs w:val="18"/>
          <w:color w:val="auto"/>
        </w:rPr>
      </w:pPr>
    </w:p>
    <w:p>
      <w:pPr>
        <w:jc w:val="both"/>
        <w:ind w:firstLine="1953"/>
        <w:spacing w:after="0" w:line="286" w:lineRule="auto"/>
        <w:tabs>
          <w:tab w:leader="none" w:pos="22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Party hereby consents to the non-exclusive jurisdiction of any court or other forum in which a Proceeding is brought by a Person not a Party to this Agreement against any Indemnified Party for purposes of litigating a claim that an Indemnified Party may have under this Agreement against an Indemnifying Party with respect to such Proceeding or the matters alleged therein (including its right to indemnification).</w:t>
      </w:r>
    </w:p>
    <w:p>
      <w:pPr>
        <w:spacing w:after="0" w:line="166" w:lineRule="exact"/>
        <w:rPr>
          <w:sz w:val="20"/>
          <w:szCs w:val="20"/>
          <w:color w:val="auto"/>
        </w:rPr>
      </w:pPr>
    </w:p>
    <w:p>
      <w:pPr>
        <w:jc w:val="both"/>
        <w:ind w:firstLine="1305"/>
        <w:spacing w:after="0" w:line="264"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Claims</w:t>
      </w:r>
      <w:r>
        <w:rPr>
          <w:rFonts w:ascii="Arial" w:cs="Arial" w:eastAsia="Arial" w:hAnsi="Arial"/>
          <w:sz w:val="18"/>
          <w:szCs w:val="18"/>
          <w:color w:val="auto"/>
        </w:rPr>
        <w:t>. A claim for indemnification for any matter not involving a third-party Proceeding must be asserted by written notice to the Party or Parties from whom indemnification is sought, identifying the matter for which identification is sought, the estimated amounts of the claim if then calculable and the basic facts underlying the claim to the extent then known.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7.5 Adjusted Purchase Price. </w:t>
      </w:r>
      <w:r>
        <w:rPr>
          <w:rFonts w:ascii="Arial" w:cs="Arial" w:eastAsia="Arial" w:hAnsi="Arial"/>
          <w:sz w:val="18"/>
          <w:szCs w:val="18"/>
          <w:color w:val="auto"/>
        </w:rPr>
        <w:t>Any payment of a claim for indemnification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accounted for as an adjustment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to the extent permitted under applicable Law.</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7.6 Survival of Representations, Warranties, Covenants and Agreements. </w:t>
      </w:r>
      <w:r>
        <w:rPr>
          <w:rFonts w:ascii="Arial" w:cs="Arial" w:eastAsia="Arial" w:hAnsi="Arial"/>
          <w:sz w:val="17"/>
          <w:szCs w:val="17"/>
          <w:color w:val="auto"/>
        </w:rPr>
        <w:t>The representations, warranties, covenants and agreements made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Party in this Agreement or another Transaction Document will survive Closing. The representations and warranties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will survive for twenty four (24) months following the Closing Date; provided, that the Fundamental Representations shall survive for the full period of all applicable statutes of limitation. Any claim for indemnification under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with respect to a breach of a representation or warranty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will toll the applicable survival period of such representation or warranty as it relates to such claim and any related claim.</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7.7 Exclusive Remedies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9.12</w:t>
      </w:r>
      <w:r>
        <w:rPr>
          <w:rFonts w:ascii="Arial" w:cs="Arial" w:eastAsia="Arial" w:hAnsi="Arial"/>
          <w:sz w:val="16"/>
          <w:szCs w:val="16"/>
          <w:color w:val="auto"/>
        </w:rPr>
        <w:t>, the Parties acknowledge and agree that their sole and exclusive remedy with respect to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claims for any breach of any representation, warranty, covenant, agreement or obligation set forth herein or otherwise relating to the subject matter of this Agreement, shall be pursuant to the indemnification provisions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limit any Person’s right to seek and obtain any equitable relief to which any Person shall be entitled pursuant to </w:t>
      </w:r>
      <w:r>
        <w:rPr>
          <w:rFonts w:ascii="Arial" w:cs="Arial" w:eastAsia="Arial" w:hAnsi="Arial"/>
          <w:sz w:val="16"/>
          <w:szCs w:val="16"/>
          <w:u w:val="single" w:color="auto"/>
          <w:color w:val="auto"/>
        </w:rPr>
        <w:t>Section 9.12</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this Agreement, the following terms have the meanings specified in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stock, by Contract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Group</w:t>
      </w:r>
      <w:r>
        <w:rPr>
          <w:rFonts w:ascii="Arial" w:cs="Arial" w:eastAsia="Arial" w:hAnsi="Arial"/>
          <w:sz w:val="18"/>
          <w:szCs w:val="18"/>
          <w:color w:val="auto"/>
        </w:rPr>
        <w:t>” means any affiliated group within the meaning of Code Section 1504(a) or any similar group defined under a similar provision of state, local, or non-U.S.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means all of the rights and assets of Seller.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Contracts</w:t>
      </w:r>
      <w:r>
        <w:rPr>
          <w:rFonts w:ascii="Arial" w:cs="Arial" w:eastAsia="Arial" w:hAnsi="Arial"/>
          <w:sz w:val="18"/>
          <w:szCs w:val="18"/>
          <w:color w:val="auto"/>
        </w:rPr>
        <w:t xml:space="preserve">” mean those Contracts of Seller set forth on </w:t>
      </w:r>
      <w:r>
        <w:rPr>
          <w:rFonts w:ascii="Arial" w:cs="Arial" w:eastAsia="Arial" w:hAnsi="Arial"/>
          <w:sz w:val="18"/>
          <w:szCs w:val="18"/>
          <w:u w:val="single" w:color="auto"/>
          <w:color w:val="auto"/>
        </w:rPr>
        <w:t>Exhibit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w:t>
      </w:r>
      <w:r>
        <w:rPr>
          <w:rFonts w:ascii="Arial" w:cs="Arial" w:eastAsia="Arial" w:hAnsi="Arial"/>
          <w:sz w:val="18"/>
          <w:szCs w:val="18"/>
          <w:color w:val="auto"/>
        </w:rPr>
        <w:t>” means the balance sheet of Seller included in the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means the date of the Balance Sheet.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includes all data, documents, ledgers, databases, books, records, business plans, reports, records of sales, price calculation reports, customer and supplier lists, files, and Contracts and Organizational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has the meaning set forth in the second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State of California.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has the meaning set forth in the first paragraph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means the Comprehensive Environmental Response, Compensation, and Liability Act of 1980, as amended, 42 U.S.C. §§ 9601 et seq.</w:t>
      </w:r>
    </w:p>
    <w:p>
      <w:pPr>
        <w:spacing w:after="0" w:line="24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CHAMPUS/TRICARE</w:t>
      </w:r>
      <w:r>
        <w:rPr>
          <w:rFonts w:ascii="Arial" w:cs="Arial" w:eastAsia="Arial" w:hAnsi="Arial"/>
          <w:sz w:val="18"/>
          <w:szCs w:val="18"/>
          <w:color w:val="auto"/>
        </w:rPr>
        <w:t>” means the Civilian Health and Medical Program of the Uniformed Services (CHAMPUS), which is now known as TRICARE.</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”means, with respect to Buyer or Seller: (a) a sale of all or substantially all of the assets of Buyer or Seller, as applicable; (b) the acquisition of more than 50% of the voting power of the outstanding securities of Buyer or Seller, as applicable, by another entity by means of any transaction or series of related transactions (including, without limitation, reorganization, merger or consolidation) unless the stockholders of record of Buyer or Seller, as applicable, as constituted immediately prior to such acquisition will, immediately after such acquisition (by virtue of their continuing to hold such stock and/or their receipt in exchange therefor of securities issued as consideration for the outstanding stock of Buyer or Seller, as applicable) hold at least 50% of the voting power of the surviving or acquiring entity; or (c) any reorganization, merger or consolidation in which the corporation is not the surviving entity, excluding any merger effected exclusively for the purpose of changing the domicile of Buyer or Seller,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and the regulations and rulings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contract, obligation, promise or undertaking (whether written or oral and whether express or implied) that is legally binding.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xml:space="preserve">” means the current assets of the Business included in the line items set forth on </w:t>
      </w:r>
      <w:r>
        <w:rPr>
          <w:rFonts w:ascii="Arial" w:cs="Arial" w:eastAsia="Arial" w:hAnsi="Arial"/>
          <w:sz w:val="18"/>
          <w:szCs w:val="18"/>
          <w:u w:val="single" w:color="auto"/>
          <w:color w:val="auto"/>
        </w:rPr>
        <w:t>Exhibit 1.4</w:t>
      </w:r>
      <w:r>
        <w:rPr>
          <w:rFonts w:ascii="Arial" w:cs="Arial" w:eastAsia="Arial" w:hAnsi="Arial"/>
          <w:sz w:val="18"/>
          <w:szCs w:val="18"/>
          <w:color w:val="auto"/>
        </w:rPr>
        <w:t xml:space="preserve"> and only to the extent acquired pursuant to the terms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xml:space="preserve">” means the current liabilities of the Business included in the line items set forth on </w:t>
      </w:r>
      <w:r>
        <w:rPr>
          <w:rFonts w:ascii="Arial" w:cs="Arial" w:eastAsia="Arial" w:hAnsi="Arial"/>
          <w:sz w:val="18"/>
          <w:szCs w:val="18"/>
          <w:u w:val="single" w:color="auto"/>
          <w:color w:val="auto"/>
        </w:rPr>
        <w:t>Exhibit 1.4</w:t>
      </w:r>
      <w:r>
        <w:rPr>
          <w:rFonts w:ascii="Arial" w:cs="Arial" w:eastAsia="Arial" w:hAnsi="Arial"/>
          <w:sz w:val="18"/>
          <w:szCs w:val="18"/>
          <w:color w:val="auto"/>
        </w:rPr>
        <w:t xml:space="preserve"> and only to the extent assumed pursuant to the terms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EEOC</w:t>
      </w:r>
      <w:r>
        <w:rPr>
          <w:rFonts w:ascii="Arial" w:cs="Arial" w:eastAsia="Arial" w:hAnsi="Arial"/>
          <w:sz w:val="18"/>
          <w:szCs w:val="18"/>
          <w:color w:val="auto"/>
        </w:rPr>
        <w:t>” means United States Equal Employment Opportunity Commission.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Benefit Plan</w:t>
      </w:r>
      <w:r>
        <w:rPr>
          <w:rFonts w:ascii="Arial" w:cs="Arial" w:eastAsia="Arial" w:hAnsi="Arial"/>
          <w:sz w:val="17"/>
          <w:szCs w:val="17"/>
          <w:color w:val="auto"/>
        </w:rPr>
        <w:t>” means any “employee pension benefit plan” or “employee welfare benefit plan” as defined under ERISA (whether or not subject to ERISA), and any incentive compensation plan, benefit plan for retired employees, plan or Contract providing for payments subject to Section 409A of the Code, bonuses, commissions, pensions, profit-sharing, stock options, stock purchase rights, restricted stock, phantom stock, deferred compensation, Insurance relating to accidents, health or sickness, retirement benefits, vacation, severance, disability, compensation, employee assistance or counseling, educational assistance, §125/cafeteria/flexible benefits, adoption assistance, group legal, fringe benefit or payroll practice of any nature, covering any current or former (including retired) employees of a Person or under which such Person has any remaining liability or obligation, and any other employee compensation or benefit plan, agreement, policy, practice, commitment, contract or understanding (whether qualified or nonqualified, currently effective or terminated, written or unwritten) and any trust, escrow or other agreement related thereto.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1" w:name="page112"/>
    <w:bookmarkEnd w:id="11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charge, claim, community property interest, condition, equitable interest, mortgage, lien, option, warrant, purchase right, pledge, security interest, right of first refusal, marital or community property interest or restriction of any kind, including any restriction on use, voting (in the case of any security), transfer, receipt of income or exercise of any other attribute of ownership.</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any and all soil, land surface or subsurface strata, surface waters (including navigable waters and ocean waters), groundwater, drinking water supply, stream sediments, ambient air (including indoor air), plant and animal life or any other environmental medium or natural resource.</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w:t>
      </w:r>
      <w:r>
        <w:rPr>
          <w:rFonts w:ascii="Arial" w:cs="Arial" w:eastAsia="Arial" w:hAnsi="Arial"/>
          <w:sz w:val="17"/>
          <w:szCs w:val="17"/>
          <w:color w:val="auto"/>
        </w:rPr>
        <w:t>” means any written notice, Proceeding, Order, lien, fine, obligation,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or Release of, or exposure to, any Hazardous Substances at or from the Leased Real Property or shipped from the Leased Real Property; (b) any actual or alleged non-compliance with any Environmental Law or term or condition of any environmental Governmental Authorization of Seller; or (c) ownership, lease, operation or use of the current or former Assets of the Business or the operation of the Business.</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Order or binding agreement with any Governmental Body and any guidance and policy published by a Governmental Body as they exist as of the Closing and in the future: (a) relating to pollution (or the cleanup thereof) or the protection of natural resources, endangered or threatened species, human health or safety, or the Environment; or (b) concerning the presence of, exposure to or the management, manufacture, use, containment, storage, recycling, reclamation, reuse, treatment, generation, discharge, transportation, processing, production, disposal, remediation of, response to, or investigation of actual or suspected Hazardous Substances or property damage, natural resources damage or personal injury caused by any Hazardous Substances. The term “Environmental Law” includes the following, including their implementing regulations and any state or local analogs, all as amended: CERCLA; the Solid Waste Disposal Act, 42 U.S.C. §§ 6901 et seq.; the Federal Water Pollution Control Act of 1972, 33 U.S.C. §§ 1251 et seq.; the Toxic Substances Control Act of 1976, 15 U.S.C. §§ 2601, et seq.; the Emergency Planning and Community Right-to-Know Act or 1986, 42 U.S.C. §§ 1101 et seq.; the Clean Air Act of 1966, 42 U.S.C. §§ 7401 et seq.; and the Occupational Safety and Health Act of 1970, 29 U.S.C. §§ 652 et seq.</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Liability</w:t>
      </w:r>
      <w:r>
        <w:rPr>
          <w:rFonts w:ascii="Arial" w:cs="Arial" w:eastAsia="Arial" w:hAnsi="Arial"/>
          <w:sz w:val="17"/>
          <w:szCs w:val="17"/>
          <w:color w:val="auto"/>
        </w:rPr>
        <w:t>” means any Action, Order, lien, fine, penalty, or, as to each, any settlement or judgment arising from or relating to any violation of or liability or obligation under any Environmental Law or any Environmental Claim with respect to acts or omissions having occurred, or conditions in existence, on or before the Closing Date with respect to the continuation of such conditions, acts, omissions or their consequences after the Closing Date, including: (a) any environmental, health or safety matters or conditions (including on-site or off-site contamination, Occupational Safety and Health Law violations and regulation of chemical substances or products); and (b) any responsibility for response costs, natural resource damages, corrective action or actions to achieve compliance, including any cleanup, removal, containment or remediation or response action under applicable Environmental Law or Occupational Safety and Health Law (whether or not such cleanup has been ordered or requested by any Governmental Body or any other Person). The terms “removal,” “remedial,” and “response action” include the types of activities covered by CERCLA.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as amended, and any duly promulgated regulations and rulings thereunder.</w:t>
      </w:r>
    </w:p>
    <w:p>
      <w:pPr>
        <w:spacing w:after="0" w:line="24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any member of a controlled group of corporations under Section 414(b) of the Code of which Seller is or was a member, and any trade or business (whether or not incorporated) who is or was under common control with Seller under Section 414(c) of the Code, and all other entities which together with Seller is or was prior to the date hereof treated as a single employer under Section 414(m) or 414(o) of the Code.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as consistently applied.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approval, consent, franchise, license, permit, registration, order, certificate, accreditation, variance, waiver or other authorization or similar right issued, granted, given or otherwise made available by or under the authority of any Governmental Body or pursuant to any Law, including all pending applications therefor or renewals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court or other tribunal); (d) multi-national organization or body; (e) body exercising, or entitled or purporting to exercise, any administrative, executive, judicial, legislative, police, regulatory or Taxing authority; (f) organization or association that sponsors, authorizes or conducts any arbitration proceeding; (g) any for-profit or non-profit accreditation agencies; or (h) any arbitrator or panel of arbitrators, the decisions of which are enforceable in any court of law.</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material, substance, chemical, waste, product, derivative, compound, mixture, solid, liquid, mineral or gas, in each case, whether naturally occurring or manmade, that is subject to regulation under any Law relating to or protecting the Environment, including any petroleum and petroleum-derived and refined petroleum products, radon, radioactive materials or wastes, asbestos in any form, lead or lead-containing materials, mold, hazardous wastes, hazardous waste constituents, urea formaldehyde insulation, polychlorinated biphenyls and CERCLA hazardous substances.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Health Insurance Portability and Accountability Act of 1996, as amended, and the regulations promulgated thereunder.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3" w:name="page114"/>
    <w:bookmarkEnd w:id="113"/>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Seller any of the following: (a) obligations for borrowed money, including all principal, interest, premiums, fees, expenses, overdrafts and penalties with respect thereto; (b) obligations evidenced by bonds, debentures, notes or other similar instruments; (c) obligations to pay the deferred purchase price of property or services, except trade payables incurred in the Ordinary Course of Business; (d) obligations to reimburse any bank or other Person in respect of amounts paid under a letter of credit or similar instrument; (e) capitalized lease obligations; (f) other obligations which would be required to be shown as indebtedness on a balance sheet prepared in accordance with GAAP; and (g) indebtedness of any other Person of the type referred to in clauses (a) to (f) above directly or indirectly guaranteed by Seller or secured by any of the Purchased Assets, whether or not such indebtedness has been expressly assumed by Seller.</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w:t>
      </w:r>
      <w:r>
        <w:rPr>
          <w:rFonts w:ascii="Arial" w:cs="Arial" w:eastAsia="Arial" w:hAnsi="Arial"/>
          <w:sz w:val="16"/>
          <w:szCs w:val="16"/>
          <w:color w:val="auto"/>
        </w:rPr>
        <w:t>” means all forms of insurance, including liability, crime, fidelity, life, fire, product liability, workers’ compensation, health, director and officer liability and other forms of insurance, owned, maintained or insuring any part of Seller, the Business, a Purchased Asset or employees of Seller.</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Assets</w:t>
      </w:r>
      <w:r>
        <w:rPr>
          <w:rFonts w:ascii="Arial" w:cs="Arial" w:eastAsia="Arial" w:hAnsi="Arial"/>
          <w:sz w:val="16"/>
          <w:szCs w:val="16"/>
          <w:color w:val="auto"/>
        </w:rPr>
        <w:t>” means all: (a) United States and foreign trademark rights, business identifiers, trade dress, service marks, trade names and brand names, United States and foreign registrations and applications therefor and all goodwill associated with the foregoing; (b) United States and foreign copyrights, copyright registrations and copyright applications, and all other rights associated with the foregoing and the underlying works of authorship (including databases, software and mask works); (c) United States and foreign patents and patent applications, and all proprietary rights associated therewith; (d) inventions, mask works, mask work registrations, know-how, bills of material, discoveries, improvements, designs, trade secrets, confidential business information, and shop and royalty rights; (e) employee covenants and Contracts respecting intellectual property including invention rights, noncompetition, confidentiality and license Contracts; (f) internet domain names and websites; (g) computer software and firmware (including code, databases, user interfaces and documentation); and (h) other types of intellectual property rights and other intangible assets.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 Person’s actual awareness following reasonable inquiry of each employee and agent of such Person who would reasonably be expected to have knowledge of a particular fact, circumstance or other matter.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any federal, state, local, municipal, foreign, international, multinational or constitution law, ordinance, principle of common law (including equitable principles), statute, code, regulation, rule or treaty.</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“Losses” shall not include punitive, indirect, or special damages, lost profits or any damages or liability based on a multiple of profits,</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of cash flow or similar valuation methodology, except in the case of fraud or to the extent actually awarded to a Governmental Authority or other third 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4" w:name="page115"/>
    <w:bookmarkEnd w:id="114"/>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change, event or circumstance the effect of which, individually or in the aggregate, is both material and adverse to the property, business, operations, assets (tangible and intangible), financial condition, results of operation or prospects of the Business.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Interest</w:t>
      </w:r>
      <w:r>
        <w:rPr>
          <w:rFonts w:ascii="Arial" w:cs="Arial" w:eastAsia="Arial" w:hAnsi="Arial"/>
          <w:sz w:val="18"/>
          <w:szCs w:val="18"/>
          <w:color w:val="auto"/>
        </w:rPr>
        <w:t>” means direct or indirect beneficial ownership (as defined in Rule 13D-3 under the Securities Exchange Act of 1934, as amended) of voting securities or other voting interests representing at least 20% of the outstanding voting power of a Person or capital stock or other equity interests or securities representing at least 20% of the outstanding equity or equity interests in a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Retirement Plan</w:t>
      </w:r>
      <w:r>
        <w:rPr>
          <w:rFonts w:ascii="Arial" w:cs="Arial" w:eastAsia="Arial" w:hAnsi="Arial"/>
          <w:sz w:val="18"/>
          <w:szCs w:val="18"/>
          <w:color w:val="auto"/>
        </w:rPr>
        <w:t>” has the meaning set forth in Section 3(37)(A) of ERISA.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Occupational Safety and Health Law</w:t>
      </w:r>
      <w:r>
        <w:rPr>
          <w:rFonts w:ascii="Arial" w:cs="Arial" w:eastAsia="Arial" w:hAnsi="Arial"/>
          <w:sz w:val="18"/>
          <w:szCs w:val="18"/>
          <w:color w:val="auto"/>
        </w:rPr>
        <w:t>” means any Law and any program or any Governmental Body designed to regulate or provide safe and healthful working conditions and to reduce occupational safety and health hazards, illness, disease, etc.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w:t>
      </w:r>
      <w:r>
        <w:rPr>
          <w:rFonts w:ascii="Arial" w:cs="Arial" w:eastAsia="Arial" w:hAnsi="Arial"/>
          <w:sz w:val="18"/>
          <w:szCs w:val="18"/>
          <w:color w:val="auto"/>
        </w:rPr>
        <w:t>” means a list compiled by the Office of Foreign Asset Control, an office of the United States Department of Treasury.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award, decision, injunction, decree, consent decree, judgment, order, ruling, subpoena or verdict entered, issued, made or rendered by any Governmental Body.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accordance with the usage of trade prevailing in the industry in which the Business operates and in accordance with Seller’s historical and customary day-to-day practices with respect to the activity in question.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organizational documents of a non-natural Person, including, as applicable, the charter, articles or certificate of incorporation, bylaws, articles of organization, operating agreement or similar governing documents, as amended, and all minute books and stock record books.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Programs</w:t>
      </w:r>
      <w:r>
        <w:rPr>
          <w:rFonts w:ascii="Arial" w:cs="Arial" w:eastAsia="Arial" w:hAnsi="Arial"/>
          <w:sz w:val="18"/>
          <w:szCs w:val="18"/>
          <w:color w:val="auto"/>
        </w:rPr>
        <w:t>” means Governmental Programs and Private Programs.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means an employee pension benefit plan, as defined in Section 3(2) of ERISA, other than a Multi-Employer Plan, that is covered by Title IV of ERISA and that either: (a) is maintained or contributed to by Seller and/or any of its ERISA Affiliates for employees of Seller; or (b) has at any time preceding the date hereof, been maintained or contributed to by Seller and/or any of its ERISA Affiliates for employees of Seller.</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Encumbrances</w:t>
      </w:r>
      <w:r>
        <w:rPr>
          <w:rFonts w:ascii="Arial" w:cs="Arial" w:eastAsia="Arial" w:hAnsi="Arial"/>
          <w:sz w:val="16"/>
          <w:szCs w:val="16"/>
          <w:color w:val="auto"/>
        </w:rPr>
        <w:t>” means: (a) liens for Taxes not yet due and payable; (b) mechanics’, carriers’, workmen’s, repairmen’s or other like liens arising or incurred in the ordinary course of business consistent with past practice or amounts that are not delinquent and which are not, individually or in the aggregate, material to the Business or the Purchased Assets; (c) easements, rights of way, zoning ordinances and other similar encumbrances affecting Real Property which are not, individually or in the aggregate, material to the Business or the Purchased Assets, which do not prohibit or interfere with the current operation of any Real Property and which do not render title to any Real Property unmarketable; or (d) other than with respect to Owned Real Property, liens arising under original purchase price conditional sales contracts and equipment leases with third parties entered into in the ordinary course of business consistent with past practice which are not, individually or in the aggregate, material to the Business or the Purchased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5" w:name="page116"/>
    <w:bookmarkEnd w:id="115"/>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Governmental Body or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means any taxable period ending on or prior to the Closing Date.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Taxes</w:t>
      </w:r>
      <w:r>
        <w:rPr>
          <w:rFonts w:ascii="Arial" w:cs="Arial" w:eastAsia="Arial" w:hAnsi="Arial"/>
          <w:sz w:val="18"/>
          <w:szCs w:val="18"/>
          <w:color w:val="auto"/>
        </w:rPr>
        <w:t>” means: (a) all Taxes of Seller for all Pre-Closing Periods; (b) all Taxes of Seller for all Pre-Closing Straddle Periods; (c) all Taxes of any member of an affiliated, consolidated, combined or unitary group of which Seller (or any predecessor thereof) is or was a member on or prior to the Closing Date, including pursuant to Treasury Regulations Section 1.1502-6 or any analogous or similar Law; and (d) all Taxes of any Person (other than Seller) imposed on Seller as a transferee or successor, by contract or pursuant to any Law, as a result of an event or transaction occurring on or prior to the Closing Date.</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Prescription Files</w:t>
      </w:r>
      <w:r>
        <w:rPr>
          <w:rFonts w:ascii="Arial" w:cs="Arial" w:eastAsia="Arial" w:hAnsi="Arial"/>
          <w:sz w:val="18"/>
          <w:szCs w:val="18"/>
          <w:color w:val="auto"/>
        </w:rPr>
        <w:t>” mean, with respect to Seller and the Business, all: (a) electronic, hard copy (and electronic images thereof) and faxed prescriptions (and electronic images thereof); (b) prescription files and records; (c) customer lists and patient profiles, including refill history, status reports, insurance coverages, and clinical and customer service notes and references; (d) files and records maintained electronically, including authentication credentials and other relevant information; (e) files and records of all “active patients” (including e-commerce customers) that received a prescription from the Business in the twelve (12) months prior to the Closing; and (f) files and records of patients that the Business is required to retain for a specific period in accordance with applicable Law.</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Programs</w:t>
      </w:r>
      <w:r>
        <w:rPr>
          <w:rFonts w:ascii="Arial" w:cs="Arial" w:eastAsia="Arial" w:hAnsi="Arial"/>
          <w:sz w:val="18"/>
          <w:szCs w:val="18"/>
          <w:color w:val="auto"/>
        </w:rPr>
        <w:t>” means any third-party payor (other than a Governmental Program) with which Seller, with respect to the Business, has a contract to provide services and to receive payment for such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action, arbitration, written charge, written claim, written complaint, challenge, dispute, audit, hearing, investigation, litigation or suit (whether civil, criminal, administrative, investigative or informal) commenced, brought, conducted or heard by or before, or otherwise involving, any Governmental Body.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Proration Items</w:t>
      </w:r>
      <w:r>
        <w:rPr>
          <w:rFonts w:ascii="Arial" w:cs="Arial" w:eastAsia="Arial" w:hAnsi="Arial"/>
          <w:sz w:val="18"/>
          <w:szCs w:val="18"/>
          <w:color w:val="auto"/>
        </w:rPr>
        <w:t>” means real and personal property Taxes, utility charges (including water, sewer, electric and gas), maintenance charges, rental or lease payments, equipment charges, charges under service Contracts including among the Assigned Contracts, and similar expenses related to the Purchased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6" w:name="page117"/>
    <w:bookmarkEnd w:id="116"/>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w:t>
      </w:r>
      <w:r>
        <w:rPr>
          <w:rFonts w:ascii="Arial" w:cs="Arial" w:eastAsia="Arial" w:hAnsi="Arial"/>
          <w:sz w:val="18"/>
          <w:szCs w:val="18"/>
          <w:color w:val="auto"/>
        </w:rPr>
        <w:t>” means with respect to a natural Person: (a) each other member of such Person’s family; (b) any Person who is directly or indirectly controlled by any one or more members of such Person’s family; (c) any Person in which members of such Person’s family hold (individually or in the aggregate) a Material Interest; and (d) any Person with respect to which one or more members of such Person’s family serves as a director, officer, partner, manager, managing member, executor or trustee (or in a similar capacity). For purposes of this definition, the “family” of a natural Person includes (i) the natural Person; (ii) his or her spouse; (iii) any other natural Person who is related to the natural Person or his or her spouse within the second degree; and (iv) any other natural Person who resides with such natural Person.</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dumping, disposing or migration in any part of the environment of Hazardous Substances.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particular Person, any director, officer, manager, managing member, employee, agent, consultant, advisor or other representative of such Person, including legal counsel, accountants and financial advisors.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Event</w:t>
      </w:r>
      <w:r>
        <w:rPr>
          <w:rFonts w:ascii="Arial" w:cs="Arial" w:eastAsia="Arial" w:hAnsi="Arial"/>
          <w:sz w:val="17"/>
          <w:szCs w:val="17"/>
          <w:color w:val="auto"/>
        </w:rPr>
        <w:t>” means, with respect to Seller: (a) except in the Ordinary Course of Business or pursuant to existing Contracts, paying any bonus to or increasing the salary or other compensation of any director, officer, manager, employee or agent; (b) adopting or increasing payments to or benefits under any Employee Benefit Plan; (c) incurring or suffering any labor dispute or disturbance, other than routine individual grievances that are not material to the Business; (d) entering into, terminating or receiving notice of termination of any Government Authorization, license, royalty, noncompetition, joint venture, credit or other Contract or transaction that involves a total remaining commitment of more than $50,000; (e) selling, leasing, licensing or otherwise disposing of any material asset, or incurring or suffering any Encumbrance on any property or asset; (f) canceling or waiving any claim or right, or writing down or writing off any accounts or notes receivable, in each case with a value in excess of $50,000; (g) changing any accounting method or principle; (h) failing to cause any uncontested liability or obligation in excess of $50,000 to be paid or satisfied when the same becomes due; (i) making any capital expenditure in excess of $50,000; (j) incurring or suffering material damage to or destruction or loss of any of any material asset, whether or not covered by Insurance; (k) taking any action, or failing to act, other than in the Ordinary Course of Business; (l) failing to timely pay any supplier or other creditor in the Ordinary Course of Business; (m) licensing, selling or transferring any Owned Intellectual Property Assets; (n) amending or modifying any Contract set forth on the Disclosure Schedule or entering into any Contract that would be required to be set forth on the Disclosure Schedule if such Contracts was entered into immediately prior to the signing of this Agreement; (n) entering into a Contract or making a binding commitment to do any of the foregoing; (o) terminating, or permitting the termination or expiration of, any existing pharmacy license, permit, registration or certification, Medicare or Medicaid provider number or any other Governmental Authorization; (p) executing, modifying or canceling any Contract with a third-party payor; or (q) agreeing to or executing any settlement agreement or corporate integrity agreement with any Governmental Body, including the Office of Inspector General of the United States Department of Health and Human Services.</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means, with respect to Buyer or Seller, the period beginning on the Closing Date and ending on the earlier of (a) five (5) years after the Closing Date or (b) the occurrence of a Change of Control with respect to Buyer or Seller, as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has the meaning set forth in the first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Benefit Plan</w:t>
      </w:r>
      <w:r>
        <w:rPr>
          <w:rFonts w:ascii="Arial" w:cs="Arial" w:eastAsia="Arial" w:hAnsi="Arial"/>
          <w:sz w:val="18"/>
          <w:szCs w:val="18"/>
          <w:color w:val="auto"/>
        </w:rPr>
        <w:t>” means each Employee Benefit Plan sponsored, co-sponsored, maintained or contributed to by Seller or an ERISA Affiliate of Seller or covering an employee of Seller.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Transaction Expenses</w:t>
      </w:r>
      <w:r>
        <w:rPr>
          <w:rFonts w:ascii="Arial" w:cs="Arial" w:eastAsia="Arial" w:hAnsi="Arial"/>
          <w:sz w:val="18"/>
          <w:szCs w:val="18"/>
          <w:color w:val="auto"/>
        </w:rPr>
        <w:t>” means all fees, expenses and Losses incurred by or on behalf of Seller in connection with the negotiation, preparation or execution of this Agreement, another Transaction Document or any documents or agreements contemplated hereby or the performance or consummation of the transactions contemplated hereby or thereby, including (a) brokers’ or finders’ fees, (b) fees and expenses of counsel, advisors, consultants, investment bankers, accountants, auditors, experts and other Representatives, (c) all bonuses, compensation or other payments to employees of Seller relating to the transactions contemplated by this Agreement or another Transaction Documents and (d) any assignment or transfer fees payable in connection with the assignment of the Assigned Contracts from Seller to Buyer.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Knowledge</w:t>
      </w:r>
      <w:r>
        <w:rPr>
          <w:rFonts w:ascii="Arial" w:cs="Arial" w:eastAsia="Arial" w:hAnsi="Arial"/>
          <w:sz w:val="18"/>
          <w:szCs w:val="18"/>
          <w:color w:val="auto"/>
        </w:rPr>
        <w:t xml:space="preserve">” means the Knowledge of each of the individuals set forth on </w:t>
      </w:r>
      <w:r>
        <w:rPr>
          <w:rFonts w:ascii="Arial" w:cs="Arial" w:eastAsia="Arial" w:hAnsi="Arial"/>
          <w:sz w:val="18"/>
          <w:szCs w:val="18"/>
          <w:u w:val="single" w:color="auto"/>
          <w:color w:val="auto"/>
        </w:rPr>
        <w:t>Exhibit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Parent</w:t>
      </w:r>
      <w:r>
        <w:rPr>
          <w:rFonts w:ascii="Arial" w:cs="Arial" w:eastAsia="Arial" w:hAnsi="Arial"/>
          <w:sz w:val="18"/>
          <w:szCs w:val="18"/>
          <w:color w:val="auto"/>
        </w:rPr>
        <w:t>” means Harrow Health,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Social Security Act</w:t>
      </w:r>
      <w:r>
        <w:rPr>
          <w:rFonts w:ascii="Arial" w:cs="Arial" w:eastAsia="Arial" w:hAnsi="Arial"/>
          <w:sz w:val="18"/>
          <w:szCs w:val="18"/>
          <w:color w:val="auto"/>
        </w:rPr>
        <w:t>” means the Social Security Act of 1935,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taxable year or period beginning on or before and ending after the Closing Date.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tax (including any income tax, gross receipts tax, capital gains tax, value-added tax, sales tax, use tax, property tax, business tax, license tax, payroll tax, employment tax, social security tax, unemployment tax, severance tax, environmental tax, gift tax, estate tax, franchise tax, net worth tax, escheat or unclaimed property tax, excise tax and business occupancy tax), levy, assessment, tariff, duty (including any customs duty), deficiency or other fee or any related charge or amount (including any fine, penalty, interest or addition thereto), imposed, assessed or collected by or under the authority of any Governmental Body or payable pursuant to any tax-sharing or tax-indemnity Contract or any other Contract relating to the sharing of payment of any tax, levy, assessment, tariff, duty, deficiency or fee.</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declaration, claim for refund, report, statement, schedule, notice, form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Threatened</w:t>
      </w:r>
      <w:r>
        <w:rPr>
          <w:rFonts w:ascii="Arial" w:cs="Arial" w:eastAsia="Arial" w:hAnsi="Arial"/>
          <w:sz w:val="18"/>
          <w:szCs w:val="18"/>
          <w:color w:val="auto"/>
        </w:rPr>
        <w:t>” means, as to any Proceeding or other matter, that a demand or statement has been made (orally or in writing), a notice has been given (orally or in writing) or an event has occurred or some other circumstance exists that would lead a prudent Person to conclude that such a Proceeding or other matter is reasonably likely to be asserted, commenced, taken or otherwise pursued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8" w:name="page119"/>
    <w:bookmarkEnd w:id="118"/>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Documents</w:t>
      </w:r>
      <w:r>
        <w:rPr>
          <w:rFonts w:ascii="Arial" w:cs="Arial" w:eastAsia="Arial" w:hAnsi="Arial"/>
          <w:sz w:val="17"/>
          <w:szCs w:val="17"/>
          <w:color w:val="auto"/>
        </w:rPr>
        <w:t>” means this Agreement, the Transition Services Agreement and all other Contracts to be executed and delivered by any Party or any of his or its Affiliates or Representatives in connection with the consummation of the transactions contemplated by this Agreement.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(a) the Worker Adjustment and Retraining Notification (WARN) Act Pub. L. 100 379.102 stat. 890 (1988), as amended, codified at 29 U.S.C. 2101 et seq.; and (b) any state “mini” Warn Act.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Warranty Deed</w:t>
      </w:r>
      <w:r>
        <w:rPr>
          <w:rFonts w:ascii="Arial" w:cs="Arial" w:eastAsia="Arial" w:hAnsi="Arial"/>
          <w:sz w:val="18"/>
          <w:szCs w:val="18"/>
          <w:color w:val="auto"/>
        </w:rPr>
        <w:t>” means a general warranty deed, in form and substance acceptable to Buyer, duly executed and acknowledged in recordable form by Seller, for the purpose of conveying the Owned Real Property to Buyer.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9.1 Binding Effect; Benefits; Assignment. </w:t>
      </w:r>
      <w:r>
        <w:rPr>
          <w:rFonts w:ascii="Arial" w:cs="Arial" w:eastAsia="Arial" w:hAnsi="Arial"/>
          <w:sz w:val="16"/>
          <w:szCs w:val="16"/>
          <w:color w:val="auto"/>
        </w:rPr>
        <w:t>All of the provisions of this Agreement and the other Transaction Documents executed by a Party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binding upon, inure to the benefit of and be enforceable by and against that Party and its successors and authorized assigns. Except (a) as otherwise expressly provided in this Agreement or another Transaction Document or (b) from the provisions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which is intended to be for the benefit of, and will be enforceable by, each Buyer Indemnified Party and Seller Indemnified Party, nothing in this Agreement or such other Transaction Document, express or implied, is intended to confer upon any Person other than the signatories thereto any rights or remedies under or by reason of this Agreement or such other Transaction Document. No Party will assign any of its rights or obligations under this Agreement or any other Transaction Document to any other Person without the prior written consent of the other Parties to this Agreement or other Transaction Documents, as applicable, and any such attempted or purported assignment will be null and void; </w:t>
      </w:r>
      <w:r>
        <w:rPr>
          <w:rFonts w:ascii="Arial" w:cs="Arial" w:eastAsia="Arial" w:hAnsi="Arial"/>
          <w:sz w:val="16"/>
          <w:szCs w:val="16"/>
          <w:i w:val="1"/>
          <w:iCs w:val="1"/>
          <w:color w:val="auto"/>
        </w:rPr>
        <w:t>provided, however</w:t>
      </w:r>
      <w:r>
        <w:rPr>
          <w:rFonts w:ascii="Arial" w:cs="Arial" w:eastAsia="Arial" w:hAnsi="Arial"/>
          <w:sz w:val="16"/>
          <w:szCs w:val="16"/>
          <w:color w:val="auto"/>
        </w:rPr>
        <w:t>, that Buyer may, without consent, assign all or part of its rights under this Agreement or other Transaction Documents to (a) one or more of its Affiliates or (b) any Person providing funded debt to Buyer or any Affiliate.</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9.2 Entire Agreement. </w:t>
      </w:r>
      <w:r>
        <w:rPr>
          <w:rFonts w:ascii="Arial" w:cs="Arial" w:eastAsia="Arial" w:hAnsi="Arial"/>
          <w:sz w:val="18"/>
          <w:szCs w:val="18"/>
          <w:color w:val="auto"/>
        </w:rPr>
        <w:t>This Agreement, the exhibits and schedules to this Agreement (including the Disclosure Schedule) and the other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set forth the entire agreement and understanding of the Parties in respect of the transactions contemplated by this Agreement or other Transaction Documents, as applicable, and supersede all prior Contracts, term sheets, letters of intent, exclusivity agreements, and other arrangements and understandings relating to the subject matter hereof and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9.3 Amendment and Waiver. </w:t>
      </w:r>
      <w:r>
        <w:rPr>
          <w:rFonts w:ascii="Arial" w:cs="Arial" w:eastAsia="Arial" w:hAnsi="Arial"/>
          <w:sz w:val="18"/>
          <w:szCs w:val="18"/>
          <w:color w:val="auto"/>
        </w:rPr>
        <w:t>This Agreement may be amended, superseded or canceled, and any of its provisions may be waived, only by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by the Parties or, in the case of a waiver, by the Party waiving compliance. The failure of any Party at any time to require performance of any provision of this Agreement will in no manner affect the right of that Party at a later time to enforce the same or a different provision. No waiver by any Party of any condition or the breach of any provision of this Agreement, in any one or more instances, will be deemed to be or construed as a further or continuing waiver of the same or any other breach or provision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9" w:name="page120"/>
    <w:bookmarkEnd w:id="11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9.4 Governing Law. </w:t>
      </w:r>
      <w:r>
        <w:rPr>
          <w:rFonts w:ascii="Arial" w:cs="Arial" w:eastAsia="Arial" w:hAnsi="Arial"/>
          <w:sz w:val="18"/>
          <w:szCs w:val="18"/>
          <w:color w:val="auto"/>
        </w:rPr>
        <w:t>This Agreement will be governed by and construed in accordance with the Law of the State of Delaware as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to be performed in the State of California, without regard to conflicts of laws principles.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9.5 Notices. </w:t>
      </w:r>
      <w:r>
        <w:rPr>
          <w:rFonts w:ascii="Arial" w:cs="Arial" w:eastAsia="Arial" w:hAnsi="Arial"/>
          <w:sz w:val="17"/>
          <w:szCs w:val="17"/>
          <w:color w:val="auto"/>
        </w:rPr>
        <w:t>All notices, requests, demands and other communications required or permitted to be given pursuant to this Agreement must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will be deemed to have been duly given on the day of delivery if delivered by hand, on the day of transmission if sent by facsimile with confirmation (or on the next Business Day if not sent on a Business Day), on the first Business Day following deposit with a nationally recognized overnight mail service, delivery charges prepaid, or on the third Business Day following first class mailing, with postage prepaid:</w:t>
      </w:r>
    </w:p>
    <w:p>
      <w:pPr>
        <w:sectPr>
          <w:pgSz w:w="11900" w:h="16838" w:orient="portrait"/>
          <w:cols w:equalWidth="0" w:num="1">
            <w:col w:w="11420"/>
          </w:cols>
          <w:pgMar w:left="240" w:top="688" w:right="239" w:bottom="1440" w:gutter="0" w:footer="0" w:header="0"/>
        </w:sectPr>
      </w:pP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180" w:space="720"/>
            <w:col w:w="5520"/>
          </w:cols>
          <w:pgMar w:left="240" w:top="688"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Noice Rx, LLC</w:t>
      </w:r>
    </w:p>
    <w:p>
      <w:pPr>
        <w:sectPr>
          <w:pgSz w:w="11900" w:h="16838" w:orient="portrait"/>
          <w:cols w:equalWidth="0" w:num="1">
            <w:col w:w="11420"/>
          </w:cols>
          <w:pgMar w:left="240" w:top="688" w:right="2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with a copy to:</w:t>
      </w:r>
    </w:p>
    <w:p>
      <w:pPr>
        <w:spacing w:after="0" w:line="211" w:lineRule="exact"/>
        <w:rPr>
          <w:sz w:val="20"/>
          <w:szCs w:val="20"/>
          <w:color w:val="auto"/>
        </w:rPr>
      </w:pPr>
    </w:p>
    <w:p>
      <w:pPr>
        <w:sectPr>
          <w:pgSz w:w="11900" w:h="16838" w:orient="portrait"/>
          <w:cols w:equalWidth="0" w:num="2">
            <w:col w:w="5180" w:space="720"/>
            <w:col w:w="5520"/>
          </w:cols>
          <w:pgMar w:left="240" w:top="688"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Andrew Boll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Renaissance One, Two N. Central 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Walsh</w:t>
      </w:r>
    </w:p>
    <w:p>
      <w:pPr>
        <w:spacing w:after="0" w:line="200" w:lineRule="exact"/>
        <w:rPr>
          <w:sz w:val="20"/>
          <w:szCs w:val="20"/>
          <w:color w:val="auto"/>
        </w:rPr>
      </w:pPr>
    </w:p>
    <w:p>
      <w:pPr>
        <w:sectPr>
          <w:pgSz w:w="11900" w:h="16838" w:orient="portrait"/>
          <w:cols w:equalWidth="0" w:num="2">
            <w:col w:w="5180" w:space="720"/>
            <w:col w:w="5520"/>
          </w:cols>
          <w:pgMar w:left="240" w:top="688" w:right="239" w:bottom="1440" w:gutter="0" w:footer="0" w:header="0"/>
          <w:type w:val="continuous"/>
        </w:sectPr>
      </w:pPr>
    </w:p>
    <w:p>
      <w:pPr>
        <w:spacing w:after="0" w:line="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Party may change its or his address, telephone number or facsimile number by prior written notice to the other Parties provided in accordance with this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9.6 Counterparts. </w:t>
      </w:r>
      <w:r>
        <w:rPr>
          <w:rFonts w:ascii="Arial" w:cs="Arial" w:eastAsia="Arial" w:hAnsi="Arial"/>
          <w:sz w:val="18"/>
          <w:szCs w:val="18"/>
          <w:color w:val="auto"/>
        </w:rPr>
        <w:t>This Agreement may be executed by facsimile, digital or other electronic signature and in one or more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deemed an original and together will constitute a single instrument.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9.7 Like Kind Exchange. </w:t>
      </w:r>
      <w:r>
        <w:rPr>
          <w:rFonts w:ascii="Arial" w:cs="Arial" w:eastAsia="Arial" w:hAnsi="Arial"/>
          <w:sz w:val="18"/>
          <w:szCs w:val="18"/>
          <w:color w:val="auto"/>
        </w:rPr>
        <w:t>Seller or one of its Affiliates may wish to sell or purchase a portion or all of the Purchased Assets and other assets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sold under this Agreement as part of a tax-deferred, like-kind exchange as provided under Section 1031 of the Code. Buyer agrees to cooperate with Seller in such exchange provided that neither Buyer nor any of its Affiliates will be required to incur any obligation, liability, cost or expense with respect to any such exchanges.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9.8 Expenses. </w:t>
      </w:r>
      <w:r>
        <w:rPr>
          <w:rFonts w:ascii="Arial" w:cs="Arial" w:eastAsia="Arial" w:hAnsi="Arial"/>
          <w:sz w:val="18"/>
          <w:szCs w:val="18"/>
          <w:color w:val="auto"/>
        </w:rPr>
        <w:t>Except as otherwise expressly provided in this Agreement, each Party will pay its own expenses, costs and fees (including legal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professional fees and costs) incurred in connection with the negotiation, preparation, execution and delivery of this Agreement and the other Transaction Documents and the consummation of the transactions contemplated hereby and thereby.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20" w:name="page121"/>
    <w:bookmarkEnd w:id="120"/>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9.9 Headings; Construction; Time of Essence. </w:t>
      </w:r>
      <w:r>
        <w:rPr>
          <w:rFonts w:ascii="Arial" w:cs="Arial" w:eastAsia="Arial" w:hAnsi="Arial"/>
          <w:sz w:val="17"/>
          <w:szCs w:val="17"/>
          <w:color w:val="auto"/>
        </w:rPr>
        <w:t>The headings of the articles, sections and paragraphs in this Agreement have been inserted for</w:t>
      </w:r>
      <w:r>
        <w:rPr>
          <w:rFonts w:ascii="Arial" w:cs="Arial" w:eastAsia="Arial" w:hAnsi="Arial"/>
          <w:sz w:val="17"/>
          <w:szCs w:val="17"/>
          <w:b w:val="1"/>
          <w:bCs w:val="1"/>
          <w:color w:val="auto"/>
        </w:rPr>
        <w:t xml:space="preserve"> </w:t>
      </w:r>
      <w:r>
        <w:rPr>
          <w:rFonts w:ascii="Arial" w:cs="Arial" w:eastAsia="Arial" w:hAnsi="Arial"/>
          <w:sz w:val="17"/>
          <w:szCs w:val="17"/>
          <w:color w:val="auto"/>
        </w:rPr>
        <w:t>convenience of reference only and will not restrict or otherwise modify any of the terms or provisions of this Agreement. Unless expressly provided otherwise, each reference in this Agreement to a “Section” or an “Article” means a Section or Article, respectively, of this Agreement. Unless expressly provided otherwise, the words “including,” “include” or “includes,” or other similar words, whenever used in this Agreement will be deemed to be immediately followed by the words “without limitation”. With regard to all dates and time periods set forth or referred to in this Agreement, time is of the essence. References in this Agreement to any gender include references to all genders, and references to the singular include references to the plural and vice versa. Neither this Agreement nor any other Transaction Document (nor any uncertainty or ambiguity herein or therein) will be construed against any Party under any rule of construction or otherwise. No Party will be considered the drafter of this Agreement or any other Transaction Document. This Agreement and the other Transaction Documents have been reviewed, negotiated and accepted by all Parties and their attorneys and will be construed and interpreted according to the ordinary meaning of the words so as fairly to accomplish the purposes and intentions of the Parties. All references to dollars in this Agreement or any other Transaction Document are to United States Dollars.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9.10 Severability. </w:t>
      </w:r>
      <w:r>
        <w:rPr>
          <w:rFonts w:ascii="Arial" w:cs="Arial" w:eastAsia="Arial" w:hAnsi="Arial"/>
          <w:sz w:val="17"/>
          <w:szCs w:val="17"/>
          <w:color w:val="auto"/>
        </w:rPr>
        <w:t>Whenever possible, each provision of this Agreement and each other Transaction Document will be interpreted in such manner as</w:t>
      </w:r>
      <w:r>
        <w:rPr>
          <w:rFonts w:ascii="Arial" w:cs="Arial" w:eastAsia="Arial" w:hAnsi="Arial"/>
          <w:sz w:val="17"/>
          <w:szCs w:val="17"/>
          <w:b w:val="1"/>
          <w:bCs w:val="1"/>
          <w:color w:val="auto"/>
        </w:rPr>
        <w:t xml:space="preserve"> </w:t>
      </w:r>
      <w:r>
        <w:rPr>
          <w:rFonts w:ascii="Arial" w:cs="Arial" w:eastAsia="Arial" w:hAnsi="Arial"/>
          <w:sz w:val="17"/>
          <w:szCs w:val="17"/>
          <w:color w:val="auto"/>
        </w:rPr>
        <w:t>to be effective and valid under applicable Laws, but in case any one or more of the provisions contained in this Agreement or other Transaction Document is, for any reason, held to be invalid, illegal or unenforceable in any respect, such invalidity, illegality or unenforceability will not affect any other provision of this Agreement or other Transaction Document, as applicable, and this Agreement or other Transaction Document will be construed as if such invalid, illegal or unenforceable provision or provisions had never been contained herein or therein unless the deletion of such provision or provisions would result in such a material change as to cause completion of the transactions contemplated hereby or thereby to be unreasonable. If the deemed deletion of the invalid, illegal or unenforceable provision or provisions is reasonably likely to have a material adverse effect on a Party, all Parties will endeavor in good faith to replace the invalid, illegal or unenforceable provisions with valid provisions the economic effect of which comes as close as practicable to that of the invalid, illegal or unenforceable provisions.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9.11 Waiver of Jury Trial. </w:t>
      </w:r>
      <w:r>
        <w:rPr>
          <w:rFonts w:ascii="Arial" w:cs="Arial" w:eastAsia="Arial" w:hAnsi="Arial"/>
          <w:sz w:val="18"/>
          <w:szCs w:val="18"/>
          <w:color w:val="auto"/>
        </w:rPr>
        <w:t>EACH PARTY HEREBY KNOWINGLY AND WILLINGLY WAIVES ITS OR HIS RIGHTS TO DEMAND A JURY</w:t>
      </w:r>
      <w:r>
        <w:rPr>
          <w:rFonts w:ascii="Arial" w:cs="Arial" w:eastAsia="Arial" w:hAnsi="Arial"/>
          <w:sz w:val="18"/>
          <w:szCs w:val="18"/>
          <w:b w:val="1"/>
          <w:bCs w:val="1"/>
          <w:color w:val="auto"/>
        </w:rPr>
        <w:t xml:space="preserve"> </w:t>
      </w:r>
      <w:r>
        <w:rPr>
          <w:rFonts w:ascii="Arial" w:cs="Arial" w:eastAsia="Arial" w:hAnsi="Arial"/>
          <w:sz w:val="18"/>
          <w:szCs w:val="18"/>
          <w:color w:val="auto"/>
        </w:rPr>
        <w:t>TRIAL IN ANY ACTION OR PROCEEDING INVOLVING THIS AGREEMENT, ANY OTHER TRANSACTION DOCUMENT OR THE TRANSACTIONS CONTEMPLATED HEREBY OR THEREBY. EACH PARTY REPRESENTS AND WARRANTS THAT IT OR HE HAS REVIEWED THIS WAIVER WITH ITS OR HIS LEGAL COUNSEL AND HAS KNOWINGLY AND VOLUNTARILY WAIVED ITS OR HIS JURY TRIAL RIGHTS FOLLOWING CONSULTATION WITH LEGAL COUNSEL. IN THE EVENT OF LITIGATION, THIS AGREEMENT MAY BE FILED AS A WRITTEN CONSENT TO TRIAL BY THE COURT.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9.12 Specific Performance. </w:t>
      </w:r>
      <w:r>
        <w:rPr>
          <w:rFonts w:ascii="Arial" w:cs="Arial" w:eastAsia="Arial" w:hAnsi="Arial"/>
          <w:sz w:val="17"/>
          <w:szCs w:val="17"/>
          <w:color w:val="auto"/>
        </w:rPr>
        <w:t>The Parties acknowledge and agree that irreparable harm for which monetary damages would not be an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remedy would occur in the event of a breach of any of the terms or provisions of this Agreement. Accordingly, the Parties agree that, in addition to other remedies, each of the Parties will be entitled to specific performance without the necessity of providing the inadequacy of monetary damages as a remedy and to obtain injunctive relief against any such breaches or threatened breaches of this Agreement. The Parties agree and acknowledge that (i) by seeking the remedies provided for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a Party will not in any respect waive its or his right to seek any other form of relief that may be available to such Party under this Agreement, including monetary damages in the event that this Agreement has been terminated or in the event that the remedies provided for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are not available or otherwise are not granted and (ii) nothing contained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will require any Party to institute any Proceeding for (or limit any Party’s right to institute any Proceeding for) specific performance under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before properly exercising any termination right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pursuing any other remedies under this Agreement after such termination) nor will the commencement of any Proceeding pursuant to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or anything contained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restrict or limit any Party’s right to properly terminate this Agreement in accordance with the terms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pursue any other remedies under this Agreement that may be available then or thereafter. Each of the Parties agrees that it or he will not oppose the granting of an injunction, specific performance and other equitable relief on the basis that the other Parties have an adequate remedy at Law or an award of specific performance is not an appropriate remedy for any reason at Law or equity. Any Party seeking an injunction or injunctions to prevent breaches of this Agreement and to enforce specifically the terms and provisions of this Agreement will not be required to provide any bond or other security in connection with any such order or injunction.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Asset Purchase Agreement as of the date stated in the first paragraph of this Asset Purchase Agreement.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NOICE RX,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Robert Haywood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President/Manager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PARK COMPOUNDING,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ind w:left="10280"/>
        <w:spacing w:after="0"/>
        <w:rPr>
          <w:sz w:val="20"/>
          <w:szCs w:val="20"/>
          <w:color w:val="auto"/>
        </w:rPr>
      </w:pPr>
      <w:r>
        <w:rPr>
          <w:rFonts w:ascii="Arial" w:cs="Arial" w:eastAsia="Arial" w:hAnsi="Arial"/>
          <w:sz w:val="18"/>
          <w:szCs w:val="18"/>
          <w:b w:val="1"/>
          <w:bCs w:val="1"/>
          <w:color w:val="auto"/>
        </w:rPr>
        <w:t>EHXIBIT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25"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b w:val="1"/>
          <w:bCs w:val="1"/>
          <w:color w:val="auto"/>
        </w:rPr>
        <w:t>Loan Amount: U.S. $8,000,000.00</w:t>
      </w:r>
      <w:r>
        <w:rPr>
          <w:sz w:val="20"/>
          <w:szCs w:val="20"/>
          <w:color w:val="auto"/>
        </w:rPr>
        <w:tab/>
      </w:r>
      <w:r>
        <w:rPr>
          <w:rFonts w:ascii="Arial" w:cs="Arial" w:eastAsia="Arial" w:hAnsi="Arial"/>
          <w:sz w:val="16"/>
          <w:szCs w:val="16"/>
          <w:b w:val="1"/>
          <w:bCs w:val="1"/>
          <w:color w:val="auto"/>
        </w:rPr>
        <w:t>Date: July 26, 2019</w:t>
      </w:r>
    </w:p>
    <w:p>
      <w:pPr>
        <w:spacing w:after="0" w:line="225" w:lineRule="exact"/>
        <w:rPr>
          <w:sz w:val="20"/>
          <w:szCs w:val="20"/>
          <w:color w:val="auto"/>
        </w:rPr>
      </w:pPr>
    </w:p>
    <w:p>
      <w:pPr>
        <w:ind w:firstLine="8"/>
        <w:spacing w:after="0" w:line="282" w:lineRule="auto"/>
        <w:tabs>
          <w:tab w:leader="none" w:pos="19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FUNDAMENTAL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other defined terms set forth elsewhere in this Secured Promissory Note (this “</w:t>
      </w:r>
      <w:r>
        <w:rPr>
          <w:rFonts w:ascii="Arial" w:cs="Arial" w:eastAsia="Arial" w:hAnsi="Arial"/>
          <w:sz w:val="18"/>
          <w:szCs w:val="18"/>
          <w:u w:val="single" w:color="auto"/>
          <w:color w:val="auto"/>
        </w:rPr>
        <w:t>Note</w:t>
      </w:r>
      <w:r>
        <w:rPr>
          <w:rFonts w:ascii="Arial" w:cs="Arial" w:eastAsia="Arial" w:hAnsi="Arial"/>
          <w:sz w:val="18"/>
          <w:szCs w:val="18"/>
          <w:color w:val="auto"/>
        </w:rPr>
        <w: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terms are used as defined terms in this Note: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9580" w:type="dxa"/>
            <w:vAlign w:val="bottom"/>
          </w:tcPr>
          <w:p>
            <w:pPr>
              <w:ind w:left="120"/>
              <w:spacing w:after="0"/>
              <w:rPr>
                <w:sz w:val="20"/>
                <w:szCs w:val="20"/>
                <w:color w:val="auto"/>
              </w:rPr>
            </w:pPr>
            <w:r>
              <w:rPr>
                <w:rFonts w:ascii="Arial" w:cs="Arial" w:eastAsia="Arial" w:hAnsi="Arial"/>
                <w:sz w:val="18"/>
                <w:szCs w:val="18"/>
                <w:color w:val="auto"/>
              </w:rPr>
              <w:t>Park Compounding, Inc., a California corporation</w:t>
            </w:r>
          </w:p>
        </w:tc>
      </w:tr>
      <w:tr>
        <w:trPr>
          <w:trHeight w:val="216"/>
        </w:trPr>
        <w:tc>
          <w:tcPr>
            <w:tcW w:w="184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12264 El Camino Real, Suite 350</w:t>
            </w:r>
          </w:p>
        </w:tc>
      </w:tr>
      <w:tr>
        <w:trPr>
          <w:trHeight w:val="230"/>
        </w:trPr>
        <w:tc>
          <w:tcPr>
            <w:tcW w:w="184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San Diego, CA 92130</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Maker:</w:t>
            </w:r>
          </w:p>
        </w:tc>
        <w:tc>
          <w:tcPr>
            <w:tcW w:w="9580" w:type="dxa"/>
            <w:vAlign w:val="bottom"/>
          </w:tcPr>
          <w:p>
            <w:pPr>
              <w:ind w:left="120"/>
              <w:spacing w:after="0"/>
              <w:rPr>
                <w:sz w:val="20"/>
                <w:szCs w:val="20"/>
                <w:color w:val="auto"/>
              </w:rPr>
            </w:pPr>
            <w:r>
              <w:rPr>
                <w:rFonts w:ascii="Arial" w:cs="Arial" w:eastAsia="Arial" w:hAnsi="Arial"/>
                <w:sz w:val="18"/>
                <w:szCs w:val="18"/>
                <w:color w:val="auto"/>
              </w:rPr>
              <w:t>Noice Rx, LLC</w:t>
            </w:r>
          </w:p>
        </w:tc>
      </w:tr>
      <w:tr>
        <w:trPr>
          <w:trHeight w:val="418"/>
        </w:trPr>
        <w:tc>
          <w:tcPr>
            <w:tcW w:w="1840" w:type="dxa"/>
            <w:vAlign w:val="bottom"/>
          </w:tcPr>
          <w:p>
            <w:pPr>
              <w:spacing w:after="0"/>
              <w:rPr>
                <w:sz w:val="20"/>
                <w:szCs w:val="20"/>
                <w:color w:val="auto"/>
              </w:rPr>
            </w:pPr>
            <w:r>
              <w:rPr>
                <w:rFonts w:ascii="Arial" w:cs="Arial" w:eastAsia="Arial" w:hAnsi="Arial"/>
                <w:sz w:val="18"/>
                <w:szCs w:val="18"/>
                <w:b w:val="1"/>
                <w:bCs w:val="1"/>
                <w:color w:val="auto"/>
              </w:rPr>
              <w:t>Loan:</w:t>
            </w:r>
          </w:p>
        </w:tc>
        <w:tc>
          <w:tcPr>
            <w:tcW w:w="9580" w:type="dxa"/>
            <w:vAlign w:val="bottom"/>
          </w:tcPr>
          <w:p>
            <w:pPr>
              <w:ind w:left="120"/>
              <w:spacing w:after="0"/>
              <w:rPr>
                <w:sz w:val="20"/>
                <w:szCs w:val="20"/>
                <w:color w:val="auto"/>
              </w:rPr>
            </w:pPr>
            <w:r>
              <w:rPr>
                <w:rFonts w:ascii="Arial" w:cs="Arial" w:eastAsia="Arial" w:hAnsi="Arial"/>
                <w:sz w:val="18"/>
                <w:szCs w:val="18"/>
                <w:color w:val="auto"/>
                <w:w w:val="93"/>
              </w:rPr>
              <w:t>The loan from Holder to Maker in the Principal Amount stated below, in connection with Maker’s purchase of substantially all of</w:t>
            </w:r>
          </w:p>
        </w:tc>
      </w:tr>
      <w:tr>
        <w:trPr>
          <w:trHeight w:val="230"/>
        </w:trPr>
        <w:tc>
          <w:tcPr>
            <w:tcW w:w="184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the assets of Holder.</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9580" w:type="dxa"/>
            <w:vAlign w:val="bottom"/>
          </w:tcPr>
          <w:p>
            <w:pPr>
              <w:ind w:left="120"/>
              <w:spacing w:after="0"/>
              <w:rPr>
                <w:sz w:val="20"/>
                <w:szCs w:val="20"/>
                <w:color w:val="auto"/>
              </w:rPr>
            </w:pPr>
            <w:r>
              <w:rPr>
                <w:rFonts w:ascii="Arial" w:cs="Arial" w:eastAsia="Arial" w:hAnsi="Arial"/>
                <w:sz w:val="18"/>
                <w:szCs w:val="18"/>
                <w:color w:val="auto"/>
              </w:rPr>
              <w:t>Eight Million Dollars (U.S. $8,000,000.00).</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Base Interest Rate:</w:t>
            </w:r>
          </w:p>
        </w:tc>
        <w:tc>
          <w:tcPr>
            <w:tcW w:w="9580" w:type="dxa"/>
            <w:vAlign w:val="bottom"/>
          </w:tcPr>
          <w:p>
            <w:pPr>
              <w:ind w:left="120"/>
              <w:spacing w:after="0"/>
              <w:rPr>
                <w:sz w:val="20"/>
                <w:szCs w:val="20"/>
                <w:color w:val="auto"/>
              </w:rPr>
            </w:pPr>
            <w:r>
              <w:rPr>
                <w:rFonts w:ascii="Arial" w:cs="Arial" w:eastAsia="Arial" w:hAnsi="Arial"/>
                <w:sz w:val="18"/>
                <w:szCs w:val="18"/>
                <w:color w:val="auto"/>
              </w:rPr>
              <w:t>Nine and One-Half Percent (9.5%) per annum.</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Default Interest Rate:</w:t>
            </w:r>
          </w:p>
        </w:tc>
        <w:tc>
          <w:tcPr>
            <w:tcW w:w="9580" w:type="dxa"/>
            <w:vAlign w:val="bottom"/>
          </w:tcPr>
          <w:p>
            <w:pPr>
              <w:ind w:left="120"/>
              <w:spacing w:after="0"/>
              <w:rPr>
                <w:sz w:val="20"/>
                <w:szCs w:val="20"/>
                <w:color w:val="auto"/>
              </w:rPr>
            </w:pPr>
            <w:r>
              <w:rPr>
                <w:rFonts w:ascii="Arial" w:cs="Arial" w:eastAsia="Arial" w:hAnsi="Arial"/>
                <w:sz w:val="18"/>
                <w:szCs w:val="18"/>
                <w:color w:val="auto"/>
              </w:rPr>
              <w:t>Fifteen Percent (15%) per annum.</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w w:val="97"/>
              </w:rPr>
              <w:t>Interest Accrual Date:</w:t>
            </w:r>
          </w:p>
        </w:tc>
        <w:tc>
          <w:tcPr>
            <w:tcW w:w="9580" w:type="dxa"/>
            <w:vAlign w:val="bottom"/>
          </w:tcPr>
          <w:p>
            <w:pPr>
              <w:ind w:left="120"/>
              <w:spacing w:after="0"/>
              <w:rPr>
                <w:sz w:val="20"/>
                <w:szCs w:val="20"/>
                <w:color w:val="auto"/>
              </w:rPr>
            </w:pPr>
            <w:r>
              <w:rPr>
                <w:rFonts w:ascii="Arial" w:cs="Arial" w:eastAsia="Arial" w:hAnsi="Arial"/>
                <w:sz w:val="18"/>
                <w:szCs w:val="18"/>
                <w:color w:val="auto"/>
              </w:rPr>
              <w:t>September 15, 2019.</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First Payment Date:</w:t>
            </w:r>
          </w:p>
        </w:tc>
        <w:tc>
          <w:tcPr>
            <w:tcW w:w="9580" w:type="dxa"/>
            <w:vAlign w:val="bottom"/>
          </w:tcPr>
          <w:p>
            <w:pPr>
              <w:ind w:left="120"/>
              <w:spacing w:after="0"/>
              <w:rPr>
                <w:sz w:val="20"/>
                <w:szCs w:val="20"/>
                <w:color w:val="auto"/>
              </w:rPr>
            </w:pPr>
            <w:r>
              <w:rPr>
                <w:rFonts w:ascii="Arial" w:cs="Arial" w:eastAsia="Arial" w:hAnsi="Arial"/>
                <w:sz w:val="18"/>
                <w:szCs w:val="18"/>
                <w:color w:val="auto"/>
              </w:rPr>
              <w:t>October 15, 2019.</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9580" w:type="dxa"/>
            <w:vAlign w:val="bottom"/>
          </w:tcPr>
          <w:p>
            <w:pPr>
              <w:ind w:left="120"/>
              <w:spacing w:after="0"/>
              <w:rPr>
                <w:sz w:val="20"/>
                <w:szCs w:val="20"/>
                <w:color w:val="auto"/>
              </w:rPr>
            </w:pPr>
            <w:r>
              <w:rPr>
                <w:rFonts w:ascii="Arial" w:cs="Arial" w:eastAsia="Arial" w:hAnsi="Arial"/>
                <w:sz w:val="18"/>
                <w:szCs w:val="18"/>
                <w:color w:val="auto"/>
              </w:rPr>
              <w:t>March 15, 2025.</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Daily Late Charge:</w:t>
            </w:r>
          </w:p>
        </w:tc>
        <w:tc>
          <w:tcPr>
            <w:tcW w:w="9580" w:type="dxa"/>
            <w:vAlign w:val="bottom"/>
          </w:tcPr>
          <w:p>
            <w:pPr>
              <w:ind w:left="120"/>
              <w:spacing w:after="0"/>
              <w:rPr>
                <w:sz w:val="20"/>
                <w:szCs w:val="20"/>
                <w:color w:val="auto"/>
              </w:rPr>
            </w:pPr>
            <w:r>
              <w:rPr>
                <w:rFonts w:ascii="Arial" w:cs="Arial" w:eastAsia="Arial" w:hAnsi="Arial"/>
                <w:sz w:val="18"/>
                <w:szCs w:val="18"/>
                <w:color w:val="auto"/>
              </w:rPr>
              <w:t>$100.00.</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Prepayment Fee:</w:t>
            </w:r>
          </w:p>
        </w:tc>
        <w:tc>
          <w:tcPr>
            <w:tcW w:w="9580" w:type="dxa"/>
            <w:vAlign w:val="bottom"/>
          </w:tcPr>
          <w:p>
            <w:pPr>
              <w:ind w:left="120"/>
              <w:spacing w:after="0"/>
              <w:rPr>
                <w:sz w:val="20"/>
                <w:szCs w:val="20"/>
                <w:color w:val="auto"/>
              </w:rPr>
            </w:pPr>
            <w:r>
              <w:rPr>
                <w:rFonts w:ascii="Arial" w:cs="Arial" w:eastAsia="Arial" w:hAnsi="Arial"/>
                <w:sz w:val="18"/>
                <w:szCs w:val="18"/>
                <w:color w:val="auto"/>
              </w:rPr>
              <w:t>None.</w:t>
            </w:r>
          </w:p>
        </w:tc>
      </w:tr>
      <w:tr>
        <w:trPr>
          <w:trHeight w:val="432"/>
        </w:trPr>
        <w:tc>
          <w:tcPr>
            <w:tcW w:w="184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9580" w:type="dxa"/>
            <w:vAlign w:val="bottom"/>
          </w:tcPr>
          <w:p>
            <w:pPr>
              <w:ind w:left="120"/>
              <w:spacing w:after="0"/>
              <w:rPr>
                <w:sz w:val="20"/>
                <w:szCs w:val="20"/>
                <w:color w:val="auto"/>
              </w:rPr>
            </w:pPr>
            <w:r>
              <w:rPr>
                <w:rFonts w:ascii="Arial" w:cs="Arial" w:eastAsia="Arial" w:hAnsi="Arial"/>
                <w:sz w:val="18"/>
                <w:szCs w:val="18"/>
                <w:color w:val="auto"/>
              </w:rPr>
              <w:t>Any day of the year other than Saturday, Sunday or legal holidays in the United States.</w:t>
            </w:r>
          </w:p>
        </w:tc>
      </w:tr>
      <w:tr>
        <w:trPr>
          <w:trHeight w:val="418"/>
        </w:trPr>
        <w:tc>
          <w:tcPr>
            <w:tcW w:w="1840" w:type="dxa"/>
            <w:vAlign w:val="bottom"/>
          </w:tcPr>
          <w:p>
            <w:pPr>
              <w:spacing w:after="0"/>
              <w:rPr>
                <w:sz w:val="20"/>
                <w:szCs w:val="20"/>
                <w:color w:val="auto"/>
              </w:rPr>
            </w:pPr>
            <w:r>
              <w:rPr>
                <w:rFonts w:ascii="Arial" w:cs="Arial" w:eastAsia="Arial" w:hAnsi="Arial"/>
                <w:sz w:val="18"/>
                <w:szCs w:val="18"/>
                <w:b w:val="1"/>
                <w:bCs w:val="1"/>
                <w:color w:val="auto"/>
                <w:w w:val="97"/>
              </w:rPr>
              <w:t>Purchase Agreement:</w:t>
            </w:r>
          </w:p>
        </w:tc>
        <w:tc>
          <w:tcPr>
            <w:tcW w:w="9580" w:type="dxa"/>
            <w:vAlign w:val="bottom"/>
          </w:tcPr>
          <w:p>
            <w:pPr>
              <w:ind w:left="120"/>
              <w:spacing w:after="0"/>
              <w:rPr>
                <w:sz w:val="20"/>
                <w:szCs w:val="20"/>
                <w:color w:val="auto"/>
              </w:rPr>
            </w:pPr>
            <w:r>
              <w:rPr>
                <w:rFonts w:ascii="Arial" w:cs="Arial" w:eastAsia="Arial" w:hAnsi="Arial"/>
                <w:sz w:val="18"/>
                <w:szCs w:val="18"/>
                <w:color w:val="auto"/>
                <w:w w:val="91"/>
              </w:rPr>
              <w:t>The Asset Purchase Agreement, dated July 26, 2019, by and between Maker and Holder, as amended, restated, or replaced from</w:t>
            </w:r>
          </w:p>
        </w:tc>
      </w:tr>
      <w:tr>
        <w:trPr>
          <w:trHeight w:val="230"/>
        </w:trPr>
        <w:tc>
          <w:tcPr>
            <w:tcW w:w="184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time to time.</w:t>
            </w:r>
          </w:p>
        </w:tc>
      </w:tr>
      <w:tr>
        <w:trPr>
          <w:trHeight w:val="466"/>
        </w:trPr>
        <w:tc>
          <w:tcPr>
            <w:tcW w:w="184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9500"/>
              <w:spacing w:after="0"/>
              <w:rPr>
                <w:sz w:val="20"/>
                <w:szCs w:val="20"/>
                <w:color w:val="auto"/>
              </w:rPr>
            </w:pPr>
            <w:r>
              <w:rPr>
                <w:rFonts w:ascii="Arial" w:cs="Arial" w:eastAsia="Arial" w:hAnsi="Arial"/>
                <w:sz w:val="15"/>
                <w:szCs w:val="15"/>
                <w:color w:val="auto"/>
                <w:w w:val="71"/>
              </w:rPr>
              <w:t>1</w:t>
            </w:r>
          </w:p>
        </w:tc>
      </w:tr>
    </w:tbl>
    <w:p>
      <w:pPr>
        <w:sectPr>
          <w:pgSz w:w="11900" w:h="16838" w:orient="portrait"/>
          <w:cols w:equalWidth="0" w:num="1">
            <w:col w:w="11420"/>
          </w:cols>
          <w:pgMar w:left="240" w:top="33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Warrant: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Warrant, dated on or about the date hereof, identified in Section 1.7(a) of the Purchase Agreement, executed by the Maker, as amended, restated, or replaced from time to time.</w:t>
      </w:r>
    </w:p>
    <w:p>
      <w:pPr>
        <w:spacing w:after="0" w:line="166" w:lineRule="exact"/>
        <w:rPr>
          <w:sz w:val="20"/>
          <w:szCs w:val="20"/>
          <w:color w:val="auto"/>
        </w:rPr>
      </w:pPr>
    </w:p>
    <w:p>
      <w:pPr>
        <w:sectPr>
          <w:pgSz w:w="11900" w:h="16838" w:orient="portrait"/>
          <w:cols w:equalWidth="0" w:num="2">
            <w:col w:w="1240" w:space="720"/>
            <w:col w:w="9460"/>
          </w:cols>
          <w:pgMar w:left="240" w:top="661" w:right="239" w:bottom="1440" w:gutter="0" w:footer="0" w:header="0"/>
        </w:sectPr>
      </w:pPr>
    </w:p>
    <w:p>
      <w:pPr>
        <w:spacing w:after="0"/>
        <w:rPr>
          <w:sz w:val="20"/>
          <w:szCs w:val="20"/>
          <w:color w:val="auto"/>
        </w:rPr>
      </w:pPr>
      <w:r>
        <w:rPr>
          <w:rFonts w:ascii="Arial" w:cs="Arial" w:eastAsia="Arial" w:hAnsi="Arial"/>
          <w:sz w:val="16"/>
          <w:szCs w:val="16"/>
          <w:b w:val="1"/>
          <w:bCs w:val="1"/>
          <w:color w:val="auto"/>
        </w:rPr>
        <w:t>Security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Security Agreement dated on or about the date hereof, executed by and among the Holder and Maker.</w:t>
      </w:r>
    </w:p>
    <w:p>
      <w:pPr>
        <w:spacing w:after="0" w:line="200" w:lineRule="exact"/>
        <w:rPr>
          <w:sz w:val="20"/>
          <w:szCs w:val="20"/>
          <w:color w:val="auto"/>
        </w:rPr>
      </w:pPr>
    </w:p>
    <w:p>
      <w:pPr>
        <w:sectPr>
          <w:pgSz w:w="11900" w:h="16838" w:orient="portrait"/>
          <w:cols w:equalWidth="0" w:num="2">
            <w:col w:w="1600" w:space="360"/>
            <w:col w:w="9460"/>
          </w:cols>
          <w:pgMar w:left="240" w:top="661"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Documents: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Agreement, this Note, the Warrant, the Security Agreement and any and all other documents executed in connection with the Loan, as such documents are amended, restated, or replaced from time to time.</w:t>
      </w:r>
    </w:p>
    <w:p>
      <w:pPr>
        <w:spacing w:after="0" w:line="166" w:lineRule="exact"/>
        <w:rPr>
          <w:sz w:val="20"/>
          <w:szCs w:val="20"/>
          <w:color w:val="auto"/>
        </w:rPr>
      </w:pPr>
    </w:p>
    <w:p>
      <w:pPr>
        <w:sectPr>
          <w:pgSz w:w="11900" w:h="16838" w:orient="portrait"/>
          <w:cols w:equalWidth="0" w:num="2">
            <w:col w:w="1380" w:space="580"/>
            <w:col w:w="9460"/>
          </w:cols>
          <w:pgMar w:left="240" w:top="661" w:right="239" w:bottom="1440" w:gutter="0" w:footer="0" w:header="0"/>
          <w:type w:val="continuous"/>
        </w:sectPr>
      </w:pPr>
    </w:p>
    <w:p>
      <w:pPr>
        <w:jc w:val="both"/>
        <w:ind w:firstLine="8"/>
        <w:spacing w:after="0" w:line="258" w:lineRule="auto"/>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PROMISE TO PAY</w:t>
      </w:r>
      <w:r>
        <w:rPr>
          <w:rFonts w:ascii="Arial" w:cs="Arial" w:eastAsia="Arial" w:hAnsi="Arial"/>
          <w:sz w:val="18"/>
          <w:szCs w:val="18"/>
          <w:b w:val="1"/>
          <w:bCs w:val="1"/>
          <w:color w:val="auto"/>
        </w:rPr>
        <w:t xml:space="preserve">. </w:t>
      </w:r>
      <w:r>
        <w:rPr>
          <w:rFonts w:ascii="Arial" w:cs="Arial" w:eastAsia="Arial" w:hAnsi="Arial"/>
          <w:sz w:val="18"/>
          <w:szCs w:val="18"/>
          <w:color w:val="auto"/>
        </w:rPr>
        <w:t>For value received, Maker promises to pay Holder at its address above or such other place as Holder may from time to time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writing, the Principal Amount, together with interest accruing on the unpaid principal balance hereof at the Base Interest Rate (or at the Default Interest Rate from and after an Event of Default) from the Interest Accrual Date through and including the Maturity Date (and continuing until the Loan is paid in full), on the basis of the actual number of days elapsed in a year of 365 days as more fully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All payments to be made by Maker to Holder are deemed received by Holder’s actual receipt of same.</w:t>
      </w:r>
    </w:p>
    <w:p>
      <w:pPr>
        <w:spacing w:after="0" w:line="183" w:lineRule="exact"/>
        <w:rPr>
          <w:rFonts w:ascii="Arial" w:cs="Arial" w:eastAsia="Arial" w:hAnsi="Arial"/>
          <w:sz w:val="18"/>
          <w:szCs w:val="18"/>
          <w:b w:val="1"/>
          <w:bCs w:val="1"/>
          <w:color w:val="auto"/>
        </w:rPr>
      </w:pPr>
    </w:p>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OF INTEREST AND PRINCIPAL; LATE CHARGES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893"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Commencing on the First Payment Date, Maker will pay Holder principal plus accrued interest and fees in the amounts set forth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20" w:firstLine="656"/>
        <w:spacing w:after="0" w:line="277" w:lineRule="auto"/>
        <w:tabs>
          <w:tab w:leader="none" w:pos="86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not sooner paid, all unpaid principal, accrued and unpaid interest and any other amounts due hereunder or under the other Loan Documents is due and payable on or before three o’clock, p.m. (3:00 p.m.) PT on the Maturity Date.</w:t>
      </w:r>
    </w:p>
    <w:p>
      <w:pPr>
        <w:spacing w:after="0" w:line="170" w:lineRule="exact"/>
        <w:rPr>
          <w:rFonts w:ascii="Arial" w:cs="Arial" w:eastAsia="Arial" w:hAnsi="Arial"/>
          <w:sz w:val="18"/>
          <w:szCs w:val="18"/>
          <w:color w:val="auto"/>
        </w:rPr>
      </w:pPr>
    </w:p>
    <w:p>
      <w:pPr>
        <w:ind w:right="20" w:firstLine="656"/>
        <w:spacing w:after="0" w:line="277" w:lineRule="auto"/>
        <w:tabs>
          <w:tab w:leader="none" w:pos="8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any payment to be made by Maker hereunder becomes due on a day that is not a Business Day, such payment must be made on the next succeeding Business Day.</w:t>
      </w:r>
    </w:p>
    <w:p>
      <w:pPr>
        <w:spacing w:after="0" w:line="170" w:lineRule="exact"/>
        <w:rPr>
          <w:rFonts w:ascii="Arial" w:cs="Arial" w:eastAsia="Arial" w:hAnsi="Arial"/>
          <w:sz w:val="18"/>
          <w:szCs w:val="18"/>
          <w:color w:val="auto"/>
        </w:rPr>
      </w:pPr>
    </w:p>
    <w:p>
      <w:pPr>
        <w:jc w:val="both"/>
        <w:ind w:firstLine="656"/>
        <w:spacing w:after="0" w:line="255" w:lineRule="auto"/>
        <w:tabs>
          <w:tab w:leader="none" w:pos="872"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any balance of interest and/or principal remains unpaid after the date such payment is due, then, in addition to the remedies available to Holder under Section 9 of this Note and the remedies available under the other Loan Documents, the following applies: (i) the entire outstanding principal balance of this Note, together with all past due interest thereon and all other amounts due under the Loan Documents (including, without limitation, any unpaid late charges) bears interest at the Default Interest Rate, computed from the date of the last interest payment until all past due amounts are paid, subject to the limitations contained in Section 14 hereof; and (ii) the Daily Late Charge will be added to the delinquent amount for each day the payment is overdue beginning on the day after the payment due date and continuing through and including the day such delinquent payment is received to compensate Holder for the expense of handling the delinquency.</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25" w:name="page126"/>
    <w:bookmarkEnd w:id="125"/>
    <w:p>
      <w:pPr>
        <w:jc w:val="both"/>
        <w:ind w:firstLine="648"/>
        <w:spacing w:after="0" w:line="264" w:lineRule="auto"/>
        <w:rPr>
          <w:sz w:val="20"/>
          <w:szCs w:val="20"/>
          <w:color w:val="auto"/>
        </w:rPr>
      </w:pPr>
      <w:r>
        <w:rPr>
          <w:rFonts w:ascii="Arial" w:cs="Arial" w:eastAsia="Arial" w:hAnsi="Arial"/>
          <w:sz w:val="18"/>
          <w:szCs w:val="18"/>
          <w:color w:val="auto"/>
        </w:rPr>
        <w:t>E. All payments due hereunder must be made: (i) without deduction of any present or future taxes, levies, imposts, deductions, charges or withholdings, which amounts must be paid by Maker; and (ii) without any other set off. Maker will pay the amounts necessary such that the gross amount of the principal and interest received by Holder is not less than that required by this Note.</w:t>
      </w:r>
    </w:p>
    <w:p>
      <w:pPr>
        <w:spacing w:after="0" w:line="177"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may be prepaid in whole, or in part, without penalty or other charge to Maker at any time.</w:t>
      </w:r>
    </w:p>
    <w:p>
      <w:pPr>
        <w:spacing w:after="0" w:line="225" w:lineRule="exact"/>
        <w:rPr>
          <w:rFonts w:ascii="Arial" w:cs="Arial" w:eastAsia="Arial" w:hAnsi="Arial"/>
          <w:sz w:val="18"/>
          <w:szCs w:val="18"/>
          <w:b w:val="1"/>
          <w:bCs w:val="1"/>
          <w:color w:val="auto"/>
        </w:rPr>
      </w:pPr>
    </w:p>
    <w:p>
      <w:pPr>
        <w:ind w:firstLine="8"/>
        <w:spacing w:after="0" w:line="282" w:lineRule="auto"/>
        <w:tabs>
          <w:tab w:leader="none" w:pos="19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LAWFUL MONEY</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interest, and any other amounts due to Holder under this Note and the other Loan Documents must be paid in lawful</w:t>
      </w:r>
      <w:r>
        <w:rPr>
          <w:rFonts w:ascii="Arial" w:cs="Arial" w:eastAsia="Arial" w:hAnsi="Arial"/>
          <w:sz w:val="18"/>
          <w:szCs w:val="18"/>
          <w:b w:val="1"/>
          <w:bCs w:val="1"/>
          <w:color w:val="auto"/>
        </w:rPr>
        <w:t xml:space="preserve"> </w:t>
      </w:r>
      <w:r>
        <w:rPr>
          <w:rFonts w:ascii="Arial" w:cs="Arial" w:eastAsia="Arial" w:hAnsi="Arial"/>
          <w:sz w:val="18"/>
          <w:szCs w:val="18"/>
          <w:color w:val="auto"/>
        </w:rPr>
        <w:t>money of the United States of America.</w:t>
      </w:r>
    </w:p>
    <w:p>
      <w:pPr>
        <w:spacing w:after="0" w:line="161" w:lineRule="exact"/>
        <w:rPr>
          <w:rFonts w:ascii="Arial" w:cs="Arial" w:eastAsia="Arial" w:hAnsi="Arial"/>
          <w:sz w:val="18"/>
          <w:szCs w:val="18"/>
          <w:b w:val="1"/>
          <w:bCs w:val="1"/>
          <w:color w:val="auto"/>
        </w:rPr>
      </w:pPr>
    </w:p>
    <w:p>
      <w:pPr>
        <w:jc w:val="both"/>
        <w:ind w:firstLine="8"/>
        <w:spacing w:after="0" w:line="273" w:lineRule="auto"/>
        <w:tabs>
          <w:tab w:leader="none" w:pos="194"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APPLICATION OF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the occurrence of an Event of Default hereunder or under any of the other Loan Documents, any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by Holder pursuant to the terms hereof will be applied first to sums, other than principal and interest, due to Holder pursuant to the Loan Documents, next to the payment of all interest accrued to the date of such payment, and the balance, if any, to the payment of principal. After the occurrence of an Event of Default hereunder or under any of the Loan Documents, any payments received by Holder (including any prepaid interest that has not yet been earned) will be applied to the amounts specified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in such order as Holder may, in its sole discretion, elect. If at any time any payment made by Maker under this Note is rescinded or must otherwise be restored or returned upon the insolvency, bankruptcy or reorganization of Maker or otherwise, Maker’s obligation to make such payment shall be reinstated as though such payment had not been made.</w:t>
      </w:r>
    </w:p>
    <w:p>
      <w:pPr>
        <w:spacing w:after="0" w:line="172" w:lineRule="exact"/>
        <w:rPr>
          <w:rFonts w:ascii="Arial" w:cs="Arial" w:eastAsia="Arial" w:hAnsi="Arial"/>
          <w:sz w:val="17"/>
          <w:szCs w:val="17"/>
          <w:b w:val="1"/>
          <w:bCs w:val="1"/>
          <w:color w:val="auto"/>
        </w:rPr>
      </w:pPr>
    </w:p>
    <w:p>
      <w:pPr>
        <w:ind w:right="20" w:firstLine="8"/>
        <w:spacing w:after="0" w:line="282" w:lineRule="auto"/>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and the obligations hereunder are secured by a first priority lien on, and security interest in and to, the Collateral, as such term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Security Agreement.</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of the following is deemed to be an event of default (“Event of Default”) hereunder:</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868"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Any failure to pay any principal or interest under this Note as and when the same becomes due and payable, and such failure is not cured within five (5) days after written notice the date on which payment is due.</w:t>
      </w:r>
    </w:p>
    <w:p>
      <w:pPr>
        <w:spacing w:after="0" w:line="170" w:lineRule="exact"/>
        <w:rPr>
          <w:rFonts w:ascii="Arial" w:cs="Arial" w:eastAsia="Arial" w:hAnsi="Arial"/>
          <w:sz w:val="18"/>
          <w:szCs w:val="18"/>
          <w:b w:val="1"/>
          <w:bCs w:val="1"/>
          <w:color w:val="auto"/>
        </w:rPr>
      </w:pPr>
    </w:p>
    <w:p>
      <w:pPr>
        <w:jc w:val="both"/>
        <w:ind w:firstLine="656"/>
        <w:spacing w:after="0" w:line="264" w:lineRule="auto"/>
        <w:tabs>
          <w:tab w:leader="none" w:pos="858"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Any failure or neglect to perform or observe any other term, provision, or covenant of this Note or the other Loan Documents, and such failure or neglect either cannot be remedied or, if it can be remedied, it continues unremedied for a cure period of fifteen (15) days after written notice of such default is given to Maker by Holder.</w:t>
      </w:r>
    </w:p>
    <w:p>
      <w:pPr>
        <w:spacing w:after="0" w:line="181" w:lineRule="exact"/>
        <w:rPr>
          <w:rFonts w:ascii="Arial" w:cs="Arial" w:eastAsia="Arial" w:hAnsi="Arial"/>
          <w:sz w:val="18"/>
          <w:szCs w:val="18"/>
          <w:b w:val="1"/>
          <w:bCs w:val="1"/>
          <w:color w:val="auto"/>
        </w:rPr>
      </w:pPr>
    </w:p>
    <w:p>
      <w:pPr>
        <w:jc w:val="both"/>
        <w:ind w:firstLine="656"/>
        <w:spacing w:after="0" w:line="264" w:lineRule="auto"/>
        <w:tabs>
          <w:tab w:leader="none" w:pos="868"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Maker fails to pay when due any of its indebtedness (other than indebtedness arising under this Note) or any interest or premium thereon when due (whether by scheduled maturity, acceleration, demand or otherwise) and such failure continues after the applicable grace period, if any, specified in the agreement or instrument relating to such indebtedness.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6" w:name="page127"/>
    <w:bookmarkEnd w:id="126"/>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(i) Maker commences any case, proceeding or other action (A) under any law relating to bankruptcy, insolvency, reorganization, or other relief of</w:t>
      </w:r>
      <w:r>
        <w:rPr>
          <w:rFonts w:ascii="Arial" w:cs="Arial" w:eastAsia="Arial" w:hAnsi="Arial"/>
          <w:sz w:val="16"/>
          <w:szCs w:val="16"/>
          <w:b w:val="1"/>
          <w:bCs w:val="1"/>
          <w:color w:val="auto"/>
        </w:rPr>
        <w:t xml:space="preserve"> </w:t>
      </w:r>
      <w:r>
        <w:rPr>
          <w:rFonts w:ascii="Arial" w:cs="Arial" w:eastAsia="Arial" w:hAnsi="Arial"/>
          <w:sz w:val="16"/>
          <w:szCs w:val="16"/>
          <w:color w:val="auto"/>
        </w:rPr>
        <w:t>debtors, seeking to have an order for relief entered with respect to it, or seeking to adjudicate it as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Maker makes a general assignment for the benefit of its creditors; (ii) there is commenced against Maker any case, proceeding or other action of a nature referred to in the foregoing clause (i) which</w:t>
      </w:r>
    </w:p>
    <w:p>
      <w:pPr>
        <w:spacing w:after="0" w:line="2" w:lineRule="exact"/>
        <w:rPr>
          <w:sz w:val="20"/>
          <w:szCs w:val="20"/>
          <w:color w:val="auto"/>
        </w:rPr>
      </w:pPr>
    </w:p>
    <w:p>
      <w:pPr>
        <w:jc w:val="both"/>
        <w:ind w:firstLine="8"/>
        <w:spacing w:after="0" w:line="253" w:lineRule="auto"/>
        <w:tabs>
          <w:tab w:leader="none" w:pos="3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results in the entry of an order for relief or any such adjudication or appointment or (B) remains undismissed, undischarged or unbonded for a period of thirty (30) days; (iii) there is commenced against Maker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thirty (30) days from the entry thereof; or (iv) Maker is generally not, or shall be unable to, or admits in writing its inability to, pay its debts as they become due.</w:t>
      </w:r>
    </w:p>
    <w:p>
      <w:pPr>
        <w:spacing w:after="0" w:line="187" w:lineRule="exact"/>
        <w:rPr>
          <w:sz w:val="20"/>
          <w:szCs w:val="20"/>
          <w:color w:val="auto"/>
        </w:rPr>
      </w:pPr>
    </w:p>
    <w:p>
      <w:pPr>
        <w:jc w:val="both"/>
        <w:ind w:firstLine="8"/>
        <w:spacing w:after="0" w:line="288" w:lineRule="auto"/>
        <w:tabs>
          <w:tab w:leader="none" w:pos="18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an Event of Default, then the entire outstanding principal balance of this Note, together with all accrued and unpaid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thereon, and all other amounts payable by Maker under this Note and the other Loan Documents, will, at Holder’s option, immediately become due and payable. Upon the occurrence of an Event of Default (and so long as such Event of Default continues without cure), the entire outstanding principal balance of this Note, together with all accrued and unpaid interest thereon, all other amounts due under this Note and the other Loan Documents (including, without limitation, any unpaid late charges), and any judgment for such principal, interest, and other amounts, bear interest at the Default Interest Rate from the date of the last interest payment until paid, subject to the limitations contained in Section 14 hereof. Maker acknowledges that it would be extremely difficult or impracticable to determine Holder’s actual damages resulting from any late payment or default, and such interest at the Default Rate is a reasonable estimate of those damages and does not constitute a penalty. In addition to the foregoing remedies, upon the occurrence of an Event of Default, Holder is entitled to exercise any and all other remedies set forth in this Note and the other Loan Documents, or at law or in equity, and such remedies shall be cumulative and concurrent, and may be pursued singly, successively or together in Holder’s discretion. No delay or omission on the part of Holder in exercising any right under this Note or under any of the other Loan Documents operates as a waiver of such right.</w:t>
      </w:r>
    </w:p>
    <w:p>
      <w:pPr>
        <w:spacing w:after="0" w:line="164" w:lineRule="exact"/>
        <w:rPr>
          <w:rFonts w:ascii="Arial" w:cs="Arial" w:eastAsia="Arial" w:hAnsi="Arial"/>
          <w:sz w:val="16"/>
          <w:szCs w:val="16"/>
          <w:b w:val="1"/>
          <w:bCs w:val="1"/>
          <w:color w:val="auto"/>
        </w:rPr>
      </w:pPr>
    </w:p>
    <w:p>
      <w:pPr>
        <w:jc w:val="both"/>
        <w:ind w:firstLine="8"/>
        <w:spacing w:after="0" w:line="273" w:lineRule="auto"/>
        <w:tabs>
          <w:tab w:leader="none" w:pos="283"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WAIVERS</w:t>
      </w:r>
      <w:r>
        <w:rPr>
          <w:rFonts w:ascii="Arial" w:cs="Arial" w:eastAsia="Arial" w:hAnsi="Arial"/>
          <w:sz w:val="17"/>
          <w:szCs w:val="17"/>
          <w:b w:val="1"/>
          <w:bCs w:val="1"/>
          <w:color w:val="auto"/>
        </w:rPr>
        <w:t xml:space="preserve">. </w:t>
      </w:r>
      <w:r>
        <w:rPr>
          <w:rFonts w:ascii="Arial" w:cs="Arial" w:eastAsia="Arial" w:hAnsi="Arial"/>
          <w:sz w:val="17"/>
          <w:szCs w:val="17"/>
          <w:color w:val="auto"/>
        </w:rPr>
        <w:t>Maker, endorsers, guarantors, and sureties of this Note hereby waive diligence, demand for payment, presentment for payment, protest,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nonpayment, notice of protest, notice of intent to accelerate, notice of acceleration, notice of dishonor, and notice of nonpayment, and all other notices or demands of any kind (except notices specifically provided for in the Loan Documents) and expressly agree that, without in any way affecting the liability of Maker, endorsers, guarantors, or sureties of this Note, Holder may extend any Maturity Date or the time for payment of any installment due hereunder, otherwise modify the Loan Documents, accept additional security, release any person liable, and release any security or guaranty without giving notice to or obtaining the consent of such endorsers, guarantors or sureties. Maker, endorsers, guarantors, and sureties waive, to the full extent permitted by law, the right to plead any and all statutes of limitations as a defense.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7" w:name="page128"/>
    <w:bookmarkEnd w:id="127"/>
    <w:p>
      <w:pPr>
        <w:jc w:val="both"/>
        <w:ind w:firstLine="8"/>
        <w:spacing w:after="0" w:line="261" w:lineRule="auto"/>
        <w:tabs>
          <w:tab w:leader="none" w:pos="2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CHANGE, DISCHARGE, TERMINATION,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provision of this Note may be changed, discharged, terminated, or waived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in a writing signed by the party against whom enforcement of the change, discharge, termination, or waiver is sought. No failure on the part of Holder to exercise, and no delay by Holder in exercising, any right or remedy under this Note, under the other Loan Documents or under applicable law operates as a waiver thereof.</w:t>
      </w:r>
    </w:p>
    <w:p>
      <w:pPr>
        <w:spacing w:after="0" w:line="180"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 FEES AND COSTS</w:t>
      </w:r>
      <w:r>
        <w:rPr>
          <w:rFonts w:ascii="Arial" w:cs="Arial" w:eastAsia="Arial" w:hAnsi="Arial"/>
          <w:sz w:val="18"/>
          <w:szCs w:val="18"/>
          <w:color w:val="auto"/>
        </w:rPr>
        <w:t>. In the event of any dispute arising out of or related to this Agreement, the prevailing Party is entitled to recover its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attorneys’ fees and costs associated with that dispute.</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Note is unenforceable, the enforceability of the other provisions are not be affected and remain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w:t>
      </w:r>
    </w:p>
    <w:p>
      <w:pPr>
        <w:spacing w:after="0" w:line="161" w:lineRule="exact"/>
        <w:rPr>
          <w:rFonts w:ascii="Arial" w:cs="Arial" w:eastAsia="Arial" w:hAnsi="Arial"/>
          <w:sz w:val="18"/>
          <w:szCs w:val="18"/>
          <w:b w:val="1"/>
          <w:bCs w:val="1"/>
          <w:color w:val="auto"/>
        </w:rPr>
      </w:pPr>
    </w:p>
    <w:p>
      <w:pPr>
        <w:jc w:val="both"/>
        <w:ind w:firstLine="8"/>
        <w:spacing w:after="0" w:line="291" w:lineRule="auto"/>
        <w:tabs>
          <w:tab w:leader="none" w:pos="27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INTEREST RATE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Maker will pay an effective rate of interest that is the sum of the interest rate provided for herein, together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rate of interest resulting from any other charges of interest or in the nature of interest paid or to be paid in connection with the Loan, including, without limitation, any fees or charges to be paid by Maker pursuant to the provisions of this Note and the other Loan Documents. None of the terms and provisions contained herein or in any of the Loan Documents will be construed to create a contract for the use, forbearance, or detention of money requiring payment of interest at a rate in excess of the maximum interest rate permitted to be charged by the laws of the State of California. In the event Holder collects monies which are deemed to constitute interest which would otherwise increase the effective interest rate on this Note to a rate in excess of the maximum rate permitted to be charged by the laws of the State of Delaware, all such sums deemed to constitute interest in excess of such maximum rate will, at the option of Holder, be credited to the payment of other amounts payable under the Loan Documents (other than interest) or returned to Maker.</w:t>
      </w:r>
    </w:p>
    <w:p>
      <w:pPr>
        <w:spacing w:after="0" w:line="160" w:lineRule="exact"/>
        <w:rPr>
          <w:rFonts w:ascii="Arial" w:cs="Arial" w:eastAsia="Arial" w:hAnsi="Arial"/>
          <w:sz w:val="16"/>
          <w:szCs w:val="16"/>
          <w:b w:val="1"/>
          <w:bCs w:val="1"/>
          <w:color w:val="auto"/>
        </w:rPr>
      </w:pPr>
    </w:p>
    <w:p>
      <w:pPr>
        <w:ind w:left="280" w:hanging="272"/>
        <w:spacing w:after="0"/>
        <w:tabs>
          <w:tab w:leader="none" w:pos="28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AND GENDER</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Note the singular includes the plural and the masculine includes the feminine and neuter gender, and vice versa.</w:t>
      </w:r>
    </w:p>
    <w:p>
      <w:pPr>
        <w:spacing w:after="0" w:line="236" w:lineRule="exact"/>
        <w:rPr>
          <w:rFonts w:ascii="Arial" w:cs="Arial" w:eastAsia="Arial" w:hAnsi="Arial"/>
          <w:sz w:val="17"/>
          <w:szCs w:val="17"/>
          <w:b w:val="1"/>
          <w:bCs w:val="1"/>
          <w:color w:val="auto"/>
        </w:rPr>
      </w:pPr>
    </w:p>
    <w:p>
      <w:pPr>
        <w:ind w:right="20" w:firstLine="8"/>
        <w:spacing w:after="0" w:line="282" w:lineRule="auto"/>
        <w:tabs>
          <w:tab w:leader="none" w:pos="28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at the beginning of each numbered section of this Note are intended solely for convenience and are not to be considered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the terms of this Note.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28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JURISDICTION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is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conflict of laws principles. Any action or proceeding with respect to this Note or the other Loan Documents must be brought in a court of competent jurisdiction located in San Diego County, California.</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8" w:name="page129"/>
    <w:bookmarkEnd w:id="128"/>
    <w:p>
      <w:pPr>
        <w:ind w:firstLine="8"/>
        <w:spacing w:after="0" w:line="313" w:lineRule="auto"/>
        <w:tabs>
          <w:tab w:leader="none" w:pos="27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and the other Loan Documents contain the complete understanding and agreement of Maker and Holder, and supersede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representations, warranties, agreements, arrangements, understandings, and negotiations concerning the subject matter hereof.</w:t>
      </w:r>
    </w:p>
    <w:p>
      <w:pPr>
        <w:spacing w:after="0" w:line="138" w:lineRule="exact"/>
        <w:rPr>
          <w:rFonts w:ascii="Arial" w:cs="Arial" w:eastAsia="Arial" w:hAnsi="Arial"/>
          <w:sz w:val="17"/>
          <w:szCs w:val="17"/>
          <w:b w:val="1"/>
          <w:bCs w:val="1"/>
          <w:color w:val="auto"/>
        </w:rPr>
      </w:pPr>
    </w:p>
    <w:p>
      <w:pPr>
        <w:jc w:val="both"/>
        <w:ind w:firstLine="8"/>
        <w:spacing w:after="0" w:line="266" w:lineRule="auto"/>
        <w:tabs>
          <w:tab w:leader="none" w:pos="297"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will be binding upon, and inure to the benefit of, Holder, Maker,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Maker may not assign or delegate its rights or obligations under this Note or the other Loan Documents. This Note may be assigned or transferred by Holder to any person.</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TIME OF THE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with regard to each provision of the Loan Documents as to which time is a factor.</w:t>
      </w:r>
    </w:p>
    <w:p>
      <w:pPr>
        <w:spacing w:after="0" w:line="225"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warranties, and covenants of Maker in the Loan Documents survive the execution and delivery of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making of the Loan.</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86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Nothing in this Note will be construed as an obligation on the part of Holder to accept, at any time, less than the full amount then due hereunder, or as a waiver or limitation of Holder’s right to compel prompt performance.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5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to be given hereunder must be in writing, and be delivered either: (i) by United States mail, certified or registered, postage prepaid; (ii) by personal hand delivery; or (iii) by recognized overnight courier. Notice is deemed given when delivered if hand delivered, two (2) Business Days after such notice is deposited in the United States mail if sent by mail, or one (1) Business day after such notice is deposited with the overnight courier if delivered by overnight courier. Such notices must be sent to the address set forth at the beginning of this Note, or to such other address as such party may, from time to time, designate in writing.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IN WITNESS WHEREOF, this Secured Promissory Note has been executed by Maker as of the day, month and year first written above.</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MAKER: </w:t>
      </w:r>
      <w:r>
        <w:rPr>
          <w:rFonts w:ascii="Arial" w:cs="Arial" w:eastAsia="Arial" w:hAnsi="Arial"/>
          <w:sz w:val="18"/>
          <w:szCs w:val="18"/>
          <w:color w:val="auto"/>
        </w:rPr>
        <w:t>Noice Rx, LLC</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Robert Haywood</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Robert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President/Manager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30" w:name="page131"/>
    <w:bookmarkEnd w:id="130"/>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PAYMENT SCHEDULE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31" w:name="page132"/>
    <w:bookmarkEnd w:id="1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ind w:left="10340"/>
        <w:spacing w:after="0"/>
        <w:rPr>
          <w:sz w:val="20"/>
          <w:szCs w:val="20"/>
          <w:color w:val="auto"/>
        </w:rPr>
      </w:pPr>
      <w:r>
        <w:rPr>
          <w:rFonts w:ascii="Arial" w:cs="Arial" w:eastAsia="Arial" w:hAnsi="Arial"/>
          <w:sz w:val="17"/>
          <w:szCs w:val="17"/>
          <w:color w:val="auto"/>
        </w:rPr>
        <w:t>EXHIBIT 10.3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LICENSE AGREEMENT (this “Agreement”) dated as of July 28, 2019 (the “Effective Date”), is entered into between TGV-Health, LLC, a Delaware limited liability company (“TGV-H”) and TGV-Gyneconix, LLC, a Delaware limited liability company (“TGV- G”), each with a place of business at 101 Avenue of the Americas, New York, New York 10013 (TGV-G together with TGV-H, collectively “TGV”), on the one hand, and Mayfield Pharmaceuticals, Inc., a Delaware corporation (“Mayfield”), with a place of business at 12264 El Camino Real, Suite 350, San Diego, California 92130, on the other. The parties hereby agree as follows:</w:t>
      </w:r>
    </w:p>
    <w:p>
      <w:pPr>
        <w:spacing w:after="0" w:line="188" w:lineRule="exact"/>
        <w:rPr>
          <w:sz w:val="20"/>
          <w:szCs w:val="20"/>
          <w:color w:val="auto"/>
        </w:rPr>
      </w:pPr>
    </w:p>
    <w:p>
      <w:pPr>
        <w:ind w:right="20" w:firstLine="656"/>
        <w:spacing w:after="0" w:line="277" w:lineRule="auto"/>
        <w:tabs>
          <w:tab w:leader="none" w:pos="85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Act</w:t>
      </w:r>
      <w:r>
        <w:rPr>
          <w:rFonts w:ascii="Arial" w:cs="Arial" w:eastAsia="Arial" w:hAnsi="Arial"/>
          <w:sz w:val="16"/>
          <w:szCs w:val="16"/>
          <w:color w:val="auto"/>
        </w:rPr>
        <w:t>” means the United States Federal Food, Drug and Cosmetic Act, as amended from time to time, and the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Mayfield nor Harrow Health, Inc. shall be Affiliates of the other or of the other’s Affiliates.</w:t>
      </w:r>
    </w:p>
    <w:p>
      <w:pPr>
        <w:spacing w:after="0" w:line="188"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cGMP</w:t>
      </w:r>
      <w:r>
        <w:rPr>
          <w:rFonts w:ascii="Arial" w:cs="Arial" w:eastAsia="Arial" w:hAnsi="Arial"/>
          <w:sz w:val="17"/>
          <w:szCs w:val="17"/>
          <w:color w:val="auto"/>
        </w:rPr>
        <w:t>” means those current Good Manufacturing Practices required by the FDA to be followed in connection with the manufacture, handling, storage and control of pharmaceutical products in the United States, as set forth in the Act and any regulations related thereto.</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with respect to any objective regarding a Product and at any particular time, that degree of effort, expertise and financial resources commonly used in the pharmaceutical industry by a company of a similar size as Mayfield is at such time to achieve such objective for a product that has a clinical indication and market potential similar to such Product which is at a similar stage in development or product life as such Product taking into account, without limitation, commercial, legal and regulatory factors, target product profiles, product labeling, the regulatory environment and competitive market conditions and the efficacy of the Product.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Dental Field</w:t>
      </w:r>
      <w:r>
        <w:rPr>
          <w:rFonts w:ascii="Arial" w:cs="Arial" w:eastAsia="Arial" w:hAnsi="Arial"/>
          <w:sz w:val="18"/>
          <w:szCs w:val="18"/>
          <w:color w:val="auto"/>
        </w:rPr>
        <w:t>” means the prevention, diagnosis or treatment of dental disease, state or condition (whether acute or chronic).</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Derived</w:t>
      </w:r>
      <w:r>
        <w:rPr>
          <w:rFonts w:ascii="Arial" w:cs="Arial" w:eastAsia="Arial" w:hAnsi="Arial"/>
          <w:sz w:val="17"/>
          <w:szCs w:val="17"/>
          <w:color w:val="auto"/>
        </w:rPr>
        <w:t>” or “</w:t>
      </w:r>
      <w:r>
        <w:rPr>
          <w:rFonts w:ascii="Arial" w:cs="Arial" w:eastAsia="Arial" w:hAnsi="Arial"/>
          <w:sz w:val="17"/>
          <w:szCs w:val="17"/>
          <w:u w:val="single" w:color="auto"/>
          <w:color w:val="auto"/>
        </w:rPr>
        <w:t>derived</w:t>
      </w:r>
      <w:r>
        <w:rPr>
          <w:rFonts w:ascii="Arial" w:cs="Arial" w:eastAsia="Arial" w:hAnsi="Arial"/>
          <w:sz w:val="17"/>
          <w:szCs w:val="17"/>
          <w:color w:val="auto"/>
        </w:rPr>
        <w:t>” means acquired, obtained, conceived, reduced to practice, developed, created, synthesized, designed, derived or resulting from, based upon or otherwise generated (whether directly or indirectly, or solely or jointly with others, or in whole or in part).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jc w:val="both"/>
        <w:ind w:right="20" w:firstLine="1297"/>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Development Costs</w:t>
      </w:r>
      <w:r>
        <w:rPr>
          <w:rFonts w:ascii="Arial" w:cs="Arial" w:eastAsia="Arial" w:hAnsi="Arial"/>
          <w:sz w:val="18"/>
          <w:szCs w:val="18"/>
          <w:color w:val="auto"/>
        </w:rPr>
        <w:t>” means the fully-burdened costs to Mayfield and its Affiliates incurred or accrued in connection with the research, development, pre-clinical and clinical studies, production and regulatory approval through submission of the first NDA for Product.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Diligence Period</w:t>
      </w:r>
      <w:r>
        <w:rPr>
          <w:rFonts w:ascii="Arial" w:cs="Arial" w:eastAsia="Arial" w:hAnsi="Arial"/>
          <w:sz w:val="18"/>
          <w:szCs w:val="18"/>
          <w:color w:val="auto"/>
        </w:rPr>
        <w:t>” means, on a Product-by-Product basis, the period beginning on the Effective Date and ending on the earlier of (a) the last day of the twelve (12)- month period that the weighted average Net Sales price for such Product in the United States is less than fifty percent (50%) of the weighted average Net Sales price for such Product in the United States during the twelve (12)-month period immediately following the First Commercial Sale of such Product in the United States and (b) the date a generic product that is bioequivalent of such Product obtains the same or greater market share in the United States as such Product for treatment of any indication.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Exclusive Sublicensee</w:t>
      </w:r>
      <w:r>
        <w:rPr>
          <w:rFonts w:ascii="Arial" w:cs="Arial" w:eastAsia="Arial" w:hAnsi="Arial"/>
          <w:sz w:val="18"/>
          <w:szCs w:val="18"/>
          <w:color w:val="auto"/>
        </w:rPr>
        <w:t>” means the Third Party sublicensee described in the first sentence of Section 4.7.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or any successor thereto.</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Field of Use</w:t>
      </w:r>
      <w:r>
        <w:rPr>
          <w:rFonts w:ascii="Arial" w:cs="Arial" w:eastAsia="Arial" w:hAnsi="Arial"/>
          <w:sz w:val="18"/>
          <w:szCs w:val="18"/>
          <w:color w:val="auto"/>
        </w:rPr>
        <w:t>” means the prevention, diagnosis or treatment of any gynecological disease, state or condition (whether acute or chronic and regardless of delivery system or means of application) including without limitation caused by infections or inflammation, but excluding (a) surgical methods of treatment, (b) all diseases, states or conditions other than those set forth above and (c) the Dental Field, the Respiratory Field, the Wound Field, the Ophthalmic Field and the Otic Field.</w:t>
      </w:r>
    </w:p>
    <w:p>
      <w:pPr>
        <w:spacing w:after="0" w:line="18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Field-Specific Patent Rights</w:t>
      </w:r>
      <w:r>
        <w:rPr>
          <w:rFonts w:ascii="Arial" w:cs="Arial" w:eastAsia="Arial" w:hAnsi="Arial"/>
          <w:sz w:val="16"/>
          <w:szCs w:val="16"/>
          <w:color w:val="auto"/>
        </w:rPr>
        <w:t>” means (a) all patents and patent applications within the Licensed Patent Rights that solely claim specific formulations of Mul- 1867 (but not solely Mul-1867), methods or uses, in each case, in the Field of Use; (b) all patents issuing therefrom (including utility models and design patents and certificates of invention); (c) 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5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any Product, the first sale of such Product by Mayfield, its Sublicensees or its or their respective Affiliates after all applicable marketing and pricing approvals (if any) have been granted by the applicable governing health authority.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Improvement Data</w:t>
      </w:r>
      <w:r>
        <w:rPr>
          <w:rFonts w:ascii="Arial" w:cs="Arial" w:eastAsia="Arial" w:hAnsi="Arial"/>
          <w:sz w:val="17"/>
          <w:szCs w:val="17"/>
          <w:color w:val="auto"/>
        </w:rPr>
        <w:t>” means IND-enabling data and results (a) from toxicology and/or pharmacokinetics studies performed by or on behalf of Mayfield; (b) that are specific to active pharmaceutical ingredient synthesis for Mul-1867 prepared by or on behalf of Mayfield.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4" w:name="page135"/>
    <w:bookmarkEnd w:id="134"/>
    <w:p>
      <w:pPr>
        <w:jc w:val="both"/>
        <w:ind w:firstLine="1297"/>
        <w:spacing w:after="0" w:line="288"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Improvement Patent Rights</w:t>
      </w:r>
      <w:r>
        <w:rPr>
          <w:rFonts w:ascii="Arial" w:cs="Arial" w:eastAsia="Arial" w:hAnsi="Arial"/>
          <w:sz w:val="16"/>
          <w:szCs w:val="16"/>
          <w:color w:val="auto"/>
        </w:rPr>
        <w:t>” means, collectively, (a) all patents and patent applications hereafter owned by Mayfield, a Sublicensee, or its or their respective Affiliates (including provisional patent applications), together with all divisionals, continuations and continuations-in-part that claim priority to, or common priority with, the foregoing; (b) all patents issuing therefrom (including utility models and design patents and certificates of invention);</w:t>
      </w:r>
    </w:p>
    <w:p>
      <w:pPr>
        <w:jc w:val="both"/>
        <w:ind w:firstLine="8"/>
        <w:spacing w:after="0" w:line="295" w:lineRule="auto"/>
        <w:tabs>
          <w:tab w:leader="none" w:pos="27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 in each case, (i) that use or are supported by data and information derived from the use of Mul-1867 (sub)licensed hereunder and (ii) only to the extent they relate to Mul-1867 or its manufacture or use; but excluding the Licensed Patent Rights.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 application required to commence human clinical testing of a product submitted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FDA.</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Initial Capital Investment</w:t>
      </w:r>
      <w:r>
        <w:rPr>
          <w:rFonts w:ascii="Arial" w:cs="Arial" w:eastAsia="Arial" w:hAnsi="Arial"/>
          <w:sz w:val="18"/>
          <w:szCs w:val="18"/>
          <w:color w:val="auto"/>
        </w:rPr>
        <w:t>” means Mayfield’s receipt of aggregate proceeds (including both cash and conversion and/or cancellation of outstanding indebtedness or convertible securities) from the sale of Mayfield’s securities in one or more transactions following Mayfield’s incorporation of not less than fifteen million dollars ($15,000,000).</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Knowledge of TGV</w:t>
      </w:r>
      <w:r>
        <w:rPr>
          <w:rFonts w:ascii="Arial" w:cs="Arial" w:eastAsia="Arial" w:hAnsi="Arial"/>
          <w:sz w:val="17"/>
          <w:szCs w:val="17"/>
          <w:color w:val="auto"/>
        </w:rPr>
        <w:t>” or “</w:t>
      </w:r>
      <w:r>
        <w:rPr>
          <w:rFonts w:ascii="Arial" w:cs="Arial" w:eastAsia="Arial" w:hAnsi="Arial"/>
          <w:sz w:val="17"/>
          <w:szCs w:val="17"/>
          <w:u w:val="single" w:color="auto"/>
          <w:color w:val="auto"/>
        </w:rPr>
        <w:t>TGV’s Knowledge</w:t>
      </w:r>
      <w:r>
        <w:rPr>
          <w:rFonts w:ascii="Arial" w:cs="Arial" w:eastAsia="Arial" w:hAnsi="Arial"/>
          <w:sz w:val="17"/>
          <w:szCs w:val="17"/>
          <w:color w:val="auto"/>
        </w:rPr>
        <w:t>” means the actual knowledge of any director, officer, member or employee of TGV.</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Licensed IP Rights</w:t>
      </w:r>
      <w:r>
        <w:rPr>
          <w:rFonts w:ascii="Arial" w:cs="Arial" w:eastAsia="Arial" w:hAnsi="Arial"/>
          <w:sz w:val="18"/>
          <w:szCs w:val="18"/>
          <w:color w:val="auto"/>
        </w:rPr>
        <w:t>” means the Licensed Patent Rights, the Licensed Know-How Rights and all other intellectual property rights related to the Technology owned by, or licensed to (with the right to grant sublicenses), TGV or any of its Affiliates, whether existing as of the Effective Date or derived at any time after the Effective Date.</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Licensed Know-How Rights</w:t>
      </w:r>
      <w:r>
        <w:rPr>
          <w:rFonts w:ascii="Arial" w:cs="Arial" w:eastAsia="Arial" w:hAnsi="Arial"/>
          <w:sz w:val="16"/>
          <w:szCs w:val="16"/>
          <w:color w:val="auto"/>
        </w:rPr>
        <w:t>” means all trade secret and other know-how rights related to the Technology owned by, or licensed to (with the right to grant sublicenses), TGV or any of its Affiliates, whether existing as of the Effective Date or derived at any time after the Effective Date.</w:t>
      </w:r>
    </w:p>
    <w:p>
      <w:pPr>
        <w:spacing w:after="0" w:line="12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Licensed Patent Rights</w:t>
      </w:r>
      <w:r>
        <w:rPr>
          <w:rFonts w:ascii="Arial" w:cs="Arial" w:eastAsia="Arial" w:hAnsi="Arial"/>
          <w:sz w:val="16"/>
          <w:szCs w:val="16"/>
          <w:color w:val="auto"/>
        </w:rPr>
        <w:t>” means, collectively, (a) all patents and patent applications owned by, or licensed to (with the right to grant sublicenses), TGV or any of its Affiliates (including provisional patent applications) in any jurisdiction that claim or cover the Technology (whether existing on or any time after the Effective Date), including those listed on Exhibit A, together with all divisionals, continuations and continuations-in-part that claim priority to, or common priority with, the foregoing; (b) all patents issuing therefrom (including utility models and design patents and certificates of invention);</w:t>
      </w:r>
    </w:p>
    <w:p>
      <w:pPr>
        <w:spacing w:after="0" w:line="2" w:lineRule="exact"/>
        <w:rPr>
          <w:sz w:val="20"/>
          <w:szCs w:val="20"/>
          <w:color w:val="auto"/>
        </w:rPr>
      </w:pPr>
    </w:p>
    <w:p>
      <w:pPr>
        <w:jc w:val="both"/>
        <w:ind w:firstLine="8"/>
        <w:spacing w:after="0" w:line="255" w:lineRule="auto"/>
        <w:tabs>
          <w:tab w:leader="none" w:pos="2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5" w:name="page136"/>
    <w:bookmarkEnd w:id="135"/>
    <w:p>
      <w:pPr>
        <w:jc w:val="both"/>
        <w:ind w:right="20" w:firstLine="1297"/>
        <w:spacing w:after="0" w:line="342"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Mayfield Shares</w:t>
      </w:r>
      <w:r>
        <w:rPr>
          <w:rFonts w:ascii="Arial" w:cs="Arial" w:eastAsia="Arial" w:hAnsi="Arial"/>
          <w:sz w:val="16"/>
          <w:szCs w:val="16"/>
          <w:color w:val="auto"/>
        </w:rPr>
        <w:t>” means the combined shares of common stock of Mayfield issued to TGV-H or TGV-G pursuant to, and on the terms of, the Stock Issuance Agreement, and the shares of common stock of Mayfield issued to Zvi Ben-Zvi on the same date as the Stock Issuance Agreement.</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Mul-1867</w:t>
      </w:r>
      <w:r>
        <w:rPr>
          <w:rFonts w:ascii="Arial" w:cs="Arial" w:eastAsia="Arial" w:hAnsi="Arial"/>
          <w:sz w:val="18"/>
          <w:szCs w:val="18"/>
          <w:color w:val="auto"/>
        </w:rPr>
        <w:t>” means the composition referred to by TGV as “Mul-1867” and is more specifically described in the patents and patent applications listed on Exhibit A, together with all modifications, improvements and components thereof, whether existing as of the Effective Date or derived after the Effective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NDA</w:t>
      </w:r>
      <w:r>
        <w:rPr>
          <w:rFonts w:ascii="Arial" w:cs="Arial" w:eastAsia="Arial" w:hAnsi="Arial"/>
          <w:sz w:val="17"/>
          <w:szCs w:val="17"/>
          <w:color w:val="auto"/>
        </w:rPr>
        <w:t>” means a New Drug Application submitted to the FDA for marketing approval of a Product for use in the Field of Use.</w:t>
      </w:r>
    </w:p>
    <w:p>
      <w:pPr>
        <w:spacing w:after="0" w:line="23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Product, the gross sales price of such Product invoiced by Mayfield, its Sublicensees, and its and their respective Affiliates (collectively, the “Mayfield Group”) to customers who are not Affiliates (or are Affiliates but are the end users of such Product), less: (a) credits, allowances, discounts and rebates to, and chargebacks from the account of, such customers actually granted in the ordinary course of business; (b) freight and insurance costs in transporting Product in the ordinary course of business; (c) cash, quantity and trade discounts, rebates and other price reductions for Product; (d) sales, use, value-added and other direct Taxes if separately charged or invoiced (but not including Taxes based on the Mayfield Group’s profits); (e) customs duties, tariffs, surcharges and other governmental charges incurred in exporting or importing Product if separately invoiced; and (f) an allowance for uncollectible or bad debts determined in accordance with GAAP not to exceed three percent (3%) of Net Sales of such Product for the applicable quarterly reporting period prior to giving effect to this subsection (f). No deductions shall be made for commissions paid to individuals, whether they be with independent or affiliated sale agencies or regularly employed by the Mayfield Group, and on its payroll, or for the cost of collections.</w:t>
      </w:r>
    </w:p>
    <w:p>
      <w:pPr>
        <w:spacing w:after="0" w:line="19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Non-Royalty Sublicense Income</w:t>
      </w:r>
      <w:r>
        <w:rPr>
          <w:rFonts w:ascii="Arial" w:cs="Arial" w:eastAsia="Arial" w:hAnsi="Arial"/>
          <w:sz w:val="17"/>
          <w:szCs w:val="17"/>
          <w:color w:val="auto"/>
        </w:rPr>
        <w:t>” means the cash consideration amounts received by Mayfield or its Affiliate from an Exclusive Sublicensee in consideration for the grant of an exclusive sublicense described in the first sentence of Section 4.7; provided, however, that Non-Royalty Sublicense Income excludes amounts received: (a) as bona fide reimbursement (i) for out of pocket costs incurred to prosecute and maintain the Licensed IP Rights or (ii) for fully-burdened costs incurred that are attributable to the research and/or development of the subject matter of the Licensed IP Rights and/or Products; (b) as bona fide loans (unless forgiven); (c) for securities sold to the Exclusive Sublicensee at fair market value; and (d) as running royalties (including any amounts paid based upon sales or profits from the sales of Product). To the extent that Non-Royalty Sublicense Income represents an unallocated combined payment for both a sublicense of Licensed IP Rights as well as other intellectual property, undertakings or subject matter, for purposes of calculating payments due to TGV, Non- Royalty Sublicense Income shall be reasonably allocated by mutual written agreement of the parties between the Licensed IP Rights and such other intellectual property, undertakings or subject matter, based on their relative value.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1.28 “</w:t>
      </w:r>
      <w:r>
        <w:rPr>
          <w:rFonts w:ascii="Arial" w:cs="Arial" w:eastAsia="Arial" w:hAnsi="Arial"/>
          <w:sz w:val="16"/>
          <w:szCs w:val="16"/>
          <w:u w:val="single" w:color="auto"/>
          <w:color w:val="auto"/>
        </w:rPr>
        <w:t>Ophthalmic Field</w:t>
      </w:r>
      <w:r>
        <w:rPr>
          <w:rFonts w:ascii="Arial" w:cs="Arial" w:eastAsia="Arial" w:hAnsi="Arial"/>
          <w:sz w:val="16"/>
          <w:szCs w:val="16"/>
          <w:color w:val="auto"/>
        </w:rPr>
        <w:t>” means the prevention, diagnosis or treatment of any ophthalmic or eye-related disease, state or condition (whether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acute or chronic).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Otic Field</w:t>
      </w:r>
      <w:r>
        <w:rPr>
          <w:rFonts w:ascii="Arial" w:cs="Arial" w:eastAsia="Arial" w:hAnsi="Arial"/>
          <w:sz w:val="18"/>
          <w:szCs w:val="18"/>
          <w:color w:val="auto"/>
        </w:rPr>
        <w:t>” means the prevention, diagnosis or treatment of any otic or ear-related disease, state or condition (whether acute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chronic).</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means a human clinical trial conducted on a limited number of study subjects for the purpose of gaining evidence of the safety and tolerability of, and information regarding, pharmacokinetics and potential pharmacological activity for a product or compound, as described in 21 C.F.R. § 312.21(a).</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 human clinical trial conducted on study subjects with the disease or condition being studied for the principal purpose of achieving a preliminary determination of efficacy or appropriate dosage ranges, as further described in 21 C.F.R. § 312.21(b).</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 pivotal human clinical trial the results of which could be used to establish safety and efficacy of a product as a basis for an NDA or that would otherwise satisfy requirements of 21 CFR 312.21(c).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Product</w:t>
      </w:r>
      <w:r>
        <w:rPr>
          <w:rFonts w:ascii="Arial" w:cs="Arial" w:eastAsia="Arial" w:hAnsi="Arial"/>
          <w:sz w:val="18"/>
          <w:szCs w:val="18"/>
          <w:color w:val="auto"/>
        </w:rPr>
        <w:t>” means any product, in any form or formulation, comprising Mul-1867 that is useful in the Field of Use.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Respiratory Field</w:t>
      </w:r>
      <w:r>
        <w:rPr>
          <w:rFonts w:ascii="Arial" w:cs="Arial" w:eastAsia="Arial" w:hAnsi="Arial"/>
          <w:sz w:val="18"/>
          <w:szCs w:val="18"/>
          <w:color w:val="auto"/>
        </w:rPr>
        <w:t>” means the use of Mul-1867 to treat respiratory diseases including, but not limited to cystic fibrosis, or any use of Mul-1867 in an inhalation dosage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Stock Issuance Agreement</w:t>
      </w:r>
      <w:r>
        <w:rPr>
          <w:rFonts w:ascii="Arial" w:cs="Arial" w:eastAsia="Arial" w:hAnsi="Arial"/>
          <w:sz w:val="18"/>
          <w:szCs w:val="18"/>
          <w:color w:val="auto"/>
        </w:rPr>
        <w:t>” means the stock issuance agreement between the parties dated on the Effective Date.</w:t>
      </w:r>
    </w:p>
    <w:p>
      <w:pPr>
        <w:spacing w:after="0" w:line="22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1.37 “</w:t>
      </w:r>
      <w:r>
        <w:rPr>
          <w:rFonts w:ascii="Arial" w:cs="Arial" w:eastAsia="Arial" w:hAnsi="Arial"/>
          <w:sz w:val="16"/>
          <w:szCs w:val="16"/>
          <w:u w:val="single" w:color="auto"/>
          <w:color w:val="auto"/>
        </w:rPr>
        <w:t>Sublicensee</w:t>
      </w:r>
      <w:r>
        <w:rPr>
          <w:rFonts w:ascii="Arial" w:cs="Arial" w:eastAsia="Arial" w:hAnsi="Arial"/>
          <w:sz w:val="16"/>
          <w:szCs w:val="16"/>
          <w:color w:val="auto"/>
        </w:rPr>
        <w:t>” means a Third Party to whom Mayfield or its Affiliate has granted a sublicense, immunity or other right under the Licensed Patent Rights to offer to sell, sell or otherwise commercialize one or more Products, provided such sublicense has not expired or been terminated.</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Successful Completion</w:t>
      </w:r>
      <w:r>
        <w:rPr>
          <w:rFonts w:ascii="Arial" w:cs="Arial" w:eastAsia="Arial" w:hAnsi="Arial"/>
          <w:sz w:val="18"/>
          <w:szCs w:val="18"/>
          <w:color w:val="auto"/>
        </w:rPr>
        <w:t>” means, with respect to a clinical trial for a Product for the treatment of an indication, completion of all patient enrollment, treatment and testing for such clinical trial in accordance with its applicable processes and delivery to the sponsor of the final report(s) for such clinical trial, where the results of such clinical trial are reasonably determined by the sponsor to be sufficient to progress such Product for the next phase of clinical testing in humans for such indication.</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and foreign taxes, assessments and other governmental charges, duties, impositions and liabilities that are specific to the sale of the Products, including taxes based upon or measured by gross receipts, income, profits, sales, use and occupation, and value added, ad valorem, transfer, franchise, and property taxes together with all interest, penalties and additions imposed with respect to such amounts.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7" w:name="page138"/>
    <w:bookmarkEnd w:id="137"/>
    <w:p>
      <w:pPr>
        <w:jc w:val="both"/>
        <w:ind w:firstLine="1297"/>
        <w:spacing w:after="0" w:line="277"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Technology</w:t>
      </w:r>
      <w:r>
        <w:rPr>
          <w:rFonts w:ascii="Arial" w:cs="Arial" w:eastAsia="Arial" w:hAnsi="Arial"/>
          <w:sz w:val="18"/>
          <w:szCs w:val="18"/>
          <w:color w:val="auto"/>
        </w:rPr>
        <w:t>” means Mul-1867 and Product, together with all compositions, components and formulations thereof and all uses and methods of manufacture of the foregoing, whether existing as of the Effective Date or derived at any time after the Effective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Mayfield, TGV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u w:val="single" w:color="auto"/>
          <w:color w:val="auto"/>
        </w:rPr>
        <w:t>Valid Claim</w:t>
      </w:r>
      <w:r>
        <w:rPr>
          <w:rFonts w:ascii="Arial" w:cs="Arial" w:eastAsia="Arial" w:hAnsi="Arial"/>
          <w:sz w:val="16"/>
          <w:szCs w:val="16"/>
          <w:color w:val="auto"/>
        </w:rPr>
        <w:t>” means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jc w:val="both"/>
        <w:ind w:right="20" w:firstLine="8"/>
        <w:spacing w:after="0" w:line="255" w:lineRule="auto"/>
        <w:tabs>
          <w:tab w:leader="none" w:pos="2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Licensed Patent Rights, which claim was filed in good faith, has not been pending for more than ten (10) years from the filing date from which such claim takes priority and has not been abandoned or finally disallowed without the possibility of appeal or refiling of such application.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Wound Field</w:t>
      </w:r>
      <w:r>
        <w:rPr>
          <w:rFonts w:ascii="Arial" w:cs="Arial" w:eastAsia="Arial" w:hAnsi="Arial"/>
          <w:sz w:val="18"/>
          <w:szCs w:val="18"/>
          <w:color w:val="auto"/>
        </w:rPr>
        <w:t>” means the treatment of non-gynecological break or injury of the soft tissue and the skin.</w:t>
      </w:r>
    </w:p>
    <w:p>
      <w:pPr>
        <w:spacing w:after="0" w:line="225" w:lineRule="exact"/>
        <w:rPr>
          <w:sz w:val="20"/>
          <w:szCs w:val="20"/>
          <w:color w:val="auto"/>
        </w:rPr>
      </w:pPr>
    </w:p>
    <w:p>
      <w:pPr>
        <w:ind w:left="840" w:hanging="184"/>
        <w:spacing w:after="0"/>
        <w:tabs>
          <w:tab w:leader="none" w:pos="8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and will not conflict with or violate any requirement of applicable laws, regulations or orders of governmental bodies; and (b) do not and will not conflict with, or constitute a default under, any contractual obligation of such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8" w:name="page139"/>
    <w:bookmarkEnd w:id="138"/>
    <w:p>
      <w:pPr>
        <w:jc w:val="both"/>
        <w:ind w:firstLine="1297"/>
        <w:spacing w:after="0" w:line="28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TGV Representations and Warranties</w:t>
      </w:r>
      <w:r>
        <w:rPr>
          <w:rFonts w:ascii="Arial" w:cs="Arial" w:eastAsia="Arial" w:hAnsi="Arial"/>
          <w:sz w:val="16"/>
          <w:szCs w:val="16"/>
          <w:color w:val="auto"/>
        </w:rPr>
        <w:t>. TGV hereby represents, warrants and covenants to Mayfield as follows: (a) TGV-H is the sole owner of the Licensed IP Rights; (b) TGV has the right to grant the licenses and other rights purported to be granted herein and has not granted to any Third Party any license or other interest in the Licensed IP Rights within the Field of Use; (c) neither TGV-G nor TGV-H shall transfer, convey or assign any of the Licensed IP Rights useful within the Field of Use to any Person unless such Person agrees in writing to the applicable terms and conditions of this Agreement; (d) TGV shall promptly notify Mayfield in writing of any transfer, conveyance or assignment of any of the Licensed IP Rights; (e) to the best of each of TGV-H’s and TGV-G’s respective knowledge, neither TGV-H nor TGV-G is aware of any Third Party patent, patent application or other intellectual property rights that would be infringed (i) by practicing any process or method or by making, using or selling any composition which is claimed or disclosed in the Licensed Patent Rights or which constitutes Licensed Know-How Rights within the Field of Use, or (ii) by making, using or selling Product in the Field of Use; (f) neither TGV-H nor TGV-G is aware of any infringement or misappropriation by a Third Party of any Licensed IP Rights within the Field of Use;</w:t>
      </w:r>
    </w:p>
    <w:p>
      <w:pPr>
        <w:spacing w:after="0" w:line="7" w:lineRule="exact"/>
        <w:rPr>
          <w:sz w:val="20"/>
          <w:szCs w:val="20"/>
          <w:color w:val="auto"/>
        </w:rPr>
      </w:pPr>
    </w:p>
    <w:p>
      <w:pPr>
        <w:jc w:val="both"/>
        <w:ind w:firstLine="8"/>
        <w:spacing w:after="0" w:line="253" w:lineRule="auto"/>
        <w:tabs>
          <w:tab w:leader="none" w:pos="2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data and information provided by TGV hereunder shall be complete and accurate; and (h) all personnel (employees, consultants, contractors, etc.) involved in the research, development or commercialization of the Technology have entered into, or prior to commencing such involvement, will enter into, valid and enforceable intellectual property assignment agreements with TGV related to the Technology, and, to the extent ownership does not vest originally in TGV by operation of law, such personnel irrevocably assign to TGV all of their respective right, title and interest in and to the Technology, all associated records, and all intellectual property rights in and to the foregoing.</w:t>
      </w:r>
    </w:p>
    <w:p>
      <w:pPr>
        <w:spacing w:after="0" w:line="19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Mayfield Warranties</w:t>
      </w:r>
      <w:r>
        <w:rPr>
          <w:rFonts w:ascii="Arial" w:cs="Arial" w:eastAsia="Arial" w:hAnsi="Arial"/>
          <w:sz w:val="18"/>
          <w:szCs w:val="18"/>
          <w:color w:val="auto"/>
        </w:rPr>
        <w:t>. Mayfield warrants that it shall undertake its development (i.e., research, clinical and regulatory) and commercialization (i.e., manufacturing, distribution and marketing) obligations in compliance with all applicable laws and regulations (including but not limited to, and to the extent applicable, the Act and the Drug Supply Chain Security Act).</w:t>
      </w:r>
    </w:p>
    <w:p>
      <w:pPr>
        <w:spacing w:after="0" w:line="181" w:lineRule="exact"/>
        <w:rPr>
          <w:sz w:val="20"/>
          <w:szCs w:val="20"/>
          <w:color w:val="auto"/>
        </w:rPr>
      </w:pPr>
    </w:p>
    <w:p>
      <w:pPr>
        <w:ind w:left="840" w:hanging="184"/>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License Grant/Obligations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License to Mayfield</w:t>
      </w:r>
      <w:r>
        <w:rPr>
          <w:rFonts w:ascii="Arial" w:cs="Arial" w:eastAsia="Arial" w:hAnsi="Arial"/>
          <w:sz w:val="16"/>
          <w:szCs w:val="16"/>
          <w:color w:val="auto"/>
        </w:rPr>
        <w:t>. Subject to the terms and conditions of this Agreement, and subject to satisfaction of the first milestone under Section 4.2, TGV hereby grants to Mayfield an exclusive (including with respect to TGV), non-transferable (except in connection with a permitted assignment of this Agreement), worldwide license under the Licensed IP Rights to develop, make, have made, use, offer for sale, sell and import Products for use in the Field of Use. Mayfield shall have the right to grant sublicenses within the Field of Use, through multiple tiers, to Third Parties and Affiliates.</w:t>
      </w:r>
    </w:p>
    <w:p>
      <w:pPr>
        <w:spacing w:after="0" w:line="15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Availability of Technology and Licensed IP Rights</w:t>
      </w:r>
      <w:r>
        <w:rPr>
          <w:rFonts w:ascii="Arial" w:cs="Arial" w:eastAsia="Arial" w:hAnsi="Arial"/>
          <w:sz w:val="16"/>
          <w:szCs w:val="16"/>
          <w:color w:val="auto"/>
        </w:rPr>
        <w:t>. TGV shall provide Mayfield (and its permitted designees) with a copy of all data and information available to TGV relating to the Technology and/or Licensed IP Rights. TGV shall provide Mayfield, free of charge, based on TGV’s current knowledge, such technical assistance as may be reasonably necessary or useful for Mayfield to exploit such data and information, including without limitation</w:t>
      </w:r>
    </w:p>
    <w:p>
      <w:pPr>
        <w:jc w:val="both"/>
        <w:ind w:firstLine="8"/>
        <w:spacing w:after="0" w:line="255" w:lineRule="auto"/>
        <w:tabs>
          <w:tab w:leader="none" w:pos="2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consulting services reasonably necessary to transfer the Mul-1867 molecule chemistry to an active pharmaceutical ingredient manufacturing entity and (b) consulting services reasonably necessary to transfer the formulation of a Mul-1867 topical formulation used to produce the pre-clinical data for Mul-1867 in the Field of Use.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9" w:name="page140"/>
    <w:bookmarkEnd w:id="139"/>
    <w:p>
      <w:pPr>
        <w:jc w:val="both"/>
        <w:ind w:firstLine="1297"/>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Technical Assistance</w:t>
      </w:r>
      <w:r>
        <w:rPr>
          <w:rFonts w:ascii="Arial" w:cs="Arial" w:eastAsia="Arial" w:hAnsi="Arial"/>
          <w:sz w:val="17"/>
          <w:szCs w:val="17"/>
          <w:color w:val="auto"/>
        </w:rPr>
        <w:t>. During the term of this Agreement and in addition to the technical assistance described in Section 3.2, TGV shall provide such technical assistance to Mayfield as Mayfield reasonably requests regarding the Technology and/or Licensed IP Rights pursuant to and on the terms of a separate consulting agreement between Mayfield and either TGV, Victor Tets and/or Georgy Tets (the “Consulting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Improvement Patent Rights</w:t>
      </w:r>
      <w:r>
        <w:rPr>
          <w:rFonts w:ascii="Arial" w:cs="Arial" w:eastAsia="Arial" w:hAnsi="Arial"/>
          <w:sz w:val="18"/>
          <w:szCs w:val="18"/>
          <w:color w:val="auto"/>
        </w:rPr>
        <w:t>. Subject to the terms and conditions of this Agreement, Mayfield hereby grants to TGV a non-exclusive, worldwide, perpetual license under the Improvement Patent Rights for all uses other than to develop, make, have made, use, offer for sale, sell and import Products within the Field of Use. TGV shall have the right to grant sublicenses outside of the Field of Use, through multiple tiers, to other licensees (whether Third Parties or Affiliates) of the Licensed Patent Rights. The foregoing license is conditioned on TGV obtaining similar grantback licenses (together with the right to sublicense to Mayfield) from any and all Affiliates and Third Parties (together with their respective sublicensees and their sublicensees’ respective Affiliates) that enter into an agreement with TGV for rights under the Licensed Patent Rights or to develop and commercialize products comprising Mul-1867, and if TGV fails to obtain all such grantback licenses, then the foregoing license (together with any sublicenses granted by TGV) shall be void.</w:t>
      </w:r>
    </w:p>
    <w:p>
      <w:pPr>
        <w:spacing w:after="0" w:line="192"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Improvement Data</w:t>
      </w:r>
      <w:r>
        <w:rPr>
          <w:rFonts w:ascii="Arial" w:cs="Arial" w:eastAsia="Arial" w:hAnsi="Arial"/>
          <w:sz w:val="18"/>
          <w:szCs w:val="18"/>
          <w:color w:val="auto"/>
        </w:rPr>
        <w:t>. Subject to the terms and conditions of this Agreement, subject to the payment provisions of this Section 3.4.2, Mayfield hereby grants to TGV a non-exclusive, worldwide, perpetual license to use and incorporate Improvement Data solely into an IND for development of products comprising Mul-1867 outside of the Field of Use. TGV shall have the right to grant sublicenses to other licensees (whether Third Parties or Affiliates) of the Licensed Patent Rights. TGV shall provide prompt written notice to Mayfield of any decision to incorporate such Improvement Data into any such IND (whether by TGV, an Affiliate of TGV or any Third Party). Thereafter, Mayfield shall provide TGV with a statement of its to-date Development Costs, and TGV shall pay Mayfield an amount equal to fifty</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percent (50%) thereof within fifty (50) days after initiating a Phase III Clinical Trial (by administering product to a first human subject) under such IND outside the Field of Use.</w:t>
      </w:r>
    </w:p>
    <w:p>
      <w:pPr>
        <w:spacing w:after="0" w:line="18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Mayfield Diligence</w:t>
      </w:r>
      <w:r>
        <w:rPr>
          <w:rFonts w:ascii="Arial" w:cs="Arial" w:eastAsia="Arial" w:hAnsi="Arial"/>
          <w:sz w:val="18"/>
          <w:szCs w:val="18"/>
          <w:color w:val="auto"/>
        </w:rPr>
        <w:t>. Mayfield shall use Commercially Reasonable Efforts (whether alone or with or through its Sublicensees and its or their respective Affiliates) to research, develop and commercialize one or more Products in the United States at all times during the Diligence Period for such Product. In addition, the parties shall meet and confer, either in person or by teleconference or videoconference, quarterly to discuss the development and commercialization of Product. Subject to the terms and conditions of this Agreement, Mayfield shall not prohibit any contract manufacturing organization that it engages to produce an active pharmaceutical ingredient of Mul-1867 for a Product (“CMO”) from being similarly engaged by TGV for production of an active pharmaceutical ingredient of Mul-1867 for a product (other than a Product), subject to the confidentiality and other terms between Mayfield and such CMO.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0" w:name="page141"/>
    <w:bookmarkEnd w:id="140"/>
    <w:p>
      <w:pPr>
        <w:ind w:left="130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Allocation of Responsibilities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 xml:space="preserve">3.7.1 </w:t>
      </w:r>
      <w:r>
        <w:rPr>
          <w:rFonts w:ascii="Arial" w:cs="Arial" w:eastAsia="Arial" w:hAnsi="Arial"/>
          <w:sz w:val="17"/>
          <w:szCs w:val="17"/>
          <w:u w:val="single" w:color="auto"/>
          <w:color w:val="auto"/>
        </w:rPr>
        <w:t>Product Development</w:t>
      </w:r>
      <w:r>
        <w:rPr>
          <w:rFonts w:ascii="Arial" w:cs="Arial" w:eastAsia="Arial" w:hAnsi="Arial"/>
          <w:sz w:val="17"/>
          <w:szCs w:val="17"/>
          <w:color w:val="auto"/>
        </w:rPr>
        <w:t>. As between the parties, Mayfield shall be solely responsible, including financially responsible, for developing a Product suitable for submission as an IND within the Field of Use. TGV will provide technical assistance as set forth in Section 3.3 above.</w:t>
      </w:r>
    </w:p>
    <w:p>
      <w:pPr>
        <w:spacing w:after="0" w:line="14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Pre-Clinical and Clinical Responsibility</w:t>
      </w:r>
      <w:r>
        <w:rPr>
          <w:rFonts w:ascii="Arial" w:cs="Arial" w:eastAsia="Arial" w:hAnsi="Arial"/>
          <w:sz w:val="18"/>
          <w:szCs w:val="18"/>
          <w:color w:val="auto"/>
        </w:rPr>
        <w:t>. As between the parties, Mayfield shall be solely responsible, including financially responsible, for conducting the pre- clinical IND studies, Phase I Clinical Trials, Phase II Clinical Trials and Phase III Clinical Trials, in each case, for Product within the Field of Use.</w:t>
      </w:r>
    </w:p>
    <w:p>
      <w:pPr>
        <w:spacing w:after="0" w:line="181"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Regulatory Responsibility</w:t>
      </w:r>
      <w:r>
        <w:rPr>
          <w:rFonts w:ascii="Arial" w:cs="Arial" w:eastAsia="Arial" w:hAnsi="Arial"/>
          <w:sz w:val="17"/>
          <w:szCs w:val="17"/>
          <w:color w:val="auto"/>
        </w:rPr>
        <w:t>. As between the parties, Mayfield shall be solely responsible for all regulatory filings and all costs associated with regulatory responsibilities for Product within the Field of Use, including preparation of the regulatory filings, the application filing fees for the IND and NDA (and foreign regulatory filings), site facility fees and periodic updates as is required by the relevant regulatory authority. In addition, as between the parties, Mayfield shall be solely responsible for the handling of all post approval matters including adverse events and pharmacovigilance matters to the extent solely related to Product within the Field of Use. Upon either party’s request, the parties shall negotiate and enter into a pharmacovigilance agreement regarding Mul-1867 consistent with industry practices, and TGV shall require all other licensees of rights to develop and commercialize products comprising Mul-1867 to enter into substantially similar pharmacovigilance agreements.</w:t>
      </w:r>
    </w:p>
    <w:p>
      <w:pPr>
        <w:spacing w:after="0" w:line="17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3.7.4 </w:t>
      </w:r>
      <w:r>
        <w:rPr>
          <w:rFonts w:ascii="Arial" w:cs="Arial" w:eastAsia="Arial" w:hAnsi="Arial"/>
          <w:sz w:val="18"/>
          <w:szCs w:val="18"/>
          <w:u w:val="single" w:color="auto"/>
          <w:color w:val="auto"/>
        </w:rPr>
        <w:t>Manufacturing</w:t>
      </w:r>
      <w:r>
        <w:rPr>
          <w:rFonts w:ascii="Arial" w:cs="Arial" w:eastAsia="Arial" w:hAnsi="Arial"/>
          <w:sz w:val="18"/>
          <w:szCs w:val="18"/>
          <w:color w:val="auto"/>
        </w:rPr>
        <w:t>. As between the parties, Mayfield shall be solely responsible for the manufacturing of the Products for use within the Field of Use, including qualification of the active pharmaceutical ingredient, the manufacturing facility, all associated methods and testing required for release, manufacturing, packaging and tracking of the Products for use within the Field of Use. Products released by Mayfield shall not be adulterated or misbranded within the meaning of the Act and, as between the parties, Mayfield shall be solely responsible for handling any recalls of Product released by Mayfield.</w:t>
      </w:r>
    </w:p>
    <w:p>
      <w:pPr>
        <w:spacing w:after="0" w:line="18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3.7.5 </w:t>
      </w:r>
      <w:r>
        <w:rPr>
          <w:rFonts w:ascii="Arial" w:cs="Arial" w:eastAsia="Arial" w:hAnsi="Arial"/>
          <w:sz w:val="18"/>
          <w:szCs w:val="18"/>
          <w:u w:val="single" w:color="auto"/>
          <w:color w:val="auto"/>
        </w:rPr>
        <w:t>Marketing and Distribution</w:t>
      </w:r>
      <w:r>
        <w:rPr>
          <w:rFonts w:ascii="Arial" w:cs="Arial" w:eastAsia="Arial" w:hAnsi="Arial"/>
          <w:sz w:val="18"/>
          <w:szCs w:val="18"/>
          <w:color w:val="auto"/>
        </w:rPr>
        <w:t>. As between the parties, Mayfield shall be solely responsible for distribution, marketing and promotion of the Products within the Field of Use. Mayfield shall have sole discretion on determining the selling price of the Products within the Field of Use. All promotion of the Products shall strictly be within the Field of Use.</w:t>
      </w:r>
    </w:p>
    <w:p>
      <w:pPr>
        <w:spacing w:after="0" w:line="181" w:lineRule="exact"/>
        <w:rPr>
          <w:sz w:val="20"/>
          <w:szCs w:val="20"/>
          <w:color w:val="auto"/>
        </w:rPr>
      </w:pPr>
    </w:p>
    <w:p>
      <w:pPr>
        <w:ind w:left="840" w:hanging="184"/>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Issuance</w:t>
      </w:r>
      <w:r>
        <w:rPr>
          <w:rFonts w:ascii="Arial" w:cs="Arial" w:eastAsia="Arial" w:hAnsi="Arial"/>
          <w:sz w:val="18"/>
          <w:szCs w:val="18"/>
          <w:color w:val="auto"/>
        </w:rPr>
        <w:t>. On the Effective Date, Mayfield shall issue to TGV certain shares of common stock of Mayfield pursuant to, and on the terms and conditions of, the Stock Issuance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1" w:name="page142"/>
    <w:bookmarkEnd w:id="141"/>
    <w:p>
      <w:pPr>
        <w:jc w:val="both"/>
        <w:ind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Milestone Payments</w:t>
      </w:r>
      <w:r>
        <w:rPr>
          <w:rFonts w:ascii="Arial" w:cs="Arial" w:eastAsia="Arial" w:hAnsi="Arial"/>
          <w:sz w:val="18"/>
          <w:szCs w:val="18"/>
          <w:color w:val="auto"/>
        </w:rPr>
        <w:t>. Within fifty (50) days following the first achievement of each of the following milestone events, Mayfield shall give written notice thereof to TGV and shall pay to TGV the corresponding non-refundable and noncreditable one-time milestone payments, except that the first Milestone Event shall be paid within thirty (30) days following its achievement:</w:t>
      </w:r>
    </w:p>
    <w:p>
      <w:pPr>
        <w:sectPr>
          <w:pgSz w:w="11900" w:h="16838" w:orient="portrait"/>
          <w:cols w:equalWidth="0" w:num="1">
            <w:col w:w="11420"/>
          </w:cols>
          <w:pgMar w:left="240" w:top="665" w:right="239" w:bottom="1440" w:gutter="0" w:footer="0" w:header="0"/>
        </w:sectPr>
      </w:pPr>
    </w:p>
    <w:p>
      <w:pPr>
        <w:spacing w:after="0" w:line="17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Milestone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651764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17640" cy="180340"/>
                    </a:xfrm>
                    <a:prstGeom prst="rect">
                      <a:avLst/>
                    </a:prstGeom>
                    <a:noFill/>
                  </pic:spPr>
                </pic:pic>
              </a:graphicData>
            </a:graphic>
          </wp:anchor>
        </w:drawing>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Mayfield achievement of Initial Capital Investment</w:t>
      </w:r>
    </w:p>
    <w:p>
      <w:pPr>
        <w:spacing w:after="0" w:line="36" w:lineRule="exact"/>
        <w:rPr>
          <w:sz w:val="20"/>
          <w:szCs w:val="20"/>
          <w:color w:val="auto"/>
        </w:rPr>
      </w:pPr>
    </w:p>
    <w:p>
      <w:pPr>
        <w:jc w:val="both"/>
        <w:ind w:left="580"/>
        <w:spacing w:after="0" w:line="266" w:lineRule="auto"/>
        <w:rPr>
          <w:sz w:val="20"/>
          <w:szCs w:val="20"/>
          <w:color w:val="auto"/>
        </w:rPr>
      </w:pPr>
      <w:r>
        <w:rPr>
          <w:rFonts w:ascii="Arial" w:cs="Arial" w:eastAsia="Arial" w:hAnsi="Arial"/>
          <w:sz w:val="18"/>
          <w:szCs w:val="18"/>
          <w:color w:val="auto"/>
        </w:rPr>
        <w:t>Successful Completion of a Phase I Clinical Trial intended to support a Product in the Field of Use by Mayfield, a Sublicensee, or one of their respective Affiliates</w:t>
      </w:r>
    </w:p>
    <w:p>
      <w:pPr>
        <w:jc w:val="both"/>
        <w:ind w:left="580"/>
        <w:spacing w:after="0" w:line="266" w:lineRule="auto"/>
        <w:rPr>
          <w:sz w:val="20"/>
          <w:szCs w:val="20"/>
          <w:color w:val="auto"/>
        </w:rPr>
      </w:pPr>
      <w:r>
        <w:rPr>
          <w:rFonts w:ascii="Arial" w:cs="Arial" w:eastAsia="Arial" w:hAnsi="Arial"/>
          <w:sz w:val="18"/>
          <w:szCs w:val="18"/>
          <w:color w:val="auto"/>
        </w:rPr>
        <w:t>Successful Completion of a Phase II Clinical Trial intended to support a Product in the Field of Use by Mayfield, a Sublicensee, or one of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-290195</wp:posOffset>
            </wp:positionV>
            <wp:extent cx="651764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17640" cy="30861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FDA acceptance of an NDA submitted by Mayfield, a Sublicensee, or one of their respective Affiliates</w:t>
      </w:r>
    </w:p>
    <w:p>
      <w:pPr>
        <w:spacing w:after="0" w:line="48" w:lineRule="exact"/>
        <w:rPr>
          <w:sz w:val="20"/>
          <w:szCs w:val="20"/>
          <w:color w:val="auto"/>
        </w:rPr>
      </w:pPr>
    </w:p>
    <w:p>
      <w:pPr>
        <w:jc w:val="both"/>
        <w:ind w:left="580"/>
        <w:spacing w:after="0" w:line="281" w:lineRule="auto"/>
        <w:rPr>
          <w:sz w:val="20"/>
          <w:szCs w:val="20"/>
          <w:color w:val="auto"/>
        </w:rPr>
      </w:pPr>
      <w:r>
        <w:rPr>
          <w:rFonts w:ascii="Arial" w:cs="Arial" w:eastAsia="Arial" w:hAnsi="Arial"/>
          <w:sz w:val="17"/>
          <w:szCs w:val="17"/>
          <w:color w:val="auto"/>
        </w:rPr>
        <w:t>FDA approval of either a second indication or a new dosage form for a Product submitted in an NDA by Mayfield, a Sublicensee, or one of their respective Affiliates that is not included in the original NDA 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-289560</wp:posOffset>
            </wp:positionV>
            <wp:extent cx="651764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17640" cy="308610"/>
                    </a:xfrm>
                    <a:prstGeom prst="rect">
                      <a:avLst/>
                    </a:prstGeom>
                    <a:noFill/>
                  </pic:spPr>
                </pic:pic>
              </a:graphicData>
            </a:graphic>
          </wp:anchor>
        </w:drawing>
      </w:r>
    </w:p>
    <w:p>
      <w:pPr>
        <w:jc w:val="both"/>
        <w:ind w:left="580"/>
        <w:spacing w:after="0" w:line="276" w:lineRule="auto"/>
        <w:rPr>
          <w:sz w:val="20"/>
          <w:szCs w:val="20"/>
          <w:color w:val="auto"/>
        </w:rPr>
      </w:pPr>
      <w:r>
        <w:rPr>
          <w:rFonts w:ascii="Arial" w:cs="Arial" w:eastAsia="Arial" w:hAnsi="Arial"/>
          <w:sz w:val="17"/>
          <w:szCs w:val="17"/>
          <w:color w:val="auto"/>
        </w:rPr>
        <w:t>First regulatory approval of a Product for any indication within the Field of Use pursuant a regulatory application submitted by Mayfield, a Sublicensee, or one of their respective Affiliates in any one of the following countries: Japan, Canada, Europe (EMEA, UK, France or Germany), Australia, Mexico or Brazil</w:t>
      </w:r>
    </w:p>
    <w:p>
      <w:pPr>
        <w:spacing w:after="0" w:line="1"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Second regulatory approval of a Product for any indication within the Field of Use pursuant a regulatory application submitted by Mayfield, a Sublicensee, or one of their respective Affiliates in any one of the following countries: Japan, Canada, Europe (EMEA, UK, France or Germany), Australia, Mexico or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-442595</wp:posOffset>
            </wp:positionV>
            <wp:extent cx="6517640" cy="445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7640" cy="445770"/>
                    </a:xfrm>
                    <a:prstGeom prst="rect">
                      <a:avLst/>
                    </a:prstGeom>
                    <a:noFill/>
                  </pic:spPr>
                </pic:pic>
              </a:graphicData>
            </a:graphic>
          </wp:anchor>
        </w:drawing>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33"/>
        <w:spacing w:after="0"/>
        <w:rPr>
          <w:sz w:val="20"/>
          <w:szCs w:val="20"/>
          <w:color w:val="auto"/>
        </w:rPr>
      </w:pPr>
      <w:r>
        <w:rPr>
          <w:rFonts w:ascii="Arial" w:cs="Arial" w:eastAsia="Arial" w:hAnsi="Arial"/>
          <w:sz w:val="18"/>
          <w:szCs w:val="18"/>
          <w:b w:val="1"/>
          <w:bCs w:val="1"/>
          <w:color w:val="auto"/>
        </w:rPr>
        <w:t>Milestone Payment</w:t>
      </w:r>
    </w:p>
    <w:p>
      <w:pPr>
        <w:spacing w:after="0" w:line="54" w:lineRule="exact"/>
        <w:rPr>
          <w:sz w:val="20"/>
          <w:szCs w:val="20"/>
          <w:color w:val="auto"/>
        </w:rPr>
      </w:pPr>
    </w:p>
    <w:p>
      <w:pPr>
        <w:ind w:left="1353" w:hanging="1353"/>
        <w:spacing w:after="0"/>
        <w:tabs>
          <w:tab w:leader="none" w:pos="13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300,000</w:t>
      </w:r>
    </w:p>
    <w:p>
      <w:pPr>
        <w:spacing w:after="0" w:line="275" w:lineRule="exact"/>
        <w:rPr>
          <w:sz w:val="20"/>
          <w:szCs w:val="20"/>
          <w:color w:val="auto"/>
        </w:rPr>
      </w:pPr>
    </w:p>
    <w:p>
      <w:pPr>
        <w:ind w:left="1353" w:hanging="1353"/>
        <w:spacing w:after="0"/>
        <w:tabs>
          <w:tab w:leader="none" w:pos="13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400,000</w:t>
      </w:r>
    </w:p>
    <w:p>
      <w:pPr>
        <w:spacing w:after="0" w:line="275" w:lineRule="exact"/>
        <w:rPr>
          <w:sz w:val="20"/>
          <w:szCs w:val="20"/>
          <w:color w:val="auto"/>
        </w:rPr>
      </w:pPr>
    </w:p>
    <w:p>
      <w:pPr>
        <w:ind w:left="1353" w:hanging="1353"/>
        <w:spacing w:after="0"/>
        <w:tabs>
          <w:tab w:leader="none" w:pos="1353" w:val="left"/>
        </w:tabs>
        <w:numPr>
          <w:ilvl w:val="0"/>
          <w:numId w:val="98"/>
        </w:numPr>
        <w:rPr>
          <w:rFonts w:ascii="Arial" w:cs="Arial" w:eastAsia="Arial" w:hAnsi="Arial"/>
          <w:sz w:val="16"/>
          <w:szCs w:val="16"/>
          <w:color w:val="auto"/>
        </w:rPr>
      </w:pPr>
      <w:r>
        <w:rPr>
          <w:rFonts w:ascii="Arial" w:cs="Arial" w:eastAsia="Arial" w:hAnsi="Arial"/>
          <w:sz w:val="16"/>
          <w:szCs w:val="16"/>
          <w:color w:val="auto"/>
        </w:rPr>
        <w:t>400,000</w:t>
      </w:r>
    </w:p>
    <w:p>
      <w:pPr>
        <w:spacing w:after="0" w:line="59" w:lineRule="exact"/>
        <w:rPr>
          <w:sz w:val="20"/>
          <w:szCs w:val="20"/>
          <w:color w:val="auto"/>
        </w:rPr>
      </w:pPr>
    </w:p>
    <w:p>
      <w:pPr>
        <w:ind w:left="1353" w:hanging="1353"/>
        <w:spacing w:after="0"/>
        <w:tabs>
          <w:tab w:leader="none" w:pos="13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400,000</w:t>
      </w:r>
    </w:p>
    <w:p>
      <w:pPr>
        <w:spacing w:after="0" w:line="275" w:lineRule="exact"/>
        <w:rPr>
          <w:sz w:val="20"/>
          <w:szCs w:val="20"/>
          <w:color w:val="auto"/>
        </w:rPr>
      </w:pPr>
    </w:p>
    <w:p>
      <w:pPr>
        <w:ind w:left="1353" w:hanging="1353"/>
        <w:spacing w:after="0"/>
        <w:tabs>
          <w:tab w:leader="none" w:pos="13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750,000</w:t>
      </w:r>
    </w:p>
    <w:p>
      <w:pPr>
        <w:spacing w:after="0" w:line="200" w:lineRule="exact"/>
        <w:rPr>
          <w:sz w:val="20"/>
          <w:szCs w:val="20"/>
          <w:color w:val="auto"/>
        </w:rPr>
      </w:pPr>
    </w:p>
    <w:p>
      <w:pPr>
        <w:spacing w:after="0" w:line="291" w:lineRule="exact"/>
        <w:rPr>
          <w:sz w:val="20"/>
          <w:szCs w:val="20"/>
          <w:color w:val="auto"/>
        </w:rPr>
      </w:pPr>
    </w:p>
    <w:p>
      <w:pPr>
        <w:ind w:left="1353" w:hanging="1353"/>
        <w:spacing w:after="0"/>
        <w:tabs>
          <w:tab w:leader="none" w:pos="13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400,000</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353" w:hanging="1353"/>
        <w:spacing w:after="0"/>
        <w:tabs>
          <w:tab w:leader="none" w:pos="13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200,000</w:t>
      </w:r>
    </w:p>
    <w:p>
      <w:pPr>
        <w:sectPr>
          <w:pgSz w:w="11900" w:h="16838" w:orient="portrait"/>
          <w:cols w:equalWidth="0" w:num="2">
            <w:col w:w="8580" w:space="227"/>
            <w:col w:w="2613"/>
          </w:cols>
          <w:pgMar w:left="240" w:top="665" w:right="239" w:bottom="1440" w:gutter="0" w:footer="0" w:header="0"/>
          <w:type w:val="continuous"/>
        </w:sectPr>
      </w:pPr>
    </w:p>
    <w:bookmarkStart w:id="142" w:name="page143"/>
    <w:bookmarkEnd w:id="142"/>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Royalty</w:t>
      </w:r>
      <w:r>
        <w:rPr>
          <w:rFonts w:ascii="Arial" w:cs="Arial" w:eastAsia="Arial" w:hAnsi="Arial"/>
          <w:sz w:val="17"/>
          <w:szCs w:val="17"/>
          <w:color w:val="auto"/>
        </w:rPr>
        <w:t>. Subject to the terms and conditions of this Agreement, on a Product-by-Product and country-by-country basis, Mayfield shall pay to TGV, on a quarterly basis, a royalty of three percent (3%) of Net Sales of any Product during the term of this Agreement (the “Royalty”); provided, however, that if the manufacture, use, offer for sale, sale, or import of a particular Product in a particular country would not infringe a Valid Claim (if such Valid Claim were in an issued patent and not licensed to Mayfield) or is not subject to a period of regulatory exclusivity, or if the Product is subject to generic competition (i.e., same active ingredient, same dosage form, same strength and same indication) in such particularly country then the applicable Royalty with respect to such Product in such country shall be reduced by one- half (½) to one and one half percent (1½%) of Net Sales.</w:t>
      </w:r>
    </w:p>
    <w:p>
      <w:pPr>
        <w:spacing w:after="0" w:line="17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Royalty Reports and Payments.</w:t>
      </w:r>
      <w:r>
        <w:rPr>
          <w:rFonts w:ascii="Arial" w:cs="Arial" w:eastAsia="Arial" w:hAnsi="Arial"/>
          <w:sz w:val="16"/>
          <w:szCs w:val="16"/>
          <w:color w:val="auto"/>
        </w:rPr>
        <w:t xml:space="preserve"> Within thirty (30) days after the end of each calendar quarter during the term of this Agreement, or, after the earlier of (i) the first sale of common stock of Mayfield to the general public pursuant to a registration statement filed with and declared effective by the Securities and Exchange Commission under the Securities Act of 1933 (as amended) and (ii) Mayfield first becoming subject to the reporting obligations under the Securities and Exchange Act of 1934 (as amended), within forty-five (45) days after the end of each calendar quarter during the term of this Agreement, Mayfield shall deliver to TGV a report setting forth for such calendar quarter (a) the calculation of the applicable Royalty; (b) the payments due under this Agreement for the sale of each Product; and (c) the applicable exchange rate as determined below. Mayfield shall remit the total payments due for the sale of Products during such calendar quarter at the time such report is made. No such reports or payments shall be due for any Product prior to the First Commercial Sale of such Product. With respect to Net Sales received in United States dollars, all amounts shall be expressed in United States dollars. With respect to Net Sales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Western Edition, under the heading “Currency Trading” on the last business day of each month during the applicable calendar quarter. All amounts paid to TGV shall be in United States dollars.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Payment Terms</w:t>
      </w:r>
      <w:r>
        <w:rPr>
          <w:rFonts w:ascii="Arial" w:cs="Arial" w:eastAsia="Arial" w:hAnsi="Arial"/>
          <w:sz w:val="18"/>
          <w:szCs w:val="18"/>
          <w:color w:val="auto"/>
        </w:rPr>
        <w:t>. The Royalty shown to have accrued by each report provided for under Section 4.4 shall be due on the date such report is due. Payment of the Royalty in whole or in part may be made in advance of such due date.</w:t>
      </w:r>
    </w:p>
    <w:p>
      <w:pPr>
        <w:spacing w:after="0" w:line="170"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4.5.2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of the Royalty with respect to any country in which a Product is sold, Mayfield shall have the right, in its sole discretion, to make such payments by depositing the amount thereof in local currency to TGV’s account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3" w:name="page144"/>
    <w:bookmarkEnd w:id="143"/>
    <w:p>
      <w:pPr>
        <w:jc w:val="both"/>
        <w:ind w:firstLine="1945"/>
        <w:spacing w:after="0" w:line="255" w:lineRule="auto"/>
        <w:rPr>
          <w:sz w:val="20"/>
          <w:szCs w:val="20"/>
          <w:color w:val="auto"/>
        </w:rPr>
      </w:pPr>
      <w:r>
        <w:rPr>
          <w:rFonts w:ascii="Arial" w:cs="Arial" w:eastAsia="Arial" w:hAnsi="Arial"/>
          <w:sz w:val="18"/>
          <w:szCs w:val="18"/>
          <w:color w:val="auto"/>
        </w:rPr>
        <w:t xml:space="preserve">4.5.3 </w:t>
      </w:r>
      <w:r>
        <w:rPr>
          <w:rFonts w:ascii="Arial" w:cs="Arial" w:eastAsia="Arial" w:hAnsi="Arial"/>
          <w:sz w:val="18"/>
          <w:szCs w:val="18"/>
          <w:u w:val="single" w:color="auto"/>
          <w:color w:val="auto"/>
        </w:rPr>
        <w:t>Withholding Taxes</w:t>
      </w:r>
      <w:r>
        <w:rPr>
          <w:rFonts w:ascii="Arial" w:cs="Arial" w:eastAsia="Arial" w:hAnsi="Arial"/>
          <w:sz w:val="18"/>
          <w:szCs w:val="18"/>
          <w:color w:val="auto"/>
        </w:rPr>
        <w:t>. Mayfield shall be entitled to deduct the amount of any withholding Taxes, value-added Taxes or other Taxes, levies or charges with respect to such amounts, other than United States taxes, payable by Mayfield, its Sublicensees or its or their respective Affiliates, or any Taxes required to be withheld by Mayfield, its Sublicensees or its or their respective Affiliates, to the extent Mayfield, its Sublicensees or its or their respective Affiliates pay to the appropriate governmental authority on behalf of TGV such Taxes, levies or charges. Mayfield shall use reasonable efforts to minimize any such Taxes, levies or charges required to be withheld on behalf of TGV by Mayfield, its Sublicensees or its or their respective Affiliates. Mayfield promptly shall deliver to TGV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TGV and not more than once in each calendar year except if a prior audit in such calendar year revealed an Underpayment (as defined below), Mayfield shall permit an independent certified public accounting firm of nationally recognized standing selected by TGV and reasonably acceptable to Mayfield, at TGV’s expense, to have access during normal business hours to such of the financial records of Mayfield as may be reasonably necessary to verify the accuracy of the Royalty reports hereunder for the eight (8) calendar quarters immediately prior to the date of such request (other than records for which TGV has already conducted an audit under this Section), which shall include, but not be limited to, review of fair market value calculations of bundled products,. If such accounting firm concludes that additional amounts were owed during the audited period, Mayfield shall pay such additional amounts within thirty (30) days after the date TGV delivers to Mayfield such accounting firm’s written report so concluding. The fees charged by such accounting firm shall be paid by TGV; provided, however, if the audit discloses that the Royalty payable by Mayfield for such period is more than one hundred ten percent (110%) of the Royalty actually paid for such period (an “Underpayment”), then Mayfield shall pay the reasonable fees and expenses charged by such accounting firm. TGV shall cause its accounting firm to retain all financial information subject to review under this Section 4.6 in strict confidence; provided, however, that Mayfield shall have the right to require that such accounting firm, prior to conducting such audit, enter into an appropriate non-disclosure agreement with Mayfield regarding such financial information. The accounting firm shall disclose to TGV only whether the reports are correct or not and the amount of any discrepancy. No other information shall be shared. TGV shall treat all such financial information as Mayfield’s confidential information, and shall not disclose such financial information to any Third Party or use it for any purpose other than as specified in this Section 4.6.</w:t>
      </w:r>
    </w:p>
    <w:p>
      <w:pPr>
        <w:spacing w:after="0" w:line="18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Non-Royalty Sublicense Income</w:t>
      </w:r>
      <w:r>
        <w:rPr>
          <w:rFonts w:ascii="Arial" w:cs="Arial" w:eastAsia="Arial" w:hAnsi="Arial"/>
          <w:sz w:val="16"/>
          <w:szCs w:val="16"/>
          <w:color w:val="auto"/>
        </w:rPr>
        <w:t>. If Mayfield enters into any agreement with a Third Party that includes a worldwide, exclusive (including with respect to Mayfield) sublicense (“Worldwide Sublicense”) under all or substantially all of the Licensed IP Rights to develop, make, have made, use, offer for sale, sell and import all Products for use in the Field of Use, Mayfield shall give prompt written notice to TGV thereof. Within thirty (30) days after receipt of such written notice from Mayfield, TGV shall have the right, at its option but only in the event permitted by applicable law or regulation, to exchange the Mayfield Shares for an additional sublicense royalty stream as set forth below by giving express written notice to Mayfield thereof. If TGV timely exercises its such option as set forth above, then (a) within ten (10) days after the date of such notice, TGV shall duly convey, transfer and assign to Mayfield all right, title and interest in and to shares of common stock of Mayfield equal to the number of the Mayfield Shares (together with any and all new, substituted or additional securities issued in respect of the Mayfield Shares upon any stock split, stock dividend, recapitalization, merger, consolidation or similar events), free and clear of all encumbrances, liens and claims, including by duly executing and delivery such assignments and other instruments and agreements as reasonably requested by Mayfield, and (b) Mayfield shall, within fifty (50) days after the receipt of any Non-Royalty Sublicense Income, provide written notice thereof to TGV and remit to TGV an amount equal to five percent (5%) of such Non-Royalty Sublicense Income. For purposes of this Section 4.7, the term “Worldwide Sublicense” shall mean an exclusive sublicense or series of exclusive sublicenses executed on the same date with the same Third Party where the United States is included within the sublicensed territory. TGV shall have the right to audit the records of Mayfield to confirm the accuracy of the amount of the Non-Royalty Sublicense Income pursuant to the terms of Section 4.6.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4" w:name="page145"/>
    <w:bookmarkEnd w:id="144"/>
    <w:p>
      <w:pPr>
        <w:ind w:left="840" w:hanging="184"/>
        <w:spacing w:after="0"/>
        <w:tabs>
          <w:tab w:leader="none" w:pos="8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 by TGV</w:t>
      </w:r>
      <w:r>
        <w:rPr>
          <w:rFonts w:ascii="Arial" w:cs="Arial" w:eastAsia="Arial" w:hAnsi="Arial"/>
          <w:sz w:val="18"/>
          <w:szCs w:val="18"/>
          <w:color w:val="auto"/>
        </w:rPr>
        <w:t>. Subject to the provisions of this Section 5, TGV shall indemnify, defend and hold harmless Mayfield, its Affiliates, and its and their respective officers, directors, agents, stockholders and representatives, from and against any and all losses, liabilities, damages and expenses (including without limitation reasonable attorneys’ fees and costs) (collectively, “Losses”) resulting from any claim, demand, action or proceeding by any Third Party (each a “Claim”) the extent resulting from or arising out of:</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5.1.1 the actual or alleged breach of any representations, warranties or covenants of TGV in this Agreement; or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5.1.2 the actual or alleged negligence, gross negligence or willful misconduct of TGV, its Affiliates or their respective agents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Mayfield</w:t>
      </w:r>
      <w:r>
        <w:rPr>
          <w:rFonts w:ascii="Arial" w:cs="Arial" w:eastAsia="Arial" w:hAnsi="Arial"/>
          <w:sz w:val="18"/>
          <w:szCs w:val="18"/>
          <w:color w:val="auto"/>
        </w:rPr>
        <w:t>. Subject to the provisions of this Section 5, Mayfield shall indemnify and hold harmless TGV, its Affiliates, and its and their respective officers, directors, agents, stockholders and representatives, from and against any and all Losses resulting from any Claim to the extent resulting from or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5.2.1 the actual or alleged breach of any representations, warranties or covenants of Mayfield in this Agreement;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5.2.2 the actual or alleged negligence, gross negligence or willful misconduct of Mayfield, its Affiliates or their respective agents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representatives; or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5.2.3 the development or exploitation of Product by or on behalf of Mayfield, its Sublicensees or their respective Affiliates,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customers or end-users.</w:t>
      </w:r>
    </w:p>
    <w:p>
      <w:pPr>
        <w:spacing w:after="0" w:line="21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“Indemnitee”) shall promptly notify the other party (the “Indemnifying Party”) in writing of a claim or suit; provided that an Indemnitee’s failure to give such notice or delay in giving such notice shall not affect such Indemnitee’s right to indemnification under this Section 5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5" w:name="page146"/>
    <w:bookmarkEnd w:id="145"/>
    <w:p>
      <w:pPr>
        <w:ind w:left="840" w:hanging="184"/>
        <w:spacing w:after="0"/>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During the term of this Agreement, and for a period of five (5) years following the expiration or earlier termination hereof, each party shall maintain in confidence all information of the other party that is disclosed by the other party and identified as, or acknowledged to be, confidential at the time of disclosure (the “Confidential Information”), and shall not use, disclose or grant the use of the Confidential Information except on a need-to-know basis to those directors, officers, affiliates, employees, permitted actual or prospective licensees, permitted actual or prospective assignees and agents, consultants, clinical investigators or contractors, to the extent such disclosure is reasonably necessary in connection with performing its obligations or exercising its rights under this Agreement. For purposes of this Section, all Technology shall constitute the Confidential Information of both parties. To the extent that disclosure is authorized by this Agreement, prior to disclosure, the disclosing party shall obtain agreement of any such Person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spacing w:after="0" w:line="16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Terms of this Agreement</w:t>
      </w:r>
      <w:r>
        <w:rPr>
          <w:rFonts w:ascii="Arial" w:cs="Arial" w:eastAsia="Arial" w:hAnsi="Arial"/>
          <w:sz w:val="17"/>
          <w:szCs w:val="17"/>
          <w:color w:val="auto"/>
        </w:rPr>
        <w:t>. Except as otherwise provided in this Section 6,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6 shall not apply to the extent that (a) a party is required</w:t>
      </w:r>
    </w:p>
    <w:p>
      <w:pPr>
        <w:spacing w:after="0" w:line="46" w:lineRule="exact"/>
        <w:rPr>
          <w:sz w:val="20"/>
          <w:szCs w:val="20"/>
          <w:color w:val="auto"/>
        </w:rPr>
      </w:pPr>
    </w:p>
    <w:p>
      <w:pPr>
        <w:jc w:val="both"/>
        <w:ind w:firstLine="8"/>
        <w:spacing w:after="0" w:line="268" w:lineRule="auto"/>
        <w:tabs>
          <w:tab w:leader="none" w:pos="22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thereof; or (b) a party can demonstrate that (i) the information was or became public knowledge, other than as a result of actions of such party in violation hereof; or (ii) the information was disclosed to the recipient on an unrestricted basis from a source unrelated to any party to this Agreement and not under a duty of confidentiality to the other party. Notwithstanding anything to the contrary herein, Mayfield may disclose the terms and conditions of this Agreement to any Person with whom Mayfield has, or is proposing to enter into, a business relationship, as long as such Person has entered into a confidentiality agreement with Mayfield.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6" w:name="page147"/>
    <w:bookmarkEnd w:id="146"/>
    <w:p>
      <w:pPr>
        <w:jc w:val="both"/>
        <w:ind w:firstLine="1297"/>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6,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840" w:hanging="184"/>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Patent Prosecution and Maintenance.</w:t>
      </w:r>
    </w:p>
    <w:p>
      <w:pPr>
        <w:spacing w:after="0" w:line="225"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Prosecution by TGV</w:t>
      </w:r>
      <w:r>
        <w:rPr>
          <w:rFonts w:ascii="Arial" w:cs="Arial" w:eastAsia="Arial" w:hAnsi="Arial"/>
          <w:sz w:val="16"/>
          <w:szCs w:val="16"/>
          <w:color w:val="auto"/>
        </w:rPr>
        <w:t>. As between the parties, TGV shall control, at its own expense, the preparation, filing, prosecution and maintenance of the Licensed Patent Rights consistent with prudent business practices and shall consider in good faith the interests of Mayfield and its Affiliates and Sublicensees. With respect to each patent application and patent within the Field-Specific Patent Rights, TGV shall (a) provide Mayfield with each patent application to be filed by TGV reasonably in advance of filing and incorporate reasonable comments by Mayfield thereon; (b) provide Mayfield with a copy of any patent application filed by TGV promptly after such filing; (c) coordinate with Mayfield regarding patent strategy, provide Mayfield with copies of all correspondence and communications received regarding such patent applications and patents and implement reasonable comments by Mayfield in connection therewith; (d) provide Mayfield with copies of all correspondence and communications sent regarding such patents and patent applications; and</w:t>
      </w:r>
    </w:p>
    <w:p>
      <w:pPr>
        <w:spacing w:after="0" w:line="3" w:lineRule="exact"/>
        <w:rPr>
          <w:sz w:val="20"/>
          <w:szCs w:val="20"/>
          <w:color w:val="auto"/>
        </w:rPr>
      </w:pPr>
    </w:p>
    <w:p>
      <w:pPr>
        <w:jc w:val="both"/>
        <w:ind w:firstLine="8"/>
        <w:spacing w:after="0" w:line="267" w:lineRule="auto"/>
        <w:tabs>
          <w:tab w:leader="none" w:pos="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notify Mayfield of any interference, opposition, reexamination request, nullity proceeding, appeal or other similar action regarding such patents and patent applications, review it with Mayfield as reasonably requested, and implement reasonable comments by Mayfield thereon. TGV shall determine in what countries the Field-Specific Patent Rights will be filed and shall notify Mayfield of such countries. In the event that Mayfield wishes for TGV to file in additional countries, TGV shall have thirty (30) days to decide on whether to add such countries as its responsibility (and at its cost) and if it declines to do so, it shall notify Mayfield and TGV shall file such applications, but (i) Mayfield shall reimburse TGV for the costs associated with the additional country filings,(ii) TGV shall assign to Mayfield all right, title and interest in and to such patent or patent application, (iii) such patent or patent application shall no longer be within the Licensed Patent Rights and (iv) TGV shall assist Mayfield, upon request and to the extent commercially reasonable, in connection with the continued prosecution and maintenance thereof, at the sole expense of Mayfield. With respect to each patent application and patent within the Licensed Patent Rights that are not Field-Specific Patent Rights but can be exploited in the Field of Use, TGV shall deliver to Mayfield reasonably complete drafts of all material submissions, correspondence, filings and responses to patent authorities related to such Licensed Patent Rights, including without limitation patent applications and amendments, give Mayfield a reasonable opportunity to comment thereon prior to their submission, and consider in good faith such comments.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7" w:name="page148"/>
    <w:bookmarkEnd w:id="147"/>
    <w:p>
      <w:pPr>
        <w:jc w:val="both"/>
        <w:ind w:firstLine="1945"/>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Abandonment</w:t>
      </w:r>
      <w:r>
        <w:rPr>
          <w:rFonts w:ascii="Arial" w:cs="Arial" w:eastAsia="Arial" w:hAnsi="Arial"/>
          <w:sz w:val="18"/>
          <w:szCs w:val="18"/>
          <w:color w:val="auto"/>
        </w:rPr>
        <w:t>. TGV shall not abandon any patent or patent application within the Field-Specific Patent Rights without providing to Mayfield written notice thereof reasonably in advance of any such abandonment. If TGV decides to abandon any such patent or patent application, then TGV shall provide reasonable prior written notice to Mayfield thereof. Mayfield shall have the right to assume control of such patent or patent application at its sole expense by providing TGV written notice thereof within thirty (30) days after receipt of the notice to abandon, whereupon (a) TGV shall assign to Mayfield all right, title and interest in and to such patent or patent application, (b) such patent or patent application shall no longer be within the Licensed Patent Rights and (c) TGV shall assist Mayfield, upon request and to the extent commercially reasonable, in connection with the continued prosecution and maintenance thereof, at the sole expense of Mayfield.</w:t>
      </w:r>
    </w:p>
    <w:p>
      <w:pPr>
        <w:spacing w:after="0" w:line="189"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Transfer of Improvement Patents</w:t>
      </w:r>
      <w:r>
        <w:rPr>
          <w:rFonts w:ascii="Arial" w:cs="Arial" w:eastAsia="Arial" w:hAnsi="Arial"/>
          <w:sz w:val="16"/>
          <w:szCs w:val="16"/>
          <w:color w:val="auto"/>
        </w:rPr>
        <w:t>. Mayfield shall not enter into any agreement with a Third Party that is not a Sublicensee or permitted assignee described in Section 9.3 (such Third Party, an “Unaffiliated Third Party”) to sell, convey, transfer or assign the Improvement Patent Rights without first giving to TGV the first right to negotiate with Mayfield for the purchase of such Improvement Patent Rights on the terms of this Section 7.1.3. If Mayfield desires to sell, convey, transfer or assign such Improvement Patent Rights to an Unaffiliated Third Party, then Mayfield shall provide prompt written notice thereof to TGV. If, within thirty (30) days after receipt of such notice, TGV provides written notice to Mayfield of its exercise of such right of first negotiation, then the parties shall negotiate in good faith, for a period not to exceed sixty (60) days, regarding terms and conditions of a mutually acceptable agreement therefor. If TGV fails to provide Mayfield timely written notice of its exercise of such right of first negotiation, or if the parties fail to reach mutual agreement and enter into a written agreement to sell, convey, transfer and assign such Improvement Patent Rights to TGV prior to the expiration of such sixty (60)-day period, then thereafter Mayfield shall have the right to enter into any agreement with any Unaffiliated Third Party, and TGV shall have no rights, regarding the sale, conveyance, transfer and/or assignment of such Improvement Patent Rights.</w:t>
      </w:r>
    </w:p>
    <w:p>
      <w:pPr>
        <w:spacing w:after="0" w:line="169"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Notification of Infringement</w:t>
      </w:r>
      <w:r>
        <w:rPr>
          <w:rFonts w:ascii="Arial" w:cs="Arial" w:eastAsia="Arial" w:hAnsi="Arial"/>
          <w:sz w:val="17"/>
          <w:szCs w:val="17"/>
          <w:color w:val="auto"/>
        </w:rPr>
        <w:t>. Each shall promptly notify the other party of any substantial and continuing infringement known to such party of any Licensed Patent Rights in the Field of Use and shall provide the other party with the available evidence, if any, of such infringement.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Enforcement and Defense of Patent Rights in the Field of Use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Field-Specific Patent Rights</w:t>
      </w:r>
      <w:r>
        <w:rPr>
          <w:rFonts w:ascii="Arial" w:cs="Arial" w:eastAsia="Arial" w:hAnsi="Arial"/>
          <w:sz w:val="18"/>
          <w:szCs w:val="18"/>
          <w:color w:val="auto"/>
        </w:rPr>
        <w:t>. As between the parties, Mayfield shall have the sole right, at its expense and in its sole discretion, to control the enforcement and defense of the Field-Specific Patent Rights. TGV shall reasonably assist Mayfield, upon request and at Mayfield’s sole expense, in connection therewith.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8" w:name="page149"/>
    <w:bookmarkEnd w:id="148"/>
    <w:p>
      <w:pPr>
        <w:jc w:val="both"/>
        <w:ind w:firstLine="1945"/>
        <w:spacing w:after="0" w:line="255"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Other Licensed Patent Rights</w:t>
      </w:r>
      <w:r>
        <w:rPr>
          <w:rFonts w:ascii="Arial" w:cs="Arial" w:eastAsia="Arial" w:hAnsi="Arial"/>
          <w:sz w:val="18"/>
          <w:szCs w:val="18"/>
          <w:color w:val="auto"/>
        </w:rPr>
        <w:t>. Except as set forth otherwise in this Agreement, as between the parties, TGV shall have the sole right, at its expense and in its sole discretion, to control the enforcement and defense of the Licensed Patent Rights other than the Field-Specific Patent Rights (“Other Licensed Patent Rights”). Mayfield shall reasonably assist TGV, upon request and at TGV’s sole expense, in connection therewith. In the event of any substantial and continuing infringement of such Licensed Patent Rights in a country by a Third Party in the Field of Use, if TGV fails to abate such infringement or to file an action to abate such infringement within ninety (90) days after a written request from Mayfield to do so, or if TGV discontinues the prosecution of any such action after filing without abating such infringement, then until such time as such infringement is abated, the royalty rate in such country shall be reduced to zero.</w:t>
      </w:r>
    </w:p>
    <w:p>
      <w:pPr>
        <w:spacing w:after="0" w:line="189"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 xml:space="preserve">7.3.3 </w:t>
      </w:r>
      <w:r>
        <w:rPr>
          <w:rFonts w:ascii="Arial" w:cs="Arial" w:eastAsia="Arial" w:hAnsi="Arial"/>
          <w:sz w:val="17"/>
          <w:szCs w:val="17"/>
          <w:u w:val="single" w:color="auto"/>
          <w:color w:val="auto"/>
        </w:rPr>
        <w:t>Combined Patent Rights</w:t>
      </w:r>
      <w:r>
        <w:rPr>
          <w:rFonts w:ascii="Arial" w:cs="Arial" w:eastAsia="Arial" w:hAnsi="Arial"/>
          <w:sz w:val="17"/>
          <w:szCs w:val="17"/>
          <w:color w:val="auto"/>
        </w:rPr>
        <w:t>. Subject to this Section 7.3.3, in the event of litigation that will involve both Field-Specific Patent Rights and Other Licensed Patent Rights, the parties shall work together to develop the strategy for the litigation. In the event of a litigation that results from a generic filing (either ANDA or 505(b)(2) filing) seeking approval of a generic product for the same indication as the Mayfield commercially marketed Product (“Hatch-Waxman Litigation”), regardless of the Licensed Patent Rights involved in such litigation, Mayfield shall have the sole right, at its expense and in its sole discretion, to control the litigation (including without limitation the enforcement and defense of any of the Licensed Patent Rights), but shall not stipulate to the invalidity or unenforceability of the Other Licensed Patent Rights without obtaining TGV’s prior written consent. If the litigation involves both Field-Specific Patent Rights and Other Licensed Patent Rights but is not Hatch-Waxman Litigation, as between the parties Mayfield shall be responsible for and shall have the sole right to control the litigation.</w:t>
      </w:r>
    </w:p>
    <w:p>
      <w:pPr>
        <w:spacing w:after="0" w:line="17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Recoveries</w:t>
      </w:r>
      <w:r>
        <w:rPr>
          <w:rFonts w:ascii="Arial" w:cs="Arial" w:eastAsia="Arial" w:hAnsi="Arial"/>
          <w:sz w:val="18"/>
          <w:szCs w:val="18"/>
          <w:color w:val="auto"/>
        </w:rPr>
        <w:t>. With respect to any action to enforce the Licensed Patent Rights to abate any infringement of the Licensed Patent Rights in the Field of Use or in any Hatch-Waxman Litigation, all monies recovered upon the final judgment or settlement of any such action shall be applied as follows: (a) first, to reimburse the costs and expenses (including reasonable attorneys’ fees and costs) of Mayfield and TGV; (b) second (to the extent that damages are awarded for lost sales or lost profits from the sale of Products), to Mayfield and TGV in shares that reflect the damages incurred by each party; and (c) the remainder to the account of Mayfield.</w:t>
      </w:r>
    </w:p>
    <w:p>
      <w:pPr>
        <w:spacing w:after="0" w:line="188" w:lineRule="exact"/>
        <w:rPr>
          <w:sz w:val="20"/>
          <w:szCs w:val="20"/>
          <w:color w:val="auto"/>
        </w:rPr>
      </w:pPr>
    </w:p>
    <w:p>
      <w:pPr>
        <w:ind w:left="840" w:hanging="184"/>
        <w:spacing w:after="0"/>
        <w:tabs>
          <w:tab w:leader="none" w:pos="8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continue until expiration of all payment obligations hereunder.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 by Mayfield</w:t>
      </w:r>
      <w:r>
        <w:rPr>
          <w:rFonts w:ascii="Arial" w:cs="Arial" w:eastAsia="Arial" w:hAnsi="Arial"/>
          <w:sz w:val="18"/>
          <w:szCs w:val="18"/>
          <w:color w:val="auto"/>
        </w:rPr>
        <w:t>. Mayfield may terminate this Agreement, in its sole discretion, upon thirty (30) days prior written notice of termination to TGV.</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Termination for Cause or Financial Hardship</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Cause</w:t>
      </w:r>
      <w:r>
        <w:rPr>
          <w:rFonts w:ascii="Arial" w:cs="Arial" w:eastAsia="Arial" w:hAnsi="Arial"/>
          <w:sz w:val="16"/>
          <w:szCs w:val="16"/>
          <w:color w:val="auto"/>
        </w:rPr>
        <w:t>. TGV may terminate this Agreement upon or after the material breach of this Agreement by Mayfield if Mayfield has not cured such breach within ninety (90) days after receipt of express written notice thereof by TGV; provided, however, if any default is not capable of being cured within such ninety (90) day period and Mayfield is diligently undertaking to cure such default as soon as commercially feasible thereafter under the circumstances, TGV shall have no right to terminate this Agreement under this provision. Mayfield may terminate this Agreement upon or after the material breach of this Agreement by TGV if TGV has not cured such breach within ninety (90) days after receipt of express written notice thereof by Mayfield; provided, however, if any default is not capable of being cured within such ninety (90) day period and TGV is diligently undertaking to cure such default as soon as commercially feasible thereafter under the circumstances, Mayfield shall have no right to terminate this Agreement under this provision.</w:t>
      </w:r>
    </w:p>
    <w:p>
      <w:pPr>
        <w:spacing w:after="0" w:line="167"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 xml:space="preserve">8.3.2 </w:t>
      </w:r>
      <w:r>
        <w:rPr>
          <w:rFonts w:ascii="Arial" w:cs="Arial" w:eastAsia="Arial" w:hAnsi="Arial"/>
          <w:sz w:val="17"/>
          <w:szCs w:val="17"/>
          <w:u w:val="single" w:color="auto"/>
          <w:color w:val="auto"/>
        </w:rPr>
        <w:t>Financial Hardship</w:t>
      </w:r>
      <w:r>
        <w:rPr>
          <w:rFonts w:ascii="Arial" w:cs="Arial" w:eastAsia="Arial" w:hAnsi="Arial"/>
          <w:sz w:val="17"/>
          <w:szCs w:val="17"/>
          <w:color w:val="auto"/>
        </w:rPr>
        <w:t>. If either party applies for or consents to the appointment of a receiver, trustee or liquidator for all or a substantial part of its assets; admits in writing its inability to pay its debts generally as they mature; makes a general assignment for the benefit of creditors; is adjudicated as bankrupt; submits a petition or an answer seeking an arrangement with creditors; takes advantage of any insolvency law except as a creditor; submits an answer admitting the material allegations of a petition in bankruptcy or insolvency proceeding; has an order, judgment or decree entered by any court of competent jurisdiction approving a petition seeking reorganization of such party or appointing a receiver, trustee or liquidator for such party, or for all or a substantial part of any of its assets and such order, judgment or decree shall continue unstayed and in effect for a period of ninety (90) consecutive days; files a voluntary petition of bankruptcy or fails to remove an involuntary petition in bankruptcy filed against it within ninety (90) days of the filing thereof, the other party may terminate this Agreement immediately upon providing written notice to the first party.</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Termination if an IND is not Filed within 48 Months.</w:t>
      </w:r>
      <w:r>
        <w:rPr>
          <w:rFonts w:ascii="Arial" w:cs="Arial" w:eastAsia="Arial" w:hAnsi="Arial"/>
          <w:sz w:val="18"/>
          <w:szCs w:val="18"/>
          <w:color w:val="auto"/>
        </w:rPr>
        <w:t xml:space="preserve"> TGV may terminate this agreement in the event that an IND for a Product has not been filed within forty-eight (48) months after the Effective Date.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Termination for Lack of Minimum Annual Royalty</w:t>
      </w:r>
      <w:r>
        <w:rPr>
          <w:rFonts w:ascii="Arial" w:cs="Arial" w:eastAsia="Arial" w:hAnsi="Arial"/>
          <w:sz w:val="18"/>
          <w:szCs w:val="18"/>
          <w:color w:val="auto"/>
        </w:rPr>
        <w:t>. In the event that, commencing with the date that is two years after the First Commercial Sale of the first Product in the United States and ending with the date when there is a generic version of the Product available in the United States, the annual royalties paid by Mayfield is less than fifty thousand dollars ($50,000), TGV shall have the right to terminate this Agreement by providing sixty (60) days’ prior written notice of termination to Mayfield unless Mayfield pays TGV within such sixty (60)-day period the difference between fifty thousand dollars ($50,000) and the amount of royalties actually paid for such year.</w:t>
      </w:r>
    </w:p>
    <w:p>
      <w:pPr>
        <w:spacing w:after="0" w:line="18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3.4, 4.2 (to the extent that a milestone has been achieved prior to termination), 5, 6, this 8.6 and 9 survive the expiration or termination of this Agreement. Upon any termination of this Agreement, TGV shall grant a direct license to any Sublicensee of Mayfield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and provided that such Sublicensee is not a direct competitor of TGV.</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0" w:name="page151"/>
    <w:bookmarkEnd w:id="150"/>
    <w:p>
      <w:pPr>
        <w:jc w:val="both"/>
        <w:ind w:firstLine="1297"/>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Effect of Termination Except for Breach by TGV</w:t>
      </w:r>
      <w:r>
        <w:rPr>
          <w:rFonts w:ascii="Arial" w:cs="Arial" w:eastAsia="Arial" w:hAnsi="Arial"/>
          <w:sz w:val="17"/>
          <w:szCs w:val="17"/>
          <w:color w:val="auto"/>
        </w:rPr>
        <w:t>. In the event that this Agreement is terminated by Mayfield pursuant to Section 8.2 or by TGV pursuant to Section 8.3 or 8.4, Mayfield shall assign to TGV all of its rights in and to (a) all compositions, samples, data and information specific to the Technology derived by Mayfield hereunder, (b) all results of experimentation and testing and other know-how specific to the Technology derived by Mayfield hereunder, (c) all Improvement Patent Rights owned by Mayfield that are specific to the Technology, and (d) all regulatory filings, regulatory applications and regulatory approval for Mul-1867 owned by Mayfield. Such assignment is subject to TGV agreeing to pay Mayfield an amount equal to one and one-half percent (1½%) of net sales (determined using a definition equivalent to “Net Sales” hereunder) of products comprising Mul-1867, until such payments total the full amount of Mayfield’s Development Costs. Payment from TGV to Mayfield shall occur within thirty (30) days after the end of each calendar quarter for which TGV achieves such net sales, and TGV shall deliver to Mayfield together with such payment a report equivalent to the royalty report under Section 4.4. Mayfield shall have a right to audit TGV equivalent to TGV’s right to audit Mayfield under Section 4.6. In addition, in the event that termination occurs while a Phase I Clinical Trial, Phase II Clinical Trial or Phase III Clinical Trial is ongoing, TGV shall have the right, but not the obligation to accept assignment of the associated clinical study agreement. If TGV declines to accept assignment of the clinical study agreement, as between the parties, Mayfield shall be responsible for any provisions in the clinical study agreement relating to termination of the study, including payment of all amounts required for termination.</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Effect of Termination for Breach by TGV</w:t>
      </w:r>
      <w:r>
        <w:rPr>
          <w:rFonts w:ascii="Arial" w:cs="Arial" w:eastAsia="Arial" w:hAnsi="Arial"/>
          <w:sz w:val="18"/>
          <w:szCs w:val="18"/>
          <w:color w:val="auto"/>
        </w:rPr>
        <w:t>. In the event that this Agreement is terminated by Mayfield pursuant to Section 8.3, the provisions of Section 3.1 through 3.3 shall additionally survive such termination, except that the rights and licenses granted to Mayfield hereunder shall become fully paid-up and royalty free.</w:t>
      </w:r>
    </w:p>
    <w:p>
      <w:pPr>
        <w:spacing w:after="0" w:line="181" w:lineRule="exact"/>
        <w:rPr>
          <w:sz w:val="20"/>
          <w:szCs w:val="20"/>
          <w:color w:val="auto"/>
        </w:rPr>
      </w:pPr>
    </w:p>
    <w:p>
      <w:pPr>
        <w:ind w:left="840" w:hanging="184"/>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party shall make any public announcements concerning matters concerning this Agreement or the negotiation thereof without the prior written consent of the other party unless such disclosure is required by law, in which case the announcing party shall provide the other party with reasonable notice of such disclosure.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 Consequential Damage</w:t>
      </w:r>
      <w:r>
        <w:rPr>
          <w:rFonts w:ascii="Arial" w:cs="Arial" w:eastAsia="Arial" w:hAnsi="Arial"/>
          <w:sz w:val="18"/>
          <w:szCs w:val="18"/>
          <w:color w:val="auto"/>
        </w:rPr>
        <w:t>s. NOTWITHSTANDING ANYTHING TO THE CONTRARY HEREIN, EXCEPT WITH RESPECT TO A BREACH OF SECTION 6 OR WITH RESPECT TO A PARTY’S OBLIGATIONS TO INDEMNIFY, DEFEND AND HOLD HARMLESS PURSUANT TO SECTION 5, NEITHER PARTY SHALL BE LIABLE FOR ANY SPECIAL, INDIRECT, INCIDENTAL OR CONSEQUENTIAL DAMAGES, WHETHER FORESEEABLE OR NOT, ARISING OUT OF THIS AGREEMENT OR THE EXERCISE OF ITS RIGHTS HEREUNDER, REGARDLESS OF ANY NOTICE OF SUCH DAMAGES.</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9.3 shall be void.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1" w:name="page152"/>
    <w:bookmarkEnd w:id="151"/>
    <w:p>
      <w:pPr>
        <w:jc w:val="both"/>
        <w:ind w:firstLine="1297"/>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For all purposes of this Agreement, TGV and Mayfield shall be deemed to be independent entities and anything in this Agreement to the contrary notwithstanding, nothing herein shall be deemed to constitute TGV and Mayfield as partners, joint ventures, co-owners, an association or any entity separate and apart from each party itself, nor shall this Agreement constitute any party hereto an employee or agent, legal or otherwise, of the other party for any purposes whatsoever. Neither party is authorized to make any statements nor representations on behalf of the other party or in any way obligate the other party, except as expressly authorized in writing by the other party. Anything in this Agreement to the contrary notwithstanding, no party hereto shall assume nor shall be liable for any liabilities or obligations of the other party, whether past, present or future.</w:t>
      </w:r>
    </w:p>
    <w:p>
      <w:pPr>
        <w:spacing w:after="0" w:line="16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set forth at the beginning of the various Articles of this Agreement are for reference and convenience and shall not affect the meanings of the provisions of this Agreement.</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Delaware, without regard to the conflicts of law principles thereof. Each of the parties hereto irrevocably consents to the exclusive jurisdiction and venue of any federal court located in the District of the State of Delaware or state court in Wilmington, Delaware having jurisdiction, in connection with any matter based upon or arising out of this Agreement or the matters contemplated herein, agrees that process may be served upon them in any manner authorized by laws of the State of Delaware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together with the Exhibits hereto, and each additional document, instrument or other agreement to be executed and delivered pursuant hereto, including the Stock Issuance Agreement and the Consulting Agreement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2" w:name="page153"/>
    <w:bookmarkEnd w:id="152"/>
    <w:p>
      <w:pPr>
        <w:jc w:val="both"/>
        <w:ind w:firstLine="1297"/>
        <w:spacing w:after="0" w:line="31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TGV:</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TGV-Health,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President/Chief Executive Officer</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3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TGV-Gyneconix,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101 Avenue of the Americas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Attention: President/Chief Executive Officer</w:t>
      </w:r>
    </w:p>
    <w:p>
      <w:pPr>
        <w:sectPr>
          <w:pgSz w:w="11900" w:h="16838" w:orient="portrait"/>
          <w:cols w:equalWidth="0" w:num="1">
            <w:col w:w="11420"/>
          </w:cols>
          <w:pgMar w:left="240" w:top="665" w:right="239" w:bottom="1440" w:gutter="0" w:footer="0" w:header="0"/>
          <w:type w:val="continuous"/>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Polsinelli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S. Fourth Street, Suite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Kathryn J. Doty, Esq.</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Mayfield: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Mayfield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2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53" w:name="page154"/>
    <w:bookmarkEnd w:id="153"/>
    <w:p>
      <w:pPr>
        <w:ind w:left="660"/>
        <w:spacing w:after="0"/>
        <w:rPr>
          <w:sz w:val="20"/>
          <w:szCs w:val="20"/>
          <w:color w:val="auto"/>
        </w:rPr>
      </w:pPr>
      <w:r>
        <w:rPr>
          <w:rFonts w:ascii="Arial" w:cs="Arial" w:eastAsia="Arial" w:hAnsi="Arial"/>
          <w:sz w:val="16"/>
          <w:szCs w:val="16"/>
          <w:color w:val="auto"/>
        </w:rPr>
        <w:t>IN WITNESS WHEREOF, each party has caused a duly authorized representative to execute and deliver this License Agreement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TGV-Health,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Tets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Tets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TGV-Gyneconix,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Tets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Tets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Mayfield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Director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License Agreement - 1]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54" w:name="page155"/>
    <w:bookmarkEnd w:id="1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ind w:left="10340"/>
        <w:spacing w:after="0"/>
        <w:rPr>
          <w:sz w:val="20"/>
          <w:szCs w:val="20"/>
          <w:color w:val="auto"/>
        </w:rPr>
      </w:pPr>
      <w:r>
        <w:rPr>
          <w:rFonts w:ascii="Arial" w:cs="Arial" w:eastAsia="Arial" w:hAnsi="Arial"/>
          <w:sz w:val="17"/>
          <w:szCs w:val="17"/>
          <w:color w:val="auto"/>
        </w:rPr>
        <w:t>EXHIBIT 10.4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LICENSE AGREEMENT (this “Agreement”) dated as of July 29, 2019 (the “Effective Date”), is entered into between TGV-Health, LLC, a Delaware limited liability company (“TGV-H”) and TGV-Ophthalnix, LLC, a Delaware limited liability company (“TGV- O”), each with a place of business at 101 Avenue of the Americas, New York, New York 10013 (TGV-O together with TGV-H, collectively “TGV”), on the one hand, and Stowe Pharmaceuticals, Inc., a Delaware corporation (“Stowe”), with a place of business at 12264 El Camino Real, Suite 350, San Diego, California 92130, on the other. The parties hereby agree as follows:</w:t>
      </w:r>
    </w:p>
    <w:p>
      <w:pPr>
        <w:spacing w:after="0" w:line="188" w:lineRule="exact"/>
        <w:rPr>
          <w:sz w:val="20"/>
          <w:szCs w:val="20"/>
          <w:color w:val="auto"/>
        </w:rPr>
      </w:pPr>
    </w:p>
    <w:p>
      <w:pPr>
        <w:ind w:right="20" w:firstLine="656"/>
        <w:spacing w:after="0" w:line="277" w:lineRule="auto"/>
        <w:tabs>
          <w:tab w:leader="none" w:pos="85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Act</w:t>
      </w:r>
      <w:r>
        <w:rPr>
          <w:rFonts w:ascii="Arial" w:cs="Arial" w:eastAsia="Arial" w:hAnsi="Arial"/>
          <w:sz w:val="16"/>
          <w:szCs w:val="16"/>
          <w:color w:val="auto"/>
        </w:rPr>
        <w:t>” means the United States Federal Food, Drug and Cosmetic Act, as amended from time to time, and the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Stowe nor Harrow Health, Inc. shall be Affiliates of the other or of the other’s Affiliates.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 particular time, the percentage represented by (a) the number of Stowe Shares at such time (as reflected by any new, substituted or additional securities issued in respect of the Stowe Shares upon any stock split, stock dividend, recapitalization, merger, consolidation or similar events), divided by (b) the total number of fully-diluted shares of capital stock outstanding (on an as-converted basis) as of such time.</w:t>
      </w:r>
    </w:p>
    <w:p>
      <w:pPr>
        <w:spacing w:after="0" w:line="187"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cGMP</w:t>
      </w:r>
      <w:r>
        <w:rPr>
          <w:rFonts w:ascii="Arial" w:cs="Arial" w:eastAsia="Arial" w:hAnsi="Arial"/>
          <w:sz w:val="17"/>
          <w:szCs w:val="17"/>
          <w:color w:val="auto"/>
        </w:rPr>
        <w:t>” means those current Good Manufacturing Practices required by the FDA to be followed in connection with the manufacture, handling, storage and control of pharmaceutical products in the United States, as set forth in the Act and any regulations related thereto.</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with respect to any objective regarding a Product and at any particular time, that degree of effort, expertise and financial resources commonly used in the pharmaceutical industry by a company of a similar size as Stowe is at such time to achieve such objective for a product that has a clinical indication and market potential similar to such Product which is at a similar stage in development or product life as such Product taking into account, without limitation, commercial, legal and regulatory factors, target product profiles, product labeling, the regulatory environment and competitive market conditions and the efficacy of the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6" w:name="page157"/>
    <w:bookmarkEnd w:id="156"/>
    <w:p>
      <w:pPr>
        <w:ind w:left="130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Dental Field</w:t>
      </w:r>
      <w:r>
        <w:rPr>
          <w:rFonts w:ascii="Arial" w:cs="Arial" w:eastAsia="Arial" w:hAnsi="Arial"/>
          <w:sz w:val="18"/>
          <w:szCs w:val="18"/>
          <w:color w:val="auto"/>
        </w:rPr>
        <w:t>” means the prevention, diagnosis or treatment of dental disease, state or condition (whether acute or chronic).</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Derived</w:t>
      </w:r>
      <w:r>
        <w:rPr>
          <w:rFonts w:ascii="Arial" w:cs="Arial" w:eastAsia="Arial" w:hAnsi="Arial"/>
          <w:sz w:val="17"/>
          <w:szCs w:val="17"/>
          <w:color w:val="auto"/>
        </w:rPr>
        <w:t>” or “</w:t>
      </w:r>
      <w:r>
        <w:rPr>
          <w:rFonts w:ascii="Arial" w:cs="Arial" w:eastAsia="Arial" w:hAnsi="Arial"/>
          <w:sz w:val="17"/>
          <w:szCs w:val="17"/>
          <w:u w:val="single" w:color="auto"/>
          <w:color w:val="auto"/>
        </w:rPr>
        <w:t>derived</w:t>
      </w:r>
      <w:r>
        <w:rPr>
          <w:rFonts w:ascii="Arial" w:cs="Arial" w:eastAsia="Arial" w:hAnsi="Arial"/>
          <w:sz w:val="17"/>
          <w:szCs w:val="17"/>
          <w:color w:val="auto"/>
        </w:rPr>
        <w:t>” means acquired, obtained, conceived, reduced to practice, developed, created, synthesized, designed, derived or resulting from, based upon or otherwise generated (whether directly or indirectly, or solely or jointly with others, or in whole or in part).</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Development Costs</w:t>
      </w:r>
      <w:r>
        <w:rPr>
          <w:rFonts w:ascii="Arial" w:cs="Arial" w:eastAsia="Arial" w:hAnsi="Arial"/>
          <w:sz w:val="18"/>
          <w:szCs w:val="18"/>
          <w:color w:val="auto"/>
        </w:rPr>
        <w:t>” means the fully-burdened costs to Stowe and its Affiliates incurred or accrued in connection with the research, development, pre-clinical and clinical studies, production and regulatory approval through submission of the first NDA for Product.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Diligence Period</w:t>
      </w:r>
      <w:r>
        <w:rPr>
          <w:rFonts w:ascii="Arial" w:cs="Arial" w:eastAsia="Arial" w:hAnsi="Arial"/>
          <w:sz w:val="18"/>
          <w:szCs w:val="18"/>
          <w:color w:val="auto"/>
        </w:rPr>
        <w:t>” means, on a Product-by-Product basis, the period beginning on the Effective Date and ending on the earlier of (a) the last day of the twelve (12)- month period that the weighted average Net Sales price for such Product in the United States is less than fifty percent (50%) of the weighted average Net Sales price for such Product in the United States during the twelve (12)-month period immediately following the First Commercial Sale of such Product in the United States and (b) the date a generic product that is bioequivalent of such Product obtains the same or greater market share in the United States as such Product for treatment of any indication.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Exclusive Sublicensee</w:t>
      </w:r>
      <w:r>
        <w:rPr>
          <w:rFonts w:ascii="Arial" w:cs="Arial" w:eastAsia="Arial" w:hAnsi="Arial"/>
          <w:sz w:val="18"/>
          <w:szCs w:val="18"/>
          <w:color w:val="auto"/>
        </w:rPr>
        <w:t>” means the Third Party sublicensee described in the first sentence of Section 4.7.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or any successor thereto.</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Field of Use</w:t>
      </w:r>
      <w:r>
        <w:rPr>
          <w:rFonts w:ascii="Arial" w:cs="Arial" w:eastAsia="Arial" w:hAnsi="Arial"/>
          <w:sz w:val="18"/>
          <w:szCs w:val="18"/>
          <w:color w:val="auto"/>
        </w:rPr>
        <w:t>” means the Ophthalmic Field and, if the option under Section 4.8 is exercised, the Otic Field, but excluding (a) non-ophthalmic and non-otic surgical methods of treatment, (b) all diseases, states or conditions other than those set forth above and (c) the Dental Field, the Gynecology Field and the Wound Field.</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Field-Specific Patent Rights</w:t>
      </w:r>
      <w:r>
        <w:rPr>
          <w:rFonts w:ascii="Arial" w:cs="Arial" w:eastAsia="Arial" w:hAnsi="Arial"/>
          <w:sz w:val="16"/>
          <w:szCs w:val="16"/>
          <w:color w:val="auto"/>
        </w:rPr>
        <w:t>” means (a) all patents and patent applications within the Licensed Patent Rights that solely claim specific formulations of Mul- 1867 (but not solely Mul-1867), methods or uses, in each case, in the Field of Use; (b) all patents issuing therefrom (including utility models and design patents and certificates of invention); (c) 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5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any Product, the first sale of such Product by Stowe, its Sublicensees or its or their respective Affiliates after all applicable marketing and pricing approvals (if any) have been granted by the applicable governing health authority.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7" w:name="page158"/>
    <w:bookmarkEnd w:id="157"/>
    <w:p>
      <w:pPr>
        <w:ind w:left="130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Gynecology Field</w:t>
      </w:r>
      <w:r>
        <w:rPr>
          <w:rFonts w:ascii="Arial" w:cs="Arial" w:eastAsia="Arial" w:hAnsi="Arial"/>
          <w:sz w:val="17"/>
          <w:szCs w:val="17"/>
          <w:color w:val="auto"/>
        </w:rPr>
        <w:t>” means the prevention, diagnosis or treatment of any gynecological disease, state or condition (whether acute or chronic and regardless of delivery system or means of application) including without limitation caused by infections or inflammation.</w:t>
      </w:r>
    </w:p>
    <w:p>
      <w:pPr>
        <w:spacing w:after="0" w:line="14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Improvement Data</w:t>
      </w:r>
      <w:r>
        <w:rPr>
          <w:rFonts w:ascii="Arial" w:cs="Arial" w:eastAsia="Arial" w:hAnsi="Arial"/>
          <w:sz w:val="18"/>
          <w:szCs w:val="18"/>
          <w:color w:val="auto"/>
        </w:rPr>
        <w:t>” means IND-enabling data and results (a) from toxicology and/or pharmacokinetics studies performed by or on behalf of Stowe; (b) that are specific to active pharmaceutical ingredient synthesis for Mul-1867 prepared by or on behalf of Stowe.</w:t>
      </w:r>
    </w:p>
    <w:p>
      <w:pPr>
        <w:spacing w:after="0" w:line="17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Improvement Patent Rights</w:t>
      </w:r>
      <w:r>
        <w:rPr>
          <w:rFonts w:ascii="Arial" w:cs="Arial" w:eastAsia="Arial" w:hAnsi="Arial"/>
          <w:sz w:val="16"/>
          <w:szCs w:val="16"/>
          <w:color w:val="auto"/>
        </w:rPr>
        <w:t>” means, collectively, (a) all patents and patent applications hereafter owned by Stowe, a Sublicensee, or its or their respective Affiliates (including provisional patent applications), together with all divisionals, continuations and continuations-in-part that claim priority to, or common priority with, the foregoing; (b) all patents issuing therefrom (including utility models and design patents and certificates of invention);</w:t>
      </w:r>
    </w:p>
    <w:p>
      <w:pPr>
        <w:jc w:val="both"/>
        <w:ind w:firstLine="8"/>
        <w:spacing w:after="0" w:line="295" w:lineRule="auto"/>
        <w:tabs>
          <w:tab w:leader="none" w:pos="27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 in each case, (i) that use or are supported by data and information derived from the use of Mul-1867 (sub)licensed hereunder and (ii) only to the extent they relate to Mul-1867 or its manufacture or use; but excluding the Licensed Patent Rights.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 application required to commence human clinical testing of a product submitted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FDA.</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Initial Capital Investment</w:t>
      </w:r>
      <w:r>
        <w:rPr>
          <w:rFonts w:ascii="Arial" w:cs="Arial" w:eastAsia="Arial" w:hAnsi="Arial"/>
          <w:sz w:val="18"/>
          <w:szCs w:val="18"/>
          <w:color w:val="auto"/>
        </w:rPr>
        <w:t>” means Stowe’s receipt of aggregate proceeds (including both cash and conversion and/or cancellation of outstanding indebtedness or convertible securities) from the sale of Stowe’s securities in one or more transactions following the Effective Date of not less than ten million dollars ($10,000,000) within twenty-four (24) months after the Effective Date at a pre-money valuation of Stowe equal to or greater than eighteen million dollars ($18,000,000); provided however up to three million dollars ($3,000,000) of such amount may be raised at a pre-money valuation that is less than eighteen million dollars ($18,000,000) as follows: the first four hundred thousand dollars ($400,000) at a pre-money valuation of at least eleven million seven hundred thousand dollars ($11,700,000) and up to an additional two million six hundred thousand dollars ($2,600,000) at a pre-money valuation of at least nine million dollars ($9,000,000).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Knowledge of TGV</w:t>
      </w:r>
      <w:r>
        <w:rPr>
          <w:rFonts w:ascii="Arial" w:cs="Arial" w:eastAsia="Arial" w:hAnsi="Arial"/>
          <w:sz w:val="17"/>
          <w:szCs w:val="17"/>
          <w:color w:val="auto"/>
        </w:rPr>
        <w:t>” or “</w:t>
      </w:r>
      <w:r>
        <w:rPr>
          <w:rFonts w:ascii="Arial" w:cs="Arial" w:eastAsia="Arial" w:hAnsi="Arial"/>
          <w:sz w:val="17"/>
          <w:szCs w:val="17"/>
          <w:u w:val="single" w:color="auto"/>
          <w:color w:val="auto"/>
        </w:rPr>
        <w:t>TGV’s Knowledge</w:t>
      </w:r>
      <w:r>
        <w:rPr>
          <w:rFonts w:ascii="Arial" w:cs="Arial" w:eastAsia="Arial" w:hAnsi="Arial"/>
          <w:sz w:val="17"/>
          <w:szCs w:val="17"/>
          <w:color w:val="auto"/>
        </w:rPr>
        <w:t>” means the actual knowledge of any director, officer, member or employee of TGV.</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Licensed IP Rights</w:t>
      </w:r>
      <w:r>
        <w:rPr>
          <w:rFonts w:ascii="Arial" w:cs="Arial" w:eastAsia="Arial" w:hAnsi="Arial"/>
          <w:sz w:val="18"/>
          <w:szCs w:val="18"/>
          <w:color w:val="auto"/>
        </w:rPr>
        <w:t>” means the Licensed Patent Rights, the Licensed Know-How Rights and all other intellectual property rights related to the Technology owned by, or licensed to (with the right to grant sublicenses), TGV or any of its Affiliates, whether existing as of the Effective Date or derived at any time after the Effective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8" w:name="page159"/>
    <w:bookmarkEnd w:id="158"/>
    <w:p>
      <w:pPr>
        <w:jc w:val="both"/>
        <w:ind w:firstLine="1297"/>
        <w:spacing w:after="0" w:line="342"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Licensed Know-How Rights</w:t>
      </w:r>
      <w:r>
        <w:rPr>
          <w:rFonts w:ascii="Arial" w:cs="Arial" w:eastAsia="Arial" w:hAnsi="Arial"/>
          <w:sz w:val="16"/>
          <w:szCs w:val="16"/>
          <w:color w:val="auto"/>
        </w:rPr>
        <w:t>” means all trade secret and other know-how rights related to the Technology owned by, or licensed to (with the right to grant sublicenses), TGV or any of its Affiliates, whether existing as of the Effective Date or derived at any time after the Effective Date.</w:t>
      </w:r>
    </w:p>
    <w:p>
      <w:pPr>
        <w:spacing w:after="0" w:line="12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u w:val="single" w:color="auto"/>
          <w:color w:val="auto"/>
        </w:rPr>
        <w:t>Licensed Patent Rights</w:t>
      </w:r>
      <w:r>
        <w:rPr>
          <w:rFonts w:ascii="Arial" w:cs="Arial" w:eastAsia="Arial" w:hAnsi="Arial"/>
          <w:sz w:val="16"/>
          <w:szCs w:val="16"/>
          <w:color w:val="auto"/>
        </w:rPr>
        <w:t>” means, collectively, (a) all patents and patent applications owned by, or licensed to (with the right to grant sublicenses), TGV or any of its Affiliates (including provisional patent applications) in any jurisdiction that claim or cover the Technology (whether existing on or any time after the Effective Date), including those listed on Exhibit A, together with all divisionals, continuations and continuations-in-part that claim priority to, or common priority with, the foregoing; (b) all patents issuing therefrom (including utility models and design patents and certificates of invention);</w:t>
      </w:r>
    </w:p>
    <w:p>
      <w:pPr>
        <w:spacing w:after="0" w:line="2" w:lineRule="exact"/>
        <w:rPr>
          <w:sz w:val="20"/>
          <w:szCs w:val="20"/>
          <w:color w:val="auto"/>
        </w:rPr>
      </w:pPr>
    </w:p>
    <w:p>
      <w:pPr>
        <w:jc w:val="both"/>
        <w:ind w:firstLine="8"/>
        <w:spacing w:after="0" w:line="255" w:lineRule="auto"/>
        <w:tabs>
          <w:tab w:leader="none" w:pos="2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9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Mul-1867</w:t>
      </w:r>
      <w:r>
        <w:rPr>
          <w:rFonts w:ascii="Arial" w:cs="Arial" w:eastAsia="Arial" w:hAnsi="Arial"/>
          <w:sz w:val="18"/>
          <w:szCs w:val="18"/>
          <w:color w:val="auto"/>
        </w:rPr>
        <w:t>” means the composition referred to by TGV as “Mul-1867” and is more specifically described in the patents and patent applications listed on Exhibit A, together with all modifications, improvements and components thereof, whether existing as of the Effective Date or derived after the Effective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NDA</w:t>
      </w:r>
      <w:r>
        <w:rPr>
          <w:rFonts w:ascii="Arial" w:cs="Arial" w:eastAsia="Arial" w:hAnsi="Arial"/>
          <w:sz w:val="17"/>
          <w:szCs w:val="17"/>
          <w:color w:val="auto"/>
        </w:rPr>
        <w:t>” means a New Drug Application submitted to the FDA for marketing approval of a Product for use in the Field of Use.</w:t>
      </w:r>
    </w:p>
    <w:p>
      <w:pPr>
        <w:spacing w:after="0" w:line="23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u w:val="single" w:color="auto"/>
          <w:color w:val="auto"/>
        </w:rPr>
        <w:t>Net Sales</w:t>
      </w:r>
      <w:r>
        <w:rPr>
          <w:rFonts w:ascii="Arial" w:cs="Arial" w:eastAsia="Arial" w:hAnsi="Arial"/>
          <w:sz w:val="16"/>
          <w:szCs w:val="16"/>
          <w:color w:val="auto"/>
        </w:rPr>
        <w:t>” means, with respect to any Product, the gross sales price of such Product invoiced by Stowe, its Sublicensees, and its and their respective Affiliates (collectively, the “Stowe Group”) to customers who are not Affiliates (or are Affiliates but are the end users of such Product), less:</w:t>
      </w:r>
    </w:p>
    <w:p>
      <w:pPr>
        <w:jc w:val="both"/>
        <w:ind w:firstLine="8"/>
        <w:spacing w:after="0" w:line="281" w:lineRule="auto"/>
        <w:tabs>
          <w:tab w:leader="none" w:pos="24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credits, allowances, discounts and rebates to, and chargebacks from the account of, such customers actually granted in the ordinary course of business; (b) freight and insurance costs in transporting Product in the ordinary course of business; (c) cash, quantity and trade discounts, rebates and other price reductions for Product; (d) sales, use, value-added and other direct Taxes if separately charged or invoiced (but not including Taxes based on the Stowe Group’s profits);</w:t>
      </w:r>
    </w:p>
    <w:p>
      <w:pPr>
        <w:spacing w:after="0" w:line="2" w:lineRule="exact"/>
        <w:rPr>
          <w:rFonts w:ascii="Arial" w:cs="Arial" w:eastAsia="Arial" w:hAnsi="Arial"/>
          <w:sz w:val="16"/>
          <w:szCs w:val="16"/>
          <w:color w:val="auto"/>
        </w:rPr>
      </w:pPr>
    </w:p>
    <w:p>
      <w:pPr>
        <w:jc w:val="both"/>
        <w:ind w:firstLine="8"/>
        <w:spacing w:after="0" w:line="273" w:lineRule="auto"/>
        <w:tabs>
          <w:tab w:leader="none" w:pos="24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customs duties, tariffs, surcharges and other governmental charges incurred in exporting or importing Product if separately invoiced; and (f) an allowance for uncollectible or bad debts determined in accordance with GAAP not to exceed three percent (3%) of Net Sales of such Product for the applicable quarterly reporting period prior to giving effect to this subsection (f). No deductions shall be made for commissions paid to individuals, whether they be with independent or affiliated sale agencies or regularly employed by the Stowe Group, and on its payroll, or for the cost of collections.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59" w:name="page160"/>
    <w:bookmarkEnd w:id="159"/>
    <w:p>
      <w:pPr>
        <w:jc w:val="both"/>
        <w:ind w:firstLine="1297"/>
        <w:spacing w:after="0" w:line="270"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Non-Royalty Sublicense Income</w:t>
      </w:r>
      <w:r>
        <w:rPr>
          <w:rFonts w:ascii="Arial" w:cs="Arial" w:eastAsia="Arial" w:hAnsi="Arial"/>
          <w:sz w:val="17"/>
          <w:szCs w:val="17"/>
          <w:color w:val="auto"/>
        </w:rPr>
        <w:t>” means the cash consideration amounts received by Stowe or its Affiliate from an Exclusive Sublicensee in consideration for the grant of an exclusive sublicense described in the first sentence of Section 4.7; provided, however, that Non-Royalty Sublicense Income excludes amounts received: (a) as bona fide reimbursement (i) for out of pocket costs incurred to prosecute and maintain the Licensed IP Rights or (ii) for fully-burdened costs incurred that are attributable to the research and/or development of the subject matter of the Licensed IP Rights and/or Products; (b) as bona fide loans (unless forgiven); (c) for securities sold to the Exclusive Sublicensee at fair market value; and (d) as running royalties (including any amounts paid based upon sales or profits from the sales of Product). To the extent that Non-Royalty Sublicense Income represents an unallocated combined payment for both a sublicense of Licensed IP Rights as well as other intellectual property, undertakings or subject matter, for purposes of calculating payments due to TGV, Non- Royalty Sublicense Income shall be reasonably allocated by mutual written agreement of the parties between the Licensed IP Rights and such other intellectual property, undertakings or subject matter, based on their relative value.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Ophthalmic Field</w:t>
      </w:r>
      <w:r>
        <w:rPr>
          <w:rFonts w:ascii="Arial" w:cs="Arial" w:eastAsia="Arial" w:hAnsi="Arial"/>
          <w:sz w:val="16"/>
          <w:szCs w:val="16"/>
          <w:color w:val="auto"/>
        </w:rPr>
        <w:t>” means the prevention, diagnosis or treatment of any ophthalmic or eye-related disease, state or condition (whether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acute or chronic).</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Otic Field</w:t>
      </w:r>
      <w:r>
        <w:rPr>
          <w:rFonts w:ascii="Arial" w:cs="Arial" w:eastAsia="Arial" w:hAnsi="Arial"/>
          <w:sz w:val="18"/>
          <w:szCs w:val="18"/>
          <w:color w:val="auto"/>
        </w:rPr>
        <w:t>” means the prevention, diagnosis or treatment of any otic or ear-related disease, state or condition (whether acute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chronic).</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means a human clinical trial conducted on a limited number of study subjects for the purpose of gaining evidence of the safety and tolerability of, and information regarding, pharmacokinetics and potential pharmacological activity for a product or compound, as described in 21 C.F.R. § 312.21(a).</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Phase II Clinical Trial</w:t>
      </w:r>
      <w:r>
        <w:rPr>
          <w:rFonts w:ascii="Arial" w:cs="Arial" w:eastAsia="Arial" w:hAnsi="Arial"/>
          <w:sz w:val="17"/>
          <w:szCs w:val="17"/>
          <w:color w:val="auto"/>
        </w:rPr>
        <w:t>” means a human clinical trial conducted on study subjects with the disease or condition being studied for the principal purpose of achieving a preliminary determination of efficacy or appropriate dosage ranges, as further described in 21 C.F.R. § 312.21(b).</w:t>
      </w:r>
    </w:p>
    <w:p>
      <w:pPr>
        <w:spacing w:after="0" w:line="14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 pivotal human clinical trial the results of which could be used to establish safety and efficacy of a product as a basis for an NDA or that would otherwise satisfy requirements of 21 CFR 312.21(c).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Product</w:t>
      </w:r>
      <w:r>
        <w:rPr>
          <w:rFonts w:ascii="Arial" w:cs="Arial" w:eastAsia="Arial" w:hAnsi="Arial"/>
          <w:sz w:val="18"/>
          <w:szCs w:val="18"/>
          <w:color w:val="auto"/>
        </w:rPr>
        <w:t>” means any product, in any form or formulation, comprising Mul-1867 that is useful in the Field of Use.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Respiratory Field</w:t>
      </w:r>
      <w:r>
        <w:rPr>
          <w:rFonts w:ascii="Arial" w:cs="Arial" w:eastAsia="Arial" w:hAnsi="Arial"/>
          <w:sz w:val="18"/>
          <w:szCs w:val="18"/>
          <w:color w:val="auto"/>
        </w:rPr>
        <w:t>” means the use of Mul-1867 to treat respiratory diseases including, but not limited to cystic fibrosis, or any use of Mul-1867 in an inhalation dosage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Stock Issuance Agreement</w:t>
      </w:r>
      <w:r>
        <w:rPr>
          <w:rFonts w:ascii="Arial" w:cs="Arial" w:eastAsia="Arial" w:hAnsi="Arial"/>
          <w:sz w:val="18"/>
          <w:szCs w:val="18"/>
          <w:color w:val="auto"/>
        </w:rPr>
        <w:t>” means the stock issuance agreement between the parties dated on the Effective Date.</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u w:val="single" w:color="auto"/>
          <w:color w:val="auto"/>
        </w:rPr>
        <w:t>Stowe Shares</w:t>
      </w:r>
      <w:r>
        <w:rPr>
          <w:rFonts w:ascii="Arial" w:cs="Arial" w:eastAsia="Arial" w:hAnsi="Arial"/>
          <w:sz w:val="16"/>
          <w:szCs w:val="16"/>
          <w:color w:val="auto"/>
        </w:rPr>
        <w:t>” means the combined shares of common stock of Stowe issued to TGV-H or TGV-O pursuant to, and on the terms of, the Stock Issuance Agreement, and the shares of common stock of Stowe issued to Zvi Ben-Zvi on the same date as the Stock Issuance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0" w:name="page161"/>
    <w:bookmarkEnd w:id="160"/>
    <w:p>
      <w:pPr>
        <w:jc w:val="both"/>
        <w:ind w:right="20" w:firstLine="1297"/>
        <w:spacing w:after="0" w:line="342" w:lineRule="auto"/>
        <w:rPr>
          <w:sz w:val="20"/>
          <w:szCs w:val="20"/>
          <w:color w:val="auto"/>
        </w:rPr>
      </w:pPr>
      <w:r>
        <w:rPr>
          <w:rFonts w:ascii="Arial" w:cs="Arial" w:eastAsia="Arial" w:hAnsi="Arial"/>
          <w:sz w:val="16"/>
          <w:szCs w:val="16"/>
          <w:color w:val="auto"/>
        </w:rPr>
        <w:t>1.39 “</w:t>
      </w:r>
      <w:r>
        <w:rPr>
          <w:rFonts w:ascii="Arial" w:cs="Arial" w:eastAsia="Arial" w:hAnsi="Arial"/>
          <w:sz w:val="16"/>
          <w:szCs w:val="16"/>
          <w:u w:val="single" w:color="auto"/>
          <w:color w:val="auto"/>
        </w:rPr>
        <w:t>Sublicensee</w:t>
      </w:r>
      <w:r>
        <w:rPr>
          <w:rFonts w:ascii="Arial" w:cs="Arial" w:eastAsia="Arial" w:hAnsi="Arial"/>
          <w:sz w:val="16"/>
          <w:szCs w:val="16"/>
          <w:color w:val="auto"/>
        </w:rPr>
        <w:t>” means a Third Party to whom Stowe or its Affiliate has granted a sublicense, immunity or other right under the Licensed Patent Rights to offer to sell, sell or otherwise commercialize one or more Products, provided such sublicense has not expired or been terminated.</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Successful Completion</w:t>
      </w:r>
      <w:r>
        <w:rPr>
          <w:rFonts w:ascii="Arial" w:cs="Arial" w:eastAsia="Arial" w:hAnsi="Arial"/>
          <w:sz w:val="18"/>
          <w:szCs w:val="18"/>
          <w:color w:val="auto"/>
        </w:rPr>
        <w:t>” means, with respect to a clinical trial for a Product for the treatment of an indication, completion of all patient enrollment, treatment and testing for such clinical trial in accordance with its applicable processes and delivery to the sponsor of the final report(s) for such clinical trial, where the results of such clinical trial are reasonably determined by the sponsor to be sufficient to progress such Product for the next phase of clinical testing in humans for such indication.</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and foreign taxes, assessments and other governmental charges, duties, impositions and liabilities that are specific to the sale of the Products, including taxes based upon or measured by gross receipts, income, profits, sales, use and occupation, and value added, ad valorem, transfer, franchise, and property taxes together with all interest, penalties and additions imposed with respect to such amounts.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Technology</w:t>
      </w:r>
      <w:r>
        <w:rPr>
          <w:rFonts w:ascii="Arial" w:cs="Arial" w:eastAsia="Arial" w:hAnsi="Arial"/>
          <w:sz w:val="18"/>
          <w:szCs w:val="18"/>
          <w:color w:val="auto"/>
        </w:rPr>
        <w:t>” means Mul-1867 and Product, together with all compositions, components and formulations thereof and all uses and methods of manufacture of the foregoing, whether existing as of the Effective Date or derived at any time after the Effective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Stowe, TGV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Valid Claim</w:t>
      </w:r>
      <w:r>
        <w:rPr>
          <w:rFonts w:ascii="Arial" w:cs="Arial" w:eastAsia="Arial" w:hAnsi="Arial"/>
          <w:sz w:val="16"/>
          <w:szCs w:val="16"/>
          <w:color w:val="auto"/>
        </w:rPr>
        <w:t>” means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jc w:val="both"/>
        <w:ind w:right="20" w:firstLine="8"/>
        <w:spacing w:after="0" w:line="255" w:lineRule="auto"/>
        <w:tabs>
          <w:tab w:leader="none" w:pos="2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Licensed Patent Rights, which claim was filed in good faith, has not been pending for more than ten (10) years from the filing date from which such claim takes priority and has not been abandoned or finally disallowed without the possibility of appeal or refiling of such application.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Wound Field</w:t>
      </w:r>
      <w:r>
        <w:rPr>
          <w:rFonts w:ascii="Arial" w:cs="Arial" w:eastAsia="Arial" w:hAnsi="Arial"/>
          <w:sz w:val="18"/>
          <w:szCs w:val="18"/>
          <w:color w:val="auto"/>
        </w:rPr>
        <w:t>” means the treatment of, break or injury of the soft tissue and the skin.</w:t>
      </w:r>
    </w:p>
    <w:p>
      <w:pPr>
        <w:spacing w:after="0" w:line="225" w:lineRule="exact"/>
        <w:rPr>
          <w:sz w:val="20"/>
          <w:szCs w:val="20"/>
          <w:color w:val="auto"/>
        </w:rPr>
      </w:pPr>
    </w:p>
    <w:p>
      <w:pPr>
        <w:ind w:left="840" w:hanging="18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1" w:name="page162"/>
    <w:bookmarkEnd w:id="161"/>
    <w:p>
      <w:pPr>
        <w:jc w:val="both"/>
        <w:ind w:firstLine="1945"/>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and will not conflict with or violate any requirement of applicable laws, regulations or orders of governmental bodies; and (b) do not and will not conflict with, or constitute a default under, any contractual obligation of such party.</w:t>
      </w:r>
    </w:p>
    <w:p>
      <w:pPr>
        <w:spacing w:after="0" w:line="18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TGV Representations and Warranties</w:t>
      </w:r>
      <w:r>
        <w:rPr>
          <w:rFonts w:ascii="Arial" w:cs="Arial" w:eastAsia="Arial" w:hAnsi="Arial"/>
          <w:sz w:val="16"/>
          <w:szCs w:val="16"/>
          <w:color w:val="auto"/>
        </w:rPr>
        <w:t>. TGV hereby represents, warrants and covenants to Stowe as follows: (a) TGV-H is the sole owner of the Licensed IP Rights; (b) TGV has the right to grant the licenses and other rights purported to be granted herein and has not granted to any Third Party any license or other interest in the Licensed IP Rights within the Field of Use; (c) neither TGV-O nor TGV-H shall transfer, convey or assign any of the Licensed IP Rights useful within the Field of Use to any Person unless such Person agrees in writing to the applicable terms and conditions of this Agreement; (d) TGV shall promptly notify Stowe in writing of any transfer, conveyance or assignment of any of the Licensed IP Rights; (e) to the best of each of TGV-H’s and TGV-O’s respective knowledge, neither TGV-H nor TGV-O is aware of any Third Party patent, patent application or other intellectual property rights that would be infringed (i) by practicing any process or method or by making, using or selling any composition which is claimed or disclosed in the Licensed Patent Rights or which constitutes Licensed Know-How Rights within the Field of Use, or (ii) by making, using or selling Product in the Field of Use; (f) neither TGV-H nor TGV-O is aware of any infringement or misappropriation by a Third Party of any Licensed IP Rights within the Field of Use;</w:t>
      </w:r>
    </w:p>
    <w:p>
      <w:pPr>
        <w:spacing w:after="0" w:line="7" w:lineRule="exact"/>
        <w:rPr>
          <w:sz w:val="20"/>
          <w:szCs w:val="20"/>
          <w:color w:val="auto"/>
        </w:rPr>
      </w:pPr>
    </w:p>
    <w:p>
      <w:pPr>
        <w:jc w:val="both"/>
        <w:ind w:firstLine="8"/>
        <w:spacing w:after="0" w:line="253" w:lineRule="auto"/>
        <w:tabs>
          <w:tab w:leader="none" w:pos="27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data and information provided by TGV hereunder shall be complete and accurate; and (h) all personnel (employees, consultants, contractors, etc.) involved in the research, development or commercialization of the Technology have entered into, or prior to commencing such involvement, will enter into, valid and enforceable intellectual property assignment agreements with TGV related to the Technology, and, to the extent ownership does not vest originally in TGV by operation of law, such personnel irrevocably assign to TGV all of their respective right, title and interest in and to the Technology, all associated records, and all intellectual property rights in and to the foregoing.</w:t>
      </w:r>
    </w:p>
    <w:p>
      <w:pPr>
        <w:spacing w:after="0" w:line="19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Stowe Warranties</w:t>
      </w:r>
      <w:r>
        <w:rPr>
          <w:rFonts w:ascii="Arial" w:cs="Arial" w:eastAsia="Arial" w:hAnsi="Arial"/>
          <w:sz w:val="18"/>
          <w:szCs w:val="18"/>
          <w:color w:val="auto"/>
        </w:rPr>
        <w:t>. Stowe warrants that it shall undertake its development (i.e., research, clinical and regulatory) and commercialization (i.e., manufacturing, distribution and marketing) obligations in compliance with all applicable laws and regulations (including but not limited to, and to the extent applicable, the Act and the Drug Supply Chain Security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2" w:name="page163"/>
    <w:bookmarkEnd w:id="162"/>
    <w:p>
      <w:pPr>
        <w:ind w:left="840" w:hanging="184"/>
        <w:spacing w:after="0"/>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License Grant/Obligations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License to Stowe</w:t>
      </w:r>
      <w:r>
        <w:rPr>
          <w:rFonts w:ascii="Arial" w:cs="Arial" w:eastAsia="Arial" w:hAnsi="Arial"/>
          <w:sz w:val="16"/>
          <w:szCs w:val="16"/>
          <w:color w:val="auto"/>
        </w:rPr>
        <w:t>. Subject to the terms and conditions of this Agreement, and subject to Stowe’s achievement of the Initial Capital Investment , TGV hereby grants to Stowe an exclusive (including with respect to TGV), non-transferable (except in connection with a permitted assignment of this Agreement), worldwide license under the Licensed IP Rights to develop, make, have made, use, offer for sale, sell and import Products for use in the Field of Use. Stowe shall have the right to grant sublicenses within the Field of Use, through multiple tiers, to Third Parties and Affiliates.</w:t>
      </w:r>
    </w:p>
    <w:p>
      <w:pPr>
        <w:spacing w:after="0" w:line="15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Availability of Technology and Licensed IP Rights</w:t>
      </w:r>
      <w:r>
        <w:rPr>
          <w:rFonts w:ascii="Arial" w:cs="Arial" w:eastAsia="Arial" w:hAnsi="Arial"/>
          <w:sz w:val="16"/>
          <w:szCs w:val="16"/>
          <w:color w:val="auto"/>
        </w:rPr>
        <w:t>. TGV shall provide Stowe (and its permitted designees) with a copy of all data and information available to TGV relating to the Technology and/or Licensed IP Rights. TGV shall provide Stowe, free of charge, based on TGV’s current knowledge, such technical assistance as may be reasonably necessary or useful for Stowe to exploit such data and information, including without limitation</w:t>
      </w:r>
    </w:p>
    <w:p>
      <w:pPr>
        <w:jc w:val="both"/>
        <w:ind w:firstLine="8"/>
        <w:spacing w:after="0" w:line="255" w:lineRule="auto"/>
        <w:tabs>
          <w:tab w:leader="none" w:pos="2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consulting services reasonably necessary to transfer the Mul-1867 molecule chemistry to an active pharmaceutical ingredient manufacturing entity and (b) consulting services reasonably necessary to transfer the formulation of a Mul-1867 topical formulation used to produce the pre-clinical data for Mul-1867 in the Field of Use.</w:t>
      </w:r>
    </w:p>
    <w:p>
      <w:pPr>
        <w:spacing w:after="0" w:line="19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Technical Assistance</w:t>
      </w:r>
      <w:r>
        <w:rPr>
          <w:rFonts w:ascii="Arial" w:cs="Arial" w:eastAsia="Arial" w:hAnsi="Arial"/>
          <w:sz w:val="17"/>
          <w:szCs w:val="17"/>
          <w:color w:val="auto"/>
        </w:rPr>
        <w:t>. During the term of this Agreement and in addition to the technical assistance described in Section 3.2, TGV shall provide such technical assistance to Stowe as Stowe reasonably requests regarding the Technology and/or Licensed IP Rights pursuant to and on the terms of a separate consulting agreement between Stowe and either TGV, Victor Tets and/or Georgy Tets (the “Consulting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Improvement Patent Rights</w:t>
      </w:r>
      <w:r>
        <w:rPr>
          <w:rFonts w:ascii="Arial" w:cs="Arial" w:eastAsia="Arial" w:hAnsi="Arial"/>
          <w:sz w:val="18"/>
          <w:szCs w:val="18"/>
          <w:color w:val="auto"/>
        </w:rPr>
        <w:t>. Subject to the terms and conditions of this Agreement, Stowe hereby grants to TGV a non-exclusive, worldwide, perpetual license under the Improvement Patent Rights for all uses other than to develop, make, have made, use, offer for sale, sell and import Products within the Field of Use. TGV shall have the right to grant sublicenses outside of the Field of Use, through multiple tiers, to other licensees (whether Third Parties or Affiliates) of the Licensed Patent Rights. The foregoing license is conditioned on TGV obtaining similar grantback licenses (together with the right to sublicense to Stowe) from any and all Affiliates and Third Parties (together with their respective sublicensees and their sublicensees’ respective Affiliates) that enter into an agreement with TGV for rights under the Licensed Patent Rights or to develop and commercialize products comprising Mul-1867, and if TGV fails to obtain all such grantback licenses, then the foregoing license (together with any sublicenses granted by TGV) shall be void.</w:t>
      </w:r>
    </w:p>
    <w:p>
      <w:pPr>
        <w:spacing w:after="0" w:line="192"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7"/>
          <w:szCs w:val="17"/>
          <w:color w:val="auto"/>
        </w:rPr>
        <w:t xml:space="preserve">3.4.2 </w:t>
      </w:r>
      <w:r>
        <w:rPr>
          <w:rFonts w:ascii="Arial" w:cs="Arial" w:eastAsia="Arial" w:hAnsi="Arial"/>
          <w:sz w:val="17"/>
          <w:szCs w:val="17"/>
          <w:u w:val="single" w:color="auto"/>
          <w:color w:val="auto"/>
        </w:rPr>
        <w:t>Improvement Data</w:t>
      </w:r>
      <w:r>
        <w:rPr>
          <w:rFonts w:ascii="Arial" w:cs="Arial" w:eastAsia="Arial" w:hAnsi="Arial"/>
          <w:sz w:val="17"/>
          <w:szCs w:val="17"/>
          <w:color w:val="auto"/>
        </w:rPr>
        <w:t>. Subject to the terms and conditions of this Agreement, subject to the payment provisions of this Section 3.4.2, Stowe hereby grants to TGV a non-exclusive, worldwide, perpetual license to use and incorporate Improvement Data solely into an IND for development of products comprising Mul-1867 outside of the Field of Use. TGV shall have the right to grant sublicenses to other licensees (whether Third Parties or Affiliates) of the Licensed Patent Rights. TGV shall provide prompt written notice to Stowe of any decision to incorporate such Improvement Data into any such IND (whether by TGV, an Affiliate of TGV or any Third Party). Thereafter, Stowe shall provide TGV with a statement of its to-date Development Costs, and TGV shall pay Stowe an amount equal to fifty percent (50%) thereof within fifty (50) days after initiating a Phase III Clinical Trial (by administering product to a first human subject) under such IND outside the Field of Use.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3" w:name="page164"/>
    <w:bookmarkEnd w:id="163"/>
    <w:p>
      <w:pPr>
        <w:jc w:val="both"/>
        <w:ind w:firstLine="1297"/>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Stowe Diligence</w:t>
      </w:r>
      <w:r>
        <w:rPr>
          <w:rFonts w:ascii="Arial" w:cs="Arial" w:eastAsia="Arial" w:hAnsi="Arial"/>
          <w:sz w:val="18"/>
          <w:szCs w:val="18"/>
          <w:color w:val="auto"/>
        </w:rPr>
        <w:t>. Stowe shall use Commercially Reasonable Efforts (whether alone or with or through its Sublicensees and its or their respective Affiliates) to research, develop and commercialize one or more Products in the United States at all times during the Diligence Period for such Product. In addition, the parties shall meet and confer, either in person or by teleconference or videoconference, quarterly to discuss the development and commercialization of Product. Subject to the terms and conditions of this Agreement, Stowe shall not prohibit any contract manufacturing organization that it engages to produce an active pharmaceutical ingredient of Mul-1867 for a Product (“CMO”) from being similarly engaged by TGV for production of an active pharmaceutical ingredient of Mul-1867 for a product (other than a Product), subject to the confidentiality and other terms between Stowe and such CMO.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Allocation of Responsibilities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 xml:space="preserve">3.7.1 </w:t>
      </w:r>
      <w:r>
        <w:rPr>
          <w:rFonts w:ascii="Arial" w:cs="Arial" w:eastAsia="Arial" w:hAnsi="Arial"/>
          <w:sz w:val="17"/>
          <w:szCs w:val="17"/>
          <w:u w:val="single" w:color="auto"/>
          <w:color w:val="auto"/>
        </w:rPr>
        <w:t>Product Development</w:t>
      </w:r>
      <w:r>
        <w:rPr>
          <w:rFonts w:ascii="Arial" w:cs="Arial" w:eastAsia="Arial" w:hAnsi="Arial"/>
          <w:sz w:val="17"/>
          <w:szCs w:val="17"/>
          <w:color w:val="auto"/>
        </w:rPr>
        <w:t>. As between the parties, Stowe shall be solely responsible, including financially responsible, for developing a Product suitable for submission as an IND within the Field of Use. TGV will provide technical assistance as set forth in Section 3.3 above.</w:t>
      </w:r>
    </w:p>
    <w:p>
      <w:pPr>
        <w:spacing w:after="0" w:line="14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Pre-Clinical and Clinical Responsibility</w:t>
      </w:r>
      <w:r>
        <w:rPr>
          <w:rFonts w:ascii="Arial" w:cs="Arial" w:eastAsia="Arial" w:hAnsi="Arial"/>
          <w:sz w:val="18"/>
          <w:szCs w:val="18"/>
          <w:color w:val="auto"/>
        </w:rPr>
        <w:t>. As between the parties, Stowe shall be solely responsible, including financially responsible, for conducting the pre- clinical IND studies, Phase I Clinical Trials, Phase II Clinical Trials and Phase III Clinical Trials, in each case, for Product within the Field of Use.</w:t>
      </w:r>
    </w:p>
    <w:p>
      <w:pPr>
        <w:spacing w:after="0" w:line="181"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Regulatory Responsibility</w:t>
      </w:r>
      <w:r>
        <w:rPr>
          <w:rFonts w:ascii="Arial" w:cs="Arial" w:eastAsia="Arial" w:hAnsi="Arial"/>
          <w:sz w:val="17"/>
          <w:szCs w:val="17"/>
          <w:color w:val="auto"/>
        </w:rPr>
        <w:t>. As between the parties, Stowe shall be solely responsible for all regulatory filings and all costs associated with regulatory responsibilities for Product within the Field of Use, including preparation of the regulatory filings, the application filing fees for the IND and NDA (and foreign regulatory filings), site facility fees and periodic updates as is required by the relevant regulatory authority. In addition, as between the parties, Stowe shall be solely responsible for the handling of all post approval matters including adverse events and pharmacovigilance matters to the extent solely related to Product within the Field of Use. Upon either party’s request, the parties shall negotiate and enter into a pharmacovigilance agreement regarding Mul-1867 consistent with industry practices, and TGV shall require all other licensees of rights to develop and commercialize products comprising Mul-1867 to enter into substantially similar pharmacovigilance agreements.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4" w:name="page165"/>
    <w:bookmarkEnd w:id="164"/>
    <w:p>
      <w:pPr>
        <w:jc w:val="both"/>
        <w:ind w:firstLine="1945"/>
        <w:spacing w:after="0" w:line="257" w:lineRule="auto"/>
        <w:rPr>
          <w:sz w:val="20"/>
          <w:szCs w:val="20"/>
          <w:color w:val="auto"/>
        </w:rPr>
      </w:pPr>
      <w:r>
        <w:rPr>
          <w:rFonts w:ascii="Arial" w:cs="Arial" w:eastAsia="Arial" w:hAnsi="Arial"/>
          <w:sz w:val="18"/>
          <w:szCs w:val="18"/>
          <w:color w:val="auto"/>
        </w:rPr>
        <w:t xml:space="preserve">3.7.4 </w:t>
      </w:r>
      <w:r>
        <w:rPr>
          <w:rFonts w:ascii="Arial" w:cs="Arial" w:eastAsia="Arial" w:hAnsi="Arial"/>
          <w:sz w:val="18"/>
          <w:szCs w:val="18"/>
          <w:u w:val="single" w:color="auto"/>
          <w:color w:val="auto"/>
        </w:rPr>
        <w:t>Manufacturing</w:t>
      </w:r>
      <w:r>
        <w:rPr>
          <w:rFonts w:ascii="Arial" w:cs="Arial" w:eastAsia="Arial" w:hAnsi="Arial"/>
          <w:sz w:val="18"/>
          <w:szCs w:val="18"/>
          <w:color w:val="auto"/>
        </w:rPr>
        <w:t>. As between the parties, Stowe shall be solely responsible for the manufacturing of the Products for use within the Field of Use, including qualification of the active pharmaceutical ingredient, the manufacturing facility, all associated methods and testing required for release, manufacturing, packaging and tracking of the Products for use within the Field of Use. Products released by Stowe shall not be adulterated or misbranded within the meaning of the Act and, as between the parties, Stowe shall be solely responsible for handling any recalls of Product released by Stowe.</w:t>
      </w:r>
    </w:p>
    <w:p>
      <w:pPr>
        <w:spacing w:after="0" w:line="18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3.7.5 </w:t>
      </w:r>
      <w:r>
        <w:rPr>
          <w:rFonts w:ascii="Arial" w:cs="Arial" w:eastAsia="Arial" w:hAnsi="Arial"/>
          <w:sz w:val="18"/>
          <w:szCs w:val="18"/>
          <w:u w:val="single" w:color="auto"/>
          <w:color w:val="auto"/>
        </w:rPr>
        <w:t>Marketing and Distribution</w:t>
      </w:r>
      <w:r>
        <w:rPr>
          <w:rFonts w:ascii="Arial" w:cs="Arial" w:eastAsia="Arial" w:hAnsi="Arial"/>
          <w:sz w:val="18"/>
          <w:szCs w:val="18"/>
          <w:color w:val="auto"/>
        </w:rPr>
        <w:t>. As between the parties, Stowe shall be solely responsible for distribution, marketing and promotion of the Products within the Field of Use. Stowe shall have sole discretion on determining the selling price of the Products within the Field of Use. All promotion of the Products shall strictly be within the Field of Use.</w:t>
      </w:r>
    </w:p>
    <w:p>
      <w:pPr>
        <w:spacing w:after="0" w:line="181" w:lineRule="exact"/>
        <w:rPr>
          <w:sz w:val="20"/>
          <w:szCs w:val="20"/>
          <w:color w:val="auto"/>
        </w:rPr>
      </w:pPr>
    </w:p>
    <w:p>
      <w:pPr>
        <w:ind w:left="840" w:hanging="184"/>
        <w:spacing w:after="0"/>
        <w:tabs>
          <w:tab w:leader="none" w:pos="8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Issuance</w:t>
      </w:r>
      <w:r>
        <w:rPr>
          <w:rFonts w:ascii="Arial" w:cs="Arial" w:eastAsia="Arial" w:hAnsi="Arial"/>
          <w:sz w:val="18"/>
          <w:szCs w:val="18"/>
          <w:color w:val="auto"/>
        </w:rPr>
        <w:t>. On the Effective Date, Stowe shall issue to TGV certain shares of common stock of Stowe pursuant to, and on the terms and conditions of, the Stock Issuance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Milestone Payments</w:t>
      </w:r>
      <w:r>
        <w:rPr>
          <w:rFonts w:ascii="Arial" w:cs="Arial" w:eastAsia="Arial" w:hAnsi="Arial"/>
          <w:sz w:val="18"/>
          <w:szCs w:val="18"/>
          <w:color w:val="auto"/>
        </w:rPr>
        <w:t>. Within the dates as set forth in the below table, following the first achievement of each of the following milestone events, Stowe shall give written notice thereof to TGV and shall pay to TGV the corresponding non-refundable and noncreditable one-time milestone payments: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18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Milestone Event</w:t>
            </w:r>
          </w:p>
        </w:tc>
        <w:tc>
          <w:tcPr>
            <w:tcW w:w="2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Milestone Payment</w:t>
            </w:r>
          </w:p>
        </w:tc>
        <w:tc>
          <w:tcPr>
            <w:tcW w:w="2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Payment Date</w:t>
            </w:r>
          </w:p>
        </w:tc>
      </w:tr>
      <w:tr>
        <w:trPr>
          <w:trHeight w:val="202"/>
        </w:trPr>
        <w:tc>
          <w:tcPr>
            <w:tcW w:w="6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$170,000 (for</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Within thirty</w:t>
            </w:r>
          </w:p>
        </w:tc>
      </w:tr>
      <w:tr>
        <w:trPr>
          <w:trHeight w:val="216"/>
        </w:trPr>
        <w:tc>
          <w:tcPr>
            <w:tcW w:w="6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reimbursement of patent</w:t>
            </w:r>
          </w:p>
        </w:tc>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(30) days of the Effective</w:t>
            </w:r>
          </w:p>
        </w:tc>
      </w:t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2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Date</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w w:val="95"/>
              </w:rPr>
              <w:t>Completion of enrollment of subjects for the first Phase I Clinical Trial intended to</w:t>
            </w: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w w:val="91"/>
              </w:rPr>
              <w:t>support a Product in the Ophthalmic Field of Use by Stowe, a Sublicensee, or one of</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Within fifty (50) days of</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their respective Affiliates</w:t>
            </w: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rPr>
              <w:t>$400,000</w:t>
            </w: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achievement</w:t>
            </w:r>
          </w:p>
        </w:tc>
      </w:tr>
    </w:tbl>
    <w:p>
      <w:pPr>
        <w:spacing w:after="0" w:line="22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Royalty</w:t>
      </w:r>
      <w:r>
        <w:rPr>
          <w:rFonts w:ascii="Arial" w:cs="Arial" w:eastAsia="Arial" w:hAnsi="Arial"/>
          <w:sz w:val="17"/>
          <w:szCs w:val="17"/>
          <w:color w:val="auto"/>
        </w:rPr>
        <w:t>. Subject to the terms and conditions of this Agreement, on a Product-by-Product and country-by-country basis, Stowe shall pay to TGV, on a quarterly basis, a royalty of three percent (3%) of Net Sales of any Product during the term of this Agreement (the “Royalty”); provided, however, that if the manufacture, use, offer for sale, sale, or import of a particular Product in a particular country would not infringe a Valid Claim (if such Valid Claim were in an issued patent and not licensed to Stowe) or is not subject to a period of regulatory exclusivity, or if the Product is subject to generic competition (i.e., same active ingredient, same dosage form, same strength and same indication) in such particularly country then the applicable Royalty with respect to such Product in such country shall be reduced by one-half (½) to one and one half percent (1½%) of Net Sales.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5" w:name="page166"/>
    <w:bookmarkEnd w:id="165"/>
    <w:p>
      <w:pPr>
        <w:jc w:val="both"/>
        <w:ind w:firstLine="1297"/>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Royalty Reports and Payments</w:t>
      </w:r>
      <w:r>
        <w:rPr>
          <w:rFonts w:ascii="Arial" w:cs="Arial" w:eastAsia="Arial" w:hAnsi="Arial"/>
          <w:sz w:val="16"/>
          <w:szCs w:val="16"/>
          <w:color w:val="auto"/>
        </w:rPr>
        <w:t xml:space="preserve">. Within thirty (30) days after the end of each calendar quarter during the term of this Agreement, or, after the earlier of (i) the first sale of common stock of Stowe to the general public pursuant to a registration statement filed with and declared effective by the Securities and Exchange Commission under the Securities Act of 1933 (as amended) and (ii) Stowe first becoming subject to the reporting obligations under the Securities and Exchange Act of 1934 (as amended), within forty-five (45) days after the end of each calendar quarter during the term of this Agreement, Stowe shall deliver to TGV a report setting forth for such calendar quarter (a) the calculation of the applicable Royalty; (b) the payments due under this Agreement for the sale of each Product; and (c) the applicable exchange rate as determined below. Stowe shall remit the total payments due for the sale of Products during such calendar quarter at the time such report is made. No such reports or payments shall be due for any Product prior to the First Commercial Sale of such Product. With respect to Net Sales received in United States dollars, all amounts shall be expressed in United States dollars. With respect to Net Sales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Western Edition, under the heading “Currency Trading” on the last business day of each month during the applicable calendar quarter. All amounts paid to TGV shall be in United States dollars.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Payment Terms</w:t>
      </w:r>
      <w:r>
        <w:rPr>
          <w:rFonts w:ascii="Arial" w:cs="Arial" w:eastAsia="Arial" w:hAnsi="Arial"/>
          <w:sz w:val="18"/>
          <w:szCs w:val="18"/>
          <w:color w:val="auto"/>
        </w:rPr>
        <w:t>. The Royalty shown to have accrued by each report provided for under Section 4.4 shall be due on the date such report is due. Payment of the Royalty in whole or in part may be made in advance of such due date.</w:t>
      </w:r>
    </w:p>
    <w:p>
      <w:pPr>
        <w:spacing w:after="0" w:line="170"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4.5.2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of the Royalty with respect to any country in which a Product is sold, Stowe shall have the right, in its sole discretion, to make such payments by depositing the amount thereof in local currency to TGV’s account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spacing w:after="0" w:line="18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4.5.3 </w:t>
      </w:r>
      <w:r>
        <w:rPr>
          <w:rFonts w:ascii="Arial" w:cs="Arial" w:eastAsia="Arial" w:hAnsi="Arial"/>
          <w:sz w:val="18"/>
          <w:szCs w:val="18"/>
          <w:u w:val="single" w:color="auto"/>
          <w:color w:val="auto"/>
        </w:rPr>
        <w:t>Withholding Taxes</w:t>
      </w:r>
      <w:r>
        <w:rPr>
          <w:rFonts w:ascii="Arial" w:cs="Arial" w:eastAsia="Arial" w:hAnsi="Arial"/>
          <w:sz w:val="18"/>
          <w:szCs w:val="18"/>
          <w:color w:val="auto"/>
        </w:rPr>
        <w:t>. Stowe shall be entitled to deduct the amount of any withholding Taxes, value-added Taxes or other Taxes, levies or charges with respect to such amounts, other than United States taxes, payable by Stowe, its Sublicensees or its or their respective Affiliates, or any Taxes required to be withheld by Stowe, its Sublicensees or its or their respective Affiliates, to the extent Stowe, its Sublicensees or its or their respective Affiliates pay to the appropriate governmental authority on behalf of TGV such Taxes, levies or charges. Stowe shall use reasonable efforts to minimize any such Taxes, levies or charges required to be withheld on behalf of TGV by Stowe, its Sublicensees or its or their respective Affiliates. Stowe promptly shall deliver to TGV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6" w:name="page167"/>
    <w:bookmarkEnd w:id="166"/>
    <w:p>
      <w:pPr>
        <w:jc w:val="both"/>
        <w:ind w:firstLine="1297"/>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Audits</w:t>
      </w:r>
      <w:r>
        <w:rPr>
          <w:rFonts w:ascii="Arial" w:cs="Arial" w:eastAsia="Arial" w:hAnsi="Arial"/>
          <w:sz w:val="16"/>
          <w:szCs w:val="16"/>
          <w:color w:val="auto"/>
        </w:rPr>
        <w:t>. Upon the written request of TGV and not more than once in each calendar year except if a prior audit in such calendar year revealed an Underpayment (as defined below), Stowe shall permit an independent certified public accounting firm of nationally recognized standing selected by TGV and reasonably acceptable to Stowe, at TGV’s expense, to have access during normal business hours to such of the financial records of Stowe as may be reasonably necessary to verify the accuracy of the Royalty reports hereunder for the eight (8) calendar quarters immediately prior to the date of such request (other than records for which TGV has already conducted an audit under this Section), which shall include, but not be limited to, review of fair market value calculations of bundled products,. If such accounting firm concludes that additional amounts were owed during the audited period, Stowe shall pay such additional amounts within thirty (30) days after the date TGV delivers to Stowe such accounting firm’s written report so concluding. The fees charged by such accounting firm shall be paid by TGV; provided, however, if the audit discloses that the Royalty payable by Stowe for such period is more than one hundred ten percent (110%) of the Royalty actually paid for such period (an “Underpayment”), then Stowe shall pay the reasonable fees and expenses charged by such accounting firm. TGV shall cause its accounting firm to retain all financial information subject to review under this Section 4.6 in strict confidence; provided, however, that Stowe shall have the right to require that such accounting firm, prior to conducting such audit, enter into an appropriate non-disclosure agreement with Stowe regarding such financial information. The accounting firm shall disclose to TGV only whether the reports are correct or not and the amount of any discrepancy. No other information shall be shared. TGV shall treat all such financial information as Stowe’s confidential information, and shall not disclose such financial information to any Third Party or use it for any purpose other than as specified in this Section 4.6.</w:t>
      </w:r>
    </w:p>
    <w:p>
      <w:pPr>
        <w:spacing w:after="0" w:line="17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Non-Royalty Sublicense Income</w:t>
      </w:r>
      <w:r>
        <w:rPr>
          <w:rFonts w:ascii="Arial" w:cs="Arial" w:eastAsia="Arial" w:hAnsi="Arial"/>
          <w:sz w:val="16"/>
          <w:szCs w:val="16"/>
          <w:color w:val="auto"/>
        </w:rPr>
        <w:t>. If Stowe enters into any agreement with a Third Party that includes a worldwide, exclusive (including with respect to Stowe) sublicense (“Worldwide Sublicense”) under all or substantially all of the Licensed IP Rights to develop, make, have made, use, offer for sale, sell and import all Products for use in the Field of Use, Stowe shall give prompt written notice to TGV thereof. Within thirty (30) days after receipt of such written notice from Stowe, TGV shall have the right, at its option but only in the event permitted by applicable law or regulation, to exchange the Stowe Shares for an additional sublicense royalty stream as set forth below by giving express written notice to Stowe thereof. If TGV timely exercises its such option as set forth above, then (a) within ten (10) days after the date of such notice, TGV shall duly convey, transfer and assign to Stowe all right, title and interest in and to shares of common stock of Stowe equal to the number of the Stowe Shares (together with any and all new, substituted or additional securities issued in respect of the Stowe Shares upon any stock split, stock dividend, recapitalization, merger, consolidation or similar events), free and clear of all encumbrances, liens and claims, including by duly executing and delivery such assignments and other instruments and agreements as reasonably requested by Stowe, and (b) Stowe shall, within fifty (50) days after the receipt of any Non-Royalty Sublicense Income, provide written notice thereof to TGV and remit to TGV an amount equal to the Applicable Percentage multiplied by such Non-Royalty Sublicense Income. For purposes of this Section 4.7, the term “Worldwide Sublicense” shall mean an exclusive sublicense or series of exclusive sublicenses executed on the same date with the same Third Party where the United States is included within the sublicensed territory. TGV shall have the right to audit the records of Stowe to confirm the accuracy of the amount of the Non-Royalty Sublicense Income pursuant to the terms of Section 4.6.</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7" w:name="page168"/>
    <w:bookmarkEnd w:id="167"/>
    <w:p>
      <w:pPr>
        <w:ind w:left="130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Option to the Otic Field</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color w:val="auto"/>
        </w:rPr>
        <w:t xml:space="preserve">4.8.1 </w:t>
      </w:r>
      <w:r>
        <w:rPr>
          <w:rFonts w:ascii="Arial" w:cs="Arial" w:eastAsia="Arial" w:hAnsi="Arial"/>
          <w:sz w:val="17"/>
          <w:szCs w:val="17"/>
          <w:u w:val="single" w:color="auto"/>
          <w:color w:val="auto"/>
        </w:rPr>
        <w:t>Option</w:t>
      </w:r>
      <w:r>
        <w:rPr>
          <w:rFonts w:ascii="Arial" w:cs="Arial" w:eastAsia="Arial" w:hAnsi="Arial"/>
          <w:sz w:val="17"/>
          <w:szCs w:val="17"/>
          <w:color w:val="auto"/>
        </w:rPr>
        <w:t>. Within five (5) days after the Effective Date, Stowe shall pay to TGV fifty thousand dollars ($50,000) (the “Option Fee”). Stowe shall have the exclusive option to expand the Field of Use to include the Otic Field (such option, the “Option”). The Option shall be exercisable by Stowe delivering to TGV, prior to the second (2nd) anniversary of the Effective Date, written notice of Stowe’s election to exercise the Option and a development plan to develop a Product for use in the Otic Field reasonably acceptable to TGV (the “Development Plan”). TGV shall have the right to approve such Development Plan, and such approval shall not be unreasonably withheld, conditioned or delayed. If Stowe fails to timely exercise the Option, then Stowe shall have no further rights to expand the Stowe Field to include the Otic Field hereunder.</w:t>
      </w:r>
    </w:p>
    <w:p>
      <w:pPr>
        <w:spacing w:after="0" w:line="178"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 xml:space="preserve">4.8.2 </w:t>
      </w:r>
      <w:r>
        <w:rPr>
          <w:rFonts w:ascii="Arial" w:cs="Arial" w:eastAsia="Arial" w:hAnsi="Arial"/>
          <w:sz w:val="17"/>
          <w:szCs w:val="17"/>
          <w:u w:val="single" w:color="auto"/>
          <w:color w:val="auto"/>
        </w:rPr>
        <w:t>Exclusivity</w:t>
      </w:r>
      <w:r>
        <w:rPr>
          <w:rFonts w:ascii="Arial" w:cs="Arial" w:eastAsia="Arial" w:hAnsi="Arial"/>
          <w:sz w:val="17"/>
          <w:szCs w:val="17"/>
          <w:color w:val="auto"/>
        </w:rPr>
        <w:t>. Prior to the expiration of the Option, TGV (a) shall not (and shall cause its Affiliates not to) exploit the Technology or the Licensed IP Rights in the Otic Field, (b) shall not enter into any agreement or grant any license or other right to any Third Party to exploit the Technology or the Licensed IP Rights in the Otic Field, and (c) shall not solicit, initiate or encourage submission of proposals or offers from any Third Party for a license or other grant of rights to exploit the Technology or the Licensed IP Rights in the Otic Field.</w:t>
      </w:r>
    </w:p>
    <w:p>
      <w:pPr>
        <w:spacing w:after="0" w:line="171" w:lineRule="exact"/>
        <w:rPr>
          <w:sz w:val="20"/>
          <w:szCs w:val="20"/>
          <w:color w:val="auto"/>
        </w:rPr>
      </w:pPr>
    </w:p>
    <w:p>
      <w:pPr>
        <w:ind w:left="840" w:hanging="184"/>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Indemnification by TGV</w:t>
      </w:r>
      <w:r>
        <w:rPr>
          <w:rFonts w:ascii="Arial" w:cs="Arial" w:eastAsia="Arial" w:hAnsi="Arial"/>
          <w:sz w:val="18"/>
          <w:szCs w:val="18"/>
          <w:color w:val="auto"/>
        </w:rPr>
        <w:t>. Subject to the provisions of this Section 5, TGV shall indemnify, defend and hold harmless Stowe, its Affiliates, and its and their respective officers, directors, agents, stockholders and representatives, from and against any and all losses, liabilities, damages and expenses (including without limitation reasonable attorneys’ fees and costs) (collectively, “Losses”) resulting from any claim, demand, action or proceeding by any Third Party (each a “Claim”) the extent resulting from or arising out of:</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5.1.1 the actual or alleged breach of any representations, warranties or covenants of TGV in this Agreement; or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5.1.2 the actual or alleged negligence, gross negligence or willful misconduct of TGV, its Affiliates or their respective agents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Indemnification by Stowe</w:t>
      </w:r>
      <w:r>
        <w:rPr>
          <w:rFonts w:ascii="Arial" w:cs="Arial" w:eastAsia="Arial" w:hAnsi="Arial"/>
          <w:sz w:val="18"/>
          <w:szCs w:val="18"/>
          <w:color w:val="auto"/>
        </w:rPr>
        <w:t>. Subject to the provisions of this Section 5, Stowe shall indemnify and hold harmless TGV, its Affiliates, and its and their respective officers, directors, agents, stockholders and representatives, from and against any and all Losses resulting from any Claim to the extent resulting from or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5.2.1 the actual or alleged breach of any representations, warranties or covenants of Stowe in this Agreement;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5.2.2 the actual or alleged negligence, gross negligence or willful misconduct of Stowe, its Affiliates or their respective agents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8" w:name="page169"/>
    <w:bookmarkEnd w:id="168"/>
    <w:p>
      <w:pPr>
        <w:ind w:left="1960"/>
        <w:spacing w:after="0"/>
        <w:rPr>
          <w:sz w:val="20"/>
          <w:szCs w:val="20"/>
          <w:color w:val="auto"/>
        </w:rPr>
      </w:pPr>
      <w:r>
        <w:rPr>
          <w:rFonts w:ascii="Arial" w:cs="Arial" w:eastAsia="Arial" w:hAnsi="Arial"/>
          <w:sz w:val="16"/>
          <w:szCs w:val="16"/>
          <w:color w:val="auto"/>
        </w:rPr>
        <w:t>5.2.3 the development or exploitation of Product by or on behalf of Stowe, its Sublicensees or their respective Affiliates,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end-users.</w:t>
      </w:r>
    </w:p>
    <w:p>
      <w:pPr>
        <w:spacing w:after="0" w:line="21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“Indemnitee”) shall promptly notify the other party (the “Indemnifying Party”) in writing of a claim or suit; provided that an Indemnitee’s failure to give such notice or delay in giving such notice shall not affect such Indemnitee’s right to indemnification under this Section 5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ind w:left="840" w:hanging="184"/>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During the term of this Agreement, and for a period of five (5) years following the expiration or earlier termination hereof, each party shall maintain in confidence all information of the other party that is disclosed by the other party and identified as, or acknowledged to be, confidential at the time of disclosure (the “Confidential Information”), and shall not use, disclose or grant the use of the Confidential Information except on a need-to-know basis to those directors, officers, affiliates, employees, permitted actual or prospective licensees, permitted actual or prospective assignees and agents, consultants, clinical investigators or contractors, to the extent such disclosure is reasonably necessary in connection with performing its obligations or exercising its rights under this Agreement. For purposes of this Section, all Technology shall constitute the Confidential Information of both parties. To the extent that disclosure is authorized by this Agreement, prior to disclosure, the disclosing party shall obtain agreement of any such Person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spacing w:after="0" w:line="16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Terms of this Agreement</w:t>
      </w:r>
      <w:r>
        <w:rPr>
          <w:rFonts w:ascii="Arial" w:cs="Arial" w:eastAsia="Arial" w:hAnsi="Arial"/>
          <w:sz w:val="17"/>
          <w:szCs w:val="17"/>
          <w:color w:val="auto"/>
        </w:rPr>
        <w:t>. Except as otherwise provided in this Section 6,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9" w:name="page170"/>
    <w:bookmarkEnd w:id="169"/>
    <w:p>
      <w:pPr>
        <w:ind w:left="130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6 shall not apply to the extent that (a) a party is required</w:t>
      </w:r>
    </w:p>
    <w:p>
      <w:pPr>
        <w:spacing w:after="0" w:line="46" w:lineRule="exact"/>
        <w:rPr>
          <w:sz w:val="20"/>
          <w:szCs w:val="20"/>
          <w:color w:val="auto"/>
        </w:rPr>
      </w:pPr>
    </w:p>
    <w:p>
      <w:pPr>
        <w:jc w:val="both"/>
        <w:ind w:firstLine="8"/>
        <w:spacing w:after="0" w:line="268" w:lineRule="auto"/>
        <w:tabs>
          <w:tab w:leader="none" w:pos="22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thereof; or (b) a party can demonstrate that (i) the information was or became public knowledge, other than as a result of actions of such party in violation hereof; or (ii) the information was disclosed to the recipient on an unrestricted basis from a source unrelated to any party to this Agreement and not under a duty of confidentiality to the other party. Notwithstanding anything to the contrary herein, Stowe may disclose the terms and conditions of this Agreement to any Person with whom Stowe has, or is proposing to enter into, a business relationship, as long as such Person has entered into a confidentiality agreement with Stowe.</w:t>
      </w:r>
    </w:p>
    <w:p>
      <w:pPr>
        <w:spacing w:after="0" w:line="18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6,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Patents.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Patent Prosecution and Maintenance.</w:t>
      </w:r>
    </w:p>
    <w:p>
      <w:pPr>
        <w:spacing w:after="0" w:line="225" w:lineRule="exact"/>
        <w:rPr>
          <w:sz w:val="20"/>
          <w:szCs w:val="20"/>
          <w:color w:val="auto"/>
        </w:rPr>
      </w:pPr>
    </w:p>
    <w:p>
      <w:pPr>
        <w:jc w:val="both"/>
        <w:ind w:firstLine="1945"/>
        <w:spacing w:after="0" w:line="285"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Prosecution by TGV</w:t>
      </w:r>
      <w:r>
        <w:rPr>
          <w:rFonts w:ascii="Arial" w:cs="Arial" w:eastAsia="Arial" w:hAnsi="Arial"/>
          <w:sz w:val="16"/>
          <w:szCs w:val="16"/>
          <w:color w:val="auto"/>
        </w:rPr>
        <w:t>. As between the parties, TGV shall control, at its own expense, the preparation, filing, prosecution and maintenance of the Licensed Patent Rights consistent with prudent business practices and shall consider in good faith the interests of Stowe and its Affiliates and Sublicensees. With respect to each patent application and patent within the Field-Specific Patent Rights, TGV shall (a) provide Stowe with each patent application to be filed by TGV reasonably in advance of filing and incorporate reasonable comments by Stowe thereon; (b) provide Stowe with a copy of any patent application filed by TGV promptly after such filing; (c) coordinate with Stowe regarding patent strategy, provide Stowe with copies of all correspondence and communications received regarding such patent applications and patents and implement reasonable comments by Stowe in connection therewith; (d) provide Stowe with copies of all correspondence and communications sent regarding such patents and patent applications; and (e) notify Stowe of any interference, opposition, reexamination request, nullity proceeding, appeal or other similar action regarding such patents and patent applications, review it with Stowe as reasonably requested, and implement reasonable comments by Stowe thereon. TGV shall determine in what countries the Field-Specific Patent Rights will be filed and shall notify Stowe of such countries. In the event that Stowe wishes for TGV to file in additional countries, TGV shall have thirty (30) days to decide on whether to add such countries as its responsibility (and at its cost) and if it declines to do so, it shall notify Stowe and TGV shall file such applications, but (i) Stowe shall reimburse TGV for the costs associated with the additional country filings, (ii) TGV shall assign to Stowe all right, title and interest in and to such patent or patent application, (iii) such patent or patent application shall no longer be within the Licensed Patent Rights and (iv) TGV shall assist Stowe, upon request and to the extent commercially reasonable, in connection with the continued prosecution and maintenance thereof, at the sole expense of Stowe. With respect to each patent application and patent within the Licensed Patent Rights that are not Field-Specific Patent Rights but can be exploited in the Field of Use, TGV shall deliver to Stowe reasonably complete drafts of all material submissions, correspondence, filings and responses to patent authorities related to such Licensed Patent Rights, including without limitation patent applications and amendments, give Stowe a reasonable opportunity to comment thereon prior to their submission, and consider in good faith such comments.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0" w:name="page171"/>
    <w:bookmarkEnd w:id="170"/>
    <w:p>
      <w:pPr>
        <w:jc w:val="both"/>
        <w:ind w:firstLine="1945"/>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Abandonment</w:t>
      </w:r>
      <w:r>
        <w:rPr>
          <w:rFonts w:ascii="Arial" w:cs="Arial" w:eastAsia="Arial" w:hAnsi="Arial"/>
          <w:sz w:val="18"/>
          <w:szCs w:val="18"/>
          <w:color w:val="auto"/>
        </w:rPr>
        <w:t>. TGV shall not abandon any patent or patent application within the Field-Specific Patent Rights without providing to Stowe written notice thereof reasonably in advance of any such abandonment. If TGV decides to abandon any such patent or patent application, then TGV shall provide reasonable prior written notice to Stowe thereof. Stowe shall have the right to assume control of such patent or patent application at its sole expense by providing TGV written notice thereof within thirty (30) days after receipt of the notice to abandon, whereupon (a) TGV shall assign to Stowe all right, title and interest in and to such patent or patent application, (b) such patent or patent application shall no longer be within the Licensed Patent Rights and (c) TGV shall assist Stowe, upon request and to the extent commercially reasonable, in connection with the continued prosecution and maintenance thereof, at the sole expense of Stowe.</w:t>
      </w:r>
    </w:p>
    <w:p>
      <w:pPr>
        <w:spacing w:after="0" w:line="189"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Transfer of Improvement Patents</w:t>
      </w:r>
      <w:r>
        <w:rPr>
          <w:rFonts w:ascii="Arial" w:cs="Arial" w:eastAsia="Arial" w:hAnsi="Arial"/>
          <w:sz w:val="17"/>
          <w:szCs w:val="17"/>
          <w:color w:val="auto"/>
        </w:rPr>
        <w:t>. Stowe shall not enter into any agreement with a Third Party that is not a Sublicensee or permitted assignee described in Section 9.3 (such Third Party, an “Unaffiliated Third Party”) to sell, convey, transfer or assign the Improvement Patent Rights without first giving to TGV the first right to negotiate with Stowe for the purchase of such Improvement Patent Rights on the terms of this Section 7.1.3. If Stowe desires to sell, convey, transfer or assign such Improvement Patent Rights to an Unaffiliated Third Party, then Stowe shall provide prompt written notice thereof to TGV. If, within thirty (30) days after receipt of such notice, TGV provides written notice to Stowe of its exercise of such right of first negotiation, then the parties shall negotiate in good faith, for a period not to exceed sixty (60) days, regarding terms and conditions of a mutually acceptable agreement therefor. If TGV fails to provide Stowe timely written notice of its exercise of such right of first negotiation, or if the parties fail to reach mutual agreement and enter into a written agreement to sell, convey, transfer and assign such Improvement Patent Rights to TGV prior to the expiration of such sixty (60)-day period, then thereafter Stowe shall have the right to enter into any agreement with any Unaffiliated Third Party, and TGV shall have no rights, regarding the sale, conveyance, transfer and/or assignment of such Improvement Patent Rights.</w:t>
      </w:r>
    </w:p>
    <w:p>
      <w:pPr>
        <w:spacing w:after="0" w:line="17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Notification of Infringement</w:t>
      </w:r>
      <w:r>
        <w:rPr>
          <w:rFonts w:ascii="Arial" w:cs="Arial" w:eastAsia="Arial" w:hAnsi="Arial"/>
          <w:sz w:val="17"/>
          <w:szCs w:val="17"/>
          <w:color w:val="auto"/>
        </w:rPr>
        <w:t>. Each shall promptly notify the other party of any substantial and continuing infringement known to such party of any Licensed Patent Rights in the Field of Use and shall provide the other party with the available evidence, if any, of such infringement.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71" w:name="page172"/>
    <w:bookmarkEnd w:id="171"/>
    <w:p>
      <w:pPr>
        <w:ind w:left="130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Enforcement and Defense of Patent Rights in the Field of Use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Field-Specific Patent Rights</w:t>
      </w:r>
      <w:r>
        <w:rPr>
          <w:rFonts w:ascii="Arial" w:cs="Arial" w:eastAsia="Arial" w:hAnsi="Arial"/>
          <w:sz w:val="18"/>
          <w:szCs w:val="18"/>
          <w:color w:val="auto"/>
        </w:rPr>
        <w:t>. As between the parties, Stowe shall have the sole right, at its expense and in its sole discretion, to control the enforcement and defense of the Field-Specific Patent Rights. TGV shall reasonably assist Stowe, upon request and at Stowe’s sole expense, in connection therewith.</w:t>
      </w:r>
    </w:p>
    <w:p>
      <w:pPr>
        <w:spacing w:after="0" w:line="18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Other Licensed Patent Rights</w:t>
      </w:r>
      <w:r>
        <w:rPr>
          <w:rFonts w:ascii="Arial" w:cs="Arial" w:eastAsia="Arial" w:hAnsi="Arial"/>
          <w:sz w:val="18"/>
          <w:szCs w:val="18"/>
          <w:color w:val="auto"/>
        </w:rPr>
        <w:t>. Except as set forth otherwise in this Agreement, as between the parties, TGV shall have the sole right, at its expense and in its sole discretion, to control the enforcement and defense of the Licensed Patent Rights other than the Field-Specific Patent Rights (“Other Licensed Patent Rights”). Stowe shall reasonably assist TGV, upon request and at TGV’s sole expense, in connection therewith. In the event of any substantial and continuing infringement of such Licensed Patent Rights in a country by a Third Party in the Field of Use, if TGV fails to abate such infringement or to file an action to abate such infringement within ninety (90) days after a written request from Stowe to do so, or if TGV discontinues the prosecution of any such action after filing without abating such infringement, then until such time as such infringement is abated, the royalty rate in such country shall be reduced to zero.</w:t>
      </w:r>
    </w:p>
    <w:p>
      <w:pPr>
        <w:spacing w:after="0" w:line="189"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Combined Patent Rights</w:t>
      </w:r>
      <w:r>
        <w:rPr>
          <w:rFonts w:ascii="Arial" w:cs="Arial" w:eastAsia="Arial" w:hAnsi="Arial"/>
          <w:sz w:val="18"/>
          <w:szCs w:val="18"/>
          <w:color w:val="auto"/>
        </w:rPr>
        <w:t>. Subject to this Section 7.3.3, in the event of litigation that will involve both Field-Specific Patent Rights and Other Licensed Patent Rights, the parties shall work together to develop the strategy for the litigation. In the event of a litigation that results from a generic filing (either ANDA or 505(b)(2) filing) seeking approval of a generic product for the same indication as the Stowe commercially marketed Product (“Hatch- Waxman Litigation”), regardless of the Licensed Patent Rights involved in such litigation, Stowe shall have the sole right, at its expense and in its sole discretion, to control the litigation (including without limitation the enforcement and defense of any of the Licensed Patent Rights), but shall not stipulate to the invalidity or unenforceability of the Other Licensed Patent Rights without obtaining TGV’s prior written consent. If the litigation involves both Field-Specific Patent Rights and Other Licensed Patent Rights but is not Hatch-Waxman Litigation, as between the parties Stowe shall be responsible for and shall have the sole right to control the litigation.</w:t>
      </w:r>
    </w:p>
    <w:p>
      <w:pPr>
        <w:spacing w:after="0" w:line="19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Recoveries</w:t>
      </w:r>
      <w:r>
        <w:rPr>
          <w:rFonts w:ascii="Arial" w:cs="Arial" w:eastAsia="Arial" w:hAnsi="Arial"/>
          <w:sz w:val="16"/>
          <w:szCs w:val="16"/>
          <w:color w:val="auto"/>
        </w:rPr>
        <w:t>. With respect to any action to enforce the Licensed Patent Rights to abate any infringement of the Licensed Patent Rights in the Field of Use or in any Hatch-Waxman Litigation, all monies recovered upon the final judgment or settlement of any such action shall be applied as follows: (a) first, to reimburse the costs and expenses (including reasonable attorneys’ fees and costs) of Stowe and TGV; (b) second (to the extent that damages are awarded for lost sales or lost profits from the sale of Products), to Stowe and TGV in shares that reflect the damages incurred by each party; and</w:t>
      </w:r>
    </w:p>
    <w:p>
      <w:pPr>
        <w:spacing w:after="0" w:line="2"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remainder to the account of Stowe.</w:t>
      </w:r>
    </w:p>
    <w:p>
      <w:pPr>
        <w:spacing w:after="0" w:line="210" w:lineRule="exact"/>
        <w:rPr>
          <w:rFonts w:ascii="Arial" w:cs="Arial" w:eastAsia="Arial" w:hAnsi="Arial"/>
          <w:sz w:val="18"/>
          <w:szCs w:val="18"/>
          <w:color w:val="auto"/>
        </w:rPr>
      </w:pPr>
    </w:p>
    <w:p>
      <w:pPr>
        <w:ind w:left="840" w:hanging="184"/>
        <w:spacing w:after="0"/>
        <w:tabs>
          <w:tab w:leader="none" w:pos="84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continue until expiration of all payment obligations 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2" w:name="page173"/>
    <w:bookmarkEnd w:id="172"/>
    <w:p>
      <w:pPr>
        <w:jc w:val="both"/>
        <w:ind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 by Stowe</w:t>
      </w:r>
      <w:r>
        <w:rPr>
          <w:rFonts w:ascii="Arial" w:cs="Arial" w:eastAsia="Arial" w:hAnsi="Arial"/>
          <w:sz w:val="18"/>
          <w:szCs w:val="18"/>
          <w:color w:val="auto"/>
        </w:rPr>
        <w:t>. Stowe may terminate this Agreement, in its sole discretion, upon thirty (30) days prior written notice of termination to TGV.</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Termination for Cause or Financial Hardship</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Cause</w:t>
      </w:r>
      <w:r>
        <w:rPr>
          <w:rFonts w:ascii="Arial" w:cs="Arial" w:eastAsia="Arial" w:hAnsi="Arial"/>
          <w:sz w:val="16"/>
          <w:szCs w:val="16"/>
          <w:color w:val="auto"/>
        </w:rPr>
        <w:t>. TGV may terminate this Agreement upon or after the material breach of this Agreement by Stowe if Stowe has not cured such breach within ninety (90) days after receipt of express written notice thereof by TGV; provided, however, if any default is not capable of being cured within such ninety (90) day period and Stowe is diligently undertaking to cure such default as soon as commercially feasible thereafter under the circumstances, TGV shall have no right to terminate this Agreement under this provision. Stowe may terminate this Agreement upon or after the material breach of this Agreement by TGV if TGV has not cured such breach within ninety (90) days after receipt of express written notice thereof by Stowe; provided, however, if any default is not capable of being cured within such ninety (90) day period and TGV is diligently undertaking to cure such default as soon as commercially feasible thereafter under the circumstances, Stowe shall have no right to terminate this Agreement under this provision.</w:t>
      </w:r>
    </w:p>
    <w:p>
      <w:pPr>
        <w:spacing w:after="0" w:line="167"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 xml:space="preserve">8.3.2 </w:t>
      </w:r>
      <w:r>
        <w:rPr>
          <w:rFonts w:ascii="Arial" w:cs="Arial" w:eastAsia="Arial" w:hAnsi="Arial"/>
          <w:sz w:val="17"/>
          <w:szCs w:val="17"/>
          <w:u w:val="single" w:color="auto"/>
          <w:color w:val="auto"/>
        </w:rPr>
        <w:t>Financial Hardship</w:t>
      </w:r>
      <w:r>
        <w:rPr>
          <w:rFonts w:ascii="Arial" w:cs="Arial" w:eastAsia="Arial" w:hAnsi="Arial"/>
          <w:sz w:val="17"/>
          <w:szCs w:val="17"/>
          <w:color w:val="auto"/>
        </w:rPr>
        <w:t>. If either party applies for or consents to the appointment of a receiver, trustee or liquidator for all or a substantial part of its assets; admits in writing its inability to pay its debts generally as they mature; makes a general assignment for the benefit of creditors; is adjudicated as bankrupt; submits a petition or an answer seeking an arrangement with creditors; takes advantage of any insolvency law except as a creditor; submits an answer admitting the material allegations of a petition in bankruptcy or insolvency proceeding; has an order, judgment or decree entered by any court of competent jurisdiction approving a petition seeking reorganization of such party or appointing a receiver, trustee or liquidator for such party, or for all or a substantial part of any of its assets and such order, judgment or decree shall continue unstayed and in effect for a period of ninety (90) consecutive days; files a voluntary petition of bankruptcy or fails to remove an involuntary petition in bankruptcy filed against it within ninety (90) days of the filing thereof, the other party may terminate this Agreement immediately upon providing written notice to the first party.</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Termination if an IND is not Filed within 48 Months.</w:t>
      </w:r>
      <w:r>
        <w:rPr>
          <w:rFonts w:ascii="Arial" w:cs="Arial" w:eastAsia="Arial" w:hAnsi="Arial"/>
          <w:sz w:val="18"/>
          <w:szCs w:val="18"/>
          <w:color w:val="auto"/>
        </w:rPr>
        <w:t xml:space="preserve"> TGV may terminate this agreement in the event that an IND for a Product has not been filed within forty-eight (48) months after the Effective Date.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Termination for Lack of Minimum Annual Royalty</w:t>
      </w:r>
      <w:r>
        <w:rPr>
          <w:rFonts w:ascii="Arial" w:cs="Arial" w:eastAsia="Arial" w:hAnsi="Arial"/>
          <w:sz w:val="18"/>
          <w:szCs w:val="18"/>
          <w:color w:val="auto"/>
        </w:rPr>
        <w:t>. In the event that, commencing with the date that is two years after the First Commercial Sale of the first Product in the United States and ending with the date when there is a generic version of the Product available in the United States, the annual royalties paid by Stowe is less than fifty thousand dollars ($50,000), TGV shall have the right to terminate this Agreement by providing sixty (60) days’ prior written notice of termination to Stowe unless Stowe pays TGV within such sixty (60)-day period the difference between fifty thousand dollars ($50,000) and the amount of royalties actually paid for such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73" w:name="page174"/>
    <w:bookmarkEnd w:id="173"/>
    <w:p>
      <w:pPr>
        <w:jc w:val="both"/>
        <w:ind w:firstLine="1297"/>
        <w:spacing w:after="0" w:line="293"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3.4, 4.2 (to the extent that a milestone has been achieved prior to termination), 5, 6, this 8.6 and 9 survive the expiration or termination of this Agreement. Upon any termination of this Agreement, TGV shall grant a direct license to any Sublicensee of Stowe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and provided that such Sublicensee is not a direct competitor of TGV.</w:t>
      </w:r>
    </w:p>
    <w:p>
      <w:pPr>
        <w:spacing w:after="0" w:line="16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Effect of Termination Except for Breach by TGV</w:t>
      </w:r>
      <w:r>
        <w:rPr>
          <w:rFonts w:ascii="Arial" w:cs="Arial" w:eastAsia="Arial" w:hAnsi="Arial"/>
          <w:sz w:val="16"/>
          <w:szCs w:val="16"/>
          <w:color w:val="auto"/>
        </w:rPr>
        <w:t>. In the event that this Agreement is terminated by Stowe pursuant to Section 8.2 or by TGV pursuant to Section 8.3 or 8.4, Stowe shall assign to TGV all of its rights in and to (a) all compositions, samples, data and information specific to the Technology derived by Stowe hereunder, (b) all results of experimentation and testing and other know-how specific to the Technology derived by Stowe hereunder, (c) all Improvement Patent Rights owned by Stowe that are specific to the Technology, and (d) all regulatory filings, regulatory applications and regulatory approval for Mul-1867 owned by Stowe. Such assignment is subject to TGV agreeing to pay Stowe an amount equal to one and one-half percent (1½%) of net sales (determined using a definition equivalent to “Net Sales” hereunder) of products comprising Mul-1867, until such payments total the full amount of Stowe’s Development Costs. Payment from TGV to Stowe shall occur within thirty (30) days after the end of each calendar quarter for which TGV achieves such net sales, and TGV shall deliver to Stowe together with such payment a report equivalent to the royalty report under Section 4.4. Stowe shall have a right to audit TGV equivalent to TGV’s right to audit Stowe under Section 4.6. In addition, in the event that termination occurs while a Phase I Clinical Trial, Phase II Clinical Trial or Phase III Clinical Trial is ongoing, TGV shall have the right, but not the obligation to accept assignment of the associated clinical study agreement. If TGV declines to accept assignment of the clinical study agreement, as between the parties, Stowe shall be responsible for any provisions in the clinical study agreement relating to termination of the study, including payment of all amounts required for termination.</w:t>
      </w:r>
    </w:p>
    <w:p>
      <w:pPr>
        <w:spacing w:after="0" w:line="16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Effect of Termination for Breach by TGV</w:t>
      </w:r>
      <w:r>
        <w:rPr>
          <w:rFonts w:ascii="Arial" w:cs="Arial" w:eastAsia="Arial" w:hAnsi="Arial"/>
          <w:sz w:val="18"/>
          <w:szCs w:val="18"/>
          <w:color w:val="auto"/>
        </w:rPr>
        <w:t>. In the event that this Agreement is terminated by Stowe pursuant to Section 8.3, the provisions of Section 3.1 through 3.3 shall additionally survive such termination, except that the rights and licenses granted to Stowe hereunder shall become fully paid-up and royalty free.</w:t>
      </w:r>
    </w:p>
    <w:p>
      <w:pPr>
        <w:spacing w:after="0" w:line="181" w:lineRule="exact"/>
        <w:rPr>
          <w:sz w:val="20"/>
          <w:szCs w:val="20"/>
          <w:color w:val="auto"/>
        </w:rPr>
      </w:pPr>
    </w:p>
    <w:p>
      <w:pPr>
        <w:ind w:left="840" w:hanging="184"/>
        <w:spacing w:after="0"/>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party shall make any public announcements concerning matters concerning this Agreement or the negotiation thereof without the prior written consent of the other party unless such disclosure is required by law, in which case the announcing party shall provide the other party with reasonable notice of such disclosure.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 Consequential Damage</w:t>
      </w:r>
      <w:r>
        <w:rPr>
          <w:rFonts w:ascii="Arial" w:cs="Arial" w:eastAsia="Arial" w:hAnsi="Arial"/>
          <w:sz w:val="18"/>
          <w:szCs w:val="18"/>
          <w:color w:val="auto"/>
        </w:rPr>
        <w:t>s. NOTWITHSTANDING ANYTHING TO THE CONTRARY HEREIN, EXCEPT WITH RESPECT TO A BREACH OF SECTION 6 OR WITH RESPECT TO A PARTY’S OBLIGATIONS TO INDEMNIFY, DEFEND AND HOLD HARMLESS PURSUANT TO SECTION 5, NEITHER PARTY SHALL BE LIABLE FOR ANY SPECIAL, INDIRECT, INCIDENTAL OR CONSEQUENTIAL DAMAGES, WHETHER FORESEEABLE OR NOT, ARISING OUT OF THIS AGREEMENT OR THE EXERCISE OF ITS RIGHTS HEREUNDER, REGARDLESS OF ANY NOTICE OF SUCH DAMAGES.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74" w:name="page175"/>
    <w:bookmarkEnd w:id="174"/>
    <w:p>
      <w:pPr>
        <w:jc w:val="both"/>
        <w:ind w:firstLine="1297"/>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9.3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For all purposes of this Agreement, TGV and Stowe shall be deemed to be independent entities and anything in this Agreement to the contrary notwithstanding, nothing herein shall be deemed to constitute TGV and Stowe as partners, joint ventures, co-owners, an association or any entity separate and apart from each party itself, nor shall this Agreement constitute any party hereto an employee or agent, legal or otherwise, of the other party for any purposes whatsoever. Neither party is authorized to make any statements nor representations on behalf of the other party or in any way obligate the other party, except as expressly authorized in writing by the other party. Anything in this Agreement to the contrary notwithstanding, no party hereto shall assume nor shall be liable for any liabilities or obligations of the other party, whether past, present or future.</w:t>
      </w:r>
    </w:p>
    <w:p>
      <w:pPr>
        <w:spacing w:after="0" w:line="16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set forth at the beginning of the various Articles of this Agreement are for reference and convenience and shall not affect the meanings of the provisions of this Agreement.</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Delaware, without regard to the conflicts of law principles thereof. Each of the parties hereto irrevocably consents to the exclusive jurisdiction and venue of any federal court located in the District of the State of Delaware or state court in Wilmington, Delaware having jurisdiction, in connection with any matter based upon or arising out of this Agreement or the matters contemplated herein, agrees that process may be served upon them in any manner authorized by laws of the State of Delaware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together with the Exhibits hereto, and each additional document, instrument or other agreement to be executed and delivered pursuant hereto, including the Stock Issuance Agreement and the Consulting Agreement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75" w:name="page176"/>
    <w:bookmarkEnd w:id="175"/>
    <w:p>
      <w:pPr>
        <w:jc w:val="both"/>
        <w:ind w:firstLine="1297"/>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TGV:</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TGV-Health,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President/Chief Executive Officer</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3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TGV-Ophthalnix, LLC101</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Avenue of the Americas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Attention: President/Chief Executive Officer</w:t>
      </w:r>
    </w:p>
    <w:p>
      <w:pPr>
        <w:sectPr>
          <w:pgSz w:w="11900" w:h="16838" w:orient="portrait"/>
          <w:cols w:equalWidth="0" w:num="1">
            <w:col w:w="11420"/>
          </w:cols>
          <w:pgMar w:left="240" w:top="665" w:right="239" w:bottom="1440" w:gutter="0" w:footer="0" w:header="0"/>
          <w:type w:val="continuous"/>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Polsinelli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S. Fourth Street, Suite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Kathryn J. Doty, Esq.</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Stowe: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Stowe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980" w:space="720"/>
            <w:col w:w="8720"/>
          </w:cols>
          <w:pgMar w:left="240" w:top="665" w:right="239" w:bottom="1440" w:gutter="0" w:footer="0" w:header="0"/>
          <w:type w:val="continuous"/>
        </w:sectPr>
      </w:pPr>
    </w:p>
    <w:p>
      <w:pPr>
        <w:spacing w:after="0" w:line="2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76" w:name="page177"/>
    <w:bookmarkEnd w:id="176"/>
    <w:p>
      <w:pPr>
        <w:ind w:left="660"/>
        <w:spacing w:after="0"/>
        <w:rPr>
          <w:sz w:val="20"/>
          <w:szCs w:val="20"/>
          <w:color w:val="auto"/>
        </w:rPr>
      </w:pPr>
      <w:r>
        <w:rPr>
          <w:rFonts w:ascii="Arial" w:cs="Arial" w:eastAsia="Arial" w:hAnsi="Arial"/>
          <w:sz w:val="16"/>
          <w:szCs w:val="16"/>
          <w:color w:val="auto"/>
        </w:rPr>
        <w:t>IN WITNESS WHEREOF, each party has caused a duly authorized representative to execute and deliver this License Agreement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TGV-Health,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Tets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Tets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TGV-Ophthalnix,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Tets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George Tets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Stowe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7" w:name="page178"/>
    <w:bookmarkEnd w:id="1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9" w:name="page180"/>
    <w:bookmarkEnd w:id="1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1" w:name="page182"/>
    <w:bookmarkEnd w:id="1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September 30, 2019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83" w:name="page184"/>
    <w:bookmarkEnd w:id="1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upperLetter"/>
      <w:start w:val="24"/>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1)"/>
      <w:numFmt w:val="lowerLetter"/>
      <w:start w:val="1"/>
    </w:lvl>
    <w:lvl w:ilvl="1">
      <w:lvlJc w:val="left"/>
      <w:lvlText w:val="(%2)"/>
      <w:numFmt w:val="lowerRoman"/>
      <w:start w:val="1"/>
    </w:lvl>
  </w:abstractNum>
  <w:abstractNum w:abstractNumId="17">
    <w:nsid w:val="42C296BD"/>
    <w:multiLevelType w:val="hybridMultilevel"/>
    <w:lvl w:ilvl="0">
      <w:lvlJc w:val="left"/>
      <w:lvlText w:val="(%1)"/>
      <w:numFmt w:val="lowerRoman"/>
      <w:start w:val="5"/>
    </w:lvl>
  </w:abstractNum>
  <w:abstractNum w:abstractNumId="18">
    <w:nsid w:val="168E121F"/>
    <w:multiLevelType w:val="hybridMultilevel"/>
    <w:lvl w:ilvl="0">
      <w:lvlJc w:val="left"/>
      <w:lvlText w:val="%1"/>
      <w:numFmt w:val="lowerLetter"/>
      <w:start w:val="1"/>
    </w:lvl>
    <w:lvl w:ilvl="1">
      <w:lvlJc w:val="left"/>
      <w:lvlText w:val="(%2)"/>
      <w:numFmt w:val="lowerRoman"/>
      <w:start w:val="8"/>
    </w:lvl>
  </w:abstractNum>
  <w:abstractNum w:abstractNumId="19">
    <w:nsid w:val="1EBA5D23"/>
    <w:multiLevelType w:val="hybridMultilevel"/>
    <w:lvl w:ilvl="0">
      <w:lvlJc w:val="left"/>
      <w:lvlText w:val="(%1)"/>
      <w:numFmt w:val="lowerLetter"/>
      <w:start w:val="2"/>
    </w:lvl>
    <w:lvl w:ilvl="1">
      <w:lvlJc w:val="left"/>
      <w:lvlText w:val="(%2)"/>
      <w:numFmt w:val="lowerRoman"/>
      <w:start w:val="1"/>
    </w:lvl>
  </w:abstractNum>
  <w:abstractNum w:abstractNumId="20">
    <w:nsid w:val="661E3F1E"/>
    <w:multiLevelType w:val="hybridMultilevel"/>
    <w:lvl w:ilvl="0">
      <w:lvlJc w:val="left"/>
      <w:lvlText w:val="%1"/>
      <w:numFmt w:val="upperLetter"/>
      <w:start w:val="1"/>
    </w:lvl>
    <w:lvl w:ilvl="1">
      <w:lvlJc w:val="left"/>
      <w:lvlText w:val="(%2)"/>
      <w:numFmt w:val="lowerLetter"/>
      <w:start w:val="1"/>
    </w:lvl>
  </w:abstractNum>
  <w:abstractNum w:abstractNumId="21">
    <w:nsid w:val="5DC79EA8"/>
    <w:multiLevelType w:val="hybridMultilevel"/>
    <w:lvl w:ilvl="0">
      <w:lvlJc w:val="left"/>
      <w:lvlText w:val="(%1)"/>
      <w:numFmt w:val="upperLetter"/>
      <w:start w:val="3"/>
    </w:lvl>
    <w:lvl w:ilvl="1">
      <w:lvlJc w:val="left"/>
      <w:lvlText w:val="(%2)"/>
      <w:numFmt w:val="lowerLetter"/>
      <w:start w:val="2"/>
    </w:lvl>
  </w:abstractNum>
  <w:abstractNum w:abstractNumId="22">
    <w:nsid w:val="540A471C"/>
    <w:multiLevelType w:val="hybridMultilevel"/>
    <w:lvl w:ilvl="0">
      <w:lvlJc w:val="left"/>
      <w:lvlText w:val="(%1)"/>
      <w:numFmt w:val="lowerLetter"/>
      <w:start w:val="1"/>
    </w:lvl>
  </w:abstractNum>
  <w:abstractNum w:abstractNumId="23">
    <w:nsid w:val="7BD3EE7B"/>
    <w:multiLevelType w:val="hybridMultilevel"/>
    <w:lvl w:ilvl="0">
      <w:lvlJc w:val="left"/>
      <w:lvlText w:val="(%1)"/>
      <w:numFmt w:val="lowerLetter"/>
      <w:start w:val="2"/>
    </w:lvl>
  </w:abstractNum>
  <w:abstractNum w:abstractNumId="24">
    <w:nsid w:val="51D9C564"/>
    <w:multiLevelType w:val="hybridMultilevel"/>
    <w:lvl w:ilvl="0">
      <w:lvlJc w:val="left"/>
      <w:lvlText w:val="(%1)"/>
      <w:numFmt w:val="lowerLetter"/>
      <w:start w:val="1"/>
    </w:lvl>
  </w:abstractNum>
  <w:abstractNum w:abstractNumId="25">
    <w:nsid w:val="613EFDC5"/>
    <w:multiLevelType w:val="hybridMultilevel"/>
    <w:lvl w:ilvl="0">
      <w:lvlJc w:val="left"/>
      <w:lvlText w:val="(%1)"/>
      <w:numFmt w:val="lowerLetter"/>
      <w:start w:val="2"/>
    </w:lvl>
  </w:abstractNum>
  <w:abstractNum w:abstractNumId="26">
    <w:nsid w:val="BF72B14"/>
    <w:multiLevelType w:val="hybridMultilevel"/>
    <w:lvl w:ilvl="0">
      <w:lvlJc w:val="left"/>
      <w:lvlText w:val="(%1)"/>
      <w:numFmt w:val="lowerLetter"/>
      <w:start w:val="1"/>
    </w:lvl>
  </w:abstractNum>
  <w:abstractNum w:abstractNumId="27">
    <w:nsid w:val="11447B73"/>
    <w:multiLevelType w:val="hybridMultilevel"/>
    <w:lvl w:ilvl="0">
      <w:lvlJc w:val="left"/>
      <w:lvlText w:val="(%1)"/>
      <w:numFmt w:val="lowerLetter"/>
      <w:start w:val="2"/>
    </w:lvl>
  </w:abstractNum>
  <w:abstractNum w:abstractNumId="28">
    <w:nsid w:val="42963E5A"/>
    <w:multiLevelType w:val="hybridMultilevel"/>
    <w:lvl w:ilvl="0">
      <w:lvlJc w:val="left"/>
      <w:lvlText w:val="(%1)"/>
      <w:numFmt w:val="lowerLetter"/>
      <w:start w:val="1"/>
    </w:lvl>
  </w:abstractNum>
  <w:abstractNum w:abstractNumId="29">
    <w:nsid w:val="A0382C5"/>
    <w:multiLevelType w:val="hybridMultilevel"/>
    <w:lvl w:ilvl="0">
      <w:lvlJc w:val="left"/>
      <w:lvlText w:val="(%1)"/>
      <w:numFmt w:val="lowerLetter"/>
      <w:start w:val="4"/>
    </w:lvl>
    <w:lvl w:ilvl="1">
      <w:lvlJc w:val="left"/>
      <w:lvlText w:val="(%2)"/>
      <w:numFmt w:val="lowerRoman"/>
      <w:start w:val="1"/>
    </w:lvl>
  </w:abstractNum>
  <w:abstractNum w:abstractNumId="30">
    <w:nsid w:val="8F2B15E"/>
    <w:multiLevelType w:val="hybridMultilevel"/>
    <w:lvl w:ilvl="0">
      <w:lvlJc w:val="left"/>
      <w:lvlText w:val="%1"/>
      <w:numFmt w:val="lowerLetter"/>
      <w:start w:val="1"/>
    </w:lvl>
    <w:lvl w:ilvl="1">
      <w:lvlJc w:val="left"/>
      <w:lvlText w:val="(%2)"/>
      <w:numFmt w:val="lowerRoman"/>
      <w:start w:val="6"/>
    </w:lvl>
  </w:abstractNum>
  <w:abstractNum w:abstractNumId="31">
    <w:nsid w:val="1A32234B"/>
    <w:multiLevelType w:val="hybridMultilevel"/>
    <w:lvl w:ilvl="0">
      <w:lvlJc w:val="left"/>
      <w:lvlText w:val="(%1)"/>
      <w:numFmt w:val="lowerLetter"/>
      <w:start w:val="10"/>
    </w:lvl>
    <w:lvl w:ilvl="1">
      <w:lvlJc w:val="left"/>
      <w:lvlText w:val="%2"/>
      <w:numFmt w:val="lowerRoman"/>
      <w:start w:val="1"/>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1)"/>
      <w:numFmt w:val="lowerLetter"/>
      <w:start w:val="4"/>
    </w:lvl>
  </w:abstractNum>
  <w:abstractNum w:abstractNumId="34">
    <w:nsid w:val="4962813B"/>
    <w:multiLevelType w:val="hybridMultilevel"/>
    <w:lvl w:ilvl="0">
      <w:lvlJc w:val="left"/>
      <w:lvlText w:val="(%1)"/>
      <w:numFmt w:val="lowerLetter"/>
      <w:start w:val="1"/>
    </w:lvl>
  </w:abstractNum>
  <w:abstractNum w:abstractNumId="35">
    <w:nsid w:val="60B6DF70"/>
    <w:multiLevelType w:val="hybridMultilevel"/>
    <w:lvl w:ilvl="0">
      <w:lvlJc w:val="left"/>
      <w:lvlText w:val="(%1)"/>
      <w:numFmt w:val="lowerLetter"/>
      <w:start w:val="2"/>
    </w:lvl>
  </w:abstractNum>
  <w:abstractNum w:abstractNumId="36">
    <w:nsid w:val="6A5EE64"/>
    <w:multiLevelType w:val="hybridMultilevel"/>
    <w:lvl w:ilvl="0">
      <w:lvlJc w:val="left"/>
      <w:lvlText w:val="(%1)"/>
      <w:numFmt w:val="lowerLetter"/>
      <w:start w:val="6"/>
    </w:lvl>
  </w:abstractNum>
  <w:abstractNum w:abstractNumId="37">
    <w:nsid w:val="14330624"/>
    <w:multiLevelType w:val="hybridMultilevel"/>
    <w:lvl w:ilvl="0">
      <w:lvlJc w:val="left"/>
      <w:lvlText w:val="(%1)"/>
      <w:numFmt w:val="lowerLetter"/>
      <w:start w:val="1"/>
    </w:lvl>
  </w:abstractNum>
  <w:abstractNum w:abstractNumId="38">
    <w:nsid w:val="7FFFCA11"/>
    <w:multiLevelType w:val="hybridMultilevel"/>
    <w:lvl w:ilvl="0">
      <w:lvlJc w:val="left"/>
      <w:lvlText w:val="(%1)"/>
      <w:numFmt w:val="lowerLetter"/>
      <w:start w:val="3"/>
    </w:lvl>
  </w:abstractNum>
  <w:abstractNum w:abstractNumId="39">
    <w:nsid w:val="1A27709E"/>
    <w:multiLevelType w:val="hybridMultilevel"/>
    <w:lvl w:ilvl="0">
      <w:lvlJc w:val="left"/>
      <w:lvlText w:val="(%1)"/>
      <w:numFmt w:val="lowerLetter"/>
      <w:start w:val="1"/>
    </w:lvl>
  </w:abstractNum>
  <w:abstractNum w:abstractNumId="40">
    <w:nsid w:val="71EA1109"/>
    <w:multiLevelType w:val="hybridMultilevel"/>
    <w:lvl w:ilvl="0">
      <w:lvlJc w:val="left"/>
      <w:lvlText w:val="(%1)"/>
      <w:numFmt w:val="lowerLetter"/>
      <w:start w:val="4"/>
    </w:lvl>
  </w:abstractNum>
  <w:abstractNum w:abstractNumId="41">
    <w:nsid w:val="100F59DC"/>
    <w:multiLevelType w:val="hybridMultilevel"/>
    <w:lvl w:ilvl="0">
      <w:lvlJc w:val="left"/>
      <w:lvlText w:val="%1"/>
      <w:numFmt w:val="lowerLetter"/>
      <w:start w:val="1"/>
    </w:lvl>
    <w:lvl w:ilvl="1">
      <w:lvlJc w:val="left"/>
      <w:lvlText w:val="(%2)"/>
      <w:numFmt w:val="lowerLetter"/>
      <w:start w:val="1"/>
    </w:lvl>
  </w:abstractNum>
  <w:abstractNum w:abstractNumId="42">
    <w:nsid w:val="7FB7E0AA"/>
    <w:multiLevelType w:val="hybridMultilevel"/>
    <w:lvl w:ilvl="0">
      <w:lvlJc w:val="left"/>
      <w:lvlText w:val="(%1)"/>
      <w:numFmt w:val="lowerLetter"/>
      <w:start w:val="22"/>
    </w:lvl>
    <w:lvl w:ilvl="1">
      <w:lvlJc w:val="left"/>
      <w:lvlText w:val="%2"/>
      <w:numFmt w:val="lowerLetter"/>
      <w:start w:val="1"/>
    </w:lvl>
  </w:abstractNum>
  <w:abstractNum w:abstractNumId="43">
    <w:nsid w:val="6EB5BD4"/>
    <w:multiLevelType w:val="hybridMultilevel"/>
    <w:lvl w:ilvl="0">
      <w:lvlJc w:val="left"/>
      <w:lvlText w:val="(%1)"/>
      <w:numFmt w:val="lowerLetter"/>
      <w:start w:val="1"/>
    </w:lvl>
  </w:abstractNum>
  <w:abstractNum w:abstractNumId="44">
    <w:nsid w:val="6F6DD9AC"/>
    <w:multiLevelType w:val="hybridMultilevel"/>
    <w:lvl w:ilvl="0">
      <w:lvlJc w:val="left"/>
      <w:lvlText w:val="(%1)"/>
      <w:numFmt w:val="lowerLetter"/>
      <w:start w:val="2"/>
    </w:lvl>
    <w:lvl w:ilvl="1">
      <w:lvlJc w:val="left"/>
      <w:lvlText w:val="(%2)"/>
      <w:numFmt w:val="lowerRoman"/>
      <w:start w:val="1"/>
    </w:lvl>
  </w:abstractNum>
  <w:abstractNum w:abstractNumId="45">
    <w:nsid w:val="94211F2"/>
    <w:multiLevelType w:val="hybridMultilevel"/>
    <w:lvl w:ilvl="0">
      <w:lvlJc w:val="left"/>
      <w:lvlText w:val="%1"/>
      <w:numFmt w:val="lowerLetter"/>
      <w:start w:val="1"/>
    </w:lvl>
    <w:lvl w:ilvl="1">
      <w:lvlJc w:val="left"/>
      <w:lvlText w:val="(%2)"/>
      <w:numFmt w:val="lowerRoman"/>
      <w:start w:val="17"/>
    </w:lvl>
  </w:abstractNum>
  <w:abstractNum w:abstractNumId="46">
    <w:nsid w:val="885E1B"/>
    <w:multiLevelType w:val="hybridMultilevel"/>
    <w:lvl w:ilvl="0">
      <w:lvlJc w:val="left"/>
      <w:lvlText w:val="(%1)"/>
      <w:numFmt w:val="lowerLetter"/>
      <w:start w:val="3"/>
    </w:lvl>
    <w:lvl w:ilvl="1">
      <w:lvlJc w:val="left"/>
      <w:lvlText w:val="%2"/>
      <w:numFmt w:val="lowerRoman"/>
      <w:start w:val="1"/>
    </w:lvl>
  </w:abstractNum>
  <w:abstractNum w:abstractNumId="47">
    <w:nsid w:val="76272110"/>
    <w:multiLevelType w:val="hybridMultilevel"/>
    <w:lvl w:ilvl="0">
      <w:lvlJc w:val="left"/>
      <w:lvlText w:val="(%1)"/>
      <w:numFmt w:val="lowerLetter"/>
      <w:start w:val="1"/>
    </w:lvl>
    <w:lvl w:ilvl="1">
      <w:lvlJc w:val="left"/>
      <w:lvlText w:val="(%2)"/>
      <w:numFmt w:val="lowerLetter"/>
      <w:start w:val="9"/>
    </w:lvl>
  </w:abstractNum>
  <w:abstractNum w:abstractNumId="48">
    <w:nsid w:val="4C04A8AF"/>
    <w:multiLevelType w:val="hybridMultilevel"/>
    <w:lvl w:ilvl="0">
      <w:lvlJc w:val="left"/>
      <w:lvlText w:val="(%1)"/>
      <w:numFmt w:val="lowerRoman"/>
      <w:start w:val="2"/>
    </w:lvl>
  </w:abstractNum>
  <w:abstractNum w:abstractNumId="49">
    <w:nsid w:val="1716703B"/>
    <w:multiLevelType w:val="hybridMultilevel"/>
    <w:lvl w:ilvl="0">
      <w:lvlJc w:val="left"/>
      <w:lvlText w:val="(%1)"/>
      <w:numFmt w:val="lowerRoman"/>
      <w:start w:val="9"/>
    </w:lvl>
  </w:abstractNum>
  <w:abstractNum w:abstractNumId="50">
    <w:nsid w:val="14E17E33"/>
    <w:multiLevelType w:val="hybridMultilevel"/>
    <w:lvl w:ilvl="0">
      <w:lvlJc w:val="left"/>
      <w:lvlText w:val="%1"/>
      <w:numFmt w:val="upperLetter"/>
      <w:start w:val="1"/>
    </w:lvl>
    <w:lvl w:ilvl="1">
      <w:lvlJc w:val="left"/>
      <w:lvlText w:val="(%2)"/>
      <w:numFmt w:val="lowerRoman"/>
      <w:start w:val="15"/>
    </w:lvl>
  </w:abstractNum>
  <w:abstractNum w:abstractNumId="51">
    <w:nsid w:val="3222E7CD"/>
    <w:multiLevelType w:val="hybridMultilevel"/>
    <w:lvl w:ilvl="0">
      <w:lvlJc w:val="left"/>
      <w:lvlText w:val="(%1)"/>
      <w:numFmt w:val="upperLetter"/>
      <w:start w:val="3"/>
    </w:lvl>
    <w:lvl w:ilvl="1">
      <w:lvlJc w:val="left"/>
      <w:lvlText w:val="(%2)"/>
      <w:numFmt w:val="lowerRoman"/>
      <w:start w:val="2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lowerLetter"/>
      <w:start w:val="2"/>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8">
    <w:nsid w:val="57FC4FB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9">
    <w:nsid w:val="CC1016F"/>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60">
    <w:nsid w:val="43F18422"/>
    <w:multiLevelType w:val="hybridMultilevel"/>
    <w:lvl w:ilvl="0">
      <w:lvlJc w:val="left"/>
      <w:lvlText w:val="(%1)"/>
      <w:numFmt w:val="lowerLetter"/>
      <w:start w:val="3"/>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2"/>
    </w:lvl>
    <w:lvl w:ilvl="1">
      <w:lvlJc w:val="left"/>
      <w:lvlText w:val="(%2)"/>
      <w:numFmt w:val="lowerLetter"/>
      <w:start w:val="9"/>
    </w:lvl>
  </w:abstractNum>
  <w:abstractNum w:abstractNumId="63">
    <w:nsid w:val="7F01579B"/>
    <w:multiLevelType w:val="hybridMultilevel"/>
    <w:lvl w:ilvl="0">
      <w:lvlJc w:val="left"/>
      <w:lvlText w:val="%1"/>
      <w:numFmt w:val="lowerLetter"/>
      <w:start w:val="1"/>
    </w:lvl>
    <w:lvl w:ilvl="1">
      <w:lvlJc w:val="left"/>
      <w:lvlText w:val="(%2)"/>
      <w:numFmt w:val="lowerRoman"/>
      <w:start w:val="2"/>
    </w:lvl>
  </w:abstractNum>
  <w:abstractNum w:abstractNumId="64">
    <w:nsid w:val="49DA307D"/>
    <w:multiLevelType w:val="hybridMultilevel"/>
    <w:lvl w:ilvl="0">
      <w:lvlJc w:val="left"/>
      <w:lvlText w:val="(%1)"/>
      <w:numFmt w:val="lowerLetter"/>
      <w:start w:val="5"/>
    </w:lvl>
    <w:lvl w:ilvl="1">
      <w:lvlJc w:val="left"/>
      <w:lvlText w:val="(%2)"/>
      <w:numFmt w:val="lowerRoman"/>
      <w:start w:val="1"/>
    </w:lvl>
  </w:abstractNum>
  <w:abstractNum w:abstractNumId="65">
    <w:nsid w:val="7055A5F5"/>
    <w:multiLevelType w:val="hybridMultilevel"/>
    <w:lvl w:ilvl="0">
      <w:lvlJc w:val="left"/>
      <w:lvlText w:val="%1"/>
      <w:numFmt w:val="lowerLetter"/>
      <w:start w:val="1"/>
    </w:lvl>
    <w:lvl w:ilvl="1">
      <w:lvlJc w:val="left"/>
      <w:lvlText w:val="(%2)"/>
      <w:numFmt w:val="lowerLetter"/>
      <w:start w:val="35"/>
    </w:lvl>
  </w:abstractNum>
  <w:abstractNum w:abstractNumId="66">
    <w:nsid w:val="5FB8370B"/>
    <w:multiLevelType w:val="hybridMultilevel"/>
    <w:lvl w:ilvl="0">
      <w:lvlJc w:val="left"/>
      <w:lvlText w:val="(%1)"/>
      <w:numFmt w:val="lowerLetter"/>
      <w:start w:val="7"/>
    </w:lvl>
    <w:lvl w:ilvl="1">
      <w:lvlJc w:val="left"/>
      <w:lvlText w:val="%2"/>
      <w:numFmt w:val="lowerLetter"/>
      <w:start w:val="1"/>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2"/>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lowerLetter"/>
      <w:start w:val="5"/>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Letter"/>
      <w:start w:val="8"/>
    </w:lvl>
  </w:abstractNum>
  <w:abstractNum w:abstractNumId="76">
    <w:nsid w:val="73A1821B"/>
    <w:multiLevelType w:val="hybridMultilevel"/>
    <w:lvl w:ilvl="0">
      <w:lvlJc w:val="left"/>
      <w:lvlText w:val="(%1)"/>
      <w:numFmt w:val="lowerLetter"/>
      <w:start w:val="1"/>
    </w:lvl>
    <w:lvl w:ilvl="1">
      <w:lvlJc w:val="left"/>
      <w:lvlText w:val="(%2)"/>
      <w:numFmt w:val="lowerRoman"/>
      <w:start w:val="1"/>
    </w:lvl>
  </w:abstractNum>
  <w:abstractNum w:abstractNumId="77">
    <w:nsid w:val="7DE67713"/>
    <w:multiLevelType w:val="hybridMultilevel"/>
    <w:lvl w:ilvl="0">
      <w:lvlJc w:val="left"/>
      <w:lvlText w:val="(%1)"/>
      <w:numFmt w:val="lowerRoman"/>
      <w:start w:val="3"/>
    </w:lvl>
  </w:abstractNum>
  <w:abstractNum w:abstractNumId="78">
    <w:nsid w:val="555C55B5"/>
    <w:multiLevelType w:val="hybridMultilevel"/>
    <w:lvl w:ilvl="0">
      <w:lvlJc w:val="left"/>
      <w:lvlText w:val="(%1)"/>
      <w:numFmt w:val="lowerLetter"/>
      <w:start w:val="2"/>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1."/>
      <w:numFmt w:val="decimal"/>
      <w:start w:val="2"/>
    </w:lvl>
    <w:lvl w:ilvl="1">
      <w:lvlJc w:val="left"/>
      <w:lvlText w:val="%2."/>
      <w:numFmt w:val="upperLetter"/>
      <w:start w:val="1"/>
    </w:lvl>
  </w:abstractNum>
  <w:abstractNum w:abstractNumId="81">
    <w:nsid w:val="6A3DD3E8"/>
    <w:multiLevelType w:val="hybridMultilevel"/>
    <w:lvl w:ilvl="0">
      <w:lvlJc w:val="left"/>
      <w:lvlText w:val="%1."/>
      <w:numFmt w:val="decimal"/>
      <w:start w:val="4"/>
    </w:lvl>
    <w:lvl w:ilvl="1">
      <w:lvlJc w:val="left"/>
      <w:lvlText w:val="%2."/>
      <w:numFmt w:val="upperLetter"/>
      <w:start w:val="1"/>
    </w:lvl>
  </w:abstractNum>
  <w:abstractNum w:abstractNumId="82">
    <w:nsid w:val="71C91298"/>
    <w:multiLevelType w:val="hybridMultilevel"/>
    <w:lvl w:ilvl="0">
      <w:lvlJc w:val="left"/>
      <w:lvlText w:val="(%1)"/>
      <w:numFmt w:val="upperLetter"/>
      <w:start w:val="1"/>
    </w:lvl>
  </w:abstractNum>
  <w:abstractNum w:abstractNumId="83">
    <w:nsid w:val="9DAF632"/>
    <w:multiLevelType w:val="hybridMultilevel"/>
    <w:lvl w:ilvl="0">
      <w:lvlJc w:val="left"/>
      <w:lvlText w:val="%1."/>
      <w:numFmt w:val="decimal"/>
      <w:start w:val="9"/>
    </w:lvl>
  </w:abstractNum>
  <w:abstractNum w:abstractNumId="84">
    <w:nsid w:val="53299938"/>
    <w:multiLevelType w:val="hybridMultilevel"/>
    <w:lvl w:ilvl="0">
      <w:lvlJc w:val="left"/>
      <w:lvlText w:val="%1."/>
      <w:numFmt w:val="decimal"/>
      <w:start w:val="11"/>
    </w:lvl>
  </w:abstractNum>
  <w:abstractNum w:abstractNumId="85">
    <w:nsid w:val="1FBFE8E0"/>
    <w:multiLevelType w:val="hybridMultilevel"/>
    <w:lvl w:ilvl="0">
      <w:lvlJc w:val="left"/>
      <w:lvlText w:val="%1."/>
      <w:numFmt w:val="decimal"/>
      <w:start w:val="18"/>
    </w:lvl>
    <w:lvl w:ilvl="1">
      <w:lvlJc w:val="left"/>
      <w:lvlText w:val="%2."/>
      <w:numFmt w:val="upperLetter"/>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lowerLetter"/>
      <w:start w:val="3"/>
    </w:lvl>
  </w:abstractNum>
  <w:abstractNum w:abstractNumId="88">
    <w:nsid w:val="59ADEA3D"/>
    <w:multiLevelType w:val="hybridMultilevel"/>
    <w:lvl w:ilvl="0">
      <w:lvlJc w:val="left"/>
      <w:lvlText w:val="(%1)"/>
      <w:numFmt w:val="lowerLetter"/>
      <w:start w:val="3"/>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decimal"/>
      <w:start w:val="2"/>
    </w:lvl>
  </w:abstractNum>
  <w:abstractNum w:abstractNumId="91">
    <w:nsid w:val="1D9F6E5F"/>
    <w:multiLevelType w:val="hybridMultilevel"/>
    <w:lvl w:ilvl="0">
      <w:lvlJc w:val="left"/>
      <w:lvlText w:val="(%1)"/>
      <w:numFmt w:val="lowerLetter"/>
      <w:start w:val="7"/>
    </w:lvl>
  </w:abstractNum>
  <w:abstractNum w:abstractNumId="92">
    <w:nsid w:val="97E1B4E"/>
    <w:multiLevelType w:val="hybridMultilevel"/>
    <w:lvl w:ilvl="0">
      <w:lvlJc w:val="left"/>
      <w:lvlText w:val="%1."/>
      <w:numFmt w:val="decimal"/>
      <w:start w:val="3"/>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1."/>
      <w:numFmt w:val="decimal"/>
      <w:start w:val="4"/>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1."/>
      <w:numFmt w:val="decimal"/>
      <w:start w:val="5"/>
    </w:lvl>
  </w:abstractNum>
  <w:abstractNum w:abstractNumId="102">
    <w:nsid w:val="3C5991AA"/>
    <w:multiLevelType w:val="hybridMultilevel"/>
    <w:lvl w:ilvl="0">
      <w:lvlJc w:val="left"/>
      <w:lvlText w:val="%1."/>
      <w:numFmt w:val="decimal"/>
      <w:start w:val="6"/>
    </w:lvl>
  </w:abstractNum>
  <w:abstractNum w:abstractNumId="103">
    <w:nsid w:val="4BD8591A"/>
    <w:multiLevelType w:val="hybridMultilevel"/>
    <w:lvl w:ilvl="0">
      <w:lvlJc w:val="left"/>
      <w:lvlText w:val="(%1)"/>
      <w:numFmt w:val="lowerRoman"/>
      <w:start w:val="1"/>
    </w:lvl>
  </w:abstractNum>
  <w:abstractNum w:abstractNumId="104">
    <w:nsid w:val="78DF6A55"/>
    <w:multiLevelType w:val="hybridMultilevel"/>
    <w:lvl w:ilvl="0">
      <w:lvlJc w:val="left"/>
      <w:lvlText w:val="%1."/>
      <w:numFmt w:val="decimal"/>
      <w:start w:val="7"/>
    </w:lvl>
  </w:abstractNum>
  <w:abstractNum w:abstractNumId="105">
    <w:nsid w:val="39B7AAA2"/>
    <w:multiLevelType w:val="hybridMultilevel"/>
    <w:lvl w:ilvl="0">
      <w:lvlJc w:val="left"/>
      <w:lvlText w:val="(%1)"/>
      <w:numFmt w:val="lowerLetter"/>
      <w:start w:val="5"/>
    </w:lvl>
  </w:abstractNum>
  <w:abstractNum w:abstractNumId="106">
    <w:nsid w:val="2B0D8DBE"/>
    <w:multiLevelType w:val="hybridMultilevel"/>
    <w:lvl w:ilvl="0">
      <w:lvlJc w:val="left"/>
      <w:lvlText w:val="%1."/>
      <w:numFmt w:val="decimal"/>
      <w:start w:val="8"/>
    </w:lvl>
  </w:abstractNum>
  <w:abstractNum w:abstractNumId="107">
    <w:nsid w:val="6C80EC70"/>
    <w:multiLevelType w:val="hybridMultilevel"/>
    <w:lvl w:ilvl="0">
      <w:lvlJc w:val="left"/>
      <w:lvlText w:val="%1."/>
      <w:numFmt w:val="decimal"/>
      <w:start w:val="9"/>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lowerLetter"/>
      <w:start w:val="3"/>
    </w:lvl>
  </w:abstractNum>
  <w:abstractNum w:abstractNumId="110">
    <w:nsid w:val="2C27173B"/>
    <w:multiLevelType w:val="hybridMultilevel"/>
    <w:lvl w:ilvl="0">
      <w:lvlJc w:val="left"/>
      <w:lvlText w:val="(%1)"/>
      <w:numFmt w:val="lowerLetter"/>
      <w:start w:val="3"/>
    </w:lvl>
  </w:abstractNum>
  <w:abstractNum w:abstractNumId="111">
    <w:nsid w:val="4C9B0904"/>
    <w:multiLevelType w:val="hybridMultilevel"/>
    <w:lvl w:ilvl="0">
      <w:lvlJc w:val="left"/>
      <w:lvlText w:val="(%1)"/>
      <w:numFmt w:val="lowerLetter"/>
      <w:start w:val="1"/>
    </w:lvl>
  </w:abstractNum>
  <w:abstractNum w:abstractNumId="112">
    <w:nsid w:val="6AA7B75C"/>
    <w:multiLevelType w:val="hybridMultilevel"/>
    <w:lvl w:ilvl="0">
      <w:lvlJc w:val="left"/>
      <w:lvlText w:val="(%1)"/>
      <w:numFmt w:val="lowerLetter"/>
      <w:start w:val="5"/>
    </w:lvl>
  </w:abstractNum>
  <w:abstractNum w:abstractNumId="113">
    <w:nsid w:val="1DF029D3"/>
    <w:multiLevelType w:val="hybridMultilevel"/>
    <w:lvl w:ilvl="0">
      <w:lvlJc w:val="left"/>
      <w:lvlText w:val="(%1)"/>
      <w:numFmt w:val="lowerLetter"/>
      <w:start w:val="2"/>
    </w:lvl>
  </w:abstractNum>
  <w:abstractNum w:abstractNumId="114">
    <w:nsid w:val="5675FF36"/>
    <w:multiLevelType w:val="hybridMultilevel"/>
    <w:lvl w:ilvl="0">
      <w:lvlJc w:val="left"/>
      <w:lvlText w:val="%1."/>
      <w:numFmt w:val="decimal"/>
      <w:start w:val="2"/>
    </w:lvl>
  </w:abstractNum>
  <w:abstractNum w:abstractNumId="115">
    <w:nsid w:val="3DD15094"/>
    <w:multiLevelType w:val="hybridMultilevel"/>
    <w:lvl w:ilvl="0">
      <w:lvlJc w:val="left"/>
      <w:lvlText w:val="(%1)"/>
      <w:numFmt w:val="lowerLetter"/>
      <w:start w:val="7"/>
    </w:lvl>
  </w:abstractNum>
  <w:abstractNum w:abstractNumId="116">
    <w:nsid w:val="3DB012B3"/>
    <w:multiLevelType w:val="hybridMultilevel"/>
    <w:lvl w:ilvl="0">
      <w:lvlJc w:val="left"/>
      <w:lvlText w:val="%1."/>
      <w:numFmt w:val="decimal"/>
      <w:start w:val="3"/>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decimal"/>
      <w:start w:val="4"/>
    </w:lvl>
  </w:abstractNum>
  <w:abstractNum w:abstractNumId="119">
    <w:nsid w:val="175DFCF0"/>
    <w:multiLevelType w:val="hybridMultilevel"/>
    <w:lvl w:ilvl="0">
      <w:lvlJc w:val="left"/>
      <w:lvlText w:val="%1."/>
      <w:numFmt w:val="decimal"/>
      <w:start w:val="5"/>
    </w:lvl>
  </w:abstractNum>
  <w:abstractNum w:abstractNumId="120">
    <w:nsid w:val="4F97E3E4"/>
    <w:multiLevelType w:val="hybridMultilevel"/>
    <w:lvl w:ilvl="0">
      <w:lvlJc w:val="left"/>
      <w:lvlText w:val="%1."/>
      <w:numFmt w:val="decimal"/>
      <w:start w:val="6"/>
    </w:lvl>
  </w:abstractNum>
  <w:abstractNum w:abstractNumId="121">
    <w:nsid w:val="53B0A9E"/>
    <w:multiLevelType w:val="hybridMultilevel"/>
    <w:lvl w:ilvl="0">
      <w:lvlJc w:val="left"/>
      <w:lvlText w:val="(%1)"/>
      <w:numFmt w:val="lowerRoman"/>
      <w:start w:val="1"/>
    </w:lvl>
  </w:abstractNum>
  <w:abstractNum w:abstractNumId="122">
    <w:nsid w:val="34FD6B4F"/>
    <w:multiLevelType w:val="hybridMultilevel"/>
    <w:lvl w:ilvl="0">
      <w:lvlJc w:val="left"/>
      <w:lvlText w:val="(%1)"/>
      <w:numFmt w:val="lowerLetter"/>
      <w:start w:val="3"/>
    </w:lvl>
    <w:lvl w:ilvl="1">
      <w:lvlJc w:val="left"/>
      <w:lvlText w:val="%2."/>
      <w:numFmt w:val="decimal"/>
      <w:start w:val="8"/>
    </w:lvl>
  </w:abstractNum>
  <w:abstractNum w:abstractNumId="123">
    <w:nsid w:val="5915FF32"/>
    <w:multiLevelType w:val="hybridMultilevel"/>
    <w:lvl w:ilvl="0">
      <w:lvlJc w:val="left"/>
      <w:lvlText w:val="%1."/>
      <w:numFmt w:val="decimal"/>
      <w:start w:val="9"/>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2019-11-28T08:09:55Z</dcterms:created>
  <dcterms:modified xsi:type="dcterms:W3CDTF">2019-11-28T08:09:55Z</dcterms:modified>
</cp:coreProperties>
</file>