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olor w:val="000000"/>
        </w:rPr>
      </w:pPr>
      <w:bookmarkStart w:id="0" w:name="form8-k.htm"/>
      <w:bookmarkStart w:id="1" w:name="ksform8k"/>
      <w:bookmarkEnd w:id="0"/>
      <w:bookmarkEnd w:id="1"/>
      <w:r>
        <w:rPr>
          <w:color w:val="000000"/>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z w:val="24"/>
        </w:rPr>
        <w:t>Washington, D.C. 20549</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 xml:space="preserve">FORM </w:t>
      </w:r>
      <w:bookmarkStart w:id="2" w:name="xdx_90A_edei--DocumentType_c20230809__20"/>
      <w:bookmarkEnd w:id="2"/>
      <w:r>
        <w:rPr>
          <w:rFonts w:ascii="Times New Roman;Times;Serif" w:hAnsi="Times New Roman;Times;Serif"/>
          <w:b/>
          <w:i w:val="false"/>
          <w:caps w:val="false"/>
          <w:smallCaps w:val="false"/>
          <w:color w:val="000000"/>
          <w:sz w:val="36"/>
        </w:rPr>
        <w:t>8-K</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Pursuant to Section 13 OR 15(d) of The Securities Exchange Act of 1934</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color w:val="000000"/>
          <w:sz w:val="20"/>
        </w:rPr>
        <w:t>August 9, 2023</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bookmarkStart w:id="4" w:name="xdx_901_edei--EntityRegistrantName_c2023"/>
      <w:bookmarkEnd w:id="4"/>
      <w:r>
        <w:rPr>
          <w:rFonts w:ascii="Times New Roman;Times;Serif" w:hAnsi="Times New Roman;Times;Serif"/>
          <w:b/>
          <w:i w:val="false"/>
          <w:caps w:val="false"/>
          <w:smallCaps w:val="false"/>
          <w:color w:val="000000"/>
          <w:sz w:val="36"/>
        </w:rPr>
        <w:t>HARROW HEALTH, INC.</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registrant as specified in its charter)</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5" w:name="xdx_905_edei--EntityIncorporationStateCo"/>
            <w:bookmarkEnd w:id="5"/>
            <w:r>
              <w:rPr>
                <w:rFonts w:ascii="Times New Roman;Times;Serif" w:hAnsi="Times New Roman;Times;Serif"/>
                <w:b/>
                <w:i w:val="false"/>
                <w:caps w:val="false"/>
                <w:smallCaps w:val="false"/>
                <w:color w:val="000000"/>
                <w:sz w:val="20"/>
              </w:rPr>
              <w:t>Delaware</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6" w:name="xdx_901_edei--EntityFileNumber_c20230809"/>
            <w:bookmarkEnd w:id="6"/>
            <w:r>
              <w:rPr>
                <w:rFonts w:ascii="Times New Roman;Times;Serif" w:hAnsi="Times New Roman;Times;Serif"/>
                <w:b/>
                <w:i w:val="false"/>
                <w:caps w:val="false"/>
                <w:smallCaps w:val="false"/>
                <w:color w:val="000000"/>
                <w:sz w:val="20"/>
              </w:rPr>
              <w:t>001-35814</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7" w:name="xdx_902_edei--EntityTaxIdentificationNum"/>
            <w:bookmarkEnd w:id="7"/>
            <w:r>
              <w:rPr>
                <w:rFonts w:ascii="Times New Roman;Times;Serif" w:hAnsi="Times New Roman;Times;Serif"/>
                <w:b/>
                <w:i w:val="false"/>
                <w:caps w:val="false"/>
                <w:smallCaps w:val="false"/>
                <w:color w:val="000000"/>
                <w:sz w:val="20"/>
              </w:rPr>
              <w:t>45-0567010</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of incorporation)</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(Commission</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File Number)</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Identification No.)</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color w:val="000000"/>
                <w:sz w:val="20"/>
              </w:rPr>
            </w:pPr>
            <w:bookmarkStart w:id="8" w:name="xdx_90F_edei--EntityAddressAddressLine1_"/>
            <w:bookmarkEnd w:id="8"/>
            <w:r>
              <w:rPr>
                <w:rFonts w:ascii="Times New Roman;Times;Serif" w:hAnsi="Times New Roman;Times;Serif"/>
                <w:b/>
                <w:color w:val="000000"/>
                <w:sz w:val="20"/>
              </w:rPr>
              <w:t xml:space="preserve">102 Woodmont Blvd., </w:t>
            </w:r>
            <w:bookmarkStart w:id="9" w:name="xdx_90E_edei--EntityAddressAddressLine2_"/>
            <w:bookmarkEnd w:id="9"/>
            <w:r>
              <w:rPr>
                <w:rFonts w:ascii="Times New Roman;Times;Serif" w:hAnsi="Times New Roman;Times;Serif"/>
                <w:b/>
                <w:color w:val="000000"/>
                <w:sz w:val="20"/>
              </w:rPr>
              <w:t>Suite 610</w:t>
            </w:r>
          </w:p>
        </w:tc>
        <w:tc>
          <w:tcPr>
            <w:tcW w:w="60" w:type="dxa"/>
            <w:tcBorders/>
            <w:vAlign w:val="center"/>
          </w:tcPr>
          <w:p>
            <w:pPr>
              <w:pStyle w:val="TableContents"/>
              <w:bidi w:val="0"/>
              <w:spacing w:before="0" w:after="283"/>
              <w:jc w:val="center"/>
              <w:rPr>
                <w:color w:val="000000"/>
              </w:rPr>
            </w:pPr>
            <w:r>
              <w:rPr>
                <w:color w:val="000000"/>
              </w:rPr>
              <w:t> </w:t>
            </w:r>
          </w:p>
        </w:tc>
        <w:tc>
          <w:tcPr>
            <w:tcW w:w="920" w:type="dxa"/>
            <w:tcBorders/>
            <w:vAlign w:val="center"/>
          </w:tcPr>
          <w:p>
            <w:pPr>
              <w:pStyle w:val="TableContents"/>
              <w:bidi w:val="0"/>
              <w:spacing w:before="0" w:after="283"/>
              <w:jc w:val="center"/>
              <w:rPr>
                <w:color w:val="000000"/>
              </w:rPr>
            </w:pPr>
            <w:r>
              <w:rPr>
                <w:color w:val="000000"/>
              </w:rPr>
              <w:t> </w:t>
            </w:r>
          </w:p>
        </w:tc>
      </w:tr>
      <w:tr>
        <w:trPr/>
        <w:tc>
          <w:tcPr>
            <w:tcW w:w="3215" w:type="dxa"/>
            <w:tcBorders/>
            <w:vAlign w:val="center"/>
          </w:tcPr>
          <w:p>
            <w:pPr>
              <w:pStyle w:val="TableContents"/>
              <w:bidi w:val="0"/>
              <w:spacing w:before="0" w:after="283"/>
              <w:jc w:val="center"/>
              <w:rPr>
                <w:rFonts w:ascii="Times New Roman;Times;Serif" w:hAnsi="Times New Roman;Times;Serif"/>
                <w:b/>
                <w:color w:val="000000"/>
                <w:sz w:val="20"/>
              </w:rPr>
            </w:pPr>
            <w:bookmarkStart w:id="10" w:name="xdx_90E_edei--EntityAddressCityOrTown_c2"/>
            <w:bookmarkEnd w:id="10"/>
            <w:r>
              <w:rPr>
                <w:rFonts w:ascii="Times New Roman;Times;Serif" w:hAnsi="Times New Roman;Times;Serif"/>
                <w:b/>
                <w:color w:val="000000"/>
                <w:sz w:val="20"/>
              </w:rPr>
              <w:t xml:space="preserve">Nashville, </w:t>
            </w:r>
            <w:bookmarkStart w:id="11" w:name="xdx_90D_edei--EntityAddressStateOrProvin"/>
            <w:bookmarkEnd w:id="11"/>
            <w:r>
              <w:rPr>
                <w:rFonts w:ascii="Times New Roman;Times;Serif" w:hAnsi="Times New Roman;Times;Serif"/>
                <w:b/>
                <w:color w:val="000000"/>
                <w:sz w:val="20"/>
              </w:rPr>
              <w:t xml:space="preserve">Tennessee </w:t>
            </w:r>
          </w:p>
        </w:tc>
        <w:tc>
          <w:tcPr>
            <w:tcW w:w="60" w:type="dxa"/>
            <w:tcBorders/>
            <w:vAlign w:val="center"/>
          </w:tcPr>
          <w:p>
            <w:pPr>
              <w:pStyle w:val="TableContents"/>
              <w:bidi w:val="0"/>
              <w:spacing w:before="0" w:after="283"/>
              <w:jc w:val="center"/>
              <w:rPr>
                <w:color w:val="000000"/>
              </w:rPr>
            </w:pPr>
            <w:r>
              <w:rPr>
                <w:color w:val="000000"/>
              </w:rPr>
              <w:t> </w:t>
            </w:r>
          </w:p>
        </w:tc>
        <w:tc>
          <w:tcPr>
            <w:tcW w:w="920" w:type="dxa"/>
            <w:tcBorders/>
            <w:vAlign w:val="center"/>
          </w:tcPr>
          <w:p>
            <w:pPr>
              <w:pStyle w:val="TableContents"/>
              <w:bidi w:val="0"/>
              <w:spacing w:before="0" w:after="283"/>
              <w:jc w:val="center"/>
              <w:rPr>
                <w:rFonts w:ascii="Times New Roman;Times;Serif" w:hAnsi="Times New Roman;Times;Serif"/>
                <w:b/>
                <w:color w:val="000000"/>
                <w:sz w:val="20"/>
              </w:rPr>
            </w:pPr>
            <w:bookmarkStart w:id="12" w:name="xdx_90E_edei--EntityAddressPostalZipCode"/>
            <w:bookmarkEnd w:id="12"/>
            <w:r>
              <w:rPr>
                <w:rFonts w:ascii="Times New Roman;Times;Serif" w:hAnsi="Times New Roman;Times;Serif"/>
                <w:b/>
                <w:color w:val="000000"/>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tc>
        <w:tc>
          <w:tcPr>
            <w:tcW w:w="60" w:type="dxa"/>
            <w:tcBorders/>
            <w:vAlign w:val="center"/>
          </w:tcPr>
          <w:p>
            <w:pPr>
              <w:pStyle w:val="TableContents"/>
              <w:bidi w:val="0"/>
              <w:spacing w:before="0" w:after="283"/>
              <w:jc w:val="center"/>
              <w:rPr>
                <w:color w:val="000000"/>
              </w:rPr>
            </w:pPr>
            <w:r>
              <w:rPr>
                <w:color w:val="000000"/>
              </w:rPr>
              <w:t> </w:t>
            </w:r>
          </w:p>
        </w:tc>
        <w:tc>
          <w:tcPr>
            <w:tcW w:w="9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(Zip Code)</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Registrant’s telephone number, including area code: </w:t>
      </w:r>
      <w:bookmarkStart w:id="13" w:name="xdx_909_edei--CityAreaCode_c20230809__20"/>
      <w:bookmarkEnd w:id="13"/>
      <w:r>
        <w:rPr>
          <w:rFonts w:ascii="Times New Roman;Times;Serif" w:hAnsi="Times New Roman;Times;Serif"/>
          <w:b/>
          <w:i w:val="false"/>
          <w:caps w:val="false"/>
          <w:smallCaps w:val="false"/>
          <w:color w:val="000000"/>
          <w:sz w:val="20"/>
        </w:rPr>
        <w:t xml:space="preserve">(615) </w:t>
      </w:r>
      <w:bookmarkStart w:id="14" w:name="xdx_908_edei--LocalPhoneNumber_c20230809"/>
      <w:bookmarkEnd w:id="14"/>
      <w:r>
        <w:rPr>
          <w:rFonts w:ascii="Times New Roman;Times;Serif" w:hAnsi="Times New Roman;Times;Serif"/>
          <w:b/>
          <w:i w:val="false"/>
          <w:caps w:val="false"/>
          <w:smallCaps w:val="false"/>
          <w:color w:val="000000"/>
          <w:sz w:val="20"/>
        </w:rPr>
        <w:t>733-4730</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15" w:name="xdx_905_edei--EntityInformationFormerLeg"/>
      <w:bookmarkEnd w:id="15"/>
      <w:r>
        <w:rPr>
          <w:rFonts w:ascii="Times New Roman;Times;Serif" w:hAnsi="Times New Roman;Times;Serif"/>
          <w:b/>
          <w:i w:val="false"/>
          <w:caps w:val="false"/>
          <w:smallCaps w:val="false"/>
          <w:color w:val="000000"/>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(Former Name or Former Address, if Changed Since Last Report)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registered pursuant to Section 12(b) of the Act: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Title of each class</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Trading Symbol(s)</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16" w:name="xdx_90D_edei--Security12bTitle_c20230809"/>
            <w:bookmarkEnd w:id="16"/>
            <w:r>
              <w:rPr>
                <w:rFonts w:ascii="Times New Roman;Times;Serif" w:hAnsi="Times New Roman;Times;Serif"/>
                <w:color w:val="000000"/>
                <w:sz w:val="20"/>
              </w:rPr>
              <w:t>Common Stock, $0.001 par value per share</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17" w:name="xdx_900_edei--TradingSymbol_c20230809__2"/>
            <w:bookmarkEnd w:id="17"/>
            <w:r>
              <w:rPr>
                <w:rFonts w:ascii="Times New Roman;Times;Serif" w:hAnsi="Times New Roman;Times;Serif"/>
                <w:color w:val="000000"/>
                <w:sz w:val="20"/>
              </w:rPr>
              <w:t>HROW</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18" w:name="xdx_90D_edei--SecurityExchangeName_c2023"/>
            <w:bookmarkEnd w:id="18"/>
            <w:r>
              <w:rPr>
                <w:rFonts w:ascii="Times New Roman;Times;Serif" w:hAnsi="Times New Roman;Times;Serif"/>
                <w:color w:val="000000"/>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19" w:name="xdx_90E_edei--Security12bTitle_c20230809"/>
            <w:bookmarkEnd w:id="19"/>
            <w:r>
              <w:rPr>
                <w:rFonts w:ascii="Times New Roman;Times;Serif" w:hAnsi="Times New Roman;Times;Serif"/>
                <w:color w:val="000000"/>
                <w:sz w:val="20"/>
              </w:rPr>
              <w:t>8.625% Senior Notes due 2026</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20" w:name="xdx_900_edei--TradingSymbol_c20230809__2"/>
            <w:bookmarkEnd w:id="20"/>
            <w:r>
              <w:rPr>
                <w:rFonts w:ascii="Times New Roman;Times;Serif" w:hAnsi="Times New Roman;Times;Serif"/>
                <w:color w:val="000000"/>
                <w:sz w:val="20"/>
              </w:rPr>
              <w:t>HROWL</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21" w:name="xdx_908_edei--SecurityExchangeName_c2023"/>
            <w:bookmarkEnd w:id="21"/>
            <w:r>
              <w:rPr>
                <w:rFonts w:ascii="Times New Roman;Times;Serif" w:hAnsi="Times New Roman;Times;Serif"/>
                <w:color w:val="000000"/>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22" w:name="xdx_907_edei--Security12bTitle_c20230809"/>
            <w:bookmarkEnd w:id="22"/>
            <w:r>
              <w:rPr>
                <w:rFonts w:ascii="Times New Roman;Times;Serif" w:hAnsi="Times New Roman;Times;Serif"/>
                <w:color w:val="000000"/>
                <w:sz w:val="20"/>
              </w:rPr>
              <w:t>11.875% Senior Notes due 2027</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23" w:name="xdx_900_edei--TradingSymbol_c20230809__2"/>
            <w:bookmarkEnd w:id="23"/>
            <w:r>
              <w:rPr>
                <w:rFonts w:ascii="Times New Roman;Times;Serif" w:hAnsi="Times New Roman;Times;Serif"/>
                <w:color w:val="000000"/>
                <w:sz w:val="20"/>
              </w:rPr>
              <w:t>HROWM</w:t>
            </w:r>
          </w:p>
        </w:tc>
        <w:tc>
          <w:tcPr>
            <w:tcW w:w="60" w:type="dxa"/>
            <w:tcBorders/>
            <w:tcMar>
              <w:bottom w:w="0" w:type="dxa"/>
            </w:tcMar>
            <w:vAlign w:val="center"/>
          </w:tcPr>
          <w:p>
            <w:pPr>
              <w:pStyle w:val="TableContents"/>
              <w:bidi w:val="0"/>
              <w:spacing w:before="0" w:after="283"/>
              <w:jc w:val="center"/>
              <w:rPr>
                <w:color w:val="000000"/>
              </w:rPr>
            </w:pPr>
            <w:r>
              <w:rPr>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bookmarkStart w:id="24" w:name="xdx_902_edei--SecurityExchangeName_c2023"/>
            <w:bookmarkEnd w:id="24"/>
            <w:r>
              <w:rPr>
                <w:rFonts w:ascii="Times New Roman;Times;Serif" w:hAnsi="Times New Roman;Times;Serif"/>
                <w:color w:val="000000"/>
                <w:sz w:val="20"/>
              </w:rPr>
              <w:t>The Nasdaq Stock Market LLC</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bookmarkStart w:id="25" w:name="xdx_904_edei--WrittenCommunications_c202"/>
            <w:bookmarkEnd w:id="25"/>
            <w:r>
              <w:rPr>
                <w:color w:val="000000"/>
              </w:rPr>
              <w:t>☐</w:t>
            </w:r>
          </w:p>
        </w:tc>
        <w:tc>
          <w:tcPr>
            <w:tcW w:w="90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olor w:val="000000"/>
              </w:rPr>
            </w:pPr>
            <w:r>
              <w:rPr>
                <w:color w:val="000000"/>
              </w:rPr>
              <w:t> </w:t>
            </w:r>
          </w:p>
        </w:tc>
        <w:tc>
          <w:tcPr>
            <w:tcW w:w="9065" w:type="dxa"/>
            <w:tcBorders/>
            <w:vAlign w:val="center"/>
          </w:tcPr>
          <w:p>
            <w:pPr>
              <w:pStyle w:val="TableContents"/>
              <w:bidi w:val="0"/>
              <w:spacing w:before="0" w:after="283"/>
              <w:jc w:val="left"/>
              <w:rPr>
                <w:color w:val="000000"/>
              </w:rPr>
            </w:pPr>
            <w:r>
              <w:rPr>
                <w:color w:val="000000"/>
              </w:rPr>
              <w:t> </w:t>
            </w:r>
          </w:p>
        </w:tc>
      </w:tr>
      <w:tr>
        <w:trPr/>
        <w:tc>
          <w:tcPr>
            <w:tcW w:w="245" w:type="dxa"/>
            <w:tcBorders/>
            <w:vAlign w:val="center"/>
          </w:tcPr>
          <w:p>
            <w:pPr>
              <w:pStyle w:val="TableContents"/>
              <w:bidi w:val="0"/>
              <w:spacing w:before="0" w:after="283"/>
              <w:jc w:val="left"/>
              <w:rPr>
                <w:color w:val="000000"/>
              </w:rPr>
            </w:pPr>
            <w:bookmarkStart w:id="26" w:name="xdx_90D_edei--SolicitingMaterial_c202308"/>
            <w:bookmarkEnd w:id="26"/>
            <w:r>
              <w:rPr>
                <w:color w:val="000000"/>
              </w:rPr>
              <w:t>☐</w:t>
            </w:r>
          </w:p>
        </w:tc>
        <w:tc>
          <w:tcPr>
            <w:tcW w:w="90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olor w:val="000000"/>
              </w:rPr>
            </w:pPr>
            <w:r>
              <w:rPr>
                <w:color w:val="000000"/>
              </w:rPr>
              <w:t> </w:t>
            </w:r>
          </w:p>
        </w:tc>
        <w:tc>
          <w:tcPr>
            <w:tcW w:w="9065" w:type="dxa"/>
            <w:tcBorders/>
            <w:vAlign w:val="center"/>
          </w:tcPr>
          <w:p>
            <w:pPr>
              <w:pStyle w:val="TableContents"/>
              <w:bidi w:val="0"/>
              <w:spacing w:before="0" w:after="283"/>
              <w:jc w:val="left"/>
              <w:rPr>
                <w:color w:val="000000"/>
              </w:rPr>
            </w:pPr>
            <w:r>
              <w:rPr>
                <w:color w:val="000000"/>
              </w:rPr>
              <w:t> </w:t>
            </w:r>
          </w:p>
        </w:tc>
      </w:tr>
      <w:tr>
        <w:trPr/>
        <w:tc>
          <w:tcPr>
            <w:tcW w:w="245" w:type="dxa"/>
            <w:tcBorders/>
            <w:vAlign w:val="center"/>
          </w:tcPr>
          <w:p>
            <w:pPr>
              <w:pStyle w:val="TableContents"/>
              <w:bidi w:val="0"/>
              <w:spacing w:before="0" w:after="283"/>
              <w:jc w:val="left"/>
              <w:rPr>
                <w:color w:val="000000"/>
              </w:rPr>
            </w:pPr>
            <w:bookmarkStart w:id="27" w:name="xdx_90E_edei--PreCommencementTenderOffer"/>
            <w:bookmarkEnd w:id="27"/>
            <w:r>
              <w:rPr>
                <w:color w:val="000000"/>
              </w:rPr>
              <w:t>☐</w:t>
            </w:r>
          </w:p>
        </w:tc>
        <w:tc>
          <w:tcPr>
            <w:tcW w:w="90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olor w:val="000000"/>
              </w:rPr>
            </w:pPr>
            <w:r>
              <w:rPr>
                <w:color w:val="000000"/>
              </w:rPr>
              <w:t> </w:t>
            </w:r>
          </w:p>
        </w:tc>
        <w:tc>
          <w:tcPr>
            <w:tcW w:w="9065" w:type="dxa"/>
            <w:tcBorders/>
            <w:vAlign w:val="center"/>
          </w:tcPr>
          <w:p>
            <w:pPr>
              <w:pStyle w:val="TableContents"/>
              <w:bidi w:val="0"/>
              <w:spacing w:before="0" w:after="283"/>
              <w:jc w:val="left"/>
              <w:rPr>
                <w:color w:val="000000"/>
              </w:rPr>
            </w:pPr>
            <w:r>
              <w:rPr>
                <w:color w:val="000000"/>
              </w:rPr>
              <w:t> </w:t>
            </w:r>
          </w:p>
        </w:tc>
      </w:tr>
      <w:tr>
        <w:trPr/>
        <w:tc>
          <w:tcPr>
            <w:tcW w:w="245" w:type="dxa"/>
            <w:tcBorders/>
            <w:vAlign w:val="center"/>
          </w:tcPr>
          <w:p>
            <w:pPr>
              <w:pStyle w:val="TableContents"/>
              <w:bidi w:val="0"/>
              <w:spacing w:before="0" w:after="283"/>
              <w:jc w:val="left"/>
              <w:rPr>
                <w:color w:val="000000"/>
              </w:rPr>
            </w:pPr>
            <w:bookmarkStart w:id="28" w:name="xdx_900_edei--PreCommencementIssuerTende"/>
            <w:bookmarkEnd w:id="28"/>
            <w:r>
              <w:rPr>
                <w:color w:val="000000"/>
              </w:rPr>
              <w:t>☐</w:t>
            </w:r>
          </w:p>
        </w:tc>
        <w:tc>
          <w:tcPr>
            <w:tcW w:w="90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check mark whether the registrant is an emerging growth company as defined in Rule 405 of the Securities Act of 1933 or Rule 12b-2 of the Securities Act of 1934: Emerging growth company </w:t>
      </w:r>
      <w:bookmarkStart w:id="29" w:name="xdx_900_edei--EntityEmergingGrowthCompan"/>
      <w:bookmarkEnd w:id="29"/>
      <w:r>
        <w:rPr>
          <w:rFonts w:ascii="Times New Roman;Times;Serif" w:hAnsi="Times New Roman;Times;Serif"/>
          <w:b w:val="false"/>
          <w:i w:val="false"/>
          <w:caps w:val="false"/>
          <w:smallCaps w:val="false"/>
          <w:color w:val="000000"/>
          <w:sz w:val="20"/>
        </w:rPr>
        <w: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2.02 Results of Operations and Financial Condition.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August 9, 2023, Harrow Health, Inc. (the “Company”) issued a press release and a letter to stockholders announcing its financial results for the period ended June 30, 2023 and an update on recent corporate events. The press release and letter to stockholders are being furnished as Exhibits 99.1 and 99.2, respectively, to this Current Report on Form 8-K.</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9.01. Financial Statements and Exhibits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r>
        <w:trPr/>
        <w:tc>
          <w:tcPr>
            <w:tcW w:w="3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99.1</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sz w:val="20"/>
                </w:rPr>
                <w:t>Press Release issued by Harrow Health, Inc. on August 9, 2023</w:t>
              </w:r>
            </w:hyperlink>
          </w:p>
        </w:tc>
      </w:tr>
      <w:tr>
        <w:trPr/>
        <w:tc>
          <w:tcPr>
            <w:tcW w:w="3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99.2</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sz w:val="20"/>
                </w:rPr>
                <w:t>Letter to Stockholders by Harrow Health, Inc. dated August 9, 2023</w:t>
              </w:r>
            </w:hyperlink>
          </w:p>
        </w:tc>
      </w:tr>
      <w:tr>
        <w:trPr/>
        <w:tc>
          <w:tcPr>
            <w:tcW w:w="3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104</w:t>
            </w:r>
          </w:p>
        </w:tc>
        <w:tc>
          <w:tcPr>
            <w:tcW w:w="60" w:type="dxa"/>
            <w:tcBorders/>
            <w:vAlign w:val="center"/>
          </w:tcPr>
          <w:p>
            <w:pPr>
              <w:pStyle w:val="TableContents"/>
              <w:bidi w:val="0"/>
              <w:spacing w:before="0" w:after="283"/>
              <w:jc w:val="left"/>
              <w:rPr>
                <w:color w:val="000000"/>
              </w:rPr>
            </w:pPr>
            <w:r>
              <w:rPr>
                <w:color w:val="000000"/>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SIGNATURES</w:t>
      </w:r>
    </w:p>
    <w:p>
      <w:pPr>
        <w:pStyle w:val="TextBody"/>
        <w:bidi w:val="0"/>
        <w:spacing w:before="0" w:after="0"/>
        <w:ind w:left="0" w:right="0" w:firstLine="367"/>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color w:val="000000"/>
        </w:rPr>
      </w:pPr>
      <w:r>
        <w:rPr>
          <w:caps w:val="false"/>
          <w:smallCaps w:val="false"/>
          <w:color w:val="000000"/>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color w:val="000000"/>
              </w:rPr>
            </w:pPr>
            <w:r>
              <w:rPr>
                <w:color w:val="000000"/>
              </w:rPr>
              <w:t> </w:t>
            </w:r>
          </w:p>
        </w:tc>
        <w:tc>
          <w:tcPr>
            <w:tcW w:w="2440" w:type="dxa"/>
            <w:gridSpan w:val="2"/>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HARROW HEALTH, INC.</w:t>
            </w:r>
          </w:p>
        </w:tc>
      </w:tr>
      <w:tr>
        <w:trPr/>
        <w:tc>
          <w:tcPr>
            <w:tcW w:w="1865" w:type="dxa"/>
            <w:tcBorders/>
            <w:vAlign w:val="center"/>
          </w:tcPr>
          <w:p>
            <w:pPr>
              <w:pStyle w:val="TableContents"/>
              <w:bidi w:val="0"/>
              <w:spacing w:before="0" w:after="283"/>
              <w:jc w:val="left"/>
              <w:rPr>
                <w:color w:val="000000"/>
              </w:rPr>
            </w:pPr>
            <w:r>
              <w:rPr>
                <w:color w:val="000000"/>
              </w:rPr>
              <w:t> </w:t>
            </w:r>
          </w:p>
        </w:tc>
        <w:tc>
          <w:tcPr>
            <w:tcW w:w="545" w:type="dxa"/>
            <w:tcBorders/>
            <w:vAlign w:val="center"/>
          </w:tcPr>
          <w:p>
            <w:pPr>
              <w:pStyle w:val="TableContents"/>
              <w:bidi w:val="0"/>
              <w:spacing w:before="0" w:after="283"/>
              <w:jc w:val="right"/>
              <w:rPr>
                <w:color w:val="000000"/>
              </w:rPr>
            </w:pPr>
            <w:r>
              <w:rPr>
                <w:color w:val="000000"/>
              </w:rPr>
              <w:t> </w:t>
            </w:r>
          </w:p>
        </w:tc>
        <w:tc>
          <w:tcPr>
            <w:tcW w:w="189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Dated: August 9, 2023</w:t>
            </w:r>
          </w:p>
        </w:tc>
        <w:tc>
          <w:tcPr>
            <w:tcW w:w="5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color w:val="000000"/>
                <w:sz w:val="20"/>
              </w:rPr>
            </w:pPr>
            <w:r>
              <w:rPr>
                <w:rFonts w:ascii="Times New Roman;Times;Serif" w:hAnsi="Times New Roman;Times;Serif"/>
                <w:i/>
                <w:color w:val="000000"/>
                <w:sz w:val="20"/>
              </w:rPr>
              <w:t>/s/ Andrew R. Boll</w:t>
            </w:r>
          </w:p>
        </w:tc>
      </w:tr>
      <w:tr>
        <w:trPr/>
        <w:tc>
          <w:tcPr>
            <w:tcW w:w="1865" w:type="dxa"/>
            <w:tcBorders/>
            <w:vAlign w:val="center"/>
          </w:tcPr>
          <w:p>
            <w:pPr>
              <w:pStyle w:val="TableContents"/>
              <w:bidi w:val="0"/>
              <w:spacing w:before="0" w:after="283"/>
              <w:jc w:val="left"/>
              <w:rPr>
                <w:color w:val="000000"/>
              </w:rPr>
            </w:pPr>
            <w:r>
              <w:rPr>
                <w:color w:val="000000"/>
              </w:rPr>
              <w:t> </w:t>
            </w:r>
          </w:p>
        </w:tc>
        <w:tc>
          <w:tcPr>
            <w:tcW w:w="5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9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Andrew R. Boll</w:t>
            </w:r>
          </w:p>
        </w:tc>
      </w:tr>
      <w:tr>
        <w:trPr/>
        <w:tc>
          <w:tcPr>
            <w:tcW w:w="1865" w:type="dxa"/>
            <w:tcBorders/>
            <w:vAlign w:val="center"/>
          </w:tcPr>
          <w:p>
            <w:pPr>
              <w:pStyle w:val="TableContents"/>
              <w:bidi w:val="0"/>
              <w:spacing w:before="0" w:after="283"/>
              <w:jc w:val="left"/>
              <w:rPr>
                <w:color w:val="000000"/>
              </w:rPr>
            </w:pPr>
            <w:r>
              <w:rPr>
                <w:color w:val="000000"/>
              </w:rPr>
              <w:t> </w:t>
            </w:r>
          </w:p>
        </w:tc>
        <w:tc>
          <w:tcPr>
            <w:tcW w:w="5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9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bl>
    <w:p>
      <w:pPr>
        <w:pStyle w:val="TextBody"/>
        <w:bidi w:val="0"/>
        <w:spacing w:before="0" w:after="0"/>
        <w:ind w:left="0" w:right="0" w:firstLine="367"/>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pBdr/>
        <w:shd w:fill="FFFFFF" w:val="clear"/>
        <w:bidi w:val="0"/>
        <w:spacing w:before="0" w:after="0"/>
        <w:ind w:left="0" w:right="0" w:hanging="0"/>
        <w:jc w:val="right"/>
        <w:rPr>
          <w:caps w:val="false"/>
          <w:smallCaps w:val="false"/>
        </w:rPr>
      </w:pPr>
      <w:bookmarkStart w:id="30" w:name="ex99-1.htm"/>
      <w:bookmarkStart w:id="31" w:name="ksex991"/>
      <w:bookmarkEnd w:id="30"/>
      <w:bookmarkEnd w:id="31"/>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position w:val="-2"/>
          <w:sz w:val="16"/>
          <w:sz w:val="20"/>
        </w:rPr>
      </w:pPr>
      <w:r>
        <w:rPr>
          <w:rFonts w:ascii="Times New Roman;Times;Serif" w:hAnsi="Times New Roman;Times;Serif"/>
          <w:b/>
          <w:i w:val="false"/>
          <w:caps w:val="false"/>
          <w:smallCaps w:val="false"/>
          <w:position w:val="-2"/>
          <w:sz w:val="16"/>
          <w:sz w:val="20"/>
        </w:rPr>
        <w:t>EXHIBIT 99.1</w:t>
      </w:r>
    </w:p>
    <w:p>
      <w:pPr>
        <w:pStyle w:val="TextBody"/>
        <w:pBdr/>
        <w:shd w:fill="FFFFFF" w:val="clear"/>
        <w:bidi w:val="0"/>
        <w:spacing w:before="0" w:after="0"/>
        <w:ind w:left="0" w:right="0" w:hanging="0"/>
        <w:jc w:val="right"/>
        <w:rPr>
          <w:caps w:val="false"/>
          <w:smallCaps w:val="false"/>
          <w:position w:val="-2"/>
          <w:sz w:val="19"/>
        </w:rPr>
      </w:pPr>
      <w:r>
        <w:rPr>
          <w:caps w:val="false"/>
          <w:smallCaps w:val="false"/>
          <w:position w:val="-2"/>
          <w:sz w:val="19"/>
        </w:rPr>
        <w:t> </w:t>
      </w:r>
    </w:p>
    <w:p>
      <w:pPr>
        <w:pStyle w:val="TextBody"/>
        <w:pBdr/>
        <w:shd w:fill="FFFFFF" w:val="clear"/>
        <w:bidi w:val="0"/>
        <w:spacing w:before="0" w:after="0"/>
        <w:ind w:left="0" w:right="0" w:hanging="0"/>
        <w:jc w:val="center"/>
        <w:rPr>
          <w:caps w:val="false"/>
          <w:smallCaps w:val="false"/>
          <w:position w:val="-2"/>
          <w:sz w:val="19"/>
        </w:rPr>
      </w:pPr>
      <w:r>
        <w:rPr>
          <w:caps w:val="false"/>
          <w:smallCaps w:val="false"/>
          <w:position w:val="-2"/>
          <w:sz w:val="19"/>
        </w:rPr>
        <w:drawing>
          <wp:inline distT="0" distB="0" distL="0" distR="0">
            <wp:extent cx="1600200" cy="841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841375"/>
                    </a:xfrm>
                    <a:prstGeom prst="rect">
                      <a:avLst/>
                    </a:prstGeom>
                  </pic:spPr>
                </pic:pic>
              </a:graphicData>
            </a:graphic>
          </wp:inline>
        </w:drawing>
      </w:r>
    </w:p>
    <w:p>
      <w:pPr>
        <w:pStyle w:val="TextBody"/>
        <w:pBdr/>
        <w:shd w:fill="FFFFFF" w:val="clear"/>
        <w:bidi w:val="0"/>
        <w:spacing w:before="0" w:after="0"/>
        <w:ind w:left="0" w:right="0" w:hanging="0"/>
        <w:jc w:val="center"/>
        <w:rPr>
          <w:caps w:val="false"/>
          <w:smallCaps w:val="false"/>
          <w:position w:val="-2"/>
          <w:sz w:val="19"/>
        </w:rPr>
      </w:pPr>
      <w:r>
        <w:rPr>
          <w:caps w:val="false"/>
          <w:smallCaps w:val="false"/>
          <w:position w:val="-2"/>
          <w:sz w:val="19"/>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Second Quarter 2023 Financial Results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2023 and Recent Selected Highlights:</w:t>
      </w:r>
    </w:p>
    <w:p>
      <w:pPr>
        <w:pStyle w:val="TextBody"/>
        <w:pBdr/>
        <w:shd w:fill="FFFFFF" w:val="clear"/>
        <w:bidi w:val="0"/>
        <w:spacing w:before="0" w:after="0"/>
        <w:ind w:left="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$33.5 million, an increase of 44% over $23.3 million in the prior-year quarter and an increase of 28% over $26.1 million in the sequential quarter.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of ($4.2)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adjusted EBITDA of $11.0 million, an increase of 144% over $4.5 million in the prior-year quarter and an increase of 108% over $5.3 million in the sequential quarter.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public offering of common stock for aggregate gross proceeds of $69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Oaktree Loan from $100 million to $112.50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certain commercial rights to FLAREX®, NATACYN®, TOBRADEX® ST, VERKAZIA®, ZERVIATE®, and Non-Prescription Brands FRESHKOTE® and Cationorm® PLUS.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Acquired North American commercial rights to VEVYE®, a novel FDA-approved drug labeled to treat both the signs and symptoms of dry eye disease.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transfer of New Drug Application for VIGAMOX®.</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August 9, 2023 – Harrow (Nasdaq: HROW), a leading U.S. eyecare pharmaceutical company, today announced results for the second quarter and six months ended June 30, 2023. The Company also posted its second quarter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corporate presentation</w:t>
      </w:r>
      <w:r>
        <w:rPr>
          <w:rFonts w:ascii="Times New Roman;Times;Serif" w:hAnsi="Times New Roman;Times;Serif"/>
          <w:b w:val="false"/>
          <w:i w:val="false"/>
          <w:caps w:val="false"/>
          <w:smallCaps w:val="false"/>
          <w:sz w:val="20"/>
        </w:rPr>
        <w:t xml:space="preserve"> 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team has made great progress positioning Harrow as a top-tier U.S.-focused ophthalmic pharmaceutical company,” said Mark L. Baum, CEO of Harrow. “Since January of 2023, through a series of transactions, we have not only improved Harrow’s balance sheet, but we’ve dramatically improved Harrow’s product portfolio, which is now one of the most comprehensive ophthalmic pharmaceutical offerings in the U.S. market. With what we now have in our “bag” and continued execution and operational performance by the Harrow team, we believe we are on our way to achieving the highest financial goals for Harrow’s stockholders.”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2023 figures of merit:</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8861" w:type="dxa"/>
        <w:jc w:val="left"/>
        <w:tblInd w:w="0" w:type="dxa"/>
        <w:tblLayout w:type="fixed"/>
        <w:tblCellMar>
          <w:top w:w="0" w:type="dxa"/>
          <w:left w:w="0" w:type="dxa"/>
          <w:bottom w:w="0" w:type="dxa"/>
          <w:right w:w="0" w:type="dxa"/>
        </w:tblCellMar>
      </w:tblPr>
      <w:tblGrid>
        <w:gridCol w:w="3455"/>
        <w:gridCol w:w="60"/>
        <w:gridCol w:w="127"/>
        <w:gridCol w:w="971"/>
        <w:gridCol w:w="189"/>
        <w:gridCol w:w="61"/>
        <w:gridCol w:w="127"/>
        <w:gridCol w:w="971"/>
        <w:gridCol w:w="185"/>
        <w:gridCol w:w="60"/>
        <w:gridCol w:w="125"/>
        <w:gridCol w:w="1010"/>
        <w:gridCol w:w="185"/>
        <w:gridCol w:w="60"/>
        <w:gridCol w:w="125"/>
        <w:gridCol w:w="950"/>
        <w:gridCol w:w="200"/>
      </w:tblGrid>
      <w:tr>
        <w:trPr/>
        <w:tc>
          <w:tcPr>
            <w:tcW w:w="34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1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33,470,000</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23,323,000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59,573,000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45,443,000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(4,229,000</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(6,239,000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(10,872,000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(8,677,000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net (loss) income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(494,000</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11,005,000</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4,505,000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16,347,000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9,445,000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net (loss) income per share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diluted net (loss) income per share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income, core basic and diluted net (loss)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in the financial tables section.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 conference call and live webcast today at 4:45 p.m. Eastern Time to discuss the second quarter 2023 results and provide a business update. To participate in the call, see details below:</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4025"/>
        <w:gridCol w:w="2585"/>
      </w:tblGrid>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Call Details:</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Wednesday, August 9, 2023</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 p.m. Eastern time</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Dial-in:</w:t>
            </w:r>
          </w:p>
        </w:tc>
        <w:tc>
          <w:tcPr>
            <w:tcW w:w="258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1-833-953-2434 (U.S.)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1-412-317-5763 (International)</w:t>
            </w:r>
          </w:p>
        </w:tc>
      </w:tr>
      <w:tr>
        <w:trPr/>
        <w:tc>
          <w:tcPr>
            <w:tcW w:w="402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Dial-in (Passcode 3750229):</w:t>
            </w:r>
          </w:p>
          <w:p>
            <w:pPr>
              <w:pStyle w:val="TableContents"/>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(telephonic replay through August 16, 2023)</w:t>
            </w:r>
          </w:p>
        </w:tc>
        <w:tc>
          <w:tcPr>
            <w:tcW w:w="258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1-877-344-7529 (U.S.)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1-412-317-0088 (International)</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caps w:val="false"/>
                <w:smallCaps w:val="false"/>
                <w:sz w:val="20"/>
              </w:rPr>
              <w:t>(online replay through August 9, 2024)</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harrow.com</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Health, Inc. (Nasdaq: HROW)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tbl>
      <w:tblPr>
        <w:tblW w:w="9514" w:type="dxa"/>
        <w:jc w:val="left"/>
        <w:tblInd w:w="0" w:type="dxa"/>
        <w:tblLayout w:type="fixed"/>
        <w:tblCellMar>
          <w:top w:w="0" w:type="dxa"/>
          <w:left w:w="0" w:type="dxa"/>
          <w:bottom w:w="0" w:type="dxa"/>
          <w:right w:w="0" w:type="dxa"/>
        </w:tblCellMar>
      </w:tblPr>
      <w:tblGrid>
        <w:gridCol w:w="6485"/>
        <w:gridCol w:w="60"/>
        <w:gridCol w:w="140"/>
        <w:gridCol w:w="1220"/>
        <w:gridCol w:w="60"/>
        <w:gridCol w:w="60"/>
        <w:gridCol w:w="145"/>
        <w:gridCol w:w="1269"/>
        <w:gridCol w:w="75"/>
      </w:tblGrid>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i/>
              </w:rPr>
            </w:pPr>
            <w:r>
              <w:rPr>
                <w:i/>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6485"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36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22,754,000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96,270,000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37,542,000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21,990,000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60,296,000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118,260,000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163,693,000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39,118,000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223,989,000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157,378,000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23,011,000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69" w:type="dxa"/>
            <w:tcBorders/>
            <w:shd w:fill="CCEEFF" w:val="clear"/>
            <w:vAlign w:val="center"/>
          </w:tcPr>
          <w:p>
            <w:pPr>
              <w:pStyle w:val="TableContents"/>
              <w:bidi w:val="0"/>
              <w:spacing w:before="0" w:after="283"/>
              <w:jc w:val="right"/>
              <w:rPr>
                <w:b/>
              </w:rPr>
            </w:pPr>
            <w:r>
              <w:rPr>
                <w:b/>
              </w:rPr>
              <w:t>18,632,000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Loans payable, net of current portion and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169,712,000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104,174,000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9,214,000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7,332,000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201,937,000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130,138,000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22,052,000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27,240,000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223,989,000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157,378,000</w:t>
            </w:r>
          </w:p>
        </w:tc>
        <w:tc>
          <w:tcPr>
            <w:tcW w:w="75" w:type="dxa"/>
            <w:tcBorders/>
            <w:shd w:fill="FFFFFF" w:val="clear"/>
            <w:vAlign w:val="center"/>
          </w:tcPr>
          <w:p>
            <w:pPr>
              <w:pStyle w:val="TableContents"/>
              <w:bidi w:val="0"/>
              <w:spacing w:before="0" w:after="283"/>
              <w:jc w:val="left"/>
              <w:rPr/>
            </w:pPr>
            <w:r>
              <w:rPr/>
              <w:t> </w:t>
            </w:r>
          </w:p>
        </w:tc>
      </w:tr>
    </w:tbl>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9"/>
        <w:gridCol w:w="60"/>
        <w:gridCol w:w="154"/>
        <w:gridCol w:w="1213"/>
        <w:gridCol w:w="104"/>
        <w:gridCol w:w="65"/>
        <w:gridCol w:w="154"/>
        <w:gridCol w:w="1213"/>
        <w:gridCol w:w="95"/>
        <w:gridCol w:w="60"/>
        <w:gridCol w:w="140"/>
        <w:gridCol w:w="1177"/>
        <w:gridCol w:w="95"/>
        <w:gridCol w:w="60"/>
        <w:gridCol w:w="140"/>
        <w:gridCol w:w="1102"/>
        <w:gridCol w:w="114"/>
      </w:tblGrid>
      <w:tr>
        <w:trPr/>
        <w:tc>
          <w:tcPr>
            <w:tcW w:w="4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3"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4" w:type="dxa"/>
            <w:tcBorders/>
            <w:vAlign w:val="center"/>
          </w:tcPr>
          <w:p>
            <w:pPr>
              <w:pStyle w:val="TableContents"/>
              <w:bidi w:val="0"/>
              <w:spacing w:before="0" w:after="283"/>
              <w:jc w:val="left"/>
              <w:rPr/>
            </w:pPr>
            <w:r>
              <w:rPr/>
              <w:t> </w:t>
            </w:r>
          </w:p>
        </w:tc>
      </w:tr>
      <w:tr>
        <w:trPr/>
        <w:tc>
          <w:tcPr>
            <w:tcW w:w="4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4" w:type="dxa"/>
            <w:tcBorders/>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33,470,000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23,323,000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59,573,000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45,443,000</w:t>
            </w:r>
          </w:p>
        </w:tc>
        <w:tc>
          <w:tcPr>
            <w:tcW w:w="114" w:type="dxa"/>
            <w:tcBorders/>
            <w:shd w:fill="CCEEFF" w:val="clear"/>
            <w:vAlign w:val="center"/>
          </w:tcPr>
          <w:p>
            <w:pPr>
              <w:pStyle w:val="TableContents"/>
              <w:bidi w:val="0"/>
              <w:spacing w:before="0" w:after="283"/>
              <w:jc w:val="left"/>
              <w:rPr/>
            </w:pPr>
            <w:r>
              <w:rPr/>
              <w:t> </w:t>
            </w:r>
          </w:p>
        </w:tc>
      </w:tr>
      <w:tr>
        <w:trPr/>
        <w:tc>
          <w:tcPr>
            <w:tcW w:w="4259"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6,534,000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pPr>
            <w:r>
              <w:rPr/>
              <w:t>18,271,000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12,497,000</w:t>
            </w:r>
          </w:p>
        </w:tc>
        <w:tc>
          <w:tcPr>
            <w:tcW w:w="114" w:type="dxa"/>
            <w:tcBorders/>
            <w:shd w:fill="FFFFFF" w:val="clear"/>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23,470,000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16,789,000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b/>
              </w:rPr>
            </w:pPr>
            <w:r>
              <w:rPr>
                <w:b/>
              </w:rPr>
              <w:t>41,302,000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b/>
              </w:rPr>
            </w:pPr>
            <w:r>
              <w:rPr>
                <w:b/>
              </w:rPr>
              <w:t>32,946,000</w:t>
            </w:r>
          </w:p>
        </w:tc>
        <w:tc>
          <w:tcPr>
            <w:tcW w:w="114" w:type="dxa"/>
            <w:tcBorders/>
            <w:shd w:fill="CCEEFF" w:val="clear"/>
            <w:vAlign w:val="center"/>
          </w:tcPr>
          <w:p>
            <w:pPr>
              <w:pStyle w:val="TableContents"/>
              <w:bidi w:val="0"/>
              <w:spacing w:before="0" w:after="283"/>
              <w:jc w:val="left"/>
              <w:rPr/>
            </w:pPr>
            <w:r>
              <w:rPr/>
              <w:t> </w:t>
            </w:r>
          </w:p>
        </w:tc>
      </w:tr>
      <w:tr>
        <w:trPr/>
        <w:tc>
          <w:tcPr>
            <w:tcW w:w="4259"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19,957,000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14,185,000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35,845,000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27,583,000</w:t>
            </w:r>
          </w:p>
        </w:tc>
        <w:tc>
          <w:tcPr>
            <w:tcW w:w="114" w:type="dxa"/>
            <w:tcBorders/>
            <w:shd w:fill="FFFFFF" w:val="clear"/>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1,161,000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914,000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1,895,000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1,572,000</w:t>
            </w:r>
          </w:p>
        </w:tc>
        <w:tc>
          <w:tcPr>
            <w:tcW w:w="114" w:type="dxa"/>
            <w:tcBorders/>
            <w:shd w:fill="CCEEFF" w:val="clear"/>
            <w:vAlign w:val="center"/>
          </w:tcPr>
          <w:p>
            <w:pPr>
              <w:pStyle w:val="TableContents"/>
              <w:bidi w:val="0"/>
              <w:spacing w:before="0" w:after="283"/>
              <w:jc w:val="left"/>
              <w:rPr/>
            </w:pPr>
            <w:r>
              <w:rPr/>
              <w:t> </w:t>
            </w:r>
          </w:p>
        </w:tc>
      </w:tr>
      <w:tr>
        <w:trPr/>
        <w:tc>
          <w:tcPr>
            <w:tcW w:w="4259"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21,118,000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15,099,000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37,740,000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29,155,000</w:t>
            </w:r>
          </w:p>
        </w:tc>
        <w:tc>
          <w:tcPr>
            <w:tcW w:w="114" w:type="dxa"/>
            <w:tcBorders/>
            <w:shd w:fill="FFFFFF" w:val="clear"/>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2,352,000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1,690,000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b/>
              </w:rPr>
            </w:pPr>
            <w:r>
              <w:rPr>
                <w:b/>
              </w:rPr>
              <w:t>3,562,000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b/>
              </w:rPr>
            </w:pPr>
            <w:r>
              <w:rPr>
                <w:b/>
              </w:rPr>
              <w:t>3,791,000</w:t>
            </w:r>
          </w:p>
        </w:tc>
        <w:tc>
          <w:tcPr>
            <w:tcW w:w="114" w:type="dxa"/>
            <w:tcBorders/>
            <w:shd w:fill="CCEEFF" w:val="clear"/>
            <w:vAlign w:val="center"/>
          </w:tcPr>
          <w:p>
            <w:pPr>
              <w:pStyle w:val="TableContents"/>
              <w:bidi w:val="0"/>
              <w:spacing w:before="0" w:after="283"/>
              <w:jc w:val="left"/>
              <w:rPr/>
            </w:pPr>
            <w:r>
              <w:rPr/>
              <w:t> </w:t>
            </w:r>
          </w:p>
        </w:tc>
      </w:tr>
      <w:tr>
        <w:trPr/>
        <w:tc>
          <w:tcPr>
            <w:tcW w:w="4259"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6,596,000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7,889,000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14,737,000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12,428,000</w:t>
            </w:r>
          </w:p>
        </w:tc>
        <w:tc>
          <w:tcPr>
            <w:tcW w:w="114" w:type="dxa"/>
            <w:tcBorders/>
            <w:shd w:fill="FFFFFF" w:val="clear"/>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15,000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303,000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114" w:type="dxa"/>
            <w:tcBorders/>
            <w:shd w:fill="CCEEFF" w:val="clear"/>
            <w:vAlign w:val="center"/>
          </w:tcPr>
          <w:p>
            <w:pPr>
              <w:pStyle w:val="TableContents"/>
              <w:bidi w:val="0"/>
              <w:spacing w:before="0" w:after="283"/>
              <w:jc w:val="left"/>
              <w:rPr/>
            </w:pPr>
            <w:r>
              <w:rPr/>
              <w:t>)</w:t>
            </w:r>
          </w:p>
        </w:tc>
      </w:tr>
      <w:tr>
        <w:trPr/>
        <w:tc>
          <w:tcPr>
            <w:tcW w:w="4259" w:type="dxa"/>
            <w:tcBorders/>
            <w:shd w:fill="FFFFFF" w:val="clear"/>
            <w:vAlign w:val="center"/>
          </w:tcPr>
          <w:p>
            <w:pPr>
              <w:pStyle w:val="TableContents"/>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Harrow Health, Inc.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(4,229,000</w:t>
            </w:r>
          </w:p>
        </w:tc>
        <w:tc>
          <w:tcPr>
            <w:tcW w:w="104"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(6,239,000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(10,872,000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(8,677,000</w:t>
            </w:r>
          </w:p>
        </w:tc>
        <w:tc>
          <w:tcPr>
            <w:tcW w:w="114" w:type="dxa"/>
            <w:tcBorders/>
            <w:shd w:fill="FFFFFF" w:val="clear"/>
            <w:vAlign w:val="center"/>
          </w:tcPr>
          <w:p>
            <w:pPr>
              <w:pStyle w:val="TableContents"/>
              <w:bidi w:val="0"/>
              <w:spacing w:before="0" w:after="283"/>
              <w:jc w:val="left"/>
              <w:rPr>
                <w:b/>
              </w:rPr>
            </w:pPr>
            <w:r>
              <w:rPr>
                <w:b/>
              </w:rPr>
              <w:t>)</w:t>
            </w:r>
          </w:p>
        </w:tc>
      </w:tr>
      <w:tr>
        <w:trPr/>
        <w:tc>
          <w:tcPr>
            <w:tcW w:w="4259"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(0.14</w:t>
            </w:r>
          </w:p>
        </w:tc>
        <w:tc>
          <w:tcPr>
            <w:tcW w:w="104"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(0.32</w:t>
            </w:r>
          </w:p>
        </w:tc>
        <w:tc>
          <w:tcPr>
            <w:tcW w:w="114" w:type="dxa"/>
            <w:tcBorders/>
            <w:shd w:fill="CCEEFF" w:val="clear"/>
            <w:vAlign w:val="center"/>
          </w:tcPr>
          <w:p>
            <w:pPr>
              <w:pStyle w:val="TableContents"/>
              <w:bidi w:val="0"/>
              <w:spacing w:before="0" w:after="283"/>
              <w:jc w:val="left"/>
              <w:rPr>
                <w:b/>
              </w:rPr>
            </w:pPr>
            <w:r>
              <w:rPr>
                <w:b/>
              </w:rPr>
              <w:t>)</w:t>
            </w:r>
          </w:p>
        </w:tc>
      </w:tr>
    </w:tbl>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pBdr/>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015"/>
        <w:gridCol w:w="60"/>
        <w:gridCol w:w="140"/>
        <w:gridCol w:w="1295"/>
        <w:gridCol w:w="95"/>
        <w:gridCol w:w="60"/>
        <w:gridCol w:w="140"/>
        <w:gridCol w:w="110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(3,648,000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5,827,000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(132,219,000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62,351,000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(887,000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(73,516,000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4,271,000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42,167,000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22,754,000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46,438,000</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income, excluding the effects of stock-based compensation and expenses, interest, taxes, depreciation, amortization, investment (loss) income, net, and, if any and when specified, other non-recurring income or expense items. Management believes that the most directly comparable GAAP financial measure to Adjusted EBITDA is net (loss) income.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and six months ended June 30, 2023, and for the same periods in 2022:</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pBdr/>
        <w:bidi w:val="0"/>
        <w:spacing w:before="0" w:after="0"/>
        <w:ind w:left="0" w:right="0" w:hanging="0"/>
        <w:jc w:val="left"/>
        <w:rPr>
          <w:caps w:val="false"/>
          <w:smallCaps w:val="false"/>
        </w:rPr>
      </w:pPr>
      <w:r>
        <w:rPr>
          <w:caps w:val="false"/>
          <w:smallCaps w:val="false"/>
        </w:rPr>
        <w:t> </w:t>
      </w:r>
    </w:p>
    <w:tbl>
      <w:tblPr>
        <w:tblW w:w="10032" w:type="dxa"/>
        <w:jc w:val="left"/>
        <w:tblInd w:w="0" w:type="dxa"/>
        <w:tblLayout w:type="fixed"/>
        <w:tblCellMar>
          <w:top w:w="0" w:type="dxa"/>
          <w:left w:w="0" w:type="dxa"/>
          <w:bottom w:w="0" w:type="dxa"/>
          <w:right w:w="0" w:type="dxa"/>
        </w:tblCellMar>
      </w:tblPr>
      <w:tblGrid>
        <w:gridCol w:w="3875"/>
        <w:gridCol w:w="60"/>
        <w:gridCol w:w="163"/>
        <w:gridCol w:w="1282"/>
        <w:gridCol w:w="110"/>
        <w:gridCol w:w="69"/>
        <w:gridCol w:w="163"/>
        <w:gridCol w:w="1230"/>
        <w:gridCol w:w="95"/>
        <w:gridCol w:w="60"/>
        <w:gridCol w:w="140"/>
        <w:gridCol w:w="1175"/>
        <w:gridCol w:w="245"/>
        <w:gridCol w:w="60"/>
        <w:gridCol w:w="140"/>
        <w:gridCol w:w="1055"/>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(4,229,000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(6,239,000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(10,872,000</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(8,677,000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5,412,000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1,993,000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7,045,000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4,009,000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5,704,000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1,794,000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10,451,000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(15,000</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(303,000</w:t>
            </w:r>
          </w:p>
        </w:tc>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398,000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424,000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843,000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2,843,000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5,050,000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802,000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loss (income),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714,000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6,095,000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(1,328,000</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8,842,000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178,000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pBdr>
                <w:bottom w:val="single" w:sz="4" w:space="1" w:color="000000"/>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5,614,000</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11,005,000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16,347,000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9,445,000</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firstLine="72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Core Results, including core gross margin, core net income (loss), core operating income, core basic and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and six months ended June 30, 2023, and for the same periods in 2022:</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40"/>
        <w:gridCol w:w="60"/>
        <w:gridCol w:w="140"/>
        <w:gridCol w:w="1100"/>
        <w:gridCol w:w="215"/>
        <w:gridCol w:w="60"/>
        <w:gridCol w:w="258"/>
        <w:gridCol w:w="1811"/>
        <w:gridCol w:w="60"/>
        <w:gridCol w:w="60"/>
        <w:gridCol w:w="141"/>
        <w:gridCol w:w="809"/>
        <w:gridCol w:w="60"/>
        <w:gridCol w:w="60"/>
        <w:gridCol w:w="140"/>
        <w:gridCol w:w="80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June 30, 2023</w:t>
            </w:r>
          </w:p>
        </w:tc>
      </w:tr>
      <w:tr>
        <w:trPr/>
        <w:tc>
          <w:tcPr>
            <w:tcW w:w="28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69"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23,470,000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811" w:type="dxa"/>
            <w:tcBorders/>
            <w:shd w:fill="CCEEFF" w:val="clear"/>
            <w:tcMar>
              <w:bottom w:w="0" w:type="dxa"/>
            </w:tcMar>
            <w:vAlign w:val="center"/>
          </w:tcPr>
          <w:p>
            <w:pPr>
              <w:pStyle w:val="TableContents"/>
              <w:bidi w:val="0"/>
              <w:spacing w:before="0" w:after="283"/>
              <w:jc w:val="right"/>
              <w:rPr/>
            </w:pPr>
            <w:r>
              <w:rPr/>
              <w:t>2,649,000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26,119,000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2,352,000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2,843,000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5,195,000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(4,244,000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(4,229,000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840"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30,458,677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30,458,677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2023 Financial Results</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pBdr/>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64"/>
        <w:gridCol w:w="60"/>
        <w:gridCol w:w="140"/>
        <w:gridCol w:w="1175"/>
        <w:gridCol w:w="215"/>
        <w:gridCol w:w="60"/>
        <w:gridCol w:w="238"/>
        <w:gridCol w:w="1671"/>
        <w:gridCol w:w="60"/>
        <w:gridCol w:w="60"/>
        <w:gridCol w:w="140"/>
        <w:gridCol w:w="1055"/>
        <w:gridCol w:w="95"/>
        <w:gridCol w:w="60"/>
        <w:gridCol w:w="140"/>
        <w:gridCol w:w="980"/>
        <w:gridCol w:w="60"/>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Six Months Ended June 30, 2023</w:t>
            </w:r>
          </w:p>
        </w:tc>
      </w:tr>
      <w:tr>
        <w:trPr/>
        <w:tc>
          <w:tcPr>
            <w:tcW w:w="24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09"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center"/>
              <w:rPr/>
            </w:pPr>
            <w:r>
              <w:rPr/>
              <w:t> </w:t>
            </w:r>
          </w:p>
        </w:tc>
      </w:tr>
      <w:tr>
        <w:trPr/>
        <w:tc>
          <w:tcPr>
            <w:tcW w:w="2464"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41,302,000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1671" w:type="dxa"/>
            <w:tcBorders/>
            <w:shd w:fill="CCEEFF" w:val="clear"/>
            <w:tcMar>
              <w:bottom w:w="0" w:type="dxa"/>
            </w:tcMar>
            <w:vAlign w:val="center"/>
          </w:tcPr>
          <w:p>
            <w:pPr>
              <w:pStyle w:val="TableContents"/>
              <w:bidi w:val="0"/>
              <w:spacing w:before="0" w:after="283"/>
              <w:jc w:val="right"/>
              <w:rPr/>
            </w:pPr>
            <w:r>
              <w:rPr/>
              <w:t>4,694,000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45,996,000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464"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67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464"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3,562,000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671" w:type="dxa"/>
            <w:tcBorders/>
            <w:shd w:fill="CCEEFF" w:val="clear"/>
            <w:tcMar>
              <w:bottom w:w="0" w:type="dxa"/>
            </w:tcMar>
            <w:vAlign w:val="center"/>
          </w:tcPr>
          <w:p>
            <w:pPr>
              <w:pStyle w:val="TableContents"/>
              <w:bidi w:val="0"/>
              <w:spacing w:before="0" w:after="283"/>
              <w:jc w:val="right"/>
              <w:rPr/>
            </w:pPr>
            <w:r>
              <w:rPr/>
              <w:t>5,050,000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8,612,000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464"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(11,175,000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671" w:type="dxa"/>
            <w:tcBorders/>
            <w:shd w:fill="FFFFFF" w:val="clear"/>
            <w:tcMar>
              <w:bottom w:w="0" w:type="dxa"/>
            </w:tcMar>
            <w:vAlign w:val="center"/>
          </w:tcPr>
          <w:p>
            <w:pPr>
              <w:pStyle w:val="TableContents"/>
              <w:bidi w:val="0"/>
              <w:spacing w:before="0" w:after="283"/>
              <w:jc w:val="right"/>
              <w:rPr/>
            </w:pPr>
            <w:r>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(1,328,000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(1,839,000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464"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303,000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6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303,000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464"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(10,872,000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671" w:type="dxa"/>
            <w:tcBorders/>
            <w:shd w:fill="FFFFFF" w:val="clear"/>
            <w:tcMar>
              <w:bottom w:w="0" w:type="dxa"/>
            </w:tcMar>
            <w:vAlign w:val="center"/>
          </w:tcPr>
          <w:p>
            <w:pPr>
              <w:pStyle w:val="TableContents"/>
              <w:bidi w:val="0"/>
              <w:spacing w:before="0" w:after="283"/>
              <w:jc w:val="right"/>
              <w:rPr/>
            </w:pPr>
            <w:r>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(1,328,000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(1,536,000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4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6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(0.05</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464"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30,379,354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67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30,379,354</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32"/>
        <w:gridCol w:w="60"/>
        <w:gridCol w:w="140"/>
        <w:gridCol w:w="1100"/>
        <w:gridCol w:w="215"/>
        <w:gridCol w:w="60"/>
        <w:gridCol w:w="306"/>
        <w:gridCol w:w="1760"/>
        <w:gridCol w:w="60"/>
        <w:gridCol w:w="60"/>
        <w:gridCol w:w="140"/>
        <w:gridCol w:w="980"/>
        <w:gridCol w:w="60"/>
        <w:gridCol w:w="60"/>
        <w:gridCol w:w="140"/>
        <w:gridCol w:w="1100"/>
        <w:gridCol w:w="232"/>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Three Months Ended June 30, 2022</w:t>
            </w:r>
          </w:p>
        </w:tc>
      </w:tr>
      <w:tr>
        <w:trPr/>
        <w:tc>
          <w:tcPr>
            <w:tcW w:w="373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66"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of Certain Intangible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center"/>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16,789,000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w:t>
            </w:r>
          </w:p>
        </w:tc>
        <w:tc>
          <w:tcPr>
            <w:tcW w:w="1760" w:type="dxa"/>
            <w:tcBorders/>
            <w:shd w:fill="CCEEFF" w:val="clear"/>
            <w:tcMar>
              <w:bottom w:w="0" w:type="dxa"/>
            </w:tcMar>
            <w:vAlign w:val="center"/>
          </w:tcPr>
          <w:p>
            <w:pPr>
              <w:pStyle w:val="TableContents"/>
              <w:bidi w:val="0"/>
              <w:spacing w:before="0" w:after="283"/>
              <w:jc w:val="right"/>
              <w:rPr/>
            </w:pPr>
            <w:r>
              <w:rPr/>
              <w:t>341,000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17,130,000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73</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732"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1,690,000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398,000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2,088,000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(6,199,000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6,095,000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294,000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32"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(6,239,000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6,095,000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254,000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(loss) earnings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0.01</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 (loss) earnings per share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0.01</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Weighted average number of shares of common stock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pPr>
            <w:r>
              <w:rPr/>
              <w:t xml:space="preserve">Basic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27,303,458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27,303,458</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27,303,458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28,234,177</w:t>
            </w:r>
          </w:p>
        </w:tc>
        <w:tc>
          <w:tcPr>
            <w:tcW w:w="232"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32"/>
        <w:gridCol w:w="60"/>
        <w:gridCol w:w="140"/>
        <w:gridCol w:w="1100"/>
        <w:gridCol w:w="215"/>
        <w:gridCol w:w="60"/>
        <w:gridCol w:w="306"/>
        <w:gridCol w:w="1760"/>
        <w:gridCol w:w="60"/>
        <w:gridCol w:w="60"/>
        <w:gridCol w:w="140"/>
        <w:gridCol w:w="980"/>
        <w:gridCol w:w="60"/>
        <w:gridCol w:w="60"/>
        <w:gridCol w:w="140"/>
        <w:gridCol w:w="1100"/>
        <w:gridCol w:w="232"/>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Six Months Ended June 30, 2022</w:t>
            </w:r>
          </w:p>
        </w:tc>
      </w:tr>
      <w:tr>
        <w:trPr/>
        <w:tc>
          <w:tcPr>
            <w:tcW w:w="373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66"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of Certain Intangible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center"/>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32,946,000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w:t>
            </w:r>
          </w:p>
        </w:tc>
        <w:tc>
          <w:tcPr>
            <w:tcW w:w="1760" w:type="dxa"/>
            <w:tcBorders/>
            <w:shd w:fill="CCEEFF" w:val="clear"/>
            <w:tcMar>
              <w:bottom w:w="0" w:type="dxa"/>
            </w:tcMar>
            <w:vAlign w:val="center"/>
          </w:tcPr>
          <w:p>
            <w:pPr>
              <w:pStyle w:val="TableContents"/>
              <w:bidi w:val="0"/>
              <w:spacing w:before="0" w:after="283"/>
              <w:jc w:val="right"/>
              <w:rPr/>
            </w:pPr>
            <w:r>
              <w:rPr/>
              <w:t>682,000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33,628,000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732"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3,791,000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802,000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4,593,000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(8,637,000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802,000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8,842,000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1,007,000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32"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(8,677,000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802,000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8,842,000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967,000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(loss) earnings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(0.32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0.04</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 (loss) earnings per share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0.03</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Weighted average number of shares of common stock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32" w:type="dxa"/>
            <w:tcBorders/>
            <w:shd w:fill="FFFFFF" w:val="clear"/>
            <w:tcMar>
              <w:bottom w:w="0" w:type="dxa"/>
            </w:tcMar>
            <w:vAlign w:val="center"/>
          </w:tcPr>
          <w:p>
            <w:pPr>
              <w:pStyle w:val="TableContents"/>
              <w:bidi w:val="0"/>
              <w:spacing w:before="0" w:after="283"/>
              <w:jc w:val="left"/>
              <w:rPr/>
            </w:pPr>
            <w:r>
              <w:rPr/>
              <w:t xml:space="preserve">Basic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27,265,350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27,265,350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32"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27,265,350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28,270,639</w:t>
            </w:r>
          </w:p>
        </w:tc>
        <w:tc>
          <w:tcPr>
            <w:tcW w:w="232"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earnings per share is calculated using the weighted-average number of shares of common stock outstanding during the period. Core basic and diluted (loss) earnings per share also contemplates dilutive shares associated with equity-based awards as described in Note 2 and elsewhere in the Condensed Consolidated Financial Statements included in the Company’s Quarterly Report on Form 10-Q for the quarter ended June 30, 2023.</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right"/>
        <w:rPr>
          <w:caps w:val="false"/>
          <w:smallCaps w:val="false"/>
        </w:rPr>
      </w:pPr>
      <w:bookmarkStart w:id="32" w:name="ex99-2.htm"/>
      <w:bookmarkStart w:id="33" w:name="ksex992"/>
      <w:bookmarkEnd w:id="32"/>
      <w:bookmarkEnd w:id="3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drawing>
          <wp:inline distT="0" distB="0" distL="0" distR="0">
            <wp:extent cx="1600200" cy="841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0200" cy="841375"/>
                    </a:xfrm>
                    <a:prstGeom prst="rect">
                      <a:avLst/>
                    </a:prstGeom>
                  </pic:spPr>
                </pic:pic>
              </a:graphicData>
            </a:graphic>
          </wp:inline>
        </w:drawing>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 pleased to report second quarter 2023 </w:t>
      </w:r>
      <w:r>
        <w:rPr>
          <w:rFonts w:ascii="Times New Roman;Times;Serif" w:hAnsi="Times New Roman;Times;Serif"/>
          <w:b/>
          <w:i w:val="false"/>
          <w:caps w:val="false"/>
          <w:smallCaps w:val="false"/>
          <w:sz w:val="20"/>
        </w:rPr>
        <w:t>record revenues</w:t>
      </w:r>
      <w:r>
        <w:rPr>
          <w:rFonts w:ascii="Times New Roman;Times;Serif" w:hAnsi="Times New Roman;Times;Serif"/>
          <w:b w:val="false"/>
          <w:i w:val="false"/>
          <w:caps w:val="false"/>
          <w:smallCaps w:val="false"/>
          <w:sz w:val="20"/>
        </w:rPr>
        <w:t xml:space="preserve"> of $33.5 million and </w:t>
      </w:r>
      <w:r>
        <w:rPr>
          <w:rFonts w:ascii="Times New Roman;Times;Serif" w:hAnsi="Times New Roman;Times;Serif"/>
          <w:b/>
          <w:i w:val="false"/>
          <w:caps w:val="false"/>
          <w:smallCaps w:val="false"/>
          <w:sz w:val="20"/>
        </w:rPr>
        <w:t xml:space="preserve">record adjusted EBITDA </w:t>
      </w:r>
      <w:r>
        <w:rPr>
          <w:rFonts w:ascii="Times New Roman;Times;Serif" w:hAnsi="Times New Roman;Times;Serif"/>
          <w:b w:val="false"/>
          <w:i w:val="false"/>
          <w:caps w:val="false"/>
          <w:smallCaps w:val="false"/>
          <w:sz w:val="20"/>
        </w:rPr>
        <w:t xml:space="preserve">of $11.0 million. Notably, we also reported the largest sequential quarterly increase in revenues and adjusted EBITDA in Harrow’s history – from the first to second quarters of 2023. Recall that in my </w:t>
      </w:r>
      <w:r>
        <w:rPr>
          <w:rFonts w:ascii="Times New Roman;Times;Serif" w:hAnsi="Times New Roman;Times;Serif"/>
          <w:b w:val="false"/>
          <w:i/>
          <w:caps w:val="false"/>
          <w:smallCaps w:val="false"/>
          <w:sz w:val="20"/>
        </w:rPr>
        <w:t>May 11, 2023, Stockholder Letter</w:t>
      </w:r>
      <w:r>
        <w:rPr>
          <w:rFonts w:ascii="Times New Roman;Times;Serif" w:hAnsi="Times New Roman;Times;Serif"/>
          <w:b w:val="false"/>
          <w:i w:val="false"/>
          <w:caps w:val="false"/>
          <w:smallCaps w:val="false"/>
          <w:sz w:val="20"/>
        </w:rPr>
        <w:t>, I wrote that Harrow had “entered a new revenue paradigm,” a notion that I believe is supported by these figures.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a difference a few months makes. When I last corresponded with you, we were focused behind the scenes on completing three transactions that I believed would give Harrow the best opportunity to achieve the highest financial goals of Harrow’s Five-Year Strategic Plan, which we initiated in January of this year. These three transactions, all of which closed at the beginning of the third quarter, were: (1) the acquisition of substantially all products in the North American Santen ophthalmic pharmaceutical portfolio; (2) the acquisition from Novaliq of the North American rights to VEVYE®, a novel FDA-approved drug labeled to treat both the signs and symptoms of dry eye disease (DED); and (3) the strengthening of our balance sheet through a pair of financings, including a well-executed equity financing and the expansion of our Oaktree Capital facility.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the Harrow ophthalmic pharmaceutical portfolio is more potent than ever. We can now more broadly and comprehensively deliver important clinical value to our customers. For Harrow’s stockholders, I believe this more robust product portfolio should cause (a) annual revenue growth for many years to come and (b) consolidated quarterly gross margins to begin to float higher this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balance of this Stockholder Letter, in addition to adding color to our second quarter 2023 performance, I intend to describe what you, as my “business partners,” should expect during the balance of this Five-Year Strategic Plan period.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I go any further, let me answer the question one might logically ask after reading the second paragraph above: “What are the ‘highest financial goals’ of our Five-Year Strategic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Simply put, we believe that – with our current product portfolio and continued strategic execution by the Harrow team – we can become a top-tier U.S.-focused ophthalmic pharmaceutical company capable of producing annual revenues of $1 billion or more – at very attractive operating margins.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Recognizing that our Five-Year Strategic Plan consists of a series of One-Year Plans, based on our results to date, we remain confident in our 2023 financial guidance of $135 million to $143 million in net revenues and $44 million to $50 million in adjusted EBITDA.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Regarding our 2023 financial guidance, we intend to provide an update to our financial guidance later in the year after we have a few months of operations under our belt with our new product portfolio.</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Second Quarter 2023 Financial 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Link </w:t>
      </w:r>
      <w:r>
        <w:rPr>
          <w:rFonts w:ascii="Times New Roman;Times;Serif" w:hAnsi="Times New Roman;Times;Serif"/>
          <w:b w:val="false"/>
          <w:i w:val="false"/>
          <w:caps w:val="false"/>
          <w:smallCaps w:val="false"/>
          <w:sz w:val="20"/>
        </w:rPr>
        <w:t>to Selected GAAP Operating Results.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Link </w:t>
      </w:r>
      <w:r>
        <w:rPr>
          <w:rFonts w:ascii="Times New Roman;Times;Serif" w:hAnsi="Times New Roman;Times;Serif"/>
          <w:b w:val="false"/>
          <w:i w:val="false"/>
          <w:caps w:val="false"/>
          <w:smallCaps w:val="false"/>
          <w:sz w:val="20"/>
        </w:rPr>
        <w:t>to Selected Core Results (a Non-GAAP Measure).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$33.5 million for the second quarter of 2023 represent a 44% increase over the prior-year’s second quarter revenues of $23.3 million.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144% to $11.0 million for the second quarter of 2023 compared with Adjusted EBITDA of $4.5 million during the same period last year, primarily because of increased revenues of our branded products. Core net loss was ($494,000) for the second quarter of 2023 compared with core net income of $254,000 for the second quarter of 2022.</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$22.8 million in cash and cash equivalents at the end of the second quarter. Subsequently, our cash balance changed dramatically because of the closing of a $69 million offering of our common stock and a $12.5 million drawdown from our expanded Oaktree Capital loan. We used a portion of the proceeds from these two financings to fund initial payments associated with our acquisitions of VEVYE and the products from Santen.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Harrow completed the transfer of new drug applications (NDAs) for ILEVRO®, NEVANAC®, and MAXIDEX®. Harrow received net profit transfers on these products during April, but upon NDA transfers in early May, we began booking full revenues from those product sales. Harrow received net profit transfers for VIGAMOX® throughout the second quarter and recently announced the completion of that NDA transfer and began commercialization of VIGAMOX.</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officially launched IHEEZO® in May of this year at the American Society of Cataract and Refractive Surgeons (ASCRS) annual meeting in San Diego.</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improved 500 basis points to 78% in the second quarter of 2023 compared with core gross margin of 73% in the second quarter of 2022.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for the second quarter of 2023 increased to $20.0 million compared with $14.2 million during the same period last year. The year-over-year increase is due in large part to an expansion of our general operating and sales infrastructure to support our branded product acquisitions and launches in 2023, coupled with an increase in stock-based compensation of over $3 million largely associated with management performance stock units (or PSUs) that have vesting terms based on achievement of Harrow common stock price targets of $25 to $50.</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were $1.2 million in the second quarter of 2023 compared with $914,000 during the same period last year. Throughout the remainder of 2023 and next year, R&amp;D costs should creep up as we expand our medical and clinical affairs capabilities and gain steam on some of the tech transfer manufacturing processes for our recent product acquisitions.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income was $2.4 million for the second quarter of 2023 compared with GAAP operating income of $1.7 million during the same period last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diluted net loss per share for the second quarter of 2023 was ($0.02) compared with core diluted net income per share of $0.01 during the same period last year.</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all non-GAAP financial measures in this letter begins on page 11.</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and six months ended June 30, 2023, and for the same periods in 2022 are as follows: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4"/>
        <w:gridCol w:w="60"/>
        <w:gridCol w:w="154"/>
        <w:gridCol w:w="1213"/>
        <w:gridCol w:w="104"/>
        <w:gridCol w:w="65"/>
        <w:gridCol w:w="154"/>
        <w:gridCol w:w="1213"/>
        <w:gridCol w:w="95"/>
        <w:gridCol w:w="60"/>
        <w:gridCol w:w="140"/>
        <w:gridCol w:w="1175"/>
        <w:gridCol w:w="95"/>
        <w:gridCol w:w="60"/>
        <w:gridCol w:w="140"/>
        <w:gridCol w:w="1100"/>
        <w:gridCol w:w="113"/>
      </w:tblGrid>
      <w:tr>
        <w:trPr/>
        <w:tc>
          <w:tcPr>
            <w:tcW w:w="42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03"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3" w:type="dxa"/>
            <w:tcBorders/>
            <w:vAlign w:val="center"/>
          </w:tcPr>
          <w:p>
            <w:pPr>
              <w:pStyle w:val="TableContents"/>
              <w:bidi w:val="0"/>
              <w:spacing w:before="0" w:after="283"/>
              <w:jc w:val="left"/>
              <w:rPr/>
            </w:pPr>
            <w:r>
              <w:rPr/>
              <w:t> </w:t>
            </w:r>
          </w:p>
        </w:tc>
      </w:tr>
      <w:tr>
        <w:trPr/>
        <w:tc>
          <w:tcPr>
            <w:tcW w:w="42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33,470,000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23,323,000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59,573,000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45,443,000</w:t>
            </w:r>
          </w:p>
        </w:tc>
        <w:tc>
          <w:tcPr>
            <w:tcW w:w="113"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6,534,000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12,497,000</w:t>
            </w:r>
          </w:p>
        </w:tc>
        <w:tc>
          <w:tcPr>
            <w:tcW w:w="113"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23,470,000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16,789,000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41,302,000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32,946,000</w:t>
            </w:r>
          </w:p>
        </w:tc>
        <w:tc>
          <w:tcPr>
            <w:tcW w:w="113"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19,957,000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14,185,000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35,845,000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27,583,000</w:t>
            </w:r>
          </w:p>
        </w:tc>
        <w:tc>
          <w:tcPr>
            <w:tcW w:w="113"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1,161,000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914,000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1,572,000</w:t>
            </w:r>
          </w:p>
        </w:tc>
        <w:tc>
          <w:tcPr>
            <w:tcW w:w="113"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21,118,000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15,099,000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37,740,000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29,155,000</w:t>
            </w:r>
          </w:p>
        </w:tc>
        <w:tc>
          <w:tcPr>
            <w:tcW w:w="113"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2,352,000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1,690,000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3,562,000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3,791,000</w:t>
            </w:r>
          </w:p>
        </w:tc>
        <w:tc>
          <w:tcPr>
            <w:tcW w:w="113"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6,596,000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7,889,000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14,737,000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12,428,000</w:t>
            </w:r>
          </w:p>
        </w:tc>
        <w:tc>
          <w:tcPr>
            <w:tcW w:w="113"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15,000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113"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attributable to Harrow Health, Inc.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(4,229,000</w:t>
            </w:r>
          </w:p>
        </w:tc>
        <w:tc>
          <w:tcPr>
            <w:tcW w:w="104"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(6,239,000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(10,872,000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(8,677,000</w:t>
            </w:r>
          </w:p>
        </w:tc>
        <w:tc>
          <w:tcPr>
            <w:tcW w:w="113" w:type="dxa"/>
            <w:tcBorders/>
            <w:shd w:fill="FFFFFF" w:val="clear"/>
            <w:vAlign w:val="center"/>
          </w:tcPr>
          <w:p>
            <w:pPr>
              <w:pStyle w:val="TableContents"/>
              <w:bidi w:val="0"/>
              <w:spacing w:before="0" w:after="283"/>
              <w:jc w:val="left"/>
              <w:rPr>
                <w:b/>
              </w:rPr>
            </w:pPr>
            <w:r>
              <w:rPr>
                <w:b/>
              </w:rPr>
              <w:t>)</w:t>
            </w:r>
          </w:p>
        </w:tc>
      </w:tr>
      <w:tr>
        <w:trPr/>
        <w:tc>
          <w:tcPr>
            <w:tcW w:w="4264"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(0.14</w:t>
            </w:r>
          </w:p>
        </w:tc>
        <w:tc>
          <w:tcPr>
            <w:tcW w:w="104"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(0.32</w:t>
            </w:r>
          </w:p>
        </w:tc>
        <w:tc>
          <w:tcPr>
            <w:tcW w:w="113" w:type="dxa"/>
            <w:tcBorders/>
            <w:shd w:fill="CCEEFF" w:val="clear"/>
            <w:vAlign w:val="center"/>
          </w:tcPr>
          <w:p>
            <w:pPr>
              <w:pStyle w:val="TableContents"/>
              <w:bidi w:val="0"/>
              <w:spacing w:before="0" w:after="283"/>
              <w:jc w:val="left"/>
              <w:rPr>
                <w:b/>
              </w:rPr>
            </w:pPr>
            <w:r>
              <w:rPr>
                <w:b/>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(a Non-GAAP Measure)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months and six months ended June 30, 2023, and for the same periods in 2022, are as follows:</w:t>
      </w:r>
    </w:p>
    <w:p>
      <w:pPr>
        <w:pStyle w:val="TextBody"/>
        <w:pBdr/>
        <w:bidi w:val="0"/>
        <w:spacing w:before="0" w:after="0"/>
        <w:ind w:left="0" w:right="0" w:firstLine="720"/>
        <w:jc w:val="both"/>
        <w:rPr>
          <w:caps w:val="false"/>
          <w:smallCaps w:val="false"/>
        </w:rPr>
      </w:pPr>
      <w:r>
        <w:rPr>
          <w:caps w:val="false"/>
          <w:smallCaps w:val="false"/>
        </w:rPr>
        <w:t> </w:t>
      </w:r>
    </w:p>
    <w:tbl>
      <w:tblPr>
        <w:tblW w:w="9866" w:type="dxa"/>
        <w:jc w:val="left"/>
        <w:tblInd w:w="0" w:type="dxa"/>
        <w:tblLayout w:type="fixed"/>
        <w:tblCellMar>
          <w:top w:w="0" w:type="dxa"/>
          <w:left w:w="0" w:type="dxa"/>
          <w:bottom w:w="0" w:type="dxa"/>
          <w:right w:w="0" w:type="dxa"/>
        </w:tblCellMar>
      </w:tblPr>
      <w:tblGrid>
        <w:gridCol w:w="3455"/>
        <w:gridCol w:w="60"/>
        <w:gridCol w:w="153"/>
        <w:gridCol w:w="1205"/>
        <w:gridCol w:w="235"/>
        <w:gridCol w:w="65"/>
        <w:gridCol w:w="153"/>
        <w:gridCol w:w="1205"/>
        <w:gridCol w:w="215"/>
        <w:gridCol w:w="60"/>
        <w:gridCol w:w="140"/>
        <w:gridCol w:w="1175"/>
        <w:gridCol w:w="215"/>
        <w:gridCol w:w="60"/>
        <w:gridCol w:w="140"/>
        <w:gridCol w:w="1100"/>
        <w:gridCol w:w="230"/>
      </w:tblGrid>
      <w:tr>
        <w:trPr/>
        <w:tc>
          <w:tcPr>
            <w:tcW w:w="3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33,470,000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23,323,000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59,573,000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45,443,000</w:t>
            </w:r>
          </w:p>
        </w:tc>
        <w:tc>
          <w:tcPr>
            <w:tcW w:w="23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70</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w:t>
            </w:r>
          </w:p>
        </w:tc>
        <w:tc>
          <w:tcPr>
            <w:tcW w:w="230"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w:t>
            </w:r>
          </w:p>
        </w:tc>
        <w:tc>
          <w:tcPr>
            <w:tcW w:w="230"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(4,229,000</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(6,239,000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(10,872,000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(8,677,000</w:t>
            </w:r>
          </w:p>
        </w:tc>
        <w:tc>
          <w:tcPr>
            <w:tcW w:w="230"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 income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(494,000</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254,000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(1,536,000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967,000</w:t>
            </w:r>
          </w:p>
        </w:tc>
        <w:tc>
          <w:tcPr>
            <w:tcW w:w="23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11,005,000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4,505,000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16,347,000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9,445,000</w:t>
            </w:r>
          </w:p>
        </w:tc>
        <w:tc>
          <w:tcPr>
            <w:tcW w:w="23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(0.14</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(0.32</w:t>
            </w:r>
          </w:p>
        </w:tc>
        <w:tc>
          <w:tcPr>
            <w:tcW w:w="230"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(0.14</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(0.32</w:t>
            </w:r>
          </w:p>
        </w:tc>
        <w:tc>
          <w:tcPr>
            <w:tcW w:w="230"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basic net (loss) income per share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(0.02</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0.04</w:t>
            </w:r>
          </w:p>
        </w:tc>
        <w:tc>
          <w:tcPr>
            <w:tcW w:w="23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diluted net (loss) income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(0.02</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0.03</w:t>
            </w:r>
          </w:p>
        </w:tc>
        <w:tc>
          <w:tcPr>
            <w:tcW w:w="23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Core gross margin, core net (loss) income, core basic and diluted net (loss)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Times New Roman;Times;Serif" w:hAnsi="Times New Roman;Times;Serif"/>
                <w:b w:val="false"/>
                <w:i w:val="false"/>
                <w:caps w:val="false"/>
                <w:smallCaps w:val="false"/>
                <w:sz w:val="20"/>
                <w:u w:val="single"/>
              </w:rPr>
              <w:t>at the end</w:t>
            </w:r>
            <w:r>
              <w:rPr>
                <w:rFonts w:ascii="Times New Roman;Times;Serif" w:hAnsi="Times New Roman;Times;Serif"/>
                <w:b w:val="false"/>
                <w:i w:val="false"/>
                <w:caps w:val="false"/>
                <w:smallCaps w:val="false"/>
                <w:sz w:val="20"/>
              </w:rPr>
              <w:t xml:space="preserve"> of this Letter to Stockholders.</w:t>
            </w:r>
          </w:p>
        </w:tc>
      </w:tr>
    </w:tbl>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caps w:val="false"/>
          <w:smallCaps w:val="false"/>
          <w:sz w:val="20"/>
        </w:rPr>
        <w:t>Revenue Buckets”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a billion dollars in annual revenue during this Five-Year Strategic Planning cycle, Harrow must generate significant sales from what I internally refer to as our “</w:t>
      </w:r>
      <w:r>
        <w:rPr>
          <w:rFonts w:ascii="Times New Roman;Times;Serif" w:hAnsi="Times New Roman;Times;Serif"/>
          <w:b w:val="false"/>
          <w:i/>
          <w:caps w:val="false"/>
          <w:smallCaps w:val="false"/>
          <w:sz w:val="20"/>
        </w:rPr>
        <w:t>Revenue Buckets.”</w:t>
      </w:r>
      <w:r>
        <w:rPr>
          <w:rFonts w:ascii="Times New Roman;Times;Serif" w:hAnsi="Times New Roman;Times;Serif"/>
          <w:b w:val="false"/>
          <w:i w:val="false"/>
          <w:caps w:val="false"/>
          <w:smallCaps w:val="false"/>
          <w:sz w:val="20"/>
        </w:rPr>
        <w:t xml:space="preserve"> As a result of the recently announced acquisitions, we believe we now have five (5) discreet Revenue Buckets with nine-figure annual revenue potential. We believe sales from products in these Revenue Buckets, in the aggregate, have the potential to achieve the “highest financial goals” I referred to on page 1 of this Stockholder Letter.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Some Revenue Buckets consist of a single product and others contain groups of products. I believe IHEEZO and VEVYE are our largest revenue opportunities – </w:t>
      </w:r>
      <w:r>
        <w:rPr>
          <w:rFonts w:ascii="Times New Roman;Times;Serif" w:hAnsi="Times New Roman;Times;Serif"/>
          <w:b w:val="false"/>
          <w:i/>
          <w:caps w:val="false"/>
          <w:smallCaps w:val="false"/>
          <w:sz w:val="20"/>
        </w:rPr>
        <w:t>without question</w:t>
      </w:r>
      <w:r>
        <w:rPr>
          <w:rFonts w:ascii="Times New Roman;Times;Serif" w:hAnsi="Times New Roman;Times;Serif"/>
          <w:b w:val="false"/>
          <w:i w:val="false"/>
          <w:caps w:val="false"/>
          <w:smallCaps w:val="false"/>
          <w:sz w:val="20"/>
        </w:rPr>
        <w:t>. That said, they are also new sources of revenue, with IHEEZO only launching a few months ago and VEVYE expected to launch later in the year. Regardless of the exact timing of the start and steady build of revenue flow from these two exciting products, the key is that (a) Harrow now has them both, and (b) we have an incredibly strong conviction of market need and, ultimately, market acceptance of both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is a more detailed description of the five Revenue Buckets: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Bucket 1</w:t>
      </w:r>
      <w:r>
        <w:rPr>
          <w:rFonts w:ascii="Times New Roman;Times;Serif" w:hAnsi="Times New Roman;Times;Serif"/>
          <w:b/>
          <w:i/>
          <w:caps w:val="false"/>
          <w:smallCaps w:val="false"/>
          <w:sz w:val="20"/>
        </w:rPr>
        <w:t>: IHEEZO®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team began market research on IHEEZO, some advisors said, “</w:t>
      </w:r>
      <w:r>
        <w:rPr>
          <w:rFonts w:ascii="Times New Roman;Times;Serif" w:hAnsi="Times New Roman;Times;Serif"/>
          <w:b w:val="false"/>
          <w:i/>
          <w:caps w:val="false"/>
          <w:smallCaps w:val="false"/>
          <w:sz w:val="20"/>
        </w:rPr>
        <w:t>I really don’t think I need this product because what I am doing for ocular anesthesia is okay</w:t>
      </w:r>
      <w:r>
        <w:rPr>
          <w:rFonts w:ascii="Times New Roman;Times;Serif" w:hAnsi="Times New Roman;Times;Serif"/>
          <w:b w:val="false"/>
          <w:i w:val="false"/>
          <w:caps w:val="false"/>
          <w:smallCaps w:val="false"/>
          <w:sz w:val="20"/>
        </w:rPr>
        <w:t>.” When we pressed about what their respective ocular anesthesia protocols consisted of, our belief in the future success of IHEEZO gained strength. Responses from these advisors included myriad protocols, with most using multiple different anesthetics during a series of applications – all with inconsistent durations of anesthetic effect. Inconsistent anesthetic durability or reliability isn’t good for the doctor and surely isn’t good for the patient! Discussions about the importance of an anesthetic caused many of our advisors to realize there was an opportunity for a more reliable ocular anesthetic and one that could create practice efficiencies.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Fast-forward to the initial phase of the IHEEZO launch and the anecdotal reports we’ve received from IHEEZO users. With IHEEZO, they can use a single product for ocular anesthesia. The onset and duration of the anesthetic effect are consistent and predictable. Ophthalmologists like the viscosity of the IHEEZO gel, which is 75% less viscous than the leading branded lidocaine-based gel anesthetic. Staff at ambulatory surgery centers (ASCs) and hospitals appreciate the compliance benefits of our single-use packaging. And while it’s early in the launch, when we see a growing list of accounts trial IHEEZO, use samples, order it, use those units, and re-order more, our confidence that we have a winning product grows.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way to explain what we see among IHEEZO users is to draw an analogy to how I felt about my Blackberry cell phone 15 years ago. Similar to how our advisors described their ocular anesthesia protocols during our market research phase as “good,” I would have said the utility of my Blackberry was “good,” with features like texting, a decent camera, and reliable email access. If approached to switch to the iPhone, I would have said that my Blackberry was “good” and that I didn’t need the iPhone. Of course, once I experienced the value and benefits of an iPhone, I never went back to a Blackberry. In turn, we believe eyecare professionals (ECPs) who implement IHEEZO into their ocular anesthesia protocols and experience IHEEZO’s benefits won’t return to their old, and perhaps less efficient, ways.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math on the IHEEZO market opportunity is straightforward. We believe there are two main anesthetic use cases: (1) a surgical intervention such as cataract, glaucoma, and retina procedures, which takes place in a hospital or outpatient setting of care, and (2) an intervention in a physician’s office, such as an intravitreal injection. We estimate that, in the aggregate, there are more than 12 million such use cases in the U.S. each year. We were granted a product-specific J-Code (J2403) for all such use cases, and the current wholesale acquisition cost (or WAC) is $544 per unit.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reimbursement for the IHEEZO J-Code: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for an ASC, for example, to bill using J2403 is </w:t>
            </w:r>
            <w:r>
              <w:rPr>
                <w:rFonts w:ascii="Times New Roman;Times;Serif" w:hAnsi="Times New Roman;Times;Serif"/>
                <w:b w:val="false"/>
                <w:i/>
                <w:caps w:val="false"/>
                <w:smallCaps w:val="false"/>
                <w:sz w:val="20"/>
              </w:rPr>
              <w:t>temporary</w:t>
            </w:r>
            <w:r>
              <w:rPr>
                <w:rFonts w:ascii="Times New Roman;Times;Serif" w:hAnsi="Times New Roman;Times;Serif"/>
                <w:b w:val="false"/>
                <w:i w:val="false"/>
                <w:caps w:val="false"/>
                <w:smallCaps w:val="false"/>
                <w:sz w:val="20"/>
              </w:rPr>
              <w:t xml:space="preserve"> and will only last for about three years. After this time, we may petition the authorities at the Centers for Medicare &amp; Medicaid Services (CMS) to extend, annually, what is referred to as “pass-through payment” (or payment outside of the capitated fee ASCs are paid for completing a cataract surgery).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successfully petition CMS for a pass-through payment extension, we must demonstrate that IHEEZO reduces reliance on opioids. We intend to present such data to CMS </w:t>
            </w:r>
            <w:r>
              <w:rPr>
                <w:rFonts w:ascii="Times New Roman;Times;Serif" w:hAnsi="Times New Roman;Times;Serif"/>
                <w:b w:val="false"/>
                <w:i w:val="false"/>
                <w:caps w:val="false"/>
                <w:smallCaps w:val="false"/>
                <w:sz w:val="20"/>
                <w:u w:val="single"/>
              </w:rPr>
              <w:t>before</w:t>
            </w:r>
            <w:r>
              <w:rPr>
                <w:rFonts w:ascii="Times New Roman;Times;Serif" w:hAnsi="Times New Roman;Times;Serif"/>
                <w:b w:val="false"/>
                <w:i w:val="false"/>
                <w:caps w:val="false"/>
                <w:smallCaps w:val="false"/>
                <w:sz w:val="20"/>
              </w:rPr>
              <w:t xml:space="preserve"> our temporary pass-through period ends. If CMS approves our request for a pass-through payment extension, ASCs can utilize J2403 until CMS changes its policy, in general, or specifically, towards IHEEZO.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other hand, the “billability” of J2403 in the physician’s office setting of care, for intravitreal injections, for example, is </w:t>
            </w:r>
            <w:r>
              <w:rPr>
                <w:rFonts w:ascii="Times New Roman;Times;Serif" w:hAnsi="Times New Roman;Times;Serif"/>
                <w:b/>
                <w:i w:val="false"/>
                <w:caps w:val="false"/>
                <w:smallCaps w:val="false"/>
                <w:sz w:val="20"/>
              </w:rPr>
              <w:t>not</w:t>
            </w:r>
            <w:r>
              <w:rPr>
                <w:rFonts w:ascii="Times New Roman;Times;Serif" w:hAnsi="Times New Roman;Times;Serif"/>
                <w:b w:val="false"/>
                <w:i w:val="false"/>
                <w:caps w:val="false"/>
                <w:smallCaps w:val="false"/>
                <w:sz w:val="20"/>
              </w:rPr>
              <w:t xml:space="preserve"> temporary and has no limitation on the duration of use. Importantly, ophthalmologists and their staff, in this setting of care, are very familiar with “buy and bill” products like IHEEZO, perhaps easing the process for IHEEZO adoption.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number of use cases for the physician’s office setting of care is double that of the ASC/hospital, creating a multi-billion-dollar annual revenue opportunity for IHEEZO. Therefore, the physician’s office setting of care is our primary market for IHEEZO, and the ASC and hospital market is secondary.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not going to win all the potential business for IHEEZO in either setting of care, given the overall size of the opportunity, even if we eventually achieve a blended market share for IHEEZO close to what we have achieved in, for example, the perioperative cataract surgery market with our ImprimisRx compounded pharmaceutical formulations (i.e., touching an estimated 20% of the total number of U.S. cataract surgeries), IHEEZO will have been a great success! Related to this point, our 2023 financial guidance was conservative and did not include much IHEEZO revenue; however, we expect to see quarterly revenue for IHEEZO build sequentially and for each annual period going forward.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Despite being in the initial phase of our IHEEZO launch, feedback from early adopters has been positive, with indications from users that there may be more potential applications for IHEEZO than we had originally anticipated (e.g., glaucoma and retina surgeries and certain laser procedures). Also, we always hoped IHEEZO would help address the opioid crisis in our country, and we have been thrilled to hear from several surgeons that, with IHEEZO, as was the case in the IHEEZO clinical studies, they, too, were able to eliminate opioid use from most of their cataract surgeries. If we can make even a small impact on the opioid crisis, it would be fantastic for patients and our ophthalmologist-customer’s practice. Finally, we are seeing wins in our market access efforts to get IHEEZO on commercial formularies. And, as we hoped, </w:t>
      </w:r>
      <w:r>
        <w:rPr>
          <w:rFonts w:ascii="Times New Roman;Times;Serif" w:hAnsi="Times New Roman;Times;Serif"/>
          <w:b w:val="false"/>
          <w:i/>
          <w:caps w:val="false"/>
          <w:smallCaps w:val="false"/>
          <w:sz w:val="20"/>
        </w:rPr>
        <w:t>IHEEZO is reimbursed in all labeled care settings.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Bucket 2</w:t>
      </w:r>
      <w:r>
        <w:rPr>
          <w:rFonts w:ascii="Times New Roman;Times;Serif" w:hAnsi="Times New Roman;Times;Serif"/>
          <w:b/>
          <w:i/>
          <w:caps w:val="false"/>
          <w:smallCaps w:val="false"/>
          <w:sz w:val="20"/>
        </w:rPr>
        <w:t>: Dry Eye Disease and Other Ocular Surface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end of this year, we intend to launch VEVYE as our cornerstone product in the U.S. DED space. The U.S. dry eye market is large and growing, with an estimated diagnosed patient population that exceeds 16 million, 9 million of whom are diagnosed with moderate to severe disease. The DED market is a therapeutic area we know well and a patient population we have meticulously studied and served for many years through our ImprimisRx brand, dispensing ImprimisRx compounded formulations to more than 6,000 U.S. prescribers to help these ECPs manage their patients’ dry eye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Despite a handful of prescription products being available and myriad over-the-counter (OTC) choices, </w:t>
      </w:r>
      <w:r>
        <w:rPr>
          <w:rFonts w:ascii="Times New Roman;Times;Serif" w:hAnsi="Times New Roman;Times;Serif"/>
          <w:b w:val="false"/>
          <w:i/>
          <w:caps w:val="false"/>
          <w:smallCaps w:val="false"/>
          <w:sz w:val="20"/>
        </w:rPr>
        <w:t>the data is unmistakable – American DED patients are highly underserved by these choices</w:t>
      </w:r>
      <w:r>
        <w:rPr>
          <w:rFonts w:ascii="Times New Roman;Times;Serif" w:hAnsi="Times New Roman;Times;Serif"/>
          <w:b w:val="false"/>
          <w:i w:val="false"/>
          <w:caps w:val="false"/>
          <w:smallCaps w:val="false"/>
          <w:sz w:val="20"/>
        </w:rPr>
        <w:t xml:space="preserve"> (i.e., 92% are un- or under-treated due to limited efficacy and poor tolerability in current prescription product options</w:t>
      </w: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We believe that a part of the reason fewer than 10% of the diagnosed DED patient population uses a prescription DED therapy has to do with the performance and tolerability profiles of the existing prescription product choices – </w:t>
      </w:r>
      <w:r>
        <w:rPr>
          <w:rFonts w:ascii="Times New Roman;Times;Serif" w:hAnsi="Times New Roman;Times;Serif"/>
          <w:b w:val="false"/>
          <w:i/>
          <w:caps w:val="false"/>
          <w:smallCaps w:val="false"/>
          <w:sz w:val="20"/>
        </w:rPr>
        <w:t>which,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despite their shortcomings, in the aggregate, deliver north of $1 billion in annual sales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existing prescription drug choices have been suboptimal for many years, we view the U.S. DED market as </w:t>
      </w:r>
      <w:r>
        <w:rPr>
          <w:rFonts w:ascii="Times New Roman;Times;Serif" w:hAnsi="Times New Roman;Times;Serif"/>
          <w:b w:val="false"/>
          <w:i/>
          <w:caps w:val="false"/>
          <w:smallCaps w:val="false"/>
          <w:sz w:val="20"/>
          <w:u w:val="single"/>
        </w:rPr>
        <w:t>wide open</w:t>
      </w:r>
      <w:r>
        <w:rPr>
          <w:rFonts w:ascii="Times New Roman;Times;Serif" w:hAnsi="Times New Roman;Times;Serif"/>
          <w:b w:val="false"/>
          <w:i w:val="false"/>
          <w:caps w:val="false"/>
          <w:smallCaps w:val="false"/>
          <w:sz w:val="20"/>
        </w:rPr>
        <w:t xml:space="preserve"> and intend to compete vigorously to ensure patients have access to VEVYE. We won’t win every DED prescription; however, with so many U.S. DED patients who have tried and failed one or more of the existing prescription choices and a large percentage of patients who have never treated their disease with a prescription product, we believe there is a very significant need and opportunity for a DED medication that shows efficacy within one month, has a lasting treatment effect, and doesn’t cause pain, eye or nose irritation, sneezing, or dysgeusia upon instillation. We believe VEVYE will meet this need, win meaningful market share, and expand the pool of patients benefitting from a prescription DED therapy.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believe prescribers will appreciate the data supporting VEVYE. The core of VEVYE is the water-free EyeSol® technology, which our partner Novaliq developed. In my view, what Novaliq has done with EyeSol is to essentially reinvent “the eyedrop.” Because of VEVYE’s patented EyeSol technology, patients will experience exceptional comfort (i.e., over 99.8% of patients dosed in VEVYE’s clinical development program experienced no or mild instillation site pain). But the promise of VEVYE is also rapid clinical onset (29 days) and continued improvement of both signs and symptoms over 56 weeks. Dosing frequency also matters, and VEVYE is the only twice-daily cyclosporine-based product indicated for both signs and symptoms of DED. VEVYE contains no water, pH, or osmolarity; it has a totally unique feel when applied to the eye’s surface. I can’t wait to hear the responses from patients when they administer VEVYE, a light-feeling and small (10 microliter) drop. </w:t>
      </w:r>
      <w:r>
        <w:rPr>
          <w:rFonts w:ascii="Times New Roman;Times;Serif" w:hAnsi="Times New Roman;Times;Serif"/>
          <w:b w:val="false"/>
          <w:i/>
          <w:caps w:val="false"/>
          <w:smallCaps w:val="false"/>
          <w:sz w:val="20"/>
        </w:rPr>
        <w:t>There’s just nothing else like VEVYE on the market.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 of providing a product like VEVYE to a patient population in such great need is a motivating factor as we begin our VEVYE market access and pricing analysis work!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Adjacent ocular surface disease products we recently acquired from Santen will further bolster the toolkit we intend to provide to ECPs, including such well-known products as: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FLAREX®, the only branded steroid indicated for ocular surface inflammation, provides the opportunity to treat inflammation associated with a wide range of ocular surface conditions (including DED</w:t>
            </w:r>
            <w:r>
              <w:rPr>
                <w:rFonts w:ascii="Times New Roman;Times;Serif" w:hAnsi="Times New Roman;Times;Serif"/>
                <w:b w:val="false"/>
                <w:i w:val="false"/>
                <w:caps w:val="false"/>
                <w:smallCaps w:val="false"/>
                <w:position w:val="7"/>
                <w:sz w:val="16"/>
                <w:sz w:val="20"/>
              </w:rPr>
              <w:t>ii</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TOBRADEX® ST, a corticosteroid and antibacterial combination eye drop, has shown a &gt;50% reduction in symptoms commonly associated with blepharitis/blepharoconjunctivitis</w:t>
            </w:r>
            <w:r>
              <w:rPr>
                <w:rFonts w:ascii="Times New Roman;Times;Serif" w:hAnsi="Times New Roman;Times;Serif"/>
                <w:b w:val="false"/>
                <w:i w:val="false"/>
                <w:caps w:val="false"/>
                <w:smallCaps w:val="false"/>
                <w:position w:val="7"/>
                <w:sz w:val="16"/>
                <w:sz w:val="20"/>
              </w:rPr>
              <w:t>iii</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FRESHKOTE®, an OTC, preservative-free lubricant for dry eye.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working to transfer the marketing authorizations (MAs) for FLAREX, TOBRADEX ST, and FRESHKOTE to the Harrow platform, and we expect that, as the MAs transfer over the coming months, these products will be immediately accretive to Harrow’s earnings.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(i)</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OIS Dry Eye Conference (March 2021)</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(ii)</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Charters L. Ocular surface inflammation: vicious cycle of ocular surface disruption. Ophthalmology Times. October 16, 2019. Accessed May 19, 2021. </w:t>
            </w:r>
            <w:r>
              <w:rPr>
                <w:rFonts w:ascii="Times New Roman;Times;Serif" w:hAnsi="Times New Roman;Times;Serif"/>
                <w:b w:val="false"/>
                <w:i w:val="false"/>
                <w:caps w:val="false"/>
                <w:smallCaps w:val="false"/>
                <w:sz w:val="20"/>
                <w:u w:val="single"/>
              </w:rPr>
              <w:t>https://www.ophthalmologytimes.com/view/ocular-surface-inflammation-vicious-cycle-ocular-surface-disruption.</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(iii)</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Randomized, investigator-masked, active-controlled, parallel-group trial conducted at seven private practice clinical sites in the United States with 122 adult patients who had moderate to severe blepharitis/blepharoconjunctivitis.</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Bucket 3</w:t>
      </w:r>
      <w:r>
        <w:rPr>
          <w:rFonts w:ascii="Times New Roman;Times;Serif" w:hAnsi="Times New Roman;Times;Serif"/>
          <w:b/>
          <w:i/>
          <w:caps w:val="false"/>
          <w:smallCaps w:val="false"/>
          <w:sz w:val="20"/>
        </w:rPr>
        <w:t>: TRIESENCE®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our announcement of our agreement to purchase TRIESENCE, we have consistently heard from ECPs throughout the U.S., especially retina-focused surgeons, about their desire, need, and excitement about having TRIESENCE, </w:t>
      </w:r>
      <w:r>
        <w:rPr>
          <w:rFonts w:ascii="Times New Roman;Times;Serif" w:hAnsi="Times New Roman;Times;Serif"/>
          <w:b w:val="false"/>
          <w:i/>
          <w:caps w:val="false"/>
          <w:smallCaps w:val="false"/>
          <w:sz w:val="20"/>
        </w:rPr>
        <w:t>which has been in and out of stock for several years</w:t>
      </w:r>
      <w:r>
        <w:rPr>
          <w:rFonts w:ascii="Times New Roman;Times;Serif" w:hAnsi="Times New Roman;Times;Serif"/>
          <w:b w:val="false"/>
          <w:i w:val="false"/>
          <w:caps w:val="false"/>
          <w:smallCaps w:val="false"/>
          <w:sz w:val="20"/>
        </w:rPr>
        <w:t>, back in stock and available. During this out-of-stock situation, ECPs have had to resort to off-label and potentially dangerous manipulation of other products, which cannot be billed using the TRIESENCE product-specific J-Code (J3300). We expect this all to change by the end of the year and that in the first half of 2024, TRIESENCE should be again available in the U.S. market.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 has a unique label as it is approved for (1) visualization of the vitrectomy and (2) the treatment of the following ophthalmic diseases: sympathetic ophthalmia, temporal arteritis, uveitis, and ocular inflammatory conditions unresponsive to topical corticosteroids. We estimate there are approximately 600,000 annual use cases for TRIESENCE.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Like hundreds of critical medicines in the U.S., TRIESENCE has been listed on the FDA’s drug shortage list for much of the past five years. While several factors have contributed to this, pricing has challenged the economic incentive to ensure the widespread availability of TRIESENCE. In fact, TRIESENCE has not seen any upward pricing adjustment in about </w:t>
      </w:r>
      <w:r>
        <w:rPr>
          <w:rFonts w:ascii="Times New Roman;Times;Serif" w:hAnsi="Times New Roman;Times;Serif"/>
          <w:b w:val="false"/>
          <w:i/>
          <w:caps w:val="false"/>
          <w:smallCaps w:val="false"/>
          <w:sz w:val="20"/>
        </w:rPr>
        <w:t>12 years – not even to keep up with inflation</w:t>
      </w:r>
      <w:r>
        <w:rPr>
          <w:rFonts w:ascii="Times New Roman;Times;Serif" w:hAnsi="Times New Roman;Times;Serif"/>
          <w:b w:val="false"/>
          <w:i w:val="false"/>
          <w:caps w:val="false"/>
          <w:smallCaps w:val="false"/>
          <w:sz w:val="20"/>
        </w:rPr>
        <w:t>. I suspect few products in the U.S. ophthalmic pharmaceutical market have had complete pricing stasis for that long. While it may sound great to keep the price of TRIESENCE stable for 12 years, the costs associated with producing this critical medicine have increased markedly during this period. To avoid any disincentive in making TRIESENCE available and to best ensure TRIESENCE is finally off the FDA’s drug shortage list, once we have access to the TRIESENCE NDA, we intend to adjust, in a reasonable way, TRIESENCE pricing to reflect the value it delivers – while at the same time, investing significantly in inventory build to meet the demand that we expect.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prospects of achieving a TRIESENCE inventory build, despite TRIESENCE being a tricky product to manufacture, we (along with our contracted manufacturing partner) are making solid progress. Recently, demo batches of TRIESENCE were successfully completed, and this October, we expect to have results from the first-of-three process performance qualification (or PPQ) batches. Assuming analytical results from that PPQ batch are consistent with the demo batches, we should be positioned to have TRIESENCE in inventory during the first half of 2024.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Bucket 4</w:t>
      </w:r>
      <w:r>
        <w:rPr>
          <w:rFonts w:ascii="Times New Roman;Times;Serif" w:hAnsi="Times New Roman;Times;Serif"/>
          <w:b/>
          <w:i/>
          <w:caps w:val="false"/>
          <w:smallCaps w:val="false"/>
          <w:sz w:val="20"/>
        </w:rPr>
        <w:t>: Specialty Anterior Segment (SAS)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important and steady source of revenue because each product below has a very high need and utility among eyecare professionals. Additionally, when we consider each product’s unique characteristics (including patents, brand name recognition, and manufacturing know-how) we see the potential for a durable source of revenue that strategically fits within Harrow’s portfolio of front-of-the-eye or anterior segment products. These products include: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ILEVRO® and NEVANAC®, patented, non-steroidal, anti-inflammatory eye drops (NSAIDs) indicated for pain and inflammation associated with cataract surgery.</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extensive portfolio of antibiotic and steroid products that offer excellent options for infection and inflammation, including:</w:t>
            </w:r>
          </w:p>
        </w:tc>
      </w:tr>
    </w:tbl>
    <w:p>
      <w:pPr>
        <w:pStyle w:val="TextBody"/>
        <w:pBdr/>
        <w:bidi w:val="0"/>
        <w:spacing w:before="0" w:after="0"/>
        <w:jc w:val="center"/>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MAXIDEX®, a steroid,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VIGAMOX®, an antibiotic,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TOBRADEX® ST, a patented combination antibiotic and steroid,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MAXITROL®, an anti-infective steroid combination.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NATACYN®, the only on-label antifungal eye drop.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VERKAZIA® (orphan exclusivity until 2028), the only patented topical immunomodulator approved for the treatment of vernal keratoconjunctivitis (VKC).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ZERVIATE®, patented and the only H1 receptor antagonist formulated with Hydrella® lubricating ingredients for the treatment of ocular itching with allergic conjunctivitis.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IOPIDINE®, the gold standard for treating or preventing intraocular pressure during and after YAG laser eye surgery, a procedure that is required for an estimated 40% of cataract surgery patients.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Fortisite</w:t>
            </w:r>
            <w:r>
              <w:rPr>
                <w:rFonts w:ascii="Times New Roman;Times;Serif" w:hAnsi="Times New Roman;Times;Serif"/>
                <w:b w:val="false"/>
                <w:i w:val="false"/>
                <w:caps w:val="false"/>
                <w:smallCaps w:val="false"/>
                <w:sz w:val="20"/>
              </w:rPr>
              <w:t>® is a high-concentration, refrigeration-stable, compounded fortified antibiotic available through the ImprimisRx FDA-registered 503B facility for in-office use.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Bucket 5</w:t>
      </w:r>
      <w:r>
        <w:rPr>
          <w:rFonts w:ascii="Times New Roman;Times;Serif" w:hAnsi="Times New Roman;Times;Serif"/>
          <w:b/>
          <w:i/>
          <w:caps w:val="false"/>
          <w:smallCaps w:val="false"/>
          <w:sz w:val="20"/>
        </w:rPr>
        <w:t>: ImprimisRx’s Compounded Pharmaceutical Products (CPPs)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and certainly not least of these Revenue Buckets is the balance of our ImprimisRx CPP formulations. This business has historically served Harrow stockholders well by producing double-digit annual revenue growth and consistent streams of cash, which we have invested to build the entirety of what we now own. The ImprimisRx CPP business has also been an innovation hub, allowing Harrow to develop new affordable and accessible compounded formulations to address clinical needs that are unmet by FDA-approved drug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ImprimisRx’s CPPs have played a vital role in Harrow’s mission to help patients manage the preservation of their sight by making drugs accessible and affordable. Such innovative compounded formulations include preservative- and boric acid-free compounded atropine formulations, available at </w:t>
      </w:r>
      <w:r>
        <w:rPr>
          <w:rFonts w:ascii="Times New Roman;Times;Serif" w:hAnsi="Times New Roman;Times;Serif"/>
          <w:b w:val="false"/>
          <w:i w:val="false"/>
          <w:caps w:val="false"/>
          <w:smallCaps w:val="false"/>
          <w:sz w:val="20"/>
          <w:u w:val="single"/>
        </w:rPr>
        <w:t>atropine.com</w:t>
      </w:r>
      <w:r>
        <w:rPr>
          <w:rFonts w:ascii="Times New Roman;Times;Serif" w:hAnsi="Times New Roman;Times;Serif"/>
          <w:b w:val="false"/>
          <w:i w:val="false"/>
          <w:caps w:val="false"/>
          <w:smallCaps w:val="false"/>
          <w:sz w:val="20"/>
        </w:rPr>
        <w:t>, which are stable at a biologically comfortable pH and undergo a strict series of validated analytical tests to ensure consistency, potency, and stability. The market need for CPPs was illustrated in our recent partnership with Elevance Health, one of the Nation’s largest health insurance companies, covering the nine million members of its Blue View Vision</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plan. This partnership made ImprimisRx’s atropine and Total Tears® ophthalmic formulations available through approximately 36,000 private practice eyecare professionals, local optical stores, and national retail stores. We are confident that Harrow’s 10,000</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customer base wants and needs the entirety of the Harrow portfolio, including compounded formulations from ImprimisRx, the U.S. leader – </w:t>
      </w:r>
      <w:r>
        <w:rPr>
          <w:rFonts w:ascii="Times New Roman;Times;Serif" w:hAnsi="Times New Roman;Times;Serif"/>
          <w:b w:val="false"/>
          <w:i/>
          <w:caps w:val="false"/>
          <w:smallCaps w:val="false"/>
          <w:sz w:val="20"/>
        </w:rPr>
        <w:t>by far</w:t>
      </w:r>
      <w:r>
        <w:rPr>
          <w:rFonts w:ascii="Times New Roman;Times;Serif" w:hAnsi="Times New Roman;Times;Serif"/>
          <w:b w:val="false"/>
          <w:i w:val="false"/>
          <w:caps w:val="false"/>
          <w:smallCaps w:val="false"/>
          <w:sz w:val="20"/>
        </w:rPr>
        <w:t xml:space="preserve"> – in ophthalmic pharmaceutical compounding.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should also know that we are always interested in whether an ImprimisRx compounded formulation has the potential to be developed into an FDA-approved product (as we are in the process of attempting with the MELT-300 program from Melt Pharmaceuticals, noting the MELT-300 product candidate was inspired by the MKO Melt® formulation, which ImprimisRx currently offers).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remain committed to our charity and mission work worldwide by providing ImprimisRx compounded ophthalmic formulations to the noble physicians who generously donate their time to helping those with limited resources or no access to the ophthalmic care they need. This continues to serve as a great source of pride for the Harrow Family, including our stockholders.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Closing</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hope this Stockholder Letter clarifies how we intend to achieve our long-term financial objectives. Some of the various Revenue Bucket products are more contributory currently than others. For example, IHEEZO is generating sales and ramping up, but VEVYE and TRIESENCE aren’t expected to kick into gear until next year. Regardless of the exact timing of when revenues for a Harrow product begin to mount or grow, the key for our stockholders is that we now have the products needed to achieve our highest financial objectives. </w:t>
      </w:r>
      <w:r>
        <w:rPr>
          <w:rFonts w:ascii="Times New Roman;Times;Serif" w:hAnsi="Times New Roman;Times;Serif"/>
          <w:b w:val="false"/>
          <w:i/>
          <w:caps w:val="false"/>
          <w:smallCaps w:val="false"/>
          <w:sz w:val="20"/>
        </w:rPr>
        <w:t>(In addition, if our former subsidiary Melt Pharmaceuticals is successful in turning MELT-300 into an FDA-approved product during this Five-Year Strategic Planning cycle, we may be able to add even more revenues to the mix because, aside from our large equity position and royalty rights on MELT-300, Harrow has a right of first refusal on Melt’s commercial rights!)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keep in mind that when we launch a product like IHEEZO or VEVYE, it isn’t like Hermès running a </w:t>
      </w:r>
      <w:r>
        <w:rPr>
          <w:rFonts w:ascii="Times New Roman;Times;Serif" w:hAnsi="Times New Roman;Times;Serif"/>
          <w:b w:val="false"/>
          <w:i/>
          <w:caps w:val="false"/>
          <w:smallCaps w:val="false"/>
          <w:sz w:val="20"/>
        </w:rPr>
        <w:t>One-Day Only 50% Off Sale</w:t>
      </w:r>
      <w:r>
        <w:rPr>
          <w:rFonts w:ascii="Times New Roman;Times;Serif" w:hAnsi="Times New Roman;Times;Serif"/>
          <w:b w:val="false"/>
          <w:i w:val="false"/>
          <w:caps w:val="false"/>
          <w:smallCaps w:val="false"/>
          <w:sz w:val="20"/>
        </w:rPr>
        <w:t xml:space="preserve"> for Birkin Bags; it takes 18-24 months to develop an effective market access strategy and build sales momentum, even when you have what we believe are winning products like IHEEZO and VEVYE. (TRIESENCE is a bit different because the market is already so familiar with the product, there is a permanent TRIESENCE product-specific J-Code, and the demand for TRIESENCE has been building for years as the product has been in short supply.)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want to admit that it is a “lock bet” that we will make mistakes executing our Five-Year Strategic Plan. It should also be assumed that some Revenue Buckets will underperform. On the other hand, we may also have Revenue Buckets that overperform! Success for Harrow has never been a linear path “up and to the right,” and I do not expect that to change.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Harrow’s CEO, credibility is my primary currency. Perhaps as important as closing our recent transactions is that this management team was transparent with Harrow shareholders about our belief that we would accomplish these things – </w:t>
      </w:r>
      <w:r>
        <w:rPr>
          <w:rFonts w:ascii="Times New Roman;Times;Serif" w:hAnsi="Times New Roman;Times;Serif"/>
          <w:b w:val="false"/>
          <w:i/>
          <w:caps w:val="false"/>
          <w:smallCaps w:val="false"/>
          <w:sz w:val="20"/>
        </w:rPr>
        <w:t>and now we have</w:t>
      </w:r>
      <w:r>
        <w:rPr>
          <w:rFonts w:ascii="Times New Roman;Times;Serif" w:hAnsi="Times New Roman;Times;Serif"/>
          <w:b w:val="false"/>
          <w:i w:val="false"/>
          <w:caps w:val="false"/>
          <w:smallCaps w:val="false"/>
          <w:sz w:val="20"/>
        </w:rPr>
        <w:t>. I also believe many readers of this Stockholder Letter would agree that we didn’t overpay for our newly acquired products! We also didn’t dilute stockholders unless we had what we felt was a potential “whopper” of a deal (e.g., the VEVYE transaction). Finally, we promised that we wouldn’t add to our debt unless doing so acquired value which, in the aggregate, was expected to lower our overall leverage ratios. I believe we delivered on all these promises.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Today, we have line-of-sight to achieving the highest financial goals of our current Five-Year Strategic Plan, making Harrow a top-tier U.S.-focused ophthalmic pharmaceutical company. I am more confident today than ever that this will happen. In terms of the future we see for Harrow, as American lyricist Carolyn Leigh penned and as Frank Sinatra sang, “The best is yet to come!” </w:t>
      </w:r>
      <w:r>
        <w:rPr>
          <w:rFonts w:ascii="Times New Roman;Times;Serif" w:hAnsi="Times New Roman;Times;Serif"/>
          <w:b w:val="false"/>
          <w:i/>
          <w:caps w:val="false"/>
          <w:smallCaps w:val="false"/>
          <w:sz w:val="20"/>
        </w:rPr>
        <w:t>I look forward to updating you again in my next Letter to Stockholders in November of 2023.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pBdr/>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28" w:type="dxa"/>
          <w:right w:w="0" w:type="dxa"/>
        </w:tblCellMar>
      </w:tblPr>
      <w:tblGrid>
        <w:gridCol w:w="575"/>
        <w:gridCol w:w="60"/>
        <w:gridCol w:w="860"/>
        <w:gridCol w:w="60"/>
        <w:gridCol w:w="860"/>
        <w:gridCol w:w="60"/>
        <w:gridCol w:w="860"/>
        <w:gridCol w:w="60"/>
        <w:gridCol w:w="875"/>
      </w:tblGrid>
      <w:tr>
        <w:trPr/>
        <w:tc>
          <w:tcPr>
            <w:tcW w:w="575" w:type="dxa"/>
            <w:tcBorders>
              <w:bottom w:val="single" w:sz="12" w:space="0" w:color="000000"/>
            </w:tcBorders>
            <w:vAlign w:val="center"/>
          </w:tcPr>
          <w:p>
            <w:pPr>
              <w:pStyle w:val="TableContents"/>
              <w:bidi w:val="0"/>
              <w:spacing w:before="0" w:after="283"/>
              <w:jc w:val="center"/>
              <w:rPr/>
            </w:pPr>
            <w:r>
              <w:rPr/>
              <w:t>2023</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283"/>
              <w:jc w:val="center"/>
              <w:rPr/>
            </w:pPr>
            <w:r>
              <w:rPr/>
              <w:t>2022</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283"/>
              <w:jc w:val="center"/>
              <w:rPr/>
            </w:pPr>
            <w:r>
              <w:rPr/>
              <w:t>2021</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283"/>
              <w:jc w:val="center"/>
              <w:rPr/>
            </w:pPr>
            <w:r>
              <w:rPr/>
              <w:t>2020</w:t>
            </w:r>
          </w:p>
        </w:tc>
        <w:tc>
          <w:tcPr>
            <w:tcW w:w="60" w:type="dxa"/>
            <w:tcBorders/>
            <w:tcMar>
              <w:bottom w:w="0" w:type="dxa"/>
            </w:tcMar>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center"/>
              <w:rPr/>
            </w:pPr>
            <w:r>
              <w:rPr/>
              <w:t>2019</w:t>
            </w:r>
          </w:p>
        </w:tc>
      </w:tr>
      <w:tr>
        <w:trPr/>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4Q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4Q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4Q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u w:val="single"/>
              </w:rPr>
            </w:pPr>
            <w:r>
              <w:rPr>
                <w:u w:val="single"/>
              </w:rPr>
              <w:t>4Q 2019</w:t>
            </w:r>
          </w:p>
        </w:tc>
      </w:tr>
      <w:tr>
        <w:trPr/>
        <w:tc>
          <w:tcPr>
            <w:tcW w:w="5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3Q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3Q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3Q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u w:val="single"/>
              </w:rPr>
            </w:pPr>
            <w:r>
              <w:rPr>
                <w:u w:val="single"/>
              </w:rPr>
              <w:t>3Q 2019</w:t>
            </w:r>
          </w:p>
        </w:tc>
      </w:tr>
      <w:tr>
        <w:trPr/>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2Q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2Q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2Q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w:t>
            </w:r>
          </w:p>
        </w:tc>
      </w:tr>
      <w:tr>
        <w:trPr/>
        <w:tc>
          <w:tcPr>
            <w:tcW w:w="575" w:type="dxa"/>
            <w:tcBorders/>
            <w:shd w:fill="FFFFFF" w:val="clear"/>
            <w:tcMar>
              <w:bottom w:w="0" w:type="dxa"/>
            </w:tcMar>
            <w:vAlign w:val="center"/>
          </w:tcPr>
          <w:p>
            <w:pPr>
              <w:pStyle w:val="TableContents"/>
              <w:bidi w:val="0"/>
              <w:spacing w:before="0" w:after="283"/>
              <w:jc w:val="center"/>
              <w:rPr>
                <w:u w:val="single"/>
              </w:rPr>
            </w:pPr>
            <w:r>
              <w:rPr>
                <w:u w:val="single"/>
              </w:rPr>
              <w:t>1Q23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1Q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1Q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1Q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Quarterly Reports on Form 10-Q, and other filings with the SEC.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pBdr/>
        <w:bidi w:val="0"/>
        <w:spacing w:before="0" w:after="0"/>
        <w:ind w:left="0" w:right="0" w:firstLine="719"/>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income, excluding the effects of stock-based compensation and expenses, interest, taxes, depreciation, amortization, investment (loss) income, net, and, if any and when specified, other non-recurring income or expense items. Management believes that the most directly comparable GAAP financial measure to Adjusted EBITDA is net (loss) income.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and six months ended June 30, 2023, and for the same periods in 2022:</w:t>
      </w:r>
    </w:p>
    <w:p>
      <w:pPr>
        <w:pStyle w:val="TextBody"/>
        <w:pBdr/>
        <w:bidi w:val="0"/>
        <w:spacing w:before="0" w:after="0"/>
        <w:ind w:left="0" w:right="0" w:firstLine="719"/>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75"/>
        <w:gridCol w:w="60"/>
        <w:gridCol w:w="163"/>
        <w:gridCol w:w="1282"/>
        <w:gridCol w:w="110"/>
        <w:gridCol w:w="69"/>
        <w:gridCol w:w="163"/>
        <w:gridCol w:w="1230"/>
        <w:gridCol w:w="95"/>
        <w:gridCol w:w="60"/>
        <w:gridCol w:w="142"/>
        <w:gridCol w:w="1199"/>
        <w:gridCol w:w="96"/>
        <w:gridCol w:w="61"/>
        <w:gridCol w:w="142"/>
        <w:gridCol w:w="1076"/>
        <w:gridCol w:w="110"/>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17"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6" w:type="dxa"/>
            <w:gridSpan w:val="6"/>
            <w:tcBorders>
              <w:bottom w:val="single" w:sz="12"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center"/>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(4,229,000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(6,239,000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(10,872,000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(8,677,000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5,412,000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1,993,000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7,045,000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4,009,000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5,704,000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1,794,000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10,451,000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3,586,000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(15,000</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(303,000</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40,000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398,000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424,000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690,000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843,000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2,843,000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5,050,000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802,000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loss (income),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714,000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6,095,000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(1,328,000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8,842,000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178,000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5,614,000 </w:t>
            </w:r>
            <w:r>
              <w:rPr>
                <w:rFonts w:ascii="Times New Roman;Times;Serif" w:hAnsi="Times New Roman;Times;Serif"/>
                <w:position w:val="7"/>
                <w:sz w:val="16"/>
                <w:sz w:val="20"/>
              </w:rPr>
              <w:t>(1)</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11,005,000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4,505,000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16,347,000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pPr>
            <w:r>
              <w:rPr/>
              <w:t>9,445,000</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firstLine="719"/>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30"/>
        <w:gridCol w:w="4850"/>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$5,465,000 for the loss on extinguishment of debt.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income (loss), core operating income, core basic and diluted income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and six months ended June 30, 2023, and for the same periods in 2022:</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40"/>
        <w:gridCol w:w="60"/>
        <w:gridCol w:w="140"/>
        <w:gridCol w:w="1100"/>
        <w:gridCol w:w="215"/>
        <w:gridCol w:w="60"/>
        <w:gridCol w:w="258"/>
        <w:gridCol w:w="1811"/>
        <w:gridCol w:w="60"/>
        <w:gridCol w:w="60"/>
        <w:gridCol w:w="141"/>
        <w:gridCol w:w="809"/>
        <w:gridCol w:w="60"/>
        <w:gridCol w:w="60"/>
        <w:gridCol w:w="140"/>
        <w:gridCol w:w="80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June 30, 2023</w:t>
            </w:r>
          </w:p>
        </w:tc>
      </w:tr>
      <w:tr>
        <w:trPr/>
        <w:tc>
          <w:tcPr>
            <w:tcW w:w="28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69"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23,470,000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811" w:type="dxa"/>
            <w:tcBorders/>
            <w:shd w:fill="CCEEFF" w:val="clear"/>
            <w:tcMar>
              <w:bottom w:w="0" w:type="dxa"/>
            </w:tcMar>
            <w:vAlign w:val="center"/>
          </w:tcPr>
          <w:p>
            <w:pPr>
              <w:pStyle w:val="TableContents"/>
              <w:bidi w:val="0"/>
              <w:spacing w:before="0" w:after="283"/>
              <w:jc w:val="right"/>
              <w:rPr/>
            </w:pPr>
            <w:r>
              <w:rPr/>
              <w:t>2,649,000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26,119,000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2,352,000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2,843,000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5,195,000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(4,244,000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(4,229,000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840"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30,458,677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30,458,677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14"/>
        <w:gridCol w:w="60"/>
        <w:gridCol w:w="140"/>
        <w:gridCol w:w="1175"/>
        <w:gridCol w:w="215"/>
        <w:gridCol w:w="60"/>
        <w:gridCol w:w="182"/>
        <w:gridCol w:w="1277"/>
        <w:gridCol w:w="60"/>
        <w:gridCol w:w="60"/>
        <w:gridCol w:w="140"/>
        <w:gridCol w:w="1055"/>
        <w:gridCol w:w="95"/>
        <w:gridCol w:w="60"/>
        <w:gridCol w:w="140"/>
        <w:gridCol w:w="980"/>
        <w:gridCol w:w="60"/>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Six Months Ended June 30, 2023</w:t>
            </w:r>
          </w:p>
        </w:tc>
      </w:tr>
      <w:tr>
        <w:trPr/>
        <w:tc>
          <w:tcPr>
            <w:tcW w:w="29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59"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Certain Intangible 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center"/>
              <w:rPr/>
            </w:pPr>
            <w:r>
              <w:rPr/>
              <w:t> </w:t>
            </w:r>
          </w:p>
        </w:tc>
      </w:tr>
      <w:tr>
        <w:trPr/>
        <w:tc>
          <w:tcPr>
            <w:tcW w:w="2914"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41,302,000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277" w:type="dxa"/>
            <w:tcBorders/>
            <w:shd w:fill="CCEEFF" w:val="clear"/>
            <w:tcMar>
              <w:bottom w:w="0" w:type="dxa"/>
            </w:tcMar>
            <w:vAlign w:val="center"/>
          </w:tcPr>
          <w:p>
            <w:pPr>
              <w:pStyle w:val="TableContents"/>
              <w:bidi w:val="0"/>
              <w:spacing w:before="0" w:after="283"/>
              <w:jc w:val="right"/>
              <w:rPr/>
            </w:pPr>
            <w:r>
              <w:rPr/>
              <w:t>4,694,000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45,996,000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914"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914"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3,562,000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5,050,000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8,612,000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914"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(11,175,000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(1,328,000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(1,839,000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914"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303,000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303,000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914"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(10,872,000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(1,328,000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(1,536,000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9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(0.05</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914"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30,379,354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30,379,354</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61"/>
        <w:gridCol w:w="60"/>
        <w:gridCol w:w="140"/>
        <w:gridCol w:w="1100"/>
        <w:gridCol w:w="215"/>
        <w:gridCol w:w="60"/>
        <w:gridCol w:w="227"/>
        <w:gridCol w:w="1310"/>
        <w:gridCol w:w="60"/>
        <w:gridCol w:w="60"/>
        <w:gridCol w:w="140"/>
        <w:gridCol w:w="980"/>
        <w:gridCol w:w="60"/>
        <w:gridCol w:w="60"/>
        <w:gridCol w:w="140"/>
        <w:gridCol w:w="1100"/>
        <w:gridCol w:w="232"/>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Three Months Ended June 30, 2022</w:t>
            </w:r>
          </w:p>
        </w:tc>
      </w:tr>
      <w:tr>
        <w:trPr/>
        <w:tc>
          <w:tcPr>
            <w:tcW w:w="42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7"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Certain Intangible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center"/>
              <w:rPr/>
            </w:pPr>
            <w:r>
              <w:rPr/>
              <w:t> </w:t>
            </w:r>
          </w:p>
        </w:tc>
      </w:tr>
      <w:tr>
        <w:trPr/>
        <w:tc>
          <w:tcPr>
            <w:tcW w:w="4261"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16,789,000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341,000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17,130,000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261"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73</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4261"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1,690,000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398,000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2,088,000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261"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(6,199,000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6,095,000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294,000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4261"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4261"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(6,239,000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6,095,000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254,000</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42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(loss) earnings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0.01</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2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 (loss) earnings per share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0.01</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4261" w:type="dxa"/>
            <w:tcBorders/>
            <w:shd w:fill="CCEEFF" w:val="clear"/>
            <w:tcMar>
              <w:bottom w:w="0" w:type="dxa"/>
            </w:tcMar>
            <w:vAlign w:val="center"/>
          </w:tcPr>
          <w:p>
            <w:pPr>
              <w:pStyle w:val="TableContents"/>
              <w:bidi w:val="0"/>
              <w:spacing w:before="0" w:after="283"/>
              <w:jc w:val="left"/>
              <w:rPr/>
            </w:pPr>
            <w:r>
              <w:rPr/>
              <w:t>Weighted average number of shares of common stock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261" w:type="dxa"/>
            <w:tcBorders/>
            <w:shd w:fill="FFFFFF" w:val="clear"/>
            <w:tcMar>
              <w:bottom w:w="0" w:type="dxa"/>
            </w:tcMar>
            <w:vAlign w:val="center"/>
          </w:tcPr>
          <w:p>
            <w:pPr>
              <w:pStyle w:val="TableContents"/>
              <w:bidi w:val="0"/>
              <w:spacing w:before="0" w:after="283"/>
              <w:jc w:val="left"/>
              <w:rPr/>
            </w:pPr>
            <w:r>
              <w:rPr/>
              <w:t>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27,303,458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27,303,458</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4261"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27,303,458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28,234,177</w:t>
            </w:r>
          </w:p>
        </w:tc>
        <w:tc>
          <w:tcPr>
            <w:tcW w:w="232"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tbl>
      <w:tblPr>
        <w:tblW w:w="9679" w:type="dxa"/>
        <w:jc w:val="left"/>
        <w:tblInd w:w="0" w:type="dxa"/>
        <w:tblLayout w:type="fixed"/>
        <w:tblCellMar>
          <w:top w:w="0" w:type="dxa"/>
          <w:left w:w="0" w:type="dxa"/>
          <w:bottom w:w="28" w:type="dxa"/>
          <w:right w:w="0" w:type="dxa"/>
        </w:tblCellMar>
      </w:tblPr>
      <w:tblGrid>
        <w:gridCol w:w="3485"/>
        <w:gridCol w:w="60"/>
        <w:gridCol w:w="140"/>
        <w:gridCol w:w="1100"/>
        <w:gridCol w:w="215"/>
        <w:gridCol w:w="60"/>
        <w:gridCol w:w="265"/>
        <w:gridCol w:w="1524"/>
        <w:gridCol w:w="60"/>
        <w:gridCol w:w="60"/>
        <w:gridCol w:w="140"/>
        <w:gridCol w:w="980"/>
        <w:gridCol w:w="60"/>
        <w:gridCol w:w="60"/>
        <w:gridCol w:w="140"/>
        <w:gridCol w:w="1100"/>
        <w:gridCol w:w="230"/>
      </w:tblGrid>
      <w:tr>
        <w:trPr/>
        <w:tc>
          <w:tcPr>
            <w:tcW w:w="9679" w:type="dxa"/>
            <w:gridSpan w:val="17"/>
            <w:tcBorders>
              <w:bottom w:val="single" w:sz="12" w:space="0" w:color="000000"/>
            </w:tcBorders>
            <w:vAlign w:val="center"/>
          </w:tcPr>
          <w:p>
            <w:pPr>
              <w:pStyle w:val="TableContents"/>
              <w:bidi w:val="0"/>
              <w:spacing w:before="0" w:after="283"/>
              <w:jc w:val="center"/>
              <w:rPr>
                <w:b/>
              </w:rPr>
            </w:pPr>
            <w:r>
              <w:rPr>
                <w:b/>
              </w:rPr>
              <w:t>For the Six Months Ended June 30, 2022</w:t>
            </w:r>
          </w:p>
        </w:tc>
      </w:tr>
      <w:tr>
        <w:trPr/>
        <w:tc>
          <w:tcPr>
            <w:tcW w:w="34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89"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Certain Intangible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0" w:type="dxa"/>
            <w:tcBorders/>
            <w:tcMar>
              <w:bottom w:w="0" w:type="dxa"/>
            </w:tcMar>
            <w:vAlign w:val="center"/>
          </w:tcPr>
          <w:p>
            <w:pPr>
              <w:pStyle w:val="TableContents"/>
              <w:bidi w:val="0"/>
              <w:spacing w:before="0" w:after="283"/>
              <w:jc w:val="center"/>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32,946,000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w:t>
            </w:r>
          </w:p>
        </w:tc>
        <w:tc>
          <w:tcPr>
            <w:tcW w:w="1524" w:type="dxa"/>
            <w:tcBorders/>
            <w:shd w:fill="CCEEFF" w:val="clear"/>
            <w:tcMar>
              <w:bottom w:w="0" w:type="dxa"/>
            </w:tcMar>
            <w:vAlign w:val="center"/>
          </w:tcPr>
          <w:p>
            <w:pPr>
              <w:pStyle w:val="TableContents"/>
              <w:bidi w:val="0"/>
              <w:spacing w:before="0" w:after="283"/>
              <w:jc w:val="right"/>
              <w:rPr/>
            </w:pPr>
            <w:r>
              <w:rPr/>
              <w:t>682,000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33,628,000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485"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3,791,000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802,000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4,593,000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(8,637,000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802,000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8,842,000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1,007,000</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485"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(8,677,000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802,000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8,842,000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967,000</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(loss) earnings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(0.32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0.04</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 (loss) earnings per share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0.03</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 xml:space="preserve">Weighted average number of shares </w:t>
              <w:br/>
              <w:t xml:space="preserve">of common stock outstanding: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27,265,350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27,265,350</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27,265,350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28,270,639</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(1) </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earnings per share is calculated using the weighted-average number of shares of common stock outstanding during the period. Core basic and diluted (loss) earnings per share also contemplates dilutive shares associated with equity-based awards as described in Note 2 and elsewhere in the Condensed Consolidated Financial Statements included in the Company’s Quarterly Report on Form 10-Q for the quarter ended June 30, 2023.</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(includes Non-GAAP Values)</w:t>
      </w:r>
    </w:p>
    <w:p>
      <w:pPr>
        <w:pStyle w:val="TextBody"/>
        <w:pBdr/>
        <w:bidi w:val="0"/>
        <w:spacing w:before="0" w:after="0"/>
        <w:ind w:left="0" w:right="0" w:hanging="0"/>
        <w:jc w:val="both"/>
        <w:rPr>
          <w:caps w:val="false"/>
          <w:smallCaps w:val="false"/>
        </w:rPr>
      </w:pPr>
      <w:r>
        <w:rPr>
          <w:caps w:val="false"/>
          <w:smallCaps w:val="false"/>
        </w:rPr>
        <w:t> </w:t>
      </w:r>
    </w:p>
    <w:tbl>
      <w:tblPr>
        <w:tblW w:w="9714" w:type="dxa"/>
        <w:jc w:val="left"/>
        <w:tblInd w:w="0" w:type="dxa"/>
        <w:tblLayout w:type="fixed"/>
        <w:tblCellMar>
          <w:top w:w="0" w:type="dxa"/>
          <w:left w:w="0" w:type="dxa"/>
          <w:bottom w:w="0" w:type="dxa"/>
          <w:right w:w="0" w:type="dxa"/>
        </w:tblCellMar>
      </w:tblPr>
      <w:tblGrid>
        <w:gridCol w:w="4265"/>
        <w:gridCol w:w="60"/>
        <w:gridCol w:w="217"/>
        <w:gridCol w:w="3552"/>
        <w:gridCol w:w="60"/>
        <w:gridCol w:w="60"/>
        <w:gridCol w:w="140"/>
        <w:gridCol w:w="1100"/>
        <w:gridCol w:w="260"/>
      </w:tblGrid>
      <w:tr>
        <w:trPr/>
        <w:tc>
          <w:tcPr>
            <w:tcW w:w="4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At June 30, 2023</w:t>
            </w:r>
          </w:p>
        </w:tc>
        <w:tc>
          <w:tcPr>
            <w:tcW w:w="260" w:type="dxa"/>
            <w:tcBorders/>
            <w:vAlign w:val="center"/>
          </w:tcPr>
          <w:p>
            <w:pPr>
              <w:pStyle w:val="TableContents"/>
              <w:bidi w:val="0"/>
              <w:spacing w:before="0" w:after="283"/>
              <w:jc w:val="left"/>
              <w:rPr/>
            </w:pPr>
            <w:r>
              <w:rPr/>
              <w:t> </w:t>
            </w:r>
          </w:p>
        </w:tc>
      </w:tr>
      <w:tr>
        <w:trPr/>
        <w:tc>
          <w:tcPr>
            <w:tcW w:w="4265" w:type="dxa"/>
            <w:tcBorders>
              <w:bottom w:val="single" w:sz="12" w:space="0" w:color="000000"/>
            </w:tcBorders>
            <w:tcMar>
              <w:bottom w:w="28" w:type="dxa"/>
            </w:tcMar>
            <w:vAlign w:val="center"/>
          </w:tcPr>
          <w:p>
            <w:pPr>
              <w:pStyle w:val="TableContents"/>
              <w:bidi w:val="0"/>
              <w:spacing w:before="0" w:after="283"/>
              <w:jc w:val="center"/>
              <w:rPr>
                <w:b/>
              </w:rPr>
            </w:pPr>
            <w:r>
              <w:rPr>
                <w:b/>
              </w:rPr>
              <w:t>Company</w:t>
            </w:r>
          </w:p>
        </w:tc>
        <w:tc>
          <w:tcPr>
            <w:tcW w:w="60" w:type="dxa"/>
            <w:tcBorders/>
            <w:vAlign w:val="center"/>
          </w:tcPr>
          <w:p>
            <w:pPr>
              <w:pStyle w:val="TableContents"/>
              <w:bidi w:val="0"/>
              <w:spacing w:before="0" w:after="283"/>
              <w:jc w:val="left"/>
              <w:rPr/>
            </w:pPr>
            <w:r>
              <w:rPr/>
              <w:t> </w:t>
            </w:r>
          </w:p>
        </w:tc>
        <w:tc>
          <w:tcPr>
            <w:tcW w:w="3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pBdr/>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ableContents"/>
              <w:pBdr/>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pBdr/>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26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both"/>
              <w:rPr/>
            </w:pPr>
            <w:r>
              <w:rPr/>
              <w:t>Eton Pharmaceuticals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552" w:type="dxa"/>
            <w:tcBorders/>
            <w:shd w:fill="CCEEFF" w:val="clear"/>
            <w:vAlign w:val="center"/>
          </w:tcPr>
          <w:p>
            <w:pPr>
              <w:pStyle w:val="TableContents"/>
              <w:bidi w:val="0"/>
              <w:spacing w:before="0" w:after="283"/>
              <w:jc w:val="right"/>
              <w:rPr/>
            </w:pPr>
            <w:r>
              <w:rPr/>
              <w:t>1,982,000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6,917,180</w:t>
            </w:r>
          </w:p>
        </w:tc>
        <w:tc>
          <w:tcPr>
            <w:tcW w:w="2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both"/>
              <w:rPr/>
            </w:pPr>
            <w:r>
              <w:rPr/>
              <w:t>Surface Ophthalmics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552" w:type="dxa"/>
            <w:tcBorders/>
            <w:shd w:fill="FFFFFF" w:val="clear"/>
            <w:vAlign w:val="center"/>
          </w:tcPr>
          <w:p>
            <w:pPr>
              <w:pStyle w:val="TableContents"/>
              <w:bidi w:val="0"/>
              <w:spacing w:before="0" w:after="283"/>
              <w:jc w:val="right"/>
              <w:rPr/>
            </w:pPr>
            <w:r>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15,750,000</w:t>
            </w:r>
          </w:p>
        </w:tc>
        <w:tc>
          <w:tcPr>
            <w:tcW w:w="260" w:type="dxa"/>
            <w:tcBorders/>
            <w:shd w:fill="FFFFFF" w:val="clear"/>
            <w:vAlign w:val="center"/>
          </w:tcPr>
          <w:p>
            <w:pPr>
              <w:pStyle w:val="TableContents"/>
              <w:bidi w:val="0"/>
              <w:spacing w:before="0" w:after="283"/>
              <w:jc w:val="left"/>
              <w:rPr>
                <w:position w:val="8"/>
                <w:sz w:val="19"/>
              </w:rPr>
            </w:pPr>
            <w:r>
              <w:rPr>
                <w:position w:val="8"/>
                <w:sz w:val="19"/>
              </w:rPr>
              <w:t>(1)</w:t>
            </w:r>
          </w:p>
        </w:tc>
      </w:tr>
      <w:tr>
        <w:trPr/>
        <w:tc>
          <w:tcPr>
            <w:tcW w:w="4265" w:type="dxa"/>
            <w:tcBorders/>
            <w:shd w:fill="CCEEFF" w:val="clear"/>
            <w:vAlign w:val="center"/>
          </w:tcPr>
          <w:p>
            <w:pPr>
              <w:pStyle w:val="TableContents"/>
              <w:bidi w:val="0"/>
              <w:spacing w:before="0" w:after="283"/>
              <w:jc w:val="both"/>
              <w:rPr/>
            </w:pPr>
            <w:r>
              <w:rPr/>
              <w:t>Melt Pharmaceuticals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552" w:type="dxa"/>
            <w:tcBorders/>
            <w:shd w:fill="CCEEFF" w:val="clear"/>
            <w:vAlign w:val="center"/>
          </w:tcPr>
          <w:p>
            <w:pPr>
              <w:pStyle w:val="TableContents"/>
              <w:bidi w:val="0"/>
              <w:spacing w:before="0" w:after="283"/>
              <w:jc w:val="right"/>
              <w:rPr/>
            </w:pPr>
            <w:r>
              <w:rPr/>
              <w:t>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17,500,000</w:t>
            </w:r>
          </w:p>
        </w:tc>
        <w:tc>
          <w:tcPr>
            <w:tcW w:w="260" w:type="dxa"/>
            <w:tcBorders/>
            <w:shd w:fill="CCEEFF" w:val="clear"/>
            <w:vAlign w:val="center"/>
          </w:tcPr>
          <w:p>
            <w:pPr>
              <w:pStyle w:val="TableContents"/>
              <w:bidi w:val="0"/>
              <w:spacing w:before="0" w:after="283"/>
              <w:jc w:val="left"/>
              <w:rPr>
                <w:position w:val="8"/>
                <w:sz w:val="19"/>
              </w:rPr>
            </w:pPr>
            <w:r>
              <w:rPr>
                <w:position w:val="8"/>
                <w:sz w:val="19"/>
              </w:rPr>
              <w:t>(2)</w:t>
            </w:r>
          </w:p>
        </w:tc>
      </w:tr>
      <w:tr>
        <w:trPr/>
        <w:tc>
          <w:tcPr>
            <w:tcW w:w="4265" w:type="dxa"/>
            <w:tcBorders/>
            <w:shd w:fill="FFFFFF" w:val="clear"/>
            <w:vAlign w:val="center"/>
          </w:tcPr>
          <w:p>
            <w:pPr>
              <w:pStyle w:val="TableContents"/>
              <w:bidi w:val="0"/>
              <w:spacing w:before="0" w:after="283"/>
              <w:jc w:val="both"/>
              <w:rPr/>
            </w:pPr>
            <w:r>
              <w:rPr/>
              <w:t>Melt Pharmaceuticals – Secured Loan + PIK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5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17,066,000</w:t>
            </w:r>
          </w:p>
        </w:tc>
        <w:tc>
          <w:tcPr>
            <w:tcW w:w="260" w:type="dxa"/>
            <w:tcBorders/>
            <w:shd w:fill="FFFFFF" w:val="clear"/>
            <w:vAlign w:val="center"/>
          </w:tcPr>
          <w:p>
            <w:pPr>
              <w:pStyle w:val="TableContents"/>
              <w:bidi w:val="0"/>
              <w:spacing w:before="0" w:after="283"/>
              <w:jc w:val="left"/>
              <w:rPr>
                <w:position w:val="8"/>
                <w:sz w:val="19"/>
              </w:rPr>
            </w:pPr>
            <w:r>
              <w:rPr>
                <w:position w:val="8"/>
                <w:sz w:val="19"/>
              </w:rPr>
              <w:t>(3)</w:t>
            </w:r>
          </w:p>
        </w:tc>
      </w:tr>
      <w:tr>
        <w:trPr/>
        <w:tc>
          <w:tcPr>
            <w:tcW w:w="4265" w:type="dxa"/>
            <w:tcBorders/>
            <w:shd w:fill="CCEEFF" w:val="clear"/>
            <w:vAlign w:val="center"/>
          </w:tcPr>
          <w:p>
            <w:pPr>
              <w:pStyle w:val="TableContents"/>
              <w:bidi w:val="0"/>
              <w:spacing w:before="0" w:after="283"/>
              <w:jc w:val="both"/>
              <w:rPr>
                <w:b/>
              </w:rPr>
            </w:pPr>
            <w:r>
              <w:rPr>
                <w:b/>
              </w:rPr>
              <w:t>Estimated Total Value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57,233,180</w:t>
            </w:r>
          </w:p>
        </w:tc>
        <w:tc>
          <w:tcPr>
            <w:tcW w:w="26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27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($4.50) of the Series A-1 Preferred Stock (the most recent equity offering) multiplied by the number of common shares owned by Harrow at June 30, 2023.</w:t>
            </w:r>
          </w:p>
        </w:tc>
      </w:tr>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84" w:type="dxa"/>
            <w:tcBorders/>
            <w:vAlign w:val="center"/>
          </w:tcPr>
          <w:p>
            <w:pPr>
              <w:pStyle w:val="TableContents"/>
              <w:bidi w:val="0"/>
              <w:spacing w:before="0" w:after="283"/>
              <w:jc w:val="both"/>
              <w:rPr>
                <w:caps w:val="false"/>
                <w:smallCaps w:val="false"/>
              </w:rPr>
            </w:pPr>
            <w:r>
              <w:rPr>
                <w:caps w:val="false"/>
                <w:smallCaps w:val="false"/>
                <w:position w:val="8"/>
                <w:sz w:val="19"/>
              </w:rPr>
              <w:t> </w:t>
            </w:r>
            <w:r>
              <w:rPr>
                <w:rFonts w:ascii="Times New Roman;Times;Serif" w:hAnsi="Times New Roman;Times;Serif"/>
                <w:b w:val="false"/>
                <w:i w:val="false"/>
                <w:caps w:val="false"/>
                <w:smallCaps w:val="false"/>
                <w:sz w:val="20"/>
              </w:rPr>
              <w:t xml:space="preserve">Represents a non-GAAP value, calculated as the purchase and conversion price ($5.00) of the Series A Preferred Stock (the most recent equity offering) multiplied by the number of common shares owned by Harrow at June 30, 2023. </w:t>
            </w:r>
          </w:p>
        </w:tc>
      </w:tr>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(3) </w:t>
            </w:r>
          </w:p>
        </w:tc>
        <w:tc>
          <w:tcPr>
            <w:tcW w:w="9984" w:type="dxa"/>
            <w:tcBorders/>
            <w:vAlign w:val="center"/>
          </w:tcPr>
          <w:p>
            <w:pPr>
              <w:pStyle w:val="TableContents"/>
              <w:bidi w:val="0"/>
              <w:spacing w:before="0" w:after="283"/>
              <w:jc w:val="both"/>
              <w:rPr>
                <w:caps w:val="false"/>
                <w:smallCaps w:val="false"/>
              </w:rPr>
            </w:pPr>
            <w:r>
              <w:rPr>
                <w:caps w:val="false"/>
                <w:smallCaps w:val="false"/>
                <w:position w:val="8"/>
                <w:sz w:val="19"/>
              </w:rPr>
              <w:t> </w:t>
            </w:r>
            <w:r>
              <w:rPr>
                <w:rFonts w:ascii="Times New Roman;Times;Serif" w:hAnsi="Times New Roman;Times;Serif"/>
                <w:b w:val="false"/>
                <w:i w:val="false"/>
                <w:caps w:val="false"/>
                <w:smallCaps w:val="false"/>
                <w:sz w:val="20"/>
              </w:rPr>
              <w:t xml:space="preserve">Represents the principal balance owed under the loan agreement, including interest paid in kind (or PIK). In accordance with ASC 323, Harrow’s presentation of this loan receivable on its consolidated balance sheet is presented at its carry value less reductions in the carrying value related to Harrow’s share of Melt equity losses.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pBd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9712</Words>
  <Characters>53580</Characters>
  <CharactersWithSpaces>64191</CharactersWithSpaces>
  <Paragraphs>3723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