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July 2, 2020</w:t>
      </w:r>
    </w:p>
    <w:p>
      <w:pPr>
        <w:spacing w:after="0" w:line="221"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SECURITIES ACT OF 1933</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16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45-0567010</w:t>
            </w:r>
          </w:p>
        </w:tc>
      </w:tr>
      <w:tr>
        <w:trPr>
          <w:trHeight w:val="22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I.R.S. Employer</w:t>
            </w:r>
          </w:p>
        </w:tc>
      </w:tr>
      <w:tr>
        <w:trPr>
          <w:trHeight w:val="23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H. Nixon III,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Waller Lansden Dortch &amp; Davis,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511 Union Street, Suite 2700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244-6380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4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p>
      <w:pPr>
        <w:spacing w:after="0"/>
        <w:tabs>
          <w:tab w:leader="none" w:pos="2260" w:val="left"/>
          <w:tab w:leader="none" w:pos="4260" w:val="left"/>
          <w:tab w:leader="none" w:pos="6740" w:val="left"/>
          <w:tab w:leader="none" w:pos="842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8"/>
          <w:szCs w:val="18"/>
          <w:color w:val="auto"/>
        </w:rPr>
        <w:t>Smaller Reporting</w:t>
      </w:r>
      <w:r>
        <w:rPr>
          <w:sz w:val="20"/>
          <w:szCs w:val="20"/>
          <w:color w:val="auto"/>
        </w:rPr>
        <w:tab/>
      </w:r>
      <w:r>
        <w:rPr>
          <w:rFonts w:ascii="Arial" w:cs="Arial" w:eastAsia="Arial" w:hAnsi="Arial"/>
          <w:sz w:val="17"/>
          <w:szCs w:val="17"/>
          <w:color w:val="auto"/>
        </w:rPr>
        <w:t>Emerging Growth Company [ ]</w:t>
      </w:r>
    </w:p>
    <w:p>
      <w:pPr>
        <w:sectPr>
          <w:pgSz w:w="11900" w:h="16838" w:orient="portrait"/>
          <w:cols w:equalWidth="0" w:num="1">
            <w:col w:w="11240"/>
          </w:cols>
          <w:pgMar w:left="320" w:top="449" w:right="339" w:bottom="0" w:gutter="0" w:footer="0" w:header="0"/>
        </w:sectPr>
      </w:pPr>
    </w:p>
    <w:bookmarkStart w:id="1" w:name="page2"/>
    <w:bookmarkEnd w:id="1"/>
    <w:p>
      <w:pPr>
        <w:ind w:left="6920"/>
        <w:spacing w:after="0"/>
        <w:rPr>
          <w:sz w:val="20"/>
          <w:szCs w:val="20"/>
          <w:color w:val="auto"/>
        </w:rPr>
      </w:pPr>
      <w:r>
        <w:rPr>
          <w:rFonts w:ascii="Arial" w:cs="Arial" w:eastAsia="Arial" w:hAnsi="Arial"/>
          <w:sz w:val="18"/>
          <w:szCs w:val="18"/>
          <w:color w:val="auto"/>
        </w:rPr>
        <w:t>Company [X]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5220" w:type="dxa"/>
            <w:vAlign w:val="bottom"/>
            <w:gridSpan w:val="8"/>
          </w:tcPr>
          <w:p>
            <w:pPr>
              <w:jc w:val="right"/>
              <w:ind w:right="166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80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Title of Each Class of</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 to be</w:t>
            </w:r>
          </w:p>
        </w:tc>
        <w:tc>
          <w:tcPr>
            <w:tcW w:w="160" w:type="dxa"/>
            <w:vAlign w:val="bottom"/>
          </w:tcPr>
          <w:p>
            <w:pPr>
              <w:spacing w:after="0"/>
              <w:rPr>
                <w:sz w:val="24"/>
                <w:szCs w:val="24"/>
                <w:color w:val="auto"/>
              </w:rPr>
            </w:pPr>
          </w:p>
        </w:tc>
        <w:tc>
          <w:tcPr>
            <w:tcW w:w="2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Proposed Maximum Aggregate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380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Securities to be Registered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Registered (1)(2)</w:t>
            </w:r>
          </w:p>
        </w:tc>
        <w:tc>
          <w:tcPr>
            <w:tcW w:w="160" w:type="dxa"/>
            <w:vAlign w:val="bottom"/>
          </w:tcPr>
          <w:p>
            <w:pPr>
              <w:spacing w:after="0"/>
              <w:rPr>
                <w:sz w:val="20"/>
                <w:szCs w:val="20"/>
                <w:color w:val="auto"/>
              </w:rPr>
            </w:pPr>
          </w:p>
        </w:tc>
        <w:tc>
          <w:tcPr>
            <w:tcW w:w="27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Offering Price (1)(2)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Registration Fee (7)</w:t>
            </w:r>
          </w:p>
        </w:tc>
      </w:tr>
      <w:tr>
        <w:trPr>
          <w:trHeight w:val="243"/>
        </w:trPr>
        <w:tc>
          <w:tcPr>
            <w:tcW w:w="380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Common Stock, par value $0.001 per share(3)</w:t>
            </w:r>
          </w:p>
        </w:tc>
        <w:tc>
          <w:tcPr>
            <w:tcW w:w="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3800" w:type="dxa"/>
            <w:vAlign w:val="bottom"/>
          </w:tcPr>
          <w:p>
            <w:pPr>
              <w:jc w:val="center"/>
              <w:ind w:left="170"/>
              <w:spacing w:after="0"/>
              <w:rPr>
                <w:sz w:val="20"/>
                <w:szCs w:val="20"/>
                <w:color w:val="auto"/>
              </w:rPr>
            </w:pPr>
            <w:r>
              <w:rPr>
                <w:rFonts w:ascii="Arial" w:cs="Arial" w:eastAsia="Arial" w:hAnsi="Arial"/>
                <w:sz w:val="18"/>
                <w:szCs w:val="18"/>
                <w:color w:val="auto"/>
                <w:w w:val="89"/>
              </w:rPr>
              <w:t>Preferred Stock, par value $0.001 per share(3)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Depository Shares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Warrants(4)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Units(5)</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20" w:hanging="412"/>
        <w:spacing w:after="0" w:line="272" w:lineRule="auto"/>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shares of common stock and preferred stock, such indeterminate number of depositary shares, such indeterminate number of warrants to purchase common stock, preferred stock and/or debt securities, and such indeterminate principal amount of debt securities as may be sold by the registrant from time to time, which together shall have an aggregate initial offering price not to exceed $100,000,000; or (i) if any debt securities are issued at an original issue discount, such greater principal amount at maturity as shall result in an aggregate initial offering price equal to the amount to be registered or (ii) if any securities are issued in an amount denominated in a foreign currency, foreign currency units or composite currency, then such amount as shall result in an aggregate initial offering price equivalent thereto in United States dollars at the time of initial offering.</w:t>
      </w:r>
    </w:p>
    <w:p>
      <w:pPr>
        <w:spacing w:after="0" w:line="177" w:lineRule="exact"/>
        <w:rPr>
          <w:rFonts w:ascii="Arial" w:cs="Arial" w:eastAsia="Arial" w:hAnsi="Arial"/>
          <w:sz w:val="17"/>
          <w:szCs w:val="17"/>
          <w:color w:val="auto"/>
        </w:rPr>
      </w:pPr>
    </w:p>
    <w:p>
      <w:pPr>
        <w:jc w:val="both"/>
        <w:ind w:left="420" w:hanging="412"/>
        <w:spacing w:after="0" w:line="259"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estimated the amount to be registered and the proposed maximum offering price solely for the purpose of calculating the registration fee pursuant to Rule 457(o). The amount and price are exclusive of accrued interest, if any, on the debt securities. The amount to be registered and proposed maximum aggregate offering price are not specified as to each class of security pursuant to General Instruction II.D. of Form S-3 under the Securities Act.</w:t>
      </w:r>
    </w:p>
    <w:p>
      <w:pPr>
        <w:spacing w:after="0" w:line="186"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or preferred stock as may be issued upon conversion, exercise or exchange of the securities issued directly hereunder.</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warrants to purchase common stock, warrants to purchase preferred stock and warrants to purchase debt securities.</w:t>
      </w:r>
    </w:p>
    <w:p>
      <w:pPr>
        <w:spacing w:after="0" w:line="225"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represent an interest in any combination of common stock, preferred stock, debt securities, or warrants, which may or may not be separable from one another.</w:t>
      </w:r>
    </w:p>
    <w:p>
      <w:pPr>
        <w:spacing w:after="0" w:line="170"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registered hereunder may be sold separately, or as units with other securities registered hereby. The proposed maximum offering price per unit will be determined by us in connection with the issuance of the securities. In no event will the aggregate offering price of all securities issued from time to time pursuant to this Registration Statement exceed $100,000,000 or the equivalent thereof in one or more foreign currencies, foreign currency units or composite currencies.</w:t>
      </w:r>
    </w:p>
    <w:p>
      <w:pPr>
        <w:spacing w:after="0" w:line="18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July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On July 1, 2020, the closing price of our common stock on the Nasdaq Capital Market was $5.18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580" w:type="dxa"/>
            <w:vAlign w:val="bottom"/>
          </w:tcPr>
          <w:p>
            <w:pPr>
              <w:ind w:left="49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453"/>
        </w:trPr>
        <w:tc>
          <w:tcPr>
            <w:tcW w:w="105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FORWARD-LOOKING STATEMENTS</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DILUTION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PROCEEDS</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DIVIDEND POLICY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DESCRIPTION OF CAPITAL STOCK</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DESCRIPTION OF THE DEPOSITARY SHARES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THE WARRANTS</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THE UNITS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THE DEBT SECURITIES</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PLAN OF DISTRIBUTION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MATTERS</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58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EXPERTS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58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INCORPORATION OF CERTAIN DOCUMENTS BY REFERENCE</w:t>
              </w:r>
            </w:hyperlink>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58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WHERE YOU CAN FIND MORE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$100,000,000.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one of the nation’s leading ophthalmology-focused pharmaceutical businesses, ImprimisRx. In addition to wholly owning ImprimisRx, we also have equity positions in Eton Pharmaceuticals, Inc., Surface Pharmaceuticals, Inc., or Surface, and Melt Pharmaceuticals, Inc., or Melt, all companies that began as our subsidiaries. More recently, we founded drug development subsidiaries Mayfield Pharmaceuticals, Inc., or Mayfield, Radley Pharmaceuticals, Inc., or Radley, and Stowe Pharmaceuticals, Inc. In 2020, we created Visionology, Inc., which intends to launch an online eye health platform business.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or FDA, guidance documents, in our FDA-registered outsourcing facility located in New Jersey.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July 24, 1998 (inception). In addition, we have an accumulated deficit of approximately $87.0 million at March 31, 2020. Although we have recently been generating revenue from our pharmaceutical compounding operations, we expect to incur further losses as we integrate and develop our pharmacy operations, evaluate other programs and continue the development of our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the Centers for Medicare &amp; Medicaid Services, or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48"/>
        <w:spacing w:after="0" w:line="275" w:lineRule="auto"/>
        <w:rPr>
          <w:sz w:val="20"/>
          <w:szCs w:val="20"/>
          <w:color w:val="auto"/>
        </w:rPr>
      </w:pPr>
      <w:r>
        <w:rPr>
          <w:rFonts w:ascii="Arial" w:cs="Arial" w:eastAsia="Arial" w:hAnsi="Arial"/>
          <w:sz w:val="17"/>
          <w:szCs w:val="17"/>
          <w:color w:val="auto"/>
        </w:rPr>
        <w:t>In response to the pandemic and business disruptions, first and foremost, we have prioritized the health and safety of our employees, customers, suppliers and others with whom we partner in our business activities. Many of our customers use its drugs in procedures impacted by the CMS guidance to limit elective procedures. In addition, we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Reductions in elective procedures in response to CMS guidance have had an adverse impact on our revenues, profitability and cash flows. The extent and duration of the impact will depend upon the extent of procedure postponements and the duration of the pandemic. Near the beginning of May 2020, some U.S. states and geographies began easing restrictions associated with the COVID-19 pandemic including those restrictions related to elective procedures. We are hopeful sales of our products will return to historical norms and trends as other states and governmental authorities ease restrictions associated with elective procedures and the COVID-19 pandemic. However, given the unprecedented and dynamic nature of the COVID-19 pandemic, we cannot reasonably estimate the impacts it may have on our financial condition, results of operations or cash flows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executive offices are located at 102 Woodmont Blvd., Suite 610, Nashville, Tennessee 37205 and our telephone number at such office is (615) 733-4730. Our website address is harrowinc.com. Information contained on our website is not deemed part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offer up to $100.0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686"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2019 and in our Quarterly Report on Form 10-Q for the three months ended March 31, 2020, which are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there were approximately 103 stockholders of record (excluding an indeterminable number of stockholders whose shares are held in street or “nominee” name) of our common stock. In addition, as of March 31, 2020, there were outstanding (i) options to acquire 2,952,466 shares of our common stock with a weighted average exercise price of $5.49 per share, (ii) warrants to purchase 780,386 shares of common stock with a weighted average exercise price of $2.12 per share, (iii) 1,520,786 unvested restricted stock units, and (iv) 244,460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7" w:name="page18"/>
    <w:bookmarkEnd w:id="17"/>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5540" w:right="5320" w:hanging="4884"/>
        <w:spacing w:after="0" w:line="623" w:lineRule="auto"/>
        <w:tabs>
          <w:tab w:leader="none" w:pos="98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considered to be holders of those debt securities under the indenture.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686"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KMJ Corbin &amp; Company LLP, an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consolidated financial statements are incorporated by reference in reliance upon the reports of such firm given upon their authority as experts in accounting and auditing.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filed with the SEC on March 13,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filed with the SEC on May 11,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28, 2020, March 17, 2020, April 3, 2020, April 29, 2020 and June 8, 2020;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aggregate estimated (other than the registration fee) costs and expenses payable by Harrow in connection with a distribution of securities registered hereby:</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FINRA filing fee</w:t>
            </w: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1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4530"/>
              <w:spacing w:after="0"/>
              <w:rPr>
                <w:sz w:val="20"/>
                <w:szCs w:val="20"/>
                <w:color w:val="auto"/>
              </w:rPr>
            </w:pPr>
            <w:r>
              <w:rPr>
                <w:rFonts w:ascii="Arial" w:cs="Arial" w:eastAsia="Arial" w:hAnsi="Arial"/>
                <w:sz w:val="18"/>
                <w:szCs w:val="18"/>
                <w:b w:val="1"/>
                <w:bCs w:val="1"/>
                <w:color w:val="auto"/>
                <w:w w:val="87"/>
              </w:rPr>
              <w:t>_______________</w:t>
            </w:r>
          </w:p>
        </w:tc>
        <w:tc>
          <w:tcPr>
            <w:tcW w:w="1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2"/>
        <w:spacing w:after="0" w:line="260" w:lineRule="auto"/>
        <w:tabs>
          <w:tab w:leader="none" w:pos="10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applicable prospectus supplement will set forth the estimated aggregate amount of expenses payable with respect to any offering of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Harrow’s charter documents, Harrow generally enters into separate indemnification agreements with Harrow’s directors and officers. These agreements require Harrow, among other things, to indemnify the director or officer against specified expenses and liabilities, such as attorneys’ fees, judgments, fines and settlements, paid by the individual in connection with any action, suit or proceeding arising out of the individual’s status or service as Harrow’s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Harrow.</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 or incorporated by reference herein:</w:t>
            </w:r>
          </w:p>
        </w:tc>
      </w:tr>
      <w:tr>
        <w:trPr>
          <w:trHeight w:val="414"/>
        </w:trPr>
        <w:tc>
          <w:tcPr>
            <w:tcW w:w="660" w:type="dxa"/>
            <w:vAlign w:val="bottom"/>
          </w:tcPr>
          <w:p>
            <w:pPr>
              <w:ind w:left="40"/>
              <w:spacing w:after="0"/>
              <w:rPr>
                <w:sz w:val="20"/>
                <w:szCs w:val="20"/>
                <w:color w:val="auto"/>
              </w:rPr>
            </w:pPr>
            <w:r>
              <w:rPr>
                <w:rFonts w:ascii="Arial" w:cs="Arial" w:eastAsia="Arial" w:hAnsi="Arial"/>
                <w:sz w:val="18"/>
                <w:szCs w:val="18"/>
                <w:b w:val="1"/>
                <w:bCs w:val="1"/>
                <w:color w:val="auto"/>
                <w:w w:val="99"/>
              </w:rPr>
              <w:t>Exhibit</w:t>
            </w:r>
          </w:p>
        </w:tc>
        <w:tc>
          <w:tcPr>
            <w:tcW w:w="18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24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Number</w:t>
            </w:r>
          </w:p>
        </w:tc>
        <w:tc>
          <w:tcPr>
            <w:tcW w:w="180" w:type="dxa"/>
            <w:vAlign w:val="bottom"/>
          </w:tcPr>
          <w:p>
            <w:pPr>
              <w:spacing w:after="0"/>
              <w:rPr>
                <w:sz w:val="20"/>
                <w:szCs w:val="20"/>
                <w:color w:val="auto"/>
              </w:rPr>
            </w:pPr>
          </w:p>
        </w:tc>
        <w:tc>
          <w:tcPr>
            <w:tcW w:w="10400" w:type="dxa"/>
            <w:vAlign w:val="bottom"/>
            <w:tcBorders>
              <w:bottom w:val="single" w:sz="8" w:color="auto"/>
            </w:tcBorders>
          </w:tcPr>
          <w:p>
            <w:pPr>
              <w:ind w:left="472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Form of Senior Indenture</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Form of Subordinated Indenture</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Form of Senior Debt Security (included in Exhibit 4.1)</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Form of Subordinated Debt Security (included in Exhibit 4.2)</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Depositary Receipt (included in Exhibit 4.7)</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Unit Agreement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Unit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Opinion of Waller Lansden Dortch &amp; Davis, LLP</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Consent of KMJ Corbin &amp; Company LLP</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Consent of Waller Lansden Dortch &amp; Davis, LLP (included in Exhibit 5.1)</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104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Power of Attorney (included on the signature page)</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be filed by amendment or as an exhibit to a report pursuant to Section 13(a) or 15(d) of the Securities Exchange Act of 1934, as amended, and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herein by reference.</w:t>
      </w:r>
    </w:p>
    <w:p>
      <w:pPr>
        <w:spacing w:after="0" w:line="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300" w:hanging="1292"/>
        <w:spacing w:after="0" w:line="263"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(1)That,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2600" w:hanging="648"/>
        <w:spacing w:after="0" w:line="308" w:lineRule="auto"/>
        <w:tabs>
          <w:tab w:leader="none" w:pos="2600" w:val="left"/>
        </w:tabs>
        <w:numPr>
          <w:ilvl w:val="3"/>
          <w:numId w:val="34"/>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jc w:val="both"/>
        <w:ind w:left="2600" w:hanging="648"/>
        <w:spacing w:after="0" w:line="268" w:lineRule="auto"/>
        <w:tabs>
          <w:tab w:leader="none" w:pos="2600" w:val="left"/>
        </w:tabs>
        <w:numPr>
          <w:ilvl w:val="3"/>
          <w:numId w:val="3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184" w:lineRule="exact"/>
        <w:rPr>
          <w:rFonts w:ascii="Arial" w:cs="Arial" w:eastAsia="Arial" w:hAnsi="Arial"/>
          <w:sz w:val="17"/>
          <w:szCs w:val="17"/>
          <w:color w:val="auto"/>
        </w:rPr>
      </w:pPr>
    </w:p>
    <w:p>
      <w:pPr>
        <w:jc w:val="both"/>
        <w:ind w:left="1960" w:hanging="656"/>
        <w:spacing w:after="0" w:line="271" w:lineRule="auto"/>
        <w:tabs>
          <w:tab w:leader="none" w:pos="1960"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left="1292" w:hanging="644"/>
        <w:spacing w:after="0" w:line="275" w:lineRule="auto"/>
        <w:tabs>
          <w:tab w:leader="none" w:pos="1292"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76" w:lineRule="exact"/>
        <w:rPr>
          <w:rFonts w:ascii="Arial" w:cs="Arial" w:eastAsia="Arial" w:hAnsi="Arial"/>
          <w:sz w:val="17"/>
          <w:szCs w:val="17"/>
          <w:color w:val="auto"/>
        </w:rPr>
      </w:pPr>
    </w:p>
    <w:p>
      <w:pPr>
        <w:ind w:left="1952" w:right="20" w:hanging="656"/>
        <w:spacing w:after="0" w:line="277" w:lineRule="auto"/>
        <w:tabs>
          <w:tab w:leader="none" w:pos="19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52" w:hanging="656"/>
        <w:spacing w:after="0" w:line="277" w:lineRule="auto"/>
        <w:tabs>
          <w:tab w:leader="none" w:pos="19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52" w:hanging="656"/>
        <w:spacing w:after="0" w:line="277" w:lineRule="auto"/>
        <w:tabs>
          <w:tab w:leader="none" w:pos="19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52" w:hanging="656"/>
        <w:spacing w:after="0"/>
        <w:tabs>
          <w:tab w:leader="none" w:pos="19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52" w:hanging="652"/>
        <w:spacing w:after="0" w:line="257"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jc w:val="both"/>
        <w:ind w:left="652" w:hanging="652"/>
        <w:spacing w:after="0" w:line="290" w:lineRule="auto"/>
        <w:tabs>
          <w:tab w:leader="none" w:pos="6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5" w:lineRule="exact"/>
        <w:rPr>
          <w:rFonts w:ascii="Arial" w:cs="Arial" w:eastAsia="Arial" w:hAnsi="Arial"/>
          <w:sz w:val="16"/>
          <w:szCs w:val="16"/>
          <w:color w:val="auto"/>
        </w:rPr>
      </w:pPr>
    </w:p>
    <w:p>
      <w:pPr>
        <w:ind w:left="652" w:hanging="652"/>
        <w:spacing w:after="0"/>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292" w:hanging="644"/>
        <w:spacing w:after="0" w:line="263" w:lineRule="auto"/>
        <w:tabs>
          <w:tab w:leader="none" w:pos="12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652" w:hanging="652"/>
        <w:spacing w:after="0" w:line="291" w:lineRule="auto"/>
        <w:tabs>
          <w:tab w:leader="none" w:pos="6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ind w:left="912" w:hanging="264"/>
        <w:spacing w:after="0"/>
        <w:tabs>
          <w:tab w:leader="none" w:pos="912"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the Trust Indenture Act.</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Nashville, State of Tennessee, on July 2, 2020.</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Mark L. Baum and Andrew R. Boll,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2"/>
                <w:szCs w:val="22"/>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53"/>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00" w:type="dxa"/>
            <w:vAlign w:val="bottom"/>
          </w:tcPr>
          <w:p>
            <w:pPr>
              <w:spacing w:after="0"/>
              <w:rPr>
                <w:sz w:val="20"/>
                <w:szCs w:val="20"/>
                <w:color w:val="auto"/>
              </w:rPr>
            </w:pPr>
            <w:r>
              <w:rPr>
                <w:rFonts w:ascii="Arial" w:cs="Arial" w:eastAsia="Arial" w:hAnsi="Arial"/>
                <w:sz w:val="18"/>
                <w:szCs w:val="18"/>
                <w:color w:val="auto"/>
              </w:rPr>
              <w:t>July 2, 2020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20"/>
                <w:szCs w:val="20"/>
                <w:color w:val="auto"/>
              </w:rPr>
            </w:pPr>
          </w:p>
        </w:tc>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spacing w:after="0"/>
              <w:rPr>
                <w:sz w:val="20"/>
                <w:szCs w:val="20"/>
                <w:color w:val="auto"/>
              </w:rPr>
            </w:pPr>
            <w:r>
              <w:rPr>
                <w:rFonts w:ascii="Arial" w:cs="Arial" w:eastAsia="Arial" w:hAnsi="Arial"/>
                <w:sz w:val="18"/>
                <w:szCs w:val="18"/>
                <w:color w:val="auto"/>
              </w:rPr>
              <w:t>July 2, 2020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Andrew R. Boll</w:t>
            </w:r>
          </w:p>
        </w:tc>
        <w:tc>
          <w:tcPr>
            <w:tcW w:w="220" w:type="dxa"/>
            <w:vAlign w:val="bottom"/>
          </w:tcPr>
          <w:p>
            <w:pPr>
              <w:spacing w:after="0"/>
              <w:rPr>
                <w:sz w:val="20"/>
                <w:szCs w:val="20"/>
                <w:color w:val="auto"/>
              </w:rPr>
            </w:pPr>
          </w:p>
        </w:tc>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600" w:type="dxa"/>
            <w:vAlign w:val="bottom"/>
          </w:tcPr>
          <w:p>
            <w:pPr>
              <w:spacing w:after="0"/>
              <w:rPr>
                <w:sz w:val="20"/>
                <w:szCs w:val="20"/>
                <w:color w:val="auto"/>
              </w:rPr>
            </w:pPr>
            <w:r>
              <w:rPr>
                <w:rFonts w:ascii="Arial" w:cs="Arial" w:eastAsia="Arial" w:hAnsi="Arial"/>
                <w:sz w:val="18"/>
                <w:szCs w:val="18"/>
                <w:color w:val="auto"/>
              </w:rPr>
              <w:t>July 2, 2020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Robert J. Kammer</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2, 2020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Richard L. Lindstrom</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2, 2020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Anthony J. Principi</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Teresa F. Sparks</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July 2, 2020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Teresa F. Sparks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00"/>
        <w:spacing w:after="0"/>
        <w:tabs>
          <w:tab w:leader="none" w:pos="20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6"/>
          <w:szCs w:val="16"/>
          <w:color w:val="auto"/>
        </w:rPr>
        <w:t>, 20</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98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8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1.1</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Definitions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1.2</w:t>
            </w:r>
          </w:p>
        </w:tc>
        <w:tc>
          <w:tcPr>
            <w:tcW w:w="8980" w:type="dxa"/>
            <w:vAlign w:val="bottom"/>
          </w:tcPr>
          <w:p>
            <w:pPr>
              <w:ind w:left="6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1.3</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1.4</w:t>
            </w:r>
          </w:p>
        </w:tc>
        <w:tc>
          <w:tcPr>
            <w:tcW w:w="8980" w:type="dxa"/>
            <w:vAlign w:val="bottom"/>
          </w:tcPr>
          <w:p>
            <w:pPr>
              <w:ind w:left="60"/>
              <w:spacing w:after="0"/>
              <w:rPr>
                <w:sz w:val="20"/>
                <w:szCs w:val="20"/>
                <w:color w:val="auto"/>
              </w:rPr>
            </w:pPr>
            <w:r>
              <w:rPr>
                <w:rFonts w:ascii="Arial" w:cs="Arial" w:eastAsia="Arial" w:hAnsi="Arial"/>
                <w:sz w:val="18"/>
                <w:szCs w:val="18"/>
                <w:color w:val="auto"/>
              </w:rPr>
              <w:t>Section 1.4 Acts of Holders; Record Dates</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1.5</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1.6</w:t>
            </w:r>
          </w:p>
        </w:tc>
        <w:tc>
          <w:tcPr>
            <w:tcW w:w="8980" w:type="dxa"/>
            <w:vAlign w:val="bottom"/>
          </w:tcPr>
          <w:p>
            <w:pPr>
              <w:ind w:left="60"/>
              <w:spacing w:after="0"/>
              <w:rPr>
                <w:sz w:val="20"/>
                <w:szCs w:val="20"/>
                <w:color w:val="auto"/>
              </w:rPr>
            </w:pPr>
            <w:r>
              <w:rPr>
                <w:rFonts w:ascii="Arial" w:cs="Arial" w:eastAsia="Arial" w:hAnsi="Arial"/>
                <w:sz w:val="18"/>
                <w:szCs w:val="18"/>
                <w:color w:val="auto"/>
              </w:rPr>
              <w:t>Notice to Holders;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1.7</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1.8</w:t>
            </w:r>
          </w:p>
        </w:tc>
        <w:tc>
          <w:tcPr>
            <w:tcW w:w="8980" w:type="dxa"/>
            <w:vAlign w:val="bottom"/>
          </w:tcPr>
          <w:p>
            <w:pPr>
              <w:ind w:left="6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1.9</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Successors and Assigns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1.10</w:t>
            </w:r>
          </w:p>
        </w:tc>
        <w:tc>
          <w:tcPr>
            <w:tcW w:w="8980" w:type="dxa"/>
            <w:vAlign w:val="bottom"/>
          </w:tcPr>
          <w:p>
            <w:pPr>
              <w:ind w:left="60"/>
              <w:spacing w:after="0"/>
              <w:rPr>
                <w:sz w:val="20"/>
                <w:szCs w:val="20"/>
                <w:color w:val="auto"/>
              </w:rPr>
            </w:pPr>
            <w:r>
              <w:rPr>
                <w:rFonts w:ascii="Arial" w:cs="Arial" w:eastAsia="Arial" w:hAnsi="Arial"/>
                <w:sz w:val="18"/>
                <w:szCs w:val="18"/>
                <w:color w:val="auto"/>
              </w:rPr>
              <w:t>Separability Clause</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1.11</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Benefits of Indenture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1.12</w:t>
            </w:r>
          </w:p>
        </w:tc>
        <w:tc>
          <w:tcPr>
            <w:tcW w:w="89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1.13</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Holidays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1.14</w:t>
            </w:r>
          </w:p>
        </w:tc>
        <w:tc>
          <w:tcPr>
            <w:tcW w:w="8980" w:type="dxa"/>
            <w:vAlign w:val="bottom"/>
          </w:tcPr>
          <w:p>
            <w:pPr>
              <w:ind w:left="6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1.15</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9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SECURITY FORMS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8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2.1</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Forms Generally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2.2</w:t>
            </w:r>
          </w:p>
        </w:tc>
        <w:tc>
          <w:tcPr>
            <w:tcW w:w="8980" w:type="dxa"/>
            <w:vAlign w:val="bottom"/>
          </w:tcPr>
          <w:p>
            <w:pPr>
              <w:ind w:left="60"/>
              <w:spacing w:after="0"/>
              <w:rPr>
                <w:sz w:val="20"/>
                <w:szCs w:val="20"/>
                <w:color w:val="auto"/>
              </w:rPr>
            </w:pPr>
            <w:r>
              <w:rPr>
                <w:rFonts w:ascii="Arial" w:cs="Arial" w:eastAsia="Arial" w:hAnsi="Arial"/>
                <w:sz w:val="18"/>
                <w:szCs w:val="18"/>
                <w:color w:val="auto"/>
              </w:rPr>
              <w:t>Form of Face of Security</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2.3</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Reverse of Security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2.4</w:t>
            </w:r>
          </w:p>
        </w:tc>
        <w:tc>
          <w:tcPr>
            <w:tcW w:w="8980" w:type="dxa"/>
            <w:vAlign w:val="bottom"/>
          </w:tcPr>
          <w:p>
            <w:pPr>
              <w:ind w:left="6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2.5</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2.6</w:t>
            </w:r>
          </w:p>
        </w:tc>
        <w:tc>
          <w:tcPr>
            <w:tcW w:w="8980" w:type="dxa"/>
            <w:vAlign w:val="bottom"/>
          </w:tcPr>
          <w:p>
            <w:pPr>
              <w:ind w:left="60"/>
              <w:spacing w:after="0"/>
              <w:rPr>
                <w:sz w:val="20"/>
                <w:szCs w:val="20"/>
                <w:color w:val="auto"/>
              </w:rPr>
            </w:pPr>
            <w:r>
              <w:rPr>
                <w:rFonts w:ascii="Arial" w:cs="Arial" w:eastAsia="Arial" w:hAnsi="Arial"/>
                <w:sz w:val="18"/>
                <w:szCs w:val="18"/>
                <w:color w:val="auto"/>
              </w:rPr>
              <w:t>Form of Conversion Notice</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3</w:t>
            </w:r>
          </w:p>
        </w:tc>
        <w:tc>
          <w:tcPr>
            <w:tcW w:w="9500" w:type="dxa"/>
            <w:vAlign w:val="bottom"/>
            <w:gridSpan w:val="2"/>
          </w:tcPr>
          <w:p>
            <w:pPr>
              <w:ind w:left="20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3.1</w:t>
            </w:r>
          </w:p>
        </w:tc>
        <w:tc>
          <w:tcPr>
            <w:tcW w:w="8980" w:type="dxa"/>
            <w:vAlign w:val="bottom"/>
          </w:tcPr>
          <w:p>
            <w:pPr>
              <w:ind w:left="6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3.3</w:t>
            </w:r>
          </w:p>
        </w:tc>
        <w:tc>
          <w:tcPr>
            <w:tcW w:w="8980" w:type="dxa"/>
            <w:vAlign w:val="bottom"/>
          </w:tcPr>
          <w:p>
            <w:pPr>
              <w:ind w:left="6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3.4</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Temporary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3.5</w:t>
            </w:r>
          </w:p>
        </w:tc>
        <w:tc>
          <w:tcPr>
            <w:tcW w:w="8980" w:type="dxa"/>
            <w:vAlign w:val="bottom"/>
          </w:tcPr>
          <w:p>
            <w:pPr>
              <w:ind w:left="6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3.6</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3.7</w:t>
            </w:r>
          </w:p>
        </w:tc>
        <w:tc>
          <w:tcPr>
            <w:tcW w:w="8980" w:type="dxa"/>
            <w:vAlign w:val="bottom"/>
          </w:tcPr>
          <w:p>
            <w:pPr>
              <w:ind w:left="6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3.8</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Persons Deemed Owners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3.9</w:t>
            </w:r>
          </w:p>
        </w:tc>
        <w:tc>
          <w:tcPr>
            <w:tcW w:w="898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3.10</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Computation of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SATISFACTION AND 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8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4.1</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4.2</w:t>
            </w:r>
          </w:p>
        </w:tc>
        <w:tc>
          <w:tcPr>
            <w:tcW w:w="8980" w:type="dxa"/>
            <w:vAlign w:val="bottom"/>
          </w:tcPr>
          <w:p>
            <w:pPr>
              <w:ind w:left="60"/>
              <w:spacing w:after="0"/>
              <w:rPr>
                <w:sz w:val="20"/>
                <w:szCs w:val="20"/>
                <w:color w:val="auto"/>
              </w:rPr>
            </w:pPr>
            <w:r>
              <w:rPr>
                <w:rFonts w:ascii="Arial" w:cs="Arial" w:eastAsia="Arial" w:hAnsi="Arial"/>
                <w:sz w:val="18"/>
                <w:szCs w:val="18"/>
                <w:color w:val="auto"/>
              </w:rPr>
              <w:t>Application of Trust Money</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5</w:t>
            </w:r>
          </w:p>
        </w:tc>
        <w:tc>
          <w:tcPr>
            <w:tcW w:w="9500" w:type="dxa"/>
            <w:vAlign w:val="bottom"/>
            <w:gridSpan w:val="2"/>
          </w:tcPr>
          <w:p>
            <w:pPr>
              <w:ind w:left="20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5.1</w:t>
            </w:r>
          </w:p>
        </w:tc>
        <w:tc>
          <w:tcPr>
            <w:tcW w:w="89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5.2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5.3</w:t>
            </w:r>
          </w:p>
        </w:tc>
        <w:tc>
          <w:tcPr>
            <w:tcW w:w="8980" w:type="dxa"/>
            <w:vAlign w:val="bottom"/>
          </w:tcPr>
          <w:p>
            <w:pPr>
              <w:ind w:left="6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5.4</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5.5</w:t>
            </w:r>
          </w:p>
        </w:tc>
        <w:tc>
          <w:tcPr>
            <w:tcW w:w="8980" w:type="dxa"/>
            <w:vAlign w:val="bottom"/>
          </w:tcPr>
          <w:p>
            <w:pPr>
              <w:ind w:left="6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5.6</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Application of Money Collected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5.7</w:t>
            </w:r>
          </w:p>
        </w:tc>
        <w:tc>
          <w:tcPr>
            <w:tcW w:w="8980" w:type="dxa"/>
            <w:vAlign w:val="bottom"/>
          </w:tcPr>
          <w:p>
            <w:pPr>
              <w:ind w:left="60"/>
              <w:spacing w:after="0"/>
              <w:rPr>
                <w:sz w:val="20"/>
                <w:szCs w:val="20"/>
                <w:color w:val="auto"/>
              </w:rPr>
            </w:pPr>
            <w:r>
              <w:rPr>
                <w:rFonts w:ascii="Arial" w:cs="Arial" w:eastAsia="Arial" w:hAnsi="Arial"/>
                <w:sz w:val="18"/>
                <w:szCs w:val="18"/>
                <w:color w:val="auto"/>
              </w:rPr>
              <w:t>Limitation on Suits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5.8</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5.9</w:t>
            </w:r>
          </w:p>
        </w:tc>
        <w:tc>
          <w:tcPr>
            <w:tcW w:w="8980" w:type="dxa"/>
            <w:vAlign w:val="bottom"/>
          </w:tcPr>
          <w:p>
            <w:pPr>
              <w:ind w:left="6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98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980" w:type="dxa"/>
            <w:vAlign w:val="bottom"/>
          </w:tcPr>
          <w:p>
            <w:pPr>
              <w:ind w:left="3580"/>
              <w:spacing w:after="0"/>
              <w:rPr>
                <w:sz w:val="20"/>
                <w:szCs w:val="20"/>
                <w:color w:val="auto"/>
              </w:rPr>
            </w:pPr>
            <w:r>
              <w:rPr>
                <w:rFonts w:ascii="Arial" w:cs="Arial" w:eastAsia="Arial" w:hAnsi="Arial"/>
                <w:sz w:val="18"/>
                <w:szCs w:val="18"/>
                <w:color w:val="auto"/>
              </w:rPr>
              <w:t>(continued)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5.10</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Rights and Remedies Cumulative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5.11</w:t>
            </w:r>
          </w:p>
        </w:tc>
        <w:tc>
          <w:tcPr>
            <w:tcW w:w="8980" w:type="dxa"/>
            <w:vAlign w:val="bottom"/>
          </w:tcPr>
          <w:p>
            <w:pPr>
              <w:ind w:left="60"/>
              <w:spacing w:after="0"/>
              <w:rPr>
                <w:sz w:val="20"/>
                <w:szCs w:val="20"/>
                <w:color w:val="auto"/>
              </w:rPr>
            </w:pPr>
            <w:r>
              <w:rPr>
                <w:rFonts w:ascii="Arial" w:cs="Arial" w:eastAsia="Arial" w:hAnsi="Arial"/>
                <w:sz w:val="18"/>
                <w:szCs w:val="18"/>
                <w:color w:val="auto"/>
              </w:rPr>
              <w:t>Delay or Omission Not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5.12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 by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5.13</w:t>
            </w:r>
          </w:p>
        </w:tc>
        <w:tc>
          <w:tcPr>
            <w:tcW w:w="8980" w:type="dxa"/>
            <w:vAlign w:val="bottom"/>
          </w:tcPr>
          <w:p>
            <w:pPr>
              <w:ind w:left="60"/>
              <w:spacing w:after="0"/>
              <w:rPr>
                <w:sz w:val="20"/>
                <w:szCs w:val="20"/>
                <w:color w:val="auto"/>
              </w:rPr>
            </w:pPr>
            <w:r>
              <w:rPr>
                <w:rFonts w:ascii="Arial" w:cs="Arial" w:eastAsia="Arial" w:hAnsi="Arial"/>
                <w:sz w:val="18"/>
                <w:szCs w:val="18"/>
                <w:color w:val="auto"/>
              </w:rPr>
              <w:t>Waiver of Past Defaults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5.14</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Undertaking for Costs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5.15</w:t>
            </w:r>
          </w:p>
        </w:tc>
        <w:tc>
          <w:tcPr>
            <w:tcW w:w="8980" w:type="dxa"/>
            <w:vAlign w:val="bottom"/>
          </w:tcPr>
          <w:p>
            <w:pPr>
              <w:ind w:left="6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6</w:t>
            </w:r>
          </w:p>
        </w:tc>
        <w:tc>
          <w:tcPr>
            <w:tcW w:w="9460" w:type="dxa"/>
            <w:vAlign w:val="bottom"/>
            <w:gridSpan w:val="2"/>
          </w:tcPr>
          <w:p>
            <w:pPr>
              <w:ind w:left="160"/>
              <w:spacing w:after="0"/>
              <w:rPr>
                <w:sz w:val="20"/>
                <w:szCs w:val="20"/>
                <w:color w:val="auto"/>
              </w:rPr>
            </w:pPr>
            <w:r>
              <w:rPr>
                <w:rFonts w:ascii="Arial" w:cs="Arial" w:eastAsia="Arial" w:hAnsi="Arial"/>
                <w:sz w:val="18"/>
                <w:szCs w:val="18"/>
                <w:color w:val="auto"/>
              </w:rPr>
              <w:t>THE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6.1</w:t>
            </w:r>
          </w:p>
        </w:tc>
        <w:tc>
          <w:tcPr>
            <w:tcW w:w="8980" w:type="dxa"/>
            <w:vAlign w:val="bottom"/>
          </w:tcPr>
          <w:p>
            <w:pPr>
              <w:ind w:left="6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of Defaults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6.3</w:t>
            </w:r>
          </w:p>
        </w:tc>
        <w:tc>
          <w:tcPr>
            <w:tcW w:w="8980" w:type="dxa"/>
            <w:vAlign w:val="bottom"/>
          </w:tcPr>
          <w:p>
            <w:pPr>
              <w:ind w:left="60"/>
              <w:spacing w:after="0"/>
              <w:rPr>
                <w:sz w:val="20"/>
                <w:szCs w:val="20"/>
                <w:color w:val="auto"/>
              </w:rPr>
            </w:pPr>
            <w:r>
              <w:rPr>
                <w:rFonts w:ascii="Arial" w:cs="Arial" w:eastAsia="Arial" w:hAnsi="Arial"/>
                <w:sz w:val="18"/>
                <w:szCs w:val="18"/>
                <w:color w:val="auto"/>
              </w:rPr>
              <w:t>Certain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6.4</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6.5</w:t>
            </w:r>
          </w:p>
        </w:tc>
        <w:tc>
          <w:tcPr>
            <w:tcW w:w="8980" w:type="dxa"/>
            <w:vAlign w:val="bottom"/>
          </w:tcPr>
          <w:p>
            <w:pPr>
              <w:ind w:left="6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6.6</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Money Held in Trust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6.7</w:t>
            </w:r>
          </w:p>
        </w:tc>
        <w:tc>
          <w:tcPr>
            <w:tcW w:w="8980" w:type="dxa"/>
            <w:vAlign w:val="bottom"/>
          </w:tcPr>
          <w:p>
            <w:pPr>
              <w:ind w:left="60"/>
              <w:spacing w:after="0"/>
              <w:rPr>
                <w:sz w:val="20"/>
                <w:szCs w:val="20"/>
                <w:color w:val="auto"/>
              </w:rPr>
            </w:pPr>
            <w:r>
              <w:rPr>
                <w:rFonts w:ascii="Arial" w:cs="Arial" w:eastAsia="Arial" w:hAnsi="Arial"/>
                <w:sz w:val="18"/>
                <w:szCs w:val="18"/>
                <w:color w:val="auto"/>
              </w:rPr>
              <w:t>Compensation and Reimbursement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6.8</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Conflicting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6.9</w:t>
            </w:r>
          </w:p>
        </w:tc>
        <w:tc>
          <w:tcPr>
            <w:tcW w:w="8980" w:type="dxa"/>
            <w:vAlign w:val="bottom"/>
          </w:tcPr>
          <w:p>
            <w:pPr>
              <w:ind w:left="6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6.10</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6.11</w:t>
            </w:r>
          </w:p>
        </w:tc>
        <w:tc>
          <w:tcPr>
            <w:tcW w:w="8980" w:type="dxa"/>
            <w:vAlign w:val="bottom"/>
          </w:tcPr>
          <w:p>
            <w:pPr>
              <w:ind w:left="6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6.12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6.13</w:t>
            </w:r>
          </w:p>
        </w:tc>
        <w:tc>
          <w:tcPr>
            <w:tcW w:w="8980" w:type="dxa"/>
            <w:vAlign w:val="bottom"/>
          </w:tcPr>
          <w:p>
            <w:pPr>
              <w:ind w:left="6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6.14</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7</w:t>
            </w:r>
          </w:p>
        </w:tc>
        <w:tc>
          <w:tcPr>
            <w:tcW w:w="9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8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7.1</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7.2</w:t>
            </w:r>
          </w:p>
        </w:tc>
        <w:tc>
          <w:tcPr>
            <w:tcW w:w="8980" w:type="dxa"/>
            <w:vAlign w:val="bottom"/>
          </w:tcPr>
          <w:p>
            <w:pPr>
              <w:ind w:left="6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7.3</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Reports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7.4</w:t>
            </w:r>
          </w:p>
        </w:tc>
        <w:tc>
          <w:tcPr>
            <w:tcW w:w="8980" w:type="dxa"/>
            <w:vAlign w:val="bottom"/>
          </w:tcPr>
          <w:p>
            <w:pPr>
              <w:ind w:left="60"/>
              <w:spacing w:after="0"/>
              <w:rPr>
                <w:sz w:val="20"/>
                <w:szCs w:val="20"/>
                <w:color w:val="auto"/>
              </w:rPr>
            </w:pPr>
            <w:r>
              <w:rPr>
                <w:rFonts w:ascii="Arial" w:cs="Arial" w:eastAsia="Arial" w:hAnsi="Arial"/>
                <w:sz w:val="18"/>
                <w:szCs w:val="18"/>
                <w:color w:val="auto"/>
              </w:rPr>
              <w:t>Reports by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8</w:t>
            </w:r>
          </w:p>
        </w:tc>
        <w:tc>
          <w:tcPr>
            <w:tcW w:w="9460" w:type="dxa"/>
            <w:vAlign w:val="bottom"/>
            <w:gridSpan w:val="2"/>
          </w:tcPr>
          <w:p>
            <w:pPr>
              <w:ind w:left="16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8.1</w:t>
            </w:r>
          </w:p>
        </w:tc>
        <w:tc>
          <w:tcPr>
            <w:tcW w:w="8980" w:type="dxa"/>
            <w:vAlign w:val="bottom"/>
          </w:tcPr>
          <w:p>
            <w:pPr>
              <w:ind w:left="6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8.2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Successor Substituted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9</w:t>
            </w:r>
          </w:p>
        </w:tc>
        <w:tc>
          <w:tcPr>
            <w:tcW w:w="9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SUPPLEMENTAL INDENTURES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8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9.1</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9.2</w:t>
            </w:r>
          </w:p>
        </w:tc>
        <w:tc>
          <w:tcPr>
            <w:tcW w:w="8980" w:type="dxa"/>
            <w:vAlign w:val="bottom"/>
          </w:tcPr>
          <w:p>
            <w:pPr>
              <w:ind w:left="6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9.3</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9.4</w:t>
            </w:r>
          </w:p>
        </w:tc>
        <w:tc>
          <w:tcPr>
            <w:tcW w:w="8980" w:type="dxa"/>
            <w:vAlign w:val="bottom"/>
          </w:tcPr>
          <w:p>
            <w:pPr>
              <w:ind w:left="6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9.5</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Section 9.6</w:t>
            </w:r>
          </w:p>
        </w:tc>
        <w:tc>
          <w:tcPr>
            <w:tcW w:w="8980" w:type="dxa"/>
            <w:vAlign w:val="bottom"/>
          </w:tcPr>
          <w:p>
            <w:pPr>
              <w:ind w:left="6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10</w:t>
            </w:r>
          </w:p>
        </w:tc>
        <w:tc>
          <w:tcPr>
            <w:tcW w:w="9460" w:type="dxa"/>
            <w:vAlign w:val="bottom"/>
            <w:gridSpan w:val="2"/>
          </w:tcPr>
          <w:p>
            <w:pPr>
              <w:ind w:left="240"/>
              <w:spacing w:after="0"/>
              <w:rPr>
                <w:sz w:val="20"/>
                <w:szCs w:val="20"/>
                <w:color w:val="auto"/>
              </w:rPr>
            </w:pPr>
            <w:r>
              <w:rPr>
                <w:rFonts w:ascii="Arial" w:cs="Arial" w:eastAsia="Arial" w:hAnsi="Arial"/>
                <w:sz w:val="18"/>
                <w:szCs w:val="18"/>
                <w:color w:val="auto"/>
              </w:rPr>
              <w:t>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10.1</w:t>
            </w:r>
          </w:p>
        </w:tc>
        <w:tc>
          <w:tcPr>
            <w:tcW w:w="8980" w:type="dxa"/>
            <w:vAlign w:val="bottom"/>
          </w:tcPr>
          <w:p>
            <w:pPr>
              <w:ind w:left="6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10.2</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Maintenance of Office or Agency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10.3</w:t>
            </w:r>
          </w:p>
        </w:tc>
        <w:tc>
          <w:tcPr>
            <w:tcW w:w="8980" w:type="dxa"/>
            <w:vAlign w:val="bottom"/>
          </w:tcPr>
          <w:p>
            <w:pPr>
              <w:ind w:left="6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10.4</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10.5</w:t>
            </w:r>
          </w:p>
        </w:tc>
        <w:tc>
          <w:tcPr>
            <w:tcW w:w="8980" w:type="dxa"/>
            <w:vAlign w:val="bottom"/>
          </w:tcPr>
          <w:p>
            <w:pPr>
              <w:ind w:left="60"/>
              <w:spacing w:after="0"/>
              <w:rPr>
                <w:sz w:val="20"/>
                <w:szCs w:val="20"/>
                <w:color w:val="auto"/>
              </w:rPr>
            </w:pPr>
            <w:r>
              <w:rPr>
                <w:rFonts w:ascii="Arial" w:cs="Arial" w:eastAsia="Arial" w:hAnsi="Arial"/>
                <w:sz w:val="18"/>
                <w:szCs w:val="18"/>
                <w:color w:val="auto"/>
              </w:rPr>
              <w:t>Existence</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10.6</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Maintenance of Properties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60"/>
              <w:spacing w:after="0"/>
              <w:rPr>
                <w:sz w:val="20"/>
                <w:szCs w:val="20"/>
                <w:color w:val="auto"/>
              </w:rPr>
            </w:pPr>
            <w:r>
              <w:rPr>
                <w:rFonts w:ascii="Arial" w:cs="Arial" w:eastAsia="Arial" w:hAnsi="Arial"/>
                <w:sz w:val="18"/>
                <w:szCs w:val="18"/>
                <w:color w:val="auto"/>
                <w:w w:val="93"/>
              </w:rPr>
              <w:t>Section 10.7</w:t>
            </w:r>
          </w:p>
        </w:tc>
        <w:tc>
          <w:tcPr>
            <w:tcW w:w="8980" w:type="dxa"/>
            <w:vAlign w:val="bottom"/>
          </w:tcPr>
          <w:p>
            <w:pPr>
              <w:ind w:left="60"/>
              <w:spacing w:after="0"/>
              <w:rPr>
                <w:sz w:val="20"/>
                <w:szCs w:val="20"/>
                <w:color w:val="auto"/>
              </w:rPr>
            </w:pPr>
            <w:r>
              <w:rPr>
                <w:rFonts w:ascii="Arial" w:cs="Arial" w:eastAsia="Arial" w:hAnsi="Arial"/>
                <w:sz w:val="18"/>
                <w:szCs w:val="18"/>
                <w:color w:val="auto"/>
              </w:rPr>
              <w:t>Payment of Taxes and Other Claims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Section 10.8</w:t>
            </w: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Waiver of Certain Covenants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11</w:t>
            </w:r>
          </w:p>
        </w:tc>
        <w:tc>
          <w:tcPr>
            <w:tcW w:w="9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REDEMPTION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8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11.1</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11.2</w:t>
            </w:r>
          </w:p>
        </w:tc>
        <w:tc>
          <w:tcPr>
            <w:tcW w:w="8940" w:type="dxa"/>
            <w:vAlign w:val="bottom"/>
          </w:tcPr>
          <w:p>
            <w:pPr>
              <w:ind w:left="2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11.3</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11.4</w:t>
            </w:r>
          </w:p>
        </w:tc>
        <w:tc>
          <w:tcPr>
            <w:tcW w:w="894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11.5</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of Redemption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11.6</w:t>
            </w:r>
          </w:p>
        </w:tc>
        <w:tc>
          <w:tcPr>
            <w:tcW w:w="8940" w:type="dxa"/>
            <w:vAlign w:val="bottom"/>
          </w:tcPr>
          <w:p>
            <w:pPr>
              <w:ind w:left="2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11.7</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Redeemed in Part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4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12</w:t>
            </w:r>
          </w:p>
        </w:tc>
        <w:tc>
          <w:tcPr>
            <w:tcW w:w="9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SINKING FUNDS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8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12.1</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12.2</w:t>
            </w:r>
          </w:p>
        </w:tc>
        <w:tc>
          <w:tcPr>
            <w:tcW w:w="8940" w:type="dxa"/>
            <w:vAlign w:val="bottom"/>
          </w:tcPr>
          <w:p>
            <w:pPr>
              <w:ind w:left="2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12.3</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4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9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8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13.1</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13.2</w:t>
            </w:r>
          </w:p>
        </w:tc>
        <w:tc>
          <w:tcPr>
            <w:tcW w:w="8940" w:type="dxa"/>
            <w:vAlign w:val="bottom"/>
          </w:tcPr>
          <w:p>
            <w:pPr>
              <w:ind w:left="20"/>
              <w:spacing w:after="0"/>
              <w:rPr>
                <w:sz w:val="20"/>
                <w:szCs w:val="20"/>
                <w:color w:val="auto"/>
              </w:rPr>
            </w:pPr>
            <w:r>
              <w:rPr>
                <w:rFonts w:ascii="Arial" w:cs="Arial" w:eastAsia="Arial" w:hAnsi="Arial"/>
                <w:sz w:val="18"/>
                <w:szCs w:val="18"/>
                <w:color w:val="auto"/>
              </w:rPr>
              <w:t>Defeasance and Discharge</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13.3</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13.4</w:t>
            </w:r>
          </w:p>
        </w:tc>
        <w:tc>
          <w:tcPr>
            <w:tcW w:w="8940" w:type="dxa"/>
            <w:vAlign w:val="bottom"/>
          </w:tcPr>
          <w:p>
            <w:pPr>
              <w:ind w:left="2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gridSpan w:val="2"/>
            <w:shd w:val="clear" w:color="auto" w:fill="CCEEFF"/>
          </w:tcPr>
          <w:p>
            <w:pPr>
              <w:ind w:left="660"/>
              <w:spacing w:after="0" w:line="201" w:lineRule="exact"/>
              <w:rPr>
                <w:sz w:val="20"/>
                <w:szCs w:val="20"/>
                <w:color w:val="auto"/>
              </w:rPr>
            </w:pPr>
            <w:r>
              <w:rPr>
                <w:rFonts w:ascii="Arial" w:cs="Arial" w:eastAsia="Arial" w:hAnsi="Arial"/>
                <w:sz w:val="18"/>
                <w:szCs w:val="18"/>
                <w:color w:val="auto"/>
                <w:w w:val="97"/>
              </w:rPr>
              <w:t>Section 13.5</w:t>
            </w:r>
          </w:p>
        </w:tc>
        <w:tc>
          <w:tcPr>
            <w:tcW w:w="8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Deposited Money, U.S. Government Obligations and Foreign Government Obligations to be Held in Trust; Miscellaneous</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w:t>
            </w: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13.6</w:t>
            </w:r>
          </w:p>
        </w:tc>
        <w:tc>
          <w:tcPr>
            <w:tcW w:w="8940" w:type="dxa"/>
            <w:vAlign w:val="bottom"/>
          </w:tcPr>
          <w:p>
            <w:pPr>
              <w:ind w:left="20"/>
              <w:spacing w:after="0"/>
              <w:rPr>
                <w:sz w:val="20"/>
                <w:szCs w:val="20"/>
                <w:color w:val="auto"/>
              </w:rPr>
            </w:pPr>
            <w:r>
              <w:rPr>
                <w:rFonts w:ascii="Arial" w:cs="Arial" w:eastAsia="Arial" w:hAnsi="Arial"/>
                <w:sz w:val="18"/>
                <w:szCs w:val="18"/>
                <w:color w:val="auto"/>
              </w:rPr>
              <w:t>Reinstatement</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14</w:t>
            </w:r>
          </w:p>
        </w:tc>
        <w:tc>
          <w:tcPr>
            <w:tcW w:w="9420" w:type="dxa"/>
            <w:vAlign w:val="bottom"/>
            <w:gridSpan w:val="2"/>
          </w:tcPr>
          <w:p>
            <w:pPr>
              <w:ind w:left="200"/>
              <w:spacing w:after="0"/>
              <w:rPr>
                <w:sz w:val="20"/>
                <w:szCs w:val="20"/>
                <w:color w:val="auto"/>
              </w:rPr>
            </w:pPr>
            <w:r>
              <w:rPr>
                <w:rFonts w:ascii="Arial" w:cs="Arial" w:eastAsia="Arial" w:hAnsi="Arial"/>
                <w:sz w:val="18"/>
                <w:szCs w:val="18"/>
                <w:color w:val="auto"/>
              </w:rPr>
              <w:t>CONVERSION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14.1</w:t>
            </w:r>
          </w:p>
        </w:tc>
        <w:tc>
          <w:tcPr>
            <w:tcW w:w="894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14.2</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14.3</w:t>
            </w:r>
          </w:p>
        </w:tc>
        <w:tc>
          <w:tcPr>
            <w:tcW w:w="8940" w:type="dxa"/>
            <w:vAlign w:val="bottom"/>
          </w:tcPr>
          <w:p>
            <w:pPr>
              <w:ind w:left="20"/>
              <w:spacing w:after="0"/>
              <w:rPr>
                <w:sz w:val="20"/>
                <w:szCs w:val="20"/>
                <w:color w:val="auto"/>
              </w:rPr>
            </w:pPr>
            <w:r>
              <w:rPr>
                <w:rFonts w:ascii="Arial" w:cs="Arial" w:eastAsia="Arial" w:hAnsi="Arial"/>
                <w:sz w:val="18"/>
                <w:szCs w:val="18"/>
                <w:color w:val="auto"/>
              </w:rPr>
              <w:t>No Fractional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14.4</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14.5</w:t>
            </w:r>
          </w:p>
        </w:tc>
        <w:tc>
          <w:tcPr>
            <w:tcW w:w="8940" w:type="dxa"/>
            <w:vAlign w:val="bottom"/>
          </w:tcPr>
          <w:p>
            <w:pPr>
              <w:ind w:left="20"/>
              <w:spacing w:after="0"/>
              <w:rPr>
                <w:sz w:val="20"/>
                <w:szCs w:val="20"/>
                <w:color w:val="auto"/>
              </w:rPr>
            </w:pPr>
            <w:r>
              <w:rPr>
                <w:rFonts w:ascii="Arial" w:cs="Arial" w:eastAsia="Arial" w:hAnsi="Arial"/>
                <w:sz w:val="18"/>
                <w:szCs w:val="18"/>
                <w:color w:val="auto"/>
              </w:rPr>
              <w:t>Notice of Certain Corporate Actions. In case:</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14.6</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14.7</w:t>
            </w:r>
          </w:p>
        </w:tc>
        <w:tc>
          <w:tcPr>
            <w:tcW w:w="8940" w:type="dxa"/>
            <w:vAlign w:val="bottom"/>
          </w:tcPr>
          <w:p>
            <w:pPr>
              <w:ind w:left="2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Section 14.8</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Nonassessability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97"/>
              </w:rPr>
              <w:t>Section 14.9</w:t>
            </w:r>
          </w:p>
        </w:tc>
        <w:tc>
          <w:tcPr>
            <w:tcW w:w="8940" w:type="dxa"/>
            <w:vAlign w:val="bottom"/>
          </w:tcPr>
          <w:p>
            <w:pPr>
              <w:ind w:left="2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Section 14.10 Duties of Trustee Regarding Conversion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660"/>
              <w:spacing w:after="0"/>
              <w:rPr>
                <w:sz w:val="20"/>
                <w:szCs w:val="20"/>
                <w:color w:val="auto"/>
              </w:rPr>
            </w:pPr>
            <w:r>
              <w:rPr>
                <w:rFonts w:ascii="Arial" w:cs="Arial" w:eastAsia="Arial" w:hAnsi="Arial"/>
                <w:sz w:val="18"/>
                <w:szCs w:val="18"/>
                <w:color w:val="auto"/>
                <w:w w:val="88"/>
              </w:rPr>
              <w:t>Section 14.11</w:t>
            </w:r>
          </w:p>
        </w:tc>
        <w:tc>
          <w:tcPr>
            <w:tcW w:w="8940" w:type="dxa"/>
            <w:vAlign w:val="bottom"/>
          </w:tcPr>
          <w:p>
            <w:pPr>
              <w:ind w:left="2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8440" w:type="dxa"/>
            <w:vAlign w:val="bottom"/>
          </w:tcPr>
          <w:p>
            <w:pPr>
              <w:jc w:val="center"/>
              <w:ind w:left="350"/>
              <w:spacing w:after="0"/>
              <w:rPr>
                <w:sz w:val="20"/>
                <w:szCs w:val="20"/>
                <w:color w:val="auto"/>
              </w:rPr>
            </w:pPr>
            <w:r>
              <w:rPr>
                <w:rFonts w:ascii="Arial" w:cs="Arial" w:eastAsia="Arial" w:hAnsi="Arial"/>
                <w:sz w:val="18"/>
                <w:szCs w:val="18"/>
                <w:color w:val="auto"/>
                <w:w w:val="98"/>
              </w:rPr>
              <w:t>HARROW HEALTH, INC.</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20" w:type="dxa"/>
            <w:vAlign w:val="bottom"/>
            <w:gridSpan w:val="2"/>
          </w:tcPr>
          <w:p>
            <w:pPr>
              <w:ind w:left="660"/>
              <w:spacing w:after="0"/>
              <w:rPr>
                <w:sz w:val="20"/>
                <w:szCs w:val="20"/>
                <w:color w:val="auto"/>
              </w:rPr>
            </w:pPr>
            <w:r>
              <w:rPr>
                <w:rFonts w:ascii="Arial" w:cs="Arial" w:eastAsia="Arial" w:hAnsi="Arial"/>
                <w:sz w:val="18"/>
                <w:szCs w:val="18"/>
                <w:color w:val="auto"/>
                <w:w w:val="96"/>
              </w:rPr>
              <w:t>Certain Sections of this Indenture relating to Sections 310 through 318, inclusive, of the Trust Indenture Act of 1939:</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310(a) (1)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(a)(2)</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(a)(4)</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9"/>
              </w:rPr>
              <w:t>Section 311(a)</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9"/>
              </w:rPr>
              <w:t>Section 312(a)</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7.1, 7.2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313(a)</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314(a)</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(a)(4)</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10.1, 10.4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(c)(1)</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(c)(3)</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315(a)</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9"/>
              </w:rPr>
              <w:t>Section 316(a)</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(a)(1)(B)</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317(a) (1)</w:t>
            </w: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w:t>
            </w:r>
          </w:p>
        </w:tc>
        <w:tc>
          <w:tcPr>
            <w:tcW w:w="8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318(a)</w:t>
            </w:r>
          </w:p>
        </w:tc>
        <w:tc>
          <w:tcPr>
            <w:tcW w:w="84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NOTE:</w:t>
            </w:r>
          </w:p>
        </w:tc>
        <w:tc>
          <w:tcPr>
            <w:tcW w:w="8440" w:type="dxa"/>
            <w:vAlign w:val="bottom"/>
          </w:tcPr>
          <w:p>
            <w:pPr>
              <w:ind w:left="120"/>
              <w:spacing w:after="0"/>
              <w:rPr>
                <w:sz w:val="20"/>
                <w:szCs w:val="20"/>
                <w:color w:val="auto"/>
              </w:rPr>
            </w:pPr>
            <w:r>
              <w:rPr>
                <w:rFonts w:ascii="Arial" w:cs="Arial" w:eastAsia="Arial" w:hAnsi="Arial"/>
                <w:sz w:val="18"/>
                <w:szCs w:val="18"/>
                <w:color w:val="auto"/>
              </w:rPr>
              <w:t>This reconciliation and tie shall not, for any purpose, be deemed to be a part of the Indenture.</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rPr>
              <w:t>-iv-</w:t>
            </w: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INDENTURE, dated as of , 20 , between HARROW HEALTH, INC., a corporation duly organized and existing under the laws of the State of Delaware (herein called the “Company”), having its principal executive office at 102 Woodmont Blvd., Suite 610, Nashville, TN 32705 and , as Trustee (herein called the “Trustee”).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60" w:hanging="256"/>
        <w:spacing w:after="0"/>
        <w:tabs>
          <w:tab w:leader="none" w:pos="1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right="320" w:firstLine="644"/>
        <w:spacing w:after="0" w:line="277" w:lineRule="auto"/>
        <w:tabs>
          <w:tab w:leader="none" w:pos="15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6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 when used with respect to any Holder, has the meaning specified in Section 1.4. “Additional Interest” has the meaning specified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5.2(b).</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“corporation” means a corporation, association, company, joint-stock company or business trust. “Covenant Defeasance” has the meaning specified in Section 13.3.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has the meaning specified in Section 1.4.</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 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“Maturity,” when used with respect to any Security, means the date on which the principal of such Security or an installment of principal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becomes due and payable as therein or herein provided, whether at the Stated Maturity or by declaration of acceleration, repurchase at the option of the Holder, upon redemption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320"/>
        <w:spacing w:after="0" w:line="259" w:lineRule="auto"/>
        <w:tabs>
          <w:tab w:leader="none" w:pos="12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left="660" w:firstLine="320"/>
        <w:spacing w:after="0" w:line="311" w:lineRule="auto"/>
        <w:tabs>
          <w:tab w:leader="none" w:pos="1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48" w:lineRule="exact"/>
        <w:rPr>
          <w:rFonts w:ascii="Arial" w:cs="Arial" w:eastAsia="Arial" w:hAnsi="Arial"/>
          <w:sz w:val="16"/>
          <w:szCs w:val="16"/>
          <w:color w:val="auto"/>
        </w:rPr>
      </w:pPr>
    </w:p>
    <w:p>
      <w:pPr>
        <w:ind w:left="660" w:firstLine="320"/>
        <w:spacing w:after="0" w:line="277" w:lineRule="auto"/>
        <w:tabs>
          <w:tab w:leader="none" w:pos="12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Securities converted or exchanged as contemplated by this Indenture into Capital Stock or other securities or property, if the terms of such Security provide for such conversion or exchange pursuant to Section 3.1;</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 1, (C) the principal amount of a Security denominated in one or more non-U.S. dollar currencies or currency units which shall be deemed to be Outstanding shall be the U.S. dollar equivalent, determined as of such date in the manner provided as contemplated by Section 3. 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 “Security Register” and “Security Registrar” have the respective meanings specified in Section 3.5.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1240" w:hanging="260"/>
        <w:spacing w:after="0"/>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660" w:firstLine="320"/>
        <w:spacing w:after="0" w:line="277" w:lineRule="auto"/>
        <w:tabs>
          <w:tab w:leader="none" w:pos="12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320"/>
        <w:spacing w:after="0" w:line="308" w:lineRule="auto"/>
        <w:tabs>
          <w:tab w:leader="none" w:pos="123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240" w:hanging="26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Section 1.4 Acts of Holders; Record Dates.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648"/>
        <w:spacing w:after="0" w:line="296"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firstLine="648"/>
        <w:spacing w:after="0" w:line="272" w:lineRule="auto"/>
        <w:rPr>
          <w:sz w:val="20"/>
          <w:szCs w:val="20"/>
          <w:color w:val="auto"/>
        </w:rPr>
      </w:pPr>
      <w:r>
        <w:rPr>
          <w:rFonts w:ascii="Arial" w:cs="Arial" w:eastAsia="Arial" w:hAnsi="Arial"/>
          <w:sz w:val="17"/>
          <w:szCs w:val="17"/>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jc w:val="both"/>
        <w:ind w:left="660" w:right="20" w:firstLine="644"/>
        <w:spacing w:after="0" w:line="263" w:lineRule="auto"/>
        <w:tabs>
          <w:tab w:leader="none" w:pos="15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Attention: Corporate Trust Department,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Waivers of notice by Holders shall be filed with the Trustee, but such filing shall not be a condition precedent to the validity of any action taken in reliance upon such waiver.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ectPr>
          <w:pgSz w:w="11900" w:h="16838" w:orient="portrait"/>
          <w:cols w:equalWidth="0" w:num="1">
            <w:col w:w="11240"/>
          </w:cols>
          <w:pgMar w:left="320" w:top="66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CUSIP:______</w:t>
      </w:r>
    </w:p>
    <w:p>
      <w:pPr>
        <w:spacing w:after="0" w:line="200" w:lineRule="exact"/>
        <w:rPr>
          <w:sz w:val="20"/>
          <w:szCs w:val="20"/>
          <w:color w:val="auto"/>
        </w:rPr>
      </w:pPr>
    </w:p>
    <w:p>
      <w:pPr>
        <w:sectPr>
          <w:pgSz w:w="11900" w:h="16838" w:orient="portrait"/>
          <w:cols w:equalWidth="0" w:num="2">
            <w:col w:w="9420" w:space="720"/>
            <w:col w:w="1100"/>
          </w:cols>
          <w:pgMar w:left="320" w:top="661" w:right="339" w:bottom="1440" w:gutter="0" w:footer="0" w:header="0"/>
          <w:type w:val="continuous"/>
        </w:sectPr>
      </w:pPr>
    </w:p>
    <w:p>
      <w:pPr>
        <w:spacing w:after="0" w:line="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HARROW HEALTH, INC., a corporation duly organized and existing under the laws of Delaware (herein called the “Company,” which term includes any successor Person under the Indenture hereinafter referred to), for value received, hereby promises to pay to , or registered assigns, the principal sum of dollars on [</w:t>
      </w:r>
      <w:r>
        <w:rPr>
          <w:rFonts w:ascii="Arial" w:cs="Arial" w:eastAsia="Arial" w:hAnsi="Arial"/>
          <w:sz w:val="17"/>
          <w:szCs w:val="17"/>
          <w:b w:val="1"/>
          <w:bCs w:val="1"/>
          <w:color w:val="auto"/>
        </w:rPr>
        <w:t>if the Security is to bear interest prior to Maturity, insert —</w:t>
      </w:r>
      <w:r>
        <w:rPr>
          <w:rFonts w:ascii="Arial" w:cs="Arial" w:eastAsia="Arial" w:hAnsi="Arial"/>
          <w:sz w:val="17"/>
          <w:szCs w:val="17"/>
          <w:color w:val="auto"/>
        </w:rPr>
        <w:t xml:space="preserve"> , and to pay interest thereon from or from the most recent Interest Payment Date to which interest has been paid or duly provided for, semi-annually on and in each year, commencing , at the</w:t>
      </w:r>
    </w:p>
    <w:p>
      <w:pPr>
        <w:sectPr>
          <w:pgSz w:w="11900" w:h="16838" w:orient="portrait"/>
          <w:cols w:equalWidth="0" w:num="1">
            <w:col w:w="11240"/>
          </w:cols>
          <w:pgMar w:left="320" w:top="661" w:right="339" w:bottom="1440" w:gutter="0" w:footer="0" w:header="0"/>
          <w:type w:val="continuous"/>
        </w:sectPr>
      </w:pP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rate of % per annum, until the principal hereof is paid or made available for payment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49" w:name="page50"/>
    <w:bookmarkEnd w:id="49"/>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the Security is not to bear interest prior to Maturity, insert —</w:t>
      </w:r>
      <w:r>
        <w:rPr>
          <w:rFonts w:ascii="Arial" w:cs="Arial" w:eastAsia="Arial" w:hAnsi="Arial"/>
          <w:sz w:val="17"/>
          <w:szCs w:val="17"/>
          <w:color w:val="auto"/>
        </w:rPr>
        <w:t xml:space="preserve">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 of the principal of (and premium, if any) and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any such] interest on this Security will be made at the office or</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payment of public and private debts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00" w:lineRule="exact"/>
        <w:rPr>
          <w:sz w:val="20"/>
          <w:szCs w:val="20"/>
          <w:color w:val="auto"/>
        </w:rPr>
      </w:pP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_________</w:t>
      </w:r>
      <w:r>
        <w:rPr>
          <w:sz w:val="20"/>
          <w:szCs w:val="20"/>
          <w:color w:val="auto"/>
        </w:rPr>
        <w:tab/>
      </w:r>
      <w:r>
        <w:rPr>
          <w:rFonts w:ascii="Arial" w:cs="Arial" w:eastAsia="Arial" w:hAnsi="Arial"/>
          <w:sz w:val="17"/>
          <w:szCs w:val="17"/>
          <w:color w:val="auto"/>
        </w:rPr>
        <w:t>HARROW HEALTH,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5401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(herein called the “Indenture,” which term shall have the meaning assigned to it in such instrument), between the Company and , as Trustee (herein called the “Trustee,” which term includes any successor trustee under the Indenture), and reference is hereby made</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to the Indenture and all indentures supplemental thereto for a statement of the respective rights, limitations of rights, duties and immunities thereunder of the Company, the Trustee and the Holders of the Securities and of the terms upon which the Securities are, and are to be, authenticated and delivered. This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jc w:val="right"/>
              <w:ind w:right="150"/>
              <w:spacing w:after="0"/>
              <w:rPr>
                <w:sz w:val="20"/>
                <w:szCs w:val="20"/>
                <w:color w:val="auto"/>
              </w:rPr>
            </w:pPr>
            <w:r>
              <w:rPr>
                <w:rFonts w:ascii="Arial" w:cs="Arial" w:eastAsia="Arial" w:hAnsi="Arial"/>
                <w:sz w:val="18"/>
                <w:szCs w:val="18"/>
                <w:color w:val="auto"/>
                <w:w w:val="90"/>
              </w:rPr>
              <w:t>Security is one of the series designated on the face hereof [</w:t>
            </w:r>
            <w:r>
              <w:rPr>
                <w:rFonts w:ascii="Arial" w:cs="Arial" w:eastAsia="Arial" w:hAnsi="Arial"/>
                <w:sz w:val="18"/>
                <w:szCs w:val="18"/>
                <w:b w:val="1"/>
                <w:bCs w:val="1"/>
                <w:color w:val="auto"/>
                <w:w w:val="90"/>
              </w:rPr>
              <w:t>if applicable, insert —</w:t>
            </w:r>
            <w:r>
              <w:rPr>
                <w:rFonts w:ascii="Arial" w:cs="Arial" w:eastAsia="Arial" w:hAnsi="Arial"/>
                <w:sz w:val="18"/>
                <w:szCs w:val="18"/>
                <w:color w:val="auto"/>
                <w:w w:val="90"/>
              </w:rPr>
              <w:t xml:space="preserve"> , limited in aggregate principal amount to $</w:t>
            </w:r>
          </w:p>
        </w:tc>
        <w:tc>
          <w:tcPr>
            <w:tcW w:w="1880" w:type="dxa"/>
            <w:vAlign w:val="bottom"/>
          </w:tcPr>
          <w:p>
            <w:pPr>
              <w:jc w:val="right"/>
              <w:ind w:right="1430"/>
              <w:spacing w:after="0"/>
              <w:rPr>
                <w:sz w:val="20"/>
                <w:szCs w:val="20"/>
                <w:color w:val="auto"/>
              </w:rPr>
            </w:pPr>
            <w:r>
              <w:rPr>
                <w:rFonts w:ascii="Arial" w:cs="Arial" w:eastAsia="Arial" w:hAnsi="Arial"/>
                <w:sz w:val="18"/>
                <w:szCs w:val="18"/>
                <w:color w:val="auto"/>
              </w:rPr>
              <w:t>].</w:t>
            </w:r>
          </w:p>
        </w:tc>
      </w:tr>
      <w:tr>
        <w:trPr>
          <w:trHeight w:val="421"/>
        </w:trPr>
        <w:tc>
          <w:tcPr>
            <w:tcW w:w="9360" w:type="dxa"/>
            <w:vAlign w:val="bottom"/>
            <w:tcBorders>
              <w:bottom w:val="single" w:sz="8" w:color="auto"/>
            </w:tcBorders>
          </w:tcPr>
          <w:p>
            <w:pPr>
              <w:jc w:val="right"/>
              <w:ind w:right="3490"/>
              <w:spacing w:after="0"/>
              <w:rPr>
                <w:sz w:val="20"/>
                <w:szCs w:val="20"/>
                <w:color w:val="auto"/>
              </w:rPr>
            </w:pPr>
            <w:r>
              <w:rPr>
                <w:rFonts w:ascii="Arial" w:cs="Arial" w:eastAsia="Arial" w:hAnsi="Arial"/>
                <w:sz w:val="18"/>
                <w:szCs w:val="18"/>
                <w:color w:val="auto"/>
              </w:rPr>
              <w:t>-12-</w:t>
            </w: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Securities of this series are subject to redemption upon not less than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30] days’ notice by mail, [</w:t>
      </w:r>
      <w:r>
        <w:rPr>
          <w:rFonts w:ascii="Arial" w:cs="Arial" w:eastAsia="Arial" w:hAnsi="Arial"/>
          <w:sz w:val="16"/>
          <w:szCs w:val="16"/>
          <w:b w:val="1"/>
          <w:bCs w:val="1"/>
          <w:color w:val="auto"/>
        </w:rPr>
        <w:t>if</w:t>
      </w:r>
    </w:p>
    <w:p>
      <w:pPr>
        <w:spacing w:after="0" w:line="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applicable, insert— </w:t>
      </w:r>
      <w:r>
        <w:rPr>
          <w:rFonts w:ascii="Arial" w:cs="Arial" w:eastAsia="Arial" w:hAnsi="Arial"/>
          <w:sz w:val="17"/>
          <w:szCs w:val="17"/>
          <w:color w:val="auto"/>
        </w:rPr>
        <w:t>(1) on in any year commencing with the year and ending with the year through operation of the sinking fund for this series at a</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Price equal to 100% of the principal amount, and (2)] at any time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on or after , 20 ], as a whole or in part, at the</w:t>
      </w:r>
    </w:p>
    <w:p>
      <w:pPr>
        <w:spacing w:after="0"/>
        <w:rPr>
          <w:sz w:val="20"/>
          <w:szCs w:val="20"/>
          <w:color w:val="auto"/>
        </w:rPr>
      </w:pPr>
      <w:r>
        <w:rPr>
          <w:rFonts w:ascii="Arial" w:cs="Arial" w:eastAsia="Arial" w:hAnsi="Arial"/>
          <w:sz w:val="16"/>
          <w:szCs w:val="16"/>
          <w:color w:val="auto"/>
        </w:rPr>
        <w:t>election of the Company, at the following Redemption Prices (expressed as percentages of the principal amount): If redeemed [</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on 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4"/>
          </w:tcPr>
          <w:p>
            <w:pPr>
              <w:spacing w:after="0"/>
              <w:rPr>
                <w:sz w:val="20"/>
                <w:szCs w:val="20"/>
                <w:color w:val="auto"/>
              </w:rPr>
            </w:pPr>
            <w:r>
              <w:rPr>
                <w:rFonts w:ascii="Arial" w:cs="Arial" w:eastAsia="Arial" w:hAnsi="Arial"/>
                <w:sz w:val="18"/>
                <w:szCs w:val="18"/>
                <w:color w:val="auto"/>
              </w:rPr>
              <w:t>before , %, and if redeemed] during the 12-month period beginning</w:t>
            </w:r>
          </w:p>
        </w:tc>
        <w:tc>
          <w:tcPr>
            <w:tcW w:w="2600" w:type="dxa"/>
            <w:vAlign w:val="bottom"/>
            <w:gridSpan w:val="3"/>
          </w:tcPr>
          <w:p>
            <w:pPr>
              <w:ind w:left="60"/>
              <w:spacing w:after="0"/>
              <w:rPr>
                <w:sz w:val="20"/>
                <w:szCs w:val="20"/>
                <w:color w:val="auto"/>
              </w:rPr>
            </w:pPr>
            <w:r>
              <w:rPr>
                <w:rFonts w:ascii="Arial" w:cs="Arial" w:eastAsia="Arial" w:hAnsi="Arial"/>
                <w:sz w:val="18"/>
                <w:szCs w:val="18"/>
                <w:color w:val="auto"/>
              </w:rPr>
              <w:t>of the years indicated,</w:t>
            </w:r>
          </w:p>
        </w:tc>
        <w:tc>
          <w:tcPr>
            <w:tcW w:w="2140" w:type="dxa"/>
            <w:vAlign w:val="bottom"/>
          </w:tcPr>
          <w:p>
            <w:pPr>
              <w:spacing w:after="0"/>
              <w:rPr>
                <w:sz w:val="20"/>
                <w:szCs w:val="20"/>
                <w:color w:val="auto"/>
              </w:rPr>
            </w:pPr>
          </w:p>
        </w:tc>
      </w:tr>
      <w:tr>
        <w:trPr>
          <w:trHeight w:val="425"/>
        </w:trPr>
        <w:tc>
          <w:tcPr>
            <w:tcW w:w="3140" w:type="dxa"/>
            <w:vAlign w:val="bottom"/>
            <w:gridSpan w:val="3"/>
          </w:tcPr>
          <w:p>
            <w:pPr>
              <w:ind w:left="1140"/>
              <w:spacing w:after="0"/>
              <w:rPr>
                <w:sz w:val="20"/>
                <w:szCs w:val="20"/>
                <w:color w:val="auto"/>
              </w:rPr>
            </w:pPr>
            <w:r>
              <w:rPr>
                <w:rFonts w:ascii="Arial" w:cs="Arial" w:eastAsia="Arial" w:hAnsi="Arial"/>
                <w:sz w:val="18"/>
                <w:szCs w:val="18"/>
                <w:color w:val="auto"/>
              </w:rPr>
              <w:t>Year</w:t>
            </w:r>
          </w:p>
        </w:tc>
        <w:tc>
          <w:tcPr>
            <w:tcW w:w="2240" w:type="dxa"/>
            <w:vAlign w:val="bottom"/>
          </w:tcPr>
          <w:p>
            <w:pPr>
              <w:ind w:left="460"/>
              <w:spacing w:after="0"/>
              <w:rPr>
                <w:sz w:val="20"/>
                <w:szCs w:val="20"/>
                <w:color w:val="auto"/>
              </w:rPr>
            </w:pPr>
            <w:r>
              <w:rPr>
                <w:rFonts w:ascii="Arial" w:cs="Arial" w:eastAsia="Arial" w:hAnsi="Arial"/>
                <w:sz w:val="18"/>
                <w:szCs w:val="18"/>
                <w:color w:val="auto"/>
              </w:rPr>
              <w:t>Redemption Price</w:t>
            </w:r>
          </w:p>
        </w:tc>
        <w:tc>
          <w:tcPr>
            <w:tcW w:w="180" w:type="dxa"/>
            <w:vAlign w:val="bottom"/>
          </w:tcPr>
          <w:p>
            <w:pPr>
              <w:spacing w:after="0"/>
              <w:rPr>
                <w:sz w:val="24"/>
                <w:szCs w:val="24"/>
                <w:color w:val="auto"/>
              </w:rPr>
            </w:pPr>
          </w:p>
        </w:tc>
        <w:tc>
          <w:tcPr>
            <w:tcW w:w="2420" w:type="dxa"/>
            <w:vAlign w:val="bottom"/>
            <w:gridSpan w:val="2"/>
          </w:tcPr>
          <w:p>
            <w:pPr>
              <w:ind w:left="940"/>
              <w:spacing w:after="0"/>
              <w:rPr>
                <w:sz w:val="20"/>
                <w:szCs w:val="20"/>
                <w:color w:val="auto"/>
              </w:rPr>
            </w:pPr>
            <w:r>
              <w:rPr>
                <w:rFonts w:ascii="Arial" w:cs="Arial" w:eastAsia="Arial" w:hAnsi="Arial"/>
                <w:sz w:val="18"/>
                <w:szCs w:val="18"/>
                <w:color w:val="auto"/>
              </w:rPr>
              <w:t>Year</w:t>
            </w:r>
          </w:p>
        </w:tc>
        <w:tc>
          <w:tcPr>
            <w:tcW w:w="2140" w:type="dxa"/>
            <w:vAlign w:val="bottom"/>
          </w:tcPr>
          <w:p>
            <w:pPr>
              <w:ind w:left="420"/>
              <w:spacing w:after="0"/>
              <w:rPr>
                <w:sz w:val="20"/>
                <w:szCs w:val="20"/>
                <w:color w:val="auto"/>
              </w:rPr>
            </w:pPr>
            <w:r>
              <w:rPr>
                <w:rFonts w:ascii="Arial" w:cs="Arial" w:eastAsia="Arial" w:hAnsi="Arial"/>
                <w:sz w:val="18"/>
                <w:szCs w:val="18"/>
                <w:color w:val="auto"/>
              </w:rPr>
              <w:t>Redemption Price</w:t>
            </w:r>
          </w:p>
        </w:tc>
      </w:tr>
      <w:tr>
        <w:trPr>
          <w:trHeight w:val="216"/>
        </w:trPr>
        <w:tc>
          <w:tcPr>
            <w:tcW w:w="114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The Securities of this series are subject to redemption upon not less than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30] days’ notice by</w:t>
      </w:r>
    </w:p>
    <w:p>
      <w:pPr>
        <w:spacing w:after="0" w:line="3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mail,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w:t>
      </w:r>
    </w:p>
    <w:p>
      <w:pPr>
        <w:jc w:val="both"/>
        <w:spacing w:after="0" w:line="281" w:lineRule="auto"/>
        <w:rPr>
          <w:sz w:val="20"/>
          <w:szCs w:val="20"/>
          <w:color w:val="auto"/>
        </w:rPr>
      </w:pPr>
      <w:r>
        <w:rPr>
          <w:rFonts w:ascii="Arial" w:cs="Arial" w:eastAsia="Arial" w:hAnsi="Arial"/>
          <w:sz w:val="16"/>
          <w:szCs w:val="16"/>
          <w:color w:val="auto"/>
        </w:rPr>
        <w:t>(2) at any time [</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 during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w w:val="98"/>
              </w:rPr>
              <w:t>12-month period beginning</w:t>
            </w:r>
          </w:p>
        </w:tc>
        <w:tc>
          <w:tcPr>
            <w:tcW w:w="5300" w:type="dxa"/>
            <w:vAlign w:val="bottom"/>
            <w:gridSpan w:val="4"/>
          </w:tcPr>
          <w:p>
            <w:pPr>
              <w:ind w:left="160"/>
              <w:spacing w:after="0"/>
              <w:rPr>
                <w:sz w:val="20"/>
                <w:szCs w:val="20"/>
                <w:color w:val="auto"/>
              </w:rPr>
            </w:pPr>
            <w:r>
              <w:rPr>
                <w:rFonts w:ascii="Arial" w:cs="Arial" w:eastAsia="Arial" w:hAnsi="Arial"/>
                <w:sz w:val="18"/>
                <w:szCs w:val="18"/>
                <w:color w:val="auto"/>
              </w:rPr>
              <w:t>of the years indicated,</w:t>
            </w:r>
          </w:p>
        </w:tc>
        <w:tc>
          <w:tcPr>
            <w:tcW w:w="2680" w:type="dxa"/>
            <w:vAlign w:val="bottom"/>
          </w:tcPr>
          <w:p>
            <w:pPr>
              <w:spacing w:after="0"/>
              <w:rPr>
                <w:sz w:val="20"/>
                <w:szCs w:val="20"/>
                <w:color w:val="auto"/>
              </w:rPr>
            </w:pPr>
          </w:p>
        </w:tc>
      </w:tr>
      <w:tr>
        <w:trPr>
          <w:trHeight w:val="403"/>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Redemption Price For</w:t>
            </w:r>
          </w:p>
        </w:tc>
      </w:tr>
      <w:tr>
        <w:trPr>
          <w:trHeight w:val="216"/>
        </w:trPr>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Redemption Price For</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Redemption Otherwise Than</w:t>
            </w:r>
          </w:p>
        </w:tc>
      </w:tr>
      <w:tr>
        <w:trPr>
          <w:trHeight w:val="216"/>
        </w:trPr>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Redemption Through</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Through</w:t>
            </w:r>
          </w:p>
        </w:tc>
      </w:tr>
      <w:tr>
        <w:trPr>
          <w:trHeight w:val="216"/>
        </w:trPr>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Operation of the</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Operation of the</w:t>
            </w:r>
          </w:p>
        </w:tc>
      </w:tr>
      <w:tr>
        <w:trPr>
          <w:trHeight w:val="237"/>
        </w:trPr>
        <w:tc>
          <w:tcPr>
            <w:tcW w:w="2140" w:type="dxa"/>
            <w:vAlign w:val="bottom"/>
            <w:gridSpan w:val="2"/>
          </w:tcPr>
          <w:p>
            <w:pPr>
              <w:ind w:left="1140"/>
              <w:spacing w:after="0"/>
              <w:rPr>
                <w:sz w:val="20"/>
                <w:szCs w:val="20"/>
                <w:color w:val="auto"/>
              </w:rPr>
            </w:pPr>
            <w:r>
              <w:rPr>
                <w:rFonts w:ascii="Arial" w:cs="Arial" w:eastAsia="Arial" w:hAnsi="Arial"/>
                <w:sz w:val="18"/>
                <w:szCs w:val="18"/>
                <w:color w:val="auto"/>
              </w:rPr>
              <w:t>Year</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Sinking Fund</w:t>
            </w: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Sinking Fund</w:t>
            </w:r>
          </w:p>
        </w:tc>
      </w:tr>
      <w:tr>
        <w:trPr>
          <w:trHeight w:val="216"/>
        </w:trPr>
        <w:tc>
          <w:tcPr>
            <w:tcW w:w="114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Notwithstanding the foregoing, the Company may not, prior to , redeem any Securities of this series as contemplated by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The sinking fund for this series provides for the redemption on in each year beginning with the year and ending with the year of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not less than $ (“mandatory sinking fund”) and not more than] $ aggregate principal amount of 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in the inverse order in which they become due].]</w:t>
      </w:r>
    </w:p>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restrictive covenants and Events Indenture.]</w:t>
      </w:r>
    </w:p>
    <w:p>
      <w:pPr>
        <w:spacing w:after="0" w:line="20" w:lineRule="exact"/>
        <w:rPr>
          <w:sz w:val="20"/>
          <w:szCs w:val="20"/>
          <w:color w:val="auto"/>
        </w:rPr>
      </w:pPr>
      <w:r>
        <w:rPr>
          <w:sz w:val="20"/>
          <w:szCs w:val="20"/>
          <w:color w:val="auto"/>
        </w:rPr>
        <w:br w:type="column"/>
      </w:r>
    </w:p>
    <w:p>
      <w:pPr>
        <w:ind w:hanging="38"/>
        <w:spacing w:after="0" w:line="342" w:lineRule="auto"/>
        <w:rPr>
          <w:sz w:val="20"/>
          <w:szCs w:val="20"/>
          <w:color w:val="auto"/>
        </w:rPr>
      </w:pPr>
      <w:r>
        <w:rPr>
          <w:rFonts w:ascii="Arial" w:cs="Arial" w:eastAsia="Arial" w:hAnsi="Arial"/>
          <w:sz w:val="16"/>
          <w:szCs w:val="16"/>
          <w:color w:val="auto"/>
        </w:rPr>
        <w:t>The Indenture contains provisions for defeasance at any time of [the entire indebtedness of this Security] [or] [certain of Default with respect to this Security] [, in each case] upon compliance with certain conditions set forth in the</w:t>
      </w:r>
    </w:p>
    <w:p>
      <w:pPr>
        <w:spacing w:after="0" w:line="335" w:lineRule="exact"/>
        <w:rPr>
          <w:sz w:val="20"/>
          <w:szCs w:val="20"/>
          <w:color w:val="auto"/>
        </w:rPr>
      </w:pPr>
    </w:p>
    <w:p>
      <w:pPr>
        <w:sectPr>
          <w:pgSz w:w="11900" w:h="16838" w:orient="portrait"/>
          <w:cols w:equalWidth="0" w:num="2">
            <w:col w:w="2440" w:space="80"/>
            <w:col w:w="8720"/>
          </w:cols>
          <w:pgMar w:left="320" w:top="661" w:right="339" w:bottom="1440" w:gutter="0" w:footer="0" w:header="0"/>
        </w:sect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convertible into other securities of the Company, specify the conversion features.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not an Original Issue Discount Security, insert —</w:t>
      </w:r>
      <w:r>
        <w:rPr>
          <w:rFonts w:ascii="Arial" w:cs="Arial" w:eastAsia="Arial" w:hAnsi="Arial"/>
          <w:sz w:val="18"/>
          <w:szCs w:val="18"/>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w:t>
      </w:r>
      <w:r>
        <w:rPr>
          <w:rFonts w:ascii="Arial" w:cs="Arial" w:eastAsia="Arial" w:hAnsi="Arial"/>
          <w:sz w:val="18"/>
          <w:szCs w:val="18"/>
          <w:b w:val="1"/>
          <w:bCs w:val="1"/>
          <w:color w:val="auto"/>
        </w:rPr>
        <w:t>— 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2" w:name="page53"/>
    <w:bookmarkEnd w:id="52"/>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_______________,</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HARROW HEALTH,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 $____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Signature(s) must be guaranteed by an eligible guarantor institution (banks,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stock  brokers,  savings  and  loan  associations  and  credit  unions  with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membership in an approved signature guarantee medallion program) pursuant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975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975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84" w:lineRule="exact"/>
        <w:rPr>
          <w:sz w:val="20"/>
          <w:szCs w:val="20"/>
          <w:color w:val="auto"/>
        </w:rPr>
      </w:pPr>
    </w:p>
    <w:p>
      <w:pPr>
        <w:ind w:left="5480" w:right="680" w:hanging="4176"/>
        <w:spacing w:after="0" w:line="527" w:lineRule="auto"/>
        <w:tabs>
          <w:tab w:leader="none" w:pos="15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644"/>
        <w:spacing w:after="0" w:line="259" w:lineRule="auto"/>
        <w:tabs>
          <w:tab w:leader="none" w:pos="9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right="20" w:firstLine="644"/>
        <w:spacing w:after="0" w:line="277" w:lineRule="auto"/>
        <w:tabs>
          <w:tab w:leader="none" w:pos="9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firstLine="644"/>
        <w:spacing w:after="0" w:line="286" w:lineRule="auto"/>
        <w:tabs>
          <w:tab w:leader="none" w:pos="9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65" w:lineRule="exact"/>
        <w:rPr>
          <w:rFonts w:ascii="Arial" w:cs="Arial" w:eastAsia="Arial" w:hAnsi="Arial"/>
          <w:sz w:val="17"/>
          <w:szCs w:val="17"/>
          <w:color w:val="auto"/>
        </w:rPr>
      </w:pPr>
    </w:p>
    <w:p>
      <w:pPr>
        <w:ind w:left="900" w:hanging="25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jc w:val="both"/>
        <w:ind w:firstLine="644"/>
        <w:spacing w:after="0" w:line="263" w:lineRule="auto"/>
        <w:tabs>
          <w:tab w:leader="none" w:pos="9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3" w:lineRule="exact"/>
        <w:rPr>
          <w:rFonts w:ascii="Arial" w:cs="Arial" w:eastAsia="Arial" w:hAnsi="Arial"/>
          <w:sz w:val="18"/>
          <w:szCs w:val="18"/>
          <w:color w:val="auto"/>
        </w:rPr>
      </w:pPr>
    </w:p>
    <w:p>
      <w:pPr>
        <w:jc w:val="both"/>
        <w:ind w:firstLine="644"/>
        <w:spacing w:after="0" w:line="286" w:lineRule="auto"/>
        <w:tabs>
          <w:tab w:leader="none" w:pos="9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900" w:hanging="25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issuable;</w:t>
      </w:r>
    </w:p>
    <w:p>
      <w:pPr>
        <w:spacing w:after="0" w:line="210" w:lineRule="exact"/>
        <w:rPr>
          <w:rFonts w:ascii="Arial" w:cs="Arial" w:eastAsia="Arial" w:hAnsi="Arial"/>
          <w:sz w:val="16"/>
          <w:szCs w:val="16"/>
          <w:color w:val="auto"/>
        </w:rPr>
      </w:pPr>
    </w:p>
    <w:p>
      <w:pPr>
        <w:ind w:firstLine="644"/>
        <w:spacing w:after="0" w:line="277" w:lineRule="auto"/>
        <w:tabs>
          <w:tab w:leader="none" w:pos="9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firstLine="644"/>
        <w:spacing w:after="0" w:line="286" w:lineRule="auto"/>
        <w:tabs>
          <w:tab w:leader="none" w:pos="989"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65" w:lineRule="exact"/>
        <w:rPr>
          <w:rFonts w:ascii="Arial" w:cs="Arial" w:eastAsia="Arial" w:hAnsi="Arial"/>
          <w:sz w:val="17"/>
          <w:szCs w:val="17"/>
          <w:color w:val="auto"/>
        </w:rPr>
      </w:pPr>
    </w:p>
    <w:p>
      <w:pPr>
        <w:jc w:val="both"/>
        <w:ind w:firstLine="644"/>
        <w:spacing w:after="0" w:line="257" w:lineRule="auto"/>
        <w:tabs>
          <w:tab w:leader="none" w:pos="10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7" w:lineRule="exact"/>
        <w:rPr>
          <w:rFonts w:ascii="Arial" w:cs="Arial" w:eastAsia="Arial" w:hAnsi="Arial"/>
          <w:sz w:val="18"/>
          <w:szCs w:val="18"/>
          <w:color w:val="auto"/>
        </w:rPr>
      </w:pPr>
    </w:p>
    <w:p>
      <w:pPr>
        <w:ind w:firstLine="644"/>
        <w:spacing w:after="0" w:line="277" w:lineRule="auto"/>
        <w:tabs>
          <w:tab w:leader="none" w:pos="10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2" w:right="339" w:bottom="1440" w:gutter="0" w:footer="0" w:header="0"/>
        </w:sectPr>
      </w:pPr>
    </w:p>
    <w:bookmarkStart w:id="55" w:name="page56"/>
    <w:bookmarkEnd w:id="55"/>
    <w:p>
      <w:pPr>
        <w:jc w:val="both"/>
        <w:ind w:left="660" w:firstLine="644"/>
        <w:spacing w:after="0" w:line="257" w:lineRule="auto"/>
        <w:tabs>
          <w:tab w:leader="none" w:pos="16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3" w:lineRule="exact"/>
        <w:rPr>
          <w:rFonts w:ascii="Arial" w:cs="Arial" w:eastAsia="Arial" w:hAnsi="Arial"/>
          <w:sz w:val="18"/>
          <w:szCs w:val="18"/>
          <w:color w:val="auto"/>
        </w:rPr>
      </w:pPr>
    </w:p>
    <w:p>
      <w:pPr>
        <w:ind w:left="660" w:firstLine="644"/>
        <w:spacing w:after="0" w:line="277" w:lineRule="auto"/>
        <w:tabs>
          <w:tab w:leader="none" w:pos="16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6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2" w:lineRule="exact"/>
        <w:rPr>
          <w:rFonts w:ascii="Arial" w:cs="Arial" w:eastAsia="Arial" w:hAnsi="Arial"/>
          <w:sz w:val="18"/>
          <w:szCs w:val="18"/>
          <w:color w:val="auto"/>
        </w:rPr>
      </w:pPr>
    </w:p>
    <w:p>
      <w:pPr>
        <w:ind w:left="660" w:firstLine="644"/>
        <w:spacing w:after="0" w:line="308" w:lineRule="auto"/>
        <w:tabs>
          <w:tab w:leader="none" w:pos="16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640" w:hanging="336"/>
        <w:spacing w:after="0"/>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660" w:firstLine="644"/>
        <w:spacing w:after="0" w:line="277" w:lineRule="auto"/>
        <w:tabs>
          <w:tab w:leader="none" w:pos="16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660" w:firstLine="644"/>
        <w:spacing w:after="0" w:line="277" w:lineRule="auto"/>
        <w:tabs>
          <w:tab w:leader="none" w:pos="16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6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except as permitted by Section 9.1(5)).</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 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95" w:lineRule="exact"/>
        <w:rPr>
          <w:sz w:val="20"/>
          <w:szCs w:val="20"/>
          <w:color w:val="auto"/>
        </w:rPr>
      </w:pPr>
    </w:p>
    <w:p>
      <w:pPr>
        <w:ind w:left="660" w:firstLine="644"/>
        <w:spacing w:after="0" w:line="277" w:lineRule="auto"/>
        <w:tabs>
          <w:tab w:leader="none" w:pos="15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 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4"/>
        <w:spacing w:after="0" w:line="277" w:lineRule="auto"/>
        <w:tabs>
          <w:tab w:leader="none" w:pos="15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 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7" w:name="page58"/>
    <w:bookmarkEnd w:id="57"/>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8" w:name="page59"/>
    <w:bookmarkEnd w:id="58"/>
    <w:p>
      <w:pPr>
        <w:jc w:val="both"/>
        <w:ind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right="20" w:firstLine="644"/>
        <w:spacing w:after="0" w:line="263" w:lineRule="auto"/>
        <w:tabs>
          <w:tab w:leader="none" w:pos="15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5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15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9" w:name="page60"/>
    <w:bookmarkEnd w:id="59"/>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5" w:lineRule="exact"/>
        <w:rPr>
          <w:sz w:val="20"/>
          <w:szCs w:val="20"/>
          <w:color w:val="auto"/>
        </w:rPr>
      </w:pPr>
    </w:p>
    <w:p>
      <w:pPr>
        <w:jc w:val="both"/>
        <w:ind w:left="660" w:firstLine="644"/>
        <w:spacing w:after="0" w:line="286" w:lineRule="auto"/>
        <w:tabs>
          <w:tab w:leader="none" w:pos="15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0" w:name="page61"/>
    <w:bookmarkEnd w:id="60"/>
    <w:p>
      <w:pPr>
        <w:jc w:val="both"/>
        <w:ind w:left="660" w:firstLine="644"/>
        <w:spacing w:after="0" w:line="259" w:lineRule="auto"/>
        <w:tabs>
          <w:tab w:leader="none" w:pos="16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conversion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1" w:name="page62"/>
    <w:bookmarkEnd w:id="61"/>
    <w:p>
      <w:pPr>
        <w:ind w:left="1560" w:hanging="256"/>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80" w:firstLine="648"/>
        <w:spacing w:after="0" w:line="259" w:lineRule="auto"/>
        <w:tabs>
          <w:tab w:leader="none" w:pos="194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6" w:lineRule="exact"/>
        <w:rPr>
          <w:rFonts w:ascii="Arial" w:cs="Arial" w:eastAsia="Arial" w:hAnsi="Arial"/>
          <w:sz w:val="18"/>
          <w:szCs w:val="18"/>
          <w:color w:val="auto"/>
        </w:rPr>
      </w:pPr>
    </w:p>
    <w:p>
      <w:pPr>
        <w:ind w:left="1920" w:hanging="292"/>
        <w:spacing w:after="0"/>
        <w:tabs>
          <w:tab w:leader="none" w:pos="1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300" w:firstLine="652"/>
        <w:spacing w:after="0" w:line="277" w:lineRule="auto"/>
        <w:tabs>
          <w:tab w:leader="none" w:pos="2278" w:val="left"/>
        </w:tabs>
        <w:numPr>
          <w:ilvl w:val="2"/>
          <w:numId w:val="50"/>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560" w:hanging="256"/>
        <w:spacing w:after="0"/>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5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provided that such series shall not have the benefit of said Event of Default:</w:t>
      </w:r>
    </w:p>
    <w:p>
      <w:pPr>
        <w:spacing w:after="0" w:line="157" w:lineRule="exact"/>
        <w:rPr>
          <w:sz w:val="20"/>
          <w:szCs w:val="20"/>
          <w:color w:val="auto"/>
        </w:rPr>
      </w:pPr>
    </w:p>
    <w:p>
      <w:pPr>
        <w:ind w:left="660" w:firstLine="644"/>
        <w:spacing w:after="0" w:line="277" w:lineRule="auto"/>
        <w:tabs>
          <w:tab w:leader="none" w:pos="15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91"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jc w:val="both"/>
        <w:ind w:left="660" w:firstLine="644"/>
        <w:spacing w:after="0" w:line="254" w:lineRule="auto"/>
        <w:tabs>
          <w:tab w:leader="none" w:pos="15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4" w:lineRule="exact"/>
        <w:rPr>
          <w:rFonts w:ascii="Arial" w:cs="Arial" w:eastAsia="Arial" w:hAnsi="Arial"/>
          <w:sz w:val="18"/>
          <w:szCs w:val="18"/>
          <w:color w:val="auto"/>
        </w:rPr>
      </w:pPr>
    </w:p>
    <w:p>
      <w:pPr>
        <w:jc w:val="both"/>
        <w:ind w:left="660" w:firstLine="644"/>
        <w:spacing w:after="0" w:line="270" w:lineRule="auto"/>
        <w:tabs>
          <w:tab w:leader="none" w:pos="1569"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0" w:lineRule="exact"/>
        <w:rPr>
          <w:rFonts w:ascii="Arial" w:cs="Arial" w:eastAsia="Arial" w:hAnsi="Arial"/>
          <w:sz w:val="17"/>
          <w:szCs w:val="17"/>
          <w:color w:val="auto"/>
        </w:rPr>
      </w:pPr>
    </w:p>
    <w:p>
      <w:pPr>
        <w:ind w:left="660" w:firstLine="644"/>
        <w:spacing w:after="0" w:line="277" w:lineRule="auto"/>
        <w:tabs>
          <w:tab w:leader="none" w:pos="15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87" w:lineRule="auto"/>
        <w:tabs>
          <w:tab w:leader="none" w:pos="8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w:t>
      </w:r>
    </w:p>
    <w:p>
      <w:pPr>
        <w:spacing w:after="0" w:line="171" w:lineRule="exact"/>
        <w:rPr>
          <w:rFonts w:ascii="Arial" w:cs="Arial" w:eastAsia="Arial" w:hAnsi="Arial"/>
          <w:sz w:val="16"/>
          <w:szCs w:val="16"/>
          <w:color w:val="auto"/>
        </w:rPr>
      </w:pPr>
    </w:p>
    <w:p>
      <w:pPr>
        <w:jc w:val="both"/>
        <w:ind w:firstLine="656"/>
        <w:spacing w:after="0" w:line="287" w:lineRule="auto"/>
        <w:tabs>
          <w:tab w:leader="none" w:pos="9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 st day after such Reporting Default (if such violation is not cured or waived prior to such 181 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2" w:lineRule="exact"/>
        <w:rPr>
          <w:sz w:val="20"/>
          <w:szCs w:val="20"/>
          <w:color w:val="auto"/>
        </w:rPr>
      </w:pPr>
    </w:p>
    <w:p>
      <w:pPr>
        <w:jc w:val="both"/>
        <w:ind w:firstLine="656"/>
        <w:spacing w:after="0" w:line="311" w:lineRule="auto"/>
        <w:tabs>
          <w:tab w:leader="none" w:pos="8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1920" w:hanging="292"/>
        <w:spacing w:after="0"/>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980" w:firstLine="648"/>
        <w:spacing w:after="0" w:line="277" w:lineRule="auto"/>
        <w:tabs>
          <w:tab w:leader="none" w:pos="1913"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980" w:right="20" w:firstLine="648"/>
        <w:spacing w:after="0" w:line="277" w:lineRule="auto"/>
        <w:tabs>
          <w:tab w:leader="none" w:pos="1918"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980" w:firstLine="648"/>
        <w:spacing w:after="0" w:line="277" w:lineRule="auto"/>
        <w:tabs>
          <w:tab w:leader="none" w:pos="193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4" w:name="page65"/>
    <w:bookmarkEnd w:id="64"/>
    <w:p>
      <w:pPr>
        <w:ind w:left="660" w:firstLine="644"/>
        <w:spacing w:after="0" w:line="308" w:lineRule="auto"/>
        <w:tabs>
          <w:tab w:leader="none" w:pos="1573"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4"/>
        <w:spacing w:after="0" w:line="277" w:lineRule="auto"/>
        <w:tabs>
          <w:tab w:leader="none" w:pos="15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5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such Holder has previously given written notice to the Trustee of a continuing Event of Default with respect to the Securities of that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firstLine="644"/>
        <w:spacing w:after="0" w:line="277" w:lineRule="auto"/>
        <w:tabs>
          <w:tab w:leader="none" w:pos="15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5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660" w:firstLine="644"/>
        <w:spacing w:after="0" w:line="277" w:lineRule="auto"/>
        <w:tabs>
          <w:tab w:leader="none" w:pos="15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660" w:right="20" w:firstLine="644"/>
        <w:spacing w:after="0" w:line="342" w:lineRule="auto"/>
        <w:tabs>
          <w:tab w:leader="none" w:pos="1574"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may take any other action deemed proper by the Trustee which is not inconsistent with such direction or this Indenture.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right="20" w:firstLine="644"/>
        <w:spacing w:after="0" w:line="263" w:lineRule="auto"/>
        <w:tabs>
          <w:tab w:leader="none" w:pos="15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3" w:lineRule="exact"/>
        <w:rPr>
          <w:rFonts w:ascii="Arial" w:cs="Arial" w:eastAsia="Arial" w:hAnsi="Arial"/>
          <w:sz w:val="18"/>
          <w:szCs w:val="18"/>
          <w:color w:val="auto"/>
        </w:rPr>
      </w:pPr>
    </w:p>
    <w:p>
      <w:pPr>
        <w:ind w:left="1580" w:hanging="276"/>
        <w:spacing w:after="0"/>
        <w:tabs>
          <w:tab w:leader="none" w:pos="1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the extent such right is applicable to such Security, a failure by the Company on request to convert any Security into Common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Stock;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7" w:name="page68"/>
    <w:bookmarkEnd w:id="67"/>
    <w:p>
      <w:pPr>
        <w:ind w:left="660" w:right="20" w:firstLine="644"/>
        <w:spacing w:after="0" w:line="277" w:lineRule="auto"/>
        <w:tabs>
          <w:tab w:leader="none" w:pos="15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Except with respect to Section 10. 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4"/>
        <w:spacing w:after="0" w:line="259" w:lineRule="auto"/>
        <w:tabs>
          <w:tab w:leader="none" w:pos="15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5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3" w:lineRule="exact"/>
        <w:rPr>
          <w:rFonts w:ascii="Arial" w:cs="Arial" w:eastAsia="Arial" w:hAnsi="Arial"/>
          <w:sz w:val="18"/>
          <w:szCs w:val="18"/>
          <w:color w:val="auto"/>
        </w:rPr>
      </w:pPr>
    </w:p>
    <w:p>
      <w:pPr>
        <w:ind w:left="660" w:firstLine="644"/>
        <w:spacing w:after="0" w:line="342" w:lineRule="auto"/>
        <w:tabs>
          <w:tab w:leader="none" w:pos="15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jc w:val="both"/>
        <w:ind w:left="660" w:firstLine="644"/>
        <w:spacing w:after="0" w:line="286" w:lineRule="auto"/>
        <w:tabs>
          <w:tab w:leader="none" w:pos="15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jc w:val="both"/>
        <w:ind w:left="660" w:firstLine="644"/>
        <w:spacing w:after="0" w:line="257" w:lineRule="auto"/>
        <w:tabs>
          <w:tab w:leader="none" w:pos="15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4"/>
        <w:spacing w:after="0" w:line="277" w:lineRule="auto"/>
        <w:tabs>
          <w:tab w:leader="none" w:pos="15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firstLine="644"/>
        <w:spacing w:after="0" w:line="311" w:lineRule="auto"/>
        <w:tabs>
          <w:tab w:leader="none" w:pos="15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4"/>
        <w:spacing w:after="0" w:line="277" w:lineRule="auto"/>
        <w:tabs>
          <w:tab w:leader="none" w:pos="15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1" w:name="page72"/>
    <w:bookmarkEnd w:id="71"/>
    <w:p>
      <w:pPr>
        <w:jc w:val="both"/>
        <w:ind w:firstLine="648"/>
        <w:spacing w:after="0" w:line="311"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3" w:name="page74"/>
    <w:bookmarkEnd w:id="73"/>
    <w:p>
      <w:pPr>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Officer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4"/>
        <w:spacing w:after="0" w:line="263" w:lineRule="auto"/>
        <w:tabs>
          <w:tab w:leader="none" w:pos="15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list need be furnished by the Company to the Trustee so long as the Trustee is acting as Security Registrar.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jc w:val="both"/>
        <w:ind w:firstLine="648"/>
        <w:spacing w:after="0" w:line="263"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4" w:lineRule="exact"/>
        <w:rPr>
          <w:sz w:val="20"/>
          <w:szCs w:val="20"/>
          <w:color w:val="auto"/>
        </w:rPr>
      </w:pPr>
    </w:p>
    <w:p>
      <w:pPr>
        <w:jc w:val="both"/>
        <w:ind w:left="660" w:firstLine="644"/>
        <w:spacing w:after="0" w:line="269" w:lineRule="auto"/>
        <w:tabs>
          <w:tab w:leader="none" w:pos="1567"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 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1" w:lineRule="exact"/>
        <w:rPr>
          <w:rFonts w:ascii="Arial" w:cs="Arial" w:eastAsia="Arial" w:hAnsi="Arial"/>
          <w:sz w:val="17"/>
          <w:szCs w:val="17"/>
          <w:color w:val="auto"/>
        </w:rPr>
      </w:pPr>
    </w:p>
    <w:p>
      <w:pPr>
        <w:jc w:val="both"/>
        <w:ind w:left="660" w:firstLine="644"/>
        <w:spacing w:after="0" w:line="311" w:lineRule="auto"/>
        <w:tabs>
          <w:tab w:leader="none" w:pos="156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jc w:val="both"/>
        <w:ind w:left="660" w:firstLine="644"/>
        <w:spacing w:after="0" w:line="311" w:lineRule="auto"/>
        <w:tabs>
          <w:tab w:leader="none" w:pos="157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46" w:lineRule="exact"/>
        <w:rPr>
          <w:sz w:val="20"/>
          <w:szCs w:val="20"/>
          <w:color w:val="auto"/>
        </w:rPr>
      </w:pPr>
    </w:p>
    <w:p>
      <w:pPr>
        <w:ind w:left="660" w:right="20" w:firstLine="644"/>
        <w:spacing w:after="0" w:line="277" w:lineRule="auto"/>
        <w:tabs>
          <w:tab w:leader="none" w:pos="15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3" w:lineRule="exact"/>
        <w:rPr>
          <w:rFonts w:ascii="Arial" w:cs="Arial" w:eastAsia="Arial" w:hAnsi="Arial"/>
          <w:sz w:val="18"/>
          <w:szCs w:val="18"/>
          <w:color w:val="auto"/>
        </w:rPr>
      </w:pPr>
    </w:p>
    <w:p>
      <w:pPr>
        <w:jc w:val="both"/>
        <w:ind w:left="660" w:right="20" w:firstLine="644"/>
        <w:spacing w:after="0" w:line="263" w:lineRule="auto"/>
        <w:tabs>
          <w:tab w:leader="none" w:pos="15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of this Indenture in respect of one or more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 or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6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6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6" w:lineRule="exact"/>
        <w:rPr>
          <w:sz w:val="20"/>
          <w:szCs w:val="20"/>
          <w:color w:val="auto"/>
        </w:rPr>
      </w:pPr>
    </w:p>
    <w:p>
      <w:pPr>
        <w:jc w:val="both"/>
        <w:ind w:left="660" w:firstLine="644"/>
        <w:spacing w:after="0" w:line="254" w:lineRule="auto"/>
        <w:tabs>
          <w:tab w:leader="none" w:pos="15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1" w:lineRule="exact"/>
        <w:rPr>
          <w:rFonts w:ascii="Arial" w:cs="Arial" w:eastAsia="Arial" w:hAnsi="Arial"/>
          <w:sz w:val="18"/>
          <w:szCs w:val="18"/>
          <w:color w:val="auto"/>
        </w:rPr>
      </w:pPr>
    </w:p>
    <w:p>
      <w:pPr>
        <w:jc w:val="both"/>
        <w:ind w:left="660" w:firstLine="644"/>
        <w:spacing w:after="0" w:line="263" w:lineRule="auto"/>
        <w:tabs>
          <w:tab w:leader="none" w:pos="15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5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ind w:left="660" w:firstLine="644"/>
        <w:spacing w:after="0" w:line="277" w:lineRule="auto"/>
        <w:tabs>
          <w:tab w:leader="none" w:pos="15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Section 10.2 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Maintenance of 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Payment of Taxes and Other Claims.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Waiver of Certain Covenants.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the Security, the Holder of such Security will receive, without charge, a new Security or Securities of authorized denominations for the principal amount thereof remaining unredeemed;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firstLine="644"/>
        <w:spacing w:after="0" w:line="342" w:lineRule="auto"/>
        <w:tabs>
          <w:tab w:leader="none" w:pos="15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applicable, the conversion price or the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64" w:lineRule="exact"/>
        <w:rPr>
          <w:sz w:val="20"/>
          <w:szCs w:val="20"/>
          <w:color w:val="auto"/>
        </w:rPr>
      </w:pPr>
    </w:p>
    <w:p>
      <w:pPr>
        <w:ind w:left="660" w:firstLine="644"/>
        <w:spacing w:after="0" w:line="308" w:lineRule="auto"/>
        <w:tabs>
          <w:tab w:leader="none" w:pos="15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Sections 3.4, 3.5, 3.6, 10.2 and 10.3, and, if applicable, Article 14,</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248" w:lineRule="exact"/>
        <w:rPr>
          <w:sz w:val="20"/>
          <w:szCs w:val="20"/>
          <w:color w:val="auto"/>
        </w:rPr>
      </w:pPr>
    </w:p>
    <w:p>
      <w:pPr>
        <w:ind w:left="660" w:firstLine="644"/>
        <w:spacing w:after="0" w:line="277" w:lineRule="auto"/>
        <w:tabs>
          <w:tab w:leader="none" w:pos="15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occurrence of any event specified in Section 5.1(4) (with respect to any of Sections 10.6 and 10.7 and any such covenants provided pursuant to Section 3.1(19), 9.1(2) or 9.1(7)) and the occurrence of any other Event of Default specified pursuant to Section 3.1 shall be deemed not to be or result in an Event of Default,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other Event of Default specified pursuant to Section 3. 1),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be:</w:t>
      </w:r>
    </w:p>
    <w:p>
      <w:pPr>
        <w:spacing w:after="0" w:line="211" w:lineRule="exact"/>
        <w:rPr>
          <w:sz w:val="20"/>
          <w:szCs w:val="20"/>
          <w:color w:val="auto"/>
        </w:rPr>
      </w:pPr>
    </w:p>
    <w:p>
      <w:pPr>
        <w:jc w:val="both"/>
        <w:ind w:left="660" w:firstLine="644"/>
        <w:spacing w:after="0" w:line="259" w:lineRule="auto"/>
        <w:tabs>
          <w:tab w:leader="none" w:pos="15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1920" w:hanging="292"/>
        <w:spacing w:after="0"/>
        <w:tabs>
          <w:tab w:leader="none" w:pos="1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300" w:firstLine="652"/>
        <w:spacing w:after="0" w:line="277" w:lineRule="auto"/>
        <w:tabs>
          <w:tab w:leader="none" w:pos="2266" w:val="left"/>
        </w:tabs>
        <w:numPr>
          <w:ilvl w:val="2"/>
          <w:numId w:val="74"/>
        </w:numPr>
        <w:rPr>
          <w:rFonts w:ascii="Arial" w:cs="Arial" w:eastAsia="Arial" w:hAnsi="Arial"/>
          <w:sz w:val="18"/>
          <w:szCs w:val="18"/>
          <w:color w:val="auto"/>
        </w:rPr>
      </w:pPr>
      <w:r>
        <w:rPr>
          <w:rFonts w:ascii="Arial" w:cs="Arial" w:eastAsia="Arial" w:hAnsi="Arial"/>
          <w:sz w:val="18"/>
          <w:szCs w:val="18"/>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1920" w:hanging="292"/>
        <w:spacing w:after="0"/>
        <w:tabs>
          <w:tab w:leader="none" w:pos="1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300" w:firstLine="652"/>
        <w:spacing w:after="0" w:line="308" w:lineRule="auto"/>
        <w:tabs>
          <w:tab w:leader="none" w:pos="2251" w:val="left"/>
        </w:tabs>
        <w:numPr>
          <w:ilvl w:val="2"/>
          <w:numId w:val="74"/>
        </w:numPr>
        <w:rPr>
          <w:rFonts w:ascii="Arial" w:cs="Arial" w:eastAsia="Arial" w:hAnsi="Arial"/>
          <w:sz w:val="17"/>
          <w:szCs w:val="17"/>
          <w:color w:val="auto"/>
        </w:rPr>
      </w:pPr>
      <w:r>
        <w:rPr>
          <w:rFonts w:ascii="Arial" w:cs="Arial" w:eastAsia="Arial" w:hAnsi="Arial"/>
          <w:sz w:val="17"/>
          <w:szCs w:val="17"/>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46" w:lineRule="exact"/>
        <w:rPr>
          <w:rFonts w:ascii="Arial" w:cs="Arial" w:eastAsia="Arial" w:hAnsi="Arial"/>
          <w:sz w:val="17"/>
          <w:szCs w:val="17"/>
          <w:color w:val="auto"/>
        </w:rPr>
      </w:pPr>
    </w:p>
    <w:p>
      <w:pPr>
        <w:ind w:left="2260" w:hanging="308"/>
        <w:spacing w:after="0"/>
        <w:tabs>
          <w:tab w:leader="none" w:pos="22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both"/>
        <w:ind w:firstLine="644"/>
        <w:spacing w:after="0" w:line="254" w:lineRule="auto"/>
        <w:tabs>
          <w:tab w:leader="none" w:pos="9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94" w:lineRule="exact"/>
        <w:rPr>
          <w:rFonts w:ascii="Arial" w:cs="Arial" w:eastAsia="Arial" w:hAnsi="Arial"/>
          <w:sz w:val="18"/>
          <w:szCs w:val="18"/>
          <w:color w:val="auto"/>
        </w:rPr>
      </w:pPr>
    </w:p>
    <w:p>
      <w:pPr>
        <w:jc w:val="both"/>
        <w:ind w:firstLine="644"/>
        <w:spacing w:after="0" w:line="257" w:lineRule="auto"/>
        <w:tabs>
          <w:tab w:leader="none" w:pos="9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7" w:lineRule="exact"/>
        <w:rPr>
          <w:rFonts w:ascii="Arial" w:cs="Arial" w:eastAsia="Arial" w:hAnsi="Arial"/>
          <w:sz w:val="18"/>
          <w:szCs w:val="18"/>
          <w:color w:val="auto"/>
        </w:rPr>
      </w:pPr>
    </w:p>
    <w:p>
      <w:pPr>
        <w:ind w:firstLine="644"/>
        <w:spacing w:after="0" w:line="277" w:lineRule="auto"/>
        <w:tabs>
          <w:tab w:leader="none" w:pos="9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jc w:val="both"/>
        <w:ind w:firstLine="644"/>
        <w:spacing w:after="0" w:line="291" w:lineRule="auto"/>
        <w:tabs>
          <w:tab w:leader="none" w:pos="911"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spacing w:after="0" w:line="260"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5" w:lineRule="exact"/>
        <w:rPr>
          <w:rFonts w:ascii="Arial" w:cs="Arial" w:eastAsia="Arial" w:hAnsi="Arial"/>
          <w:sz w:val="16"/>
          <w:szCs w:val="16"/>
          <w:color w:val="auto"/>
        </w:rPr>
      </w:pPr>
    </w:p>
    <w:p>
      <w:pPr>
        <w:ind w:firstLine="644"/>
        <w:spacing w:after="0" w:line="277" w:lineRule="auto"/>
        <w:tabs>
          <w:tab w:leader="none" w:pos="9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firstLine="644"/>
        <w:spacing w:after="0" w:line="277" w:lineRule="auto"/>
        <w:tabs>
          <w:tab w:leader="none" w:pos="9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firstLine="644"/>
        <w:spacing w:after="0" w:line="342" w:lineRule="auto"/>
        <w:tabs>
          <w:tab w:leader="none" w:pos="913"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23" w:lineRule="exact"/>
        <w:rPr>
          <w:rFonts w:ascii="Arial" w:cs="Arial" w:eastAsia="Arial" w:hAnsi="Arial"/>
          <w:sz w:val="16"/>
          <w:szCs w:val="16"/>
          <w:color w:val="auto"/>
        </w:rPr>
      </w:pPr>
    </w:p>
    <w:p>
      <w:pPr>
        <w:ind w:firstLine="644"/>
        <w:spacing w:after="0" w:line="277" w:lineRule="auto"/>
        <w:tabs>
          <w:tab w:leader="none" w:pos="9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 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 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281"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or quoted on the principal exchange or market on which the Common Stock is then traded or quoted.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 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Section 14.5 Notice of Certain Corporate Actions. In case:</w:t>
      </w:r>
    </w:p>
    <w:p>
      <w:pPr>
        <w:spacing w:after="0" w:line="229" w:lineRule="exact"/>
        <w:rPr>
          <w:sz w:val="20"/>
          <w:szCs w:val="20"/>
          <w:color w:val="auto"/>
        </w:rPr>
      </w:pPr>
    </w:p>
    <w:p>
      <w:pPr>
        <w:jc w:val="both"/>
        <w:ind w:left="660" w:firstLine="644"/>
        <w:spacing w:after="0" w:line="263" w:lineRule="auto"/>
        <w:tabs>
          <w:tab w:leader="none" w:pos="15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 (4) of the voluntary or involuntary dissolution, liquidation or winding up of the Company;</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 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 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day and year first above written.</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4.2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DATED AS OF ________, 20__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60" w:type="dxa"/>
            <w:vAlign w:val="bottom"/>
          </w:tcPr>
          <w:p>
            <w:pPr>
              <w:ind w:left="28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w:t>
            </w:r>
          </w:p>
        </w:tc>
        <w:tc>
          <w:tcPr>
            <w:tcW w:w="876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1.3</w:t>
            </w:r>
          </w:p>
        </w:tc>
        <w:tc>
          <w:tcPr>
            <w:tcW w:w="8760" w:type="dxa"/>
            <w:vAlign w:val="bottom"/>
          </w:tcPr>
          <w:p>
            <w:pPr>
              <w:ind w:left="30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Acts of Holders; Record Dates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1.5</w:t>
            </w:r>
          </w:p>
        </w:tc>
        <w:tc>
          <w:tcPr>
            <w:tcW w:w="8760" w:type="dxa"/>
            <w:vAlign w:val="bottom"/>
          </w:tcPr>
          <w:p>
            <w:pPr>
              <w:ind w:left="30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1.6</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Notice to Holders; Waiver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1.7</w:t>
            </w:r>
          </w:p>
        </w:tc>
        <w:tc>
          <w:tcPr>
            <w:tcW w:w="8760" w:type="dxa"/>
            <w:vAlign w:val="bottom"/>
          </w:tcPr>
          <w:p>
            <w:pPr>
              <w:ind w:left="30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1.8</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1.9</w:t>
            </w:r>
          </w:p>
        </w:tc>
        <w:tc>
          <w:tcPr>
            <w:tcW w:w="876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1.10</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Separability Clause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1.11</w:t>
            </w:r>
          </w:p>
        </w:tc>
        <w:tc>
          <w:tcPr>
            <w:tcW w:w="8760" w:type="dxa"/>
            <w:vAlign w:val="bottom"/>
          </w:tcPr>
          <w:p>
            <w:pPr>
              <w:ind w:left="300"/>
              <w:spacing w:after="0"/>
              <w:rPr>
                <w:sz w:val="20"/>
                <w:szCs w:val="20"/>
                <w:color w:val="auto"/>
              </w:rPr>
            </w:pPr>
            <w:r>
              <w:rPr>
                <w:rFonts w:ascii="Arial" w:cs="Arial" w:eastAsia="Arial" w:hAnsi="Arial"/>
                <w:sz w:val="18"/>
                <w:szCs w:val="18"/>
                <w:color w:val="auto"/>
              </w:rPr>
              <w:t>Benefits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Governing Law</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1.13</w:t>
            </w:r>
          </w:p>
        </w:tc>
        <w:tc>
          <w:tcPr>
            <w:tcW w:w="8760" w:type="dxa"/>
            <w:vAlign w:val="bottom"/>
          </w:tcPr>
          <w:p>
            <w:pPr>
              <w:ind w:left="300"/>
              <w:spacing w:after="0"/>
              <w:rPr>
                <w:sz w:val="20"/>
                <w:szCs w:val="20"/>
                <w:color w:val="auto"/>
              </w:rPr>
            </w:pPr>
            <w:r>
              <w:rPr>
                <w:rFonts w:ascii="Arial" w:cs="Arial" w:eastAsia="Arial" w:hAnsi="Arial"/>
                <w:sz w:val="18"/>
                <w:szCs w:val="18"/>
                <w:color w:val="auto"/>
              </w:rPr>
              <w:t>Legal Holidays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1.14</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1.15</w:t>
            </w:r>
          </w:p>
        </w:tc>
        <w:tc>
          <w:tcPr>
            <w:tcW w:w="8760" w:type="dxa"/>
            <w:vAlign w:val="bottom"/>
          </w:tcPr>
          <w:p>
            <w:pPr>
              <w:ind w:left="30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9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SECURITY FORMS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2.1</w:t>
            </w:r>
          </w:p>
        </w:tc>
        <w:tc>
          <w:tcPr>
            <w:tcW w:w="8760" w:type="dxa"/>
            <w:vAlign w:val="bottom"/>
          </w:tcPr>
          <w:p>
            <w:pPr>
              <w:ind w:left="300"/>
              <w:spacing w:after="0"/>
              <w:rPr>
                <w:sz w:val="20"/>
                <w:szCs w:val="20"/>
                <w:color w:val="auto"/>
              </w:rPr>
            </w:pPr>
            <w:r>
              <w:rPr>
                <w:rFonts w:ascii="Arial" w:cs="Arial" w:eastAsia="Arial" w:hAnsi="Arial"/>
                <w:sz w:val="18"/>
                <w:szCs w:val="18"/>
                <w:color w:val="auto"/>
              </w:rPr>
              <w:t>Forms Generally</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Face of Security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2.3</w:t>
            </w:r>
          </w:p>
        </w:tc>
        <w:tc>
          <w:tcPr>
            <w:tcW w:w="8760" w:type="dxa"/>
            <w:vAlign w:val="bottom"/>
          </w:tcPr>
          <w:p>
            <w:pPr>
              <w:ind w:left="300"/>
              <w:spacing w:after="0"/>
              <w:rPr>
                <w:sz w:val="20"/>
                <w:szCs w:val="20"/>
                <w:color w:val="auto"/>
              </w:rPr>
            </w:pPr>
            <w:r>
              <w:rPr>
                <w:rFonts w:ascii="Arial" w:cs="Arial" w:eastAsia="Arial" w:hAnsi="Arial"/>
                <w:sz w:val="18"/>
                <w:szCs w:val="18"/>
                <w:color w:val="auto"/>
              </w:rPr>
              <w:t>Form of Reverse of Security</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2.4</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2.5</w:t>
            </w:r>
          </w:p>
        </w:tc>
        <w:tc>
          <w:tcPr>
            <w:tcW w:w="8760" w:type="dxa"/>
            <w:vAlign w:val="bottom"/>
          </w:tcPr>
          <w:p>
            <w:pPr>
              <w:ind w:left="30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2.6</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Conversion Notice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3</w:t>
            </w:r>
          </w:p>
        </w:tc>
        <w:tc>
          <w:tcPr>
            <w:tcW w:w="9500" w:type="dxa"/>
            <w:vAlign w:val="bottom"/>
            <w:gridSpan w:val="2"/>
          </w:tcPr>
          <w:p>
            <w:pPr>
              <w:ind w:left="24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3.1</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3.2</w:t>
            </w:r>
          </w:p>
        </w:tc>
        <w:tc>
          <w:tcPr>
            <w:tcW w:w="8760" w:type="dxa"/>
            <w:vAlign w:val="bottom"/>
          </w:tcPr>
          <w:p>
            <w:pPr>
              <w:ind w:left="300"/>
              <w:spacing w:after="0"/>
              <w:rPr>
                <w:sz w:val="20"/>
                <w:szCs w:val="20"/>
                <w:color w:val="auto"/>
              </w:rPr>
            </w:pPr>
            <w:r>
              <w:rPr>
                <w:rFonts w:ascii="Arial" w:cs="Arial" w:eastAsia="Arial" w:hAnsi="Arial"/>
                <w:sz w:val="18"/>
                <w:szCs w:val="18"/>
                <w:color w:val="auto"/>
              </w:rPr>
              <w:t>Denominations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3.3</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3.4</w:t>
            </w:r>
          </w:p>
        </w:tc>
        <w:tc>
          <w:tcPr>
            <w:tcW w:w="8760" w:type="dxa"/>
            <w:vAlign w:val="bottom"/>
          </w:tcPr>
          <w:p>
            <w:pPr>
              <w:ind w:left="30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3.5</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3.6</w:t>
            </w:r>
          </w:p>
        </w:tc>
        <w:tc>
          <w:tcPr>
            <w:tcW w:w="8760" w:type="dxa"/>
            <w:vAlign w:val="bottom"/>
          </w:tcPr>
          <w:p>
            <w:pPr>
              <w:ind w:left="30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3.7</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3.8</w:t>
            </w:r>
          </w:p>
        </w:tc>
        <w:tc>
          <w:tcPr>
            <w:tcW w:w="8760" w:type="dxa"/>
            <w:vAlign w:val="bottom"/>
          </w:tcPr>
          <w:p>
            <w:pPr>
              <w:ind w:left="30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3.9</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Cancellation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3.10</w:t>
            </w:r>
          </w:p>
        </w:tc>
        <w:tc>
          <w:tcPr>
            <w:tcW w:w="8760" w:type="dxa"/>
            <w:vAlign w:val="bottom"/>
          </w:tcPr>
          <w:p>
            <w:pPr>
              <w:ind w:left="30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SATISFACTION AND 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4.1</w:t>
            </w:r>
          </w:p>
        </w:tc>
        <w:tc>
          <w:tcPr>
            <w:tcW w:w="8760" w:type="dxa"/>
            <w:vAlign w:val="bottom"/>
          </w:tcPr>
          <w:p>
            <w:pPr>
              <w:ind w:left="30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4.2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Application of Trust Money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5</w:t>
            </w:r>
          </w:p>
        </w:tc>
        <w:tc>
          <w:tcPr>
            <w:tcW w:w="9500" w:type="dxa"/>
            <w:vAlign w:val="bottom"/>
            <w:gridSpan w:val="2"/>
          </w:tcPr>
          <w:p>
            <w:pPr>
              <w:ind w:left="24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5.1</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Events of Default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5.2</w:t>
            </w:r>
          </w:p>
        </w:tc>
        <w:tc>
          <w:tcPr>
            <w:tcW w:w="8760" w:type="dxa"/>
            <w:vAlign w:val="bottom"/>
          </w:tcPr>
          <w:p>
            <w:pPr>
              <w:ind w:left="30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5.3</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5.4</w:t>
            </w:r>
          </w:p>
        </w:tc>
        <w:tc>
          <w:tcPr>
            <w:tcW w:w="8760" w:type="dxa"/>
            <w:vAlign w:val="bottom"/>
          </w:tcPr>
          <w:p>
            <w:pPr>
              <w:ind w:left="30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5.5</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5.6</w:t>
            </w:r>
          </w:p>
        </w:tc>
        <w:tc>
          <w:tcPr>
            <w:tcW w:w="8760" w:type="dxa"/>
            <w:vAlign w:val="bottom"/>
          </w:tcPr>
          <w:p>
            <w:pPr>
              <w:ind w:left="300"/>
              <w:spacing w:after="0"/>
              <w:rPr>
                <w:sz w:val="20"/>
                <w:szCs w:val="20"/>
                <w:color w:val="auto"/>
              </w:rPr>
            </w:pPr>
            <w:r>
              <w:rPr>
                <w:rFonts w:ascii="Arial" w:cs="Arial" w:eastAsia="Arial" w:hAnsi="Arial"/>
                <w:sz w:val="18"/>
                <w:szCs w:val="18"/>
                <w:color w:val="auto"/>
              </w:rPr>
              <w:t>Application of Money Collected</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5.7</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Limitation on Suits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5.8</w:t>
            </w:r>
          </w:p>
        </w:tc>
        <w:tc>
          <w:tcPr>
            <w:tcW w:w="8760" w:type="dxa"/>
            <w:vAlign w:val="bottom"/>
          </w:tcPr>
          <w:p>
            <w:pPr>
              <w:ind w:left="30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5.9</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5.10</w:t>
            </w:r>
          </w:p>
        </w:tc>
        <w:tc>
          <w:tcPr>
            <w:tcW w:w="8760" w:type="dxa"/>
            <w:vAlign w:val="bottom"/>
          </w:tcPr>
          <w:p>
            <w:pPr>
              <w:ind w:left="300"/>
              <w:spacing w:after="0"/>
              <w:rPr>
                <w:sz w:val="20"/>
                <w:szCs w:val="20"/>
                <w:color w:val="auto"/>
              </w:rPr>
            </w:pPr>
            <w:r>
              <w:rPr>
                <w:rFonts w:ascii="Arial" w:cs="Arial" w:eastAsia="Arial" w:hAnsi="Arial"/>
                <w:sz w:val="18"/>
                <w:szCs w:val="18"/>
                <w:color w:val="auto"/>
              </w:rPr>
              <w:t>Rights and Remedies Cumulative</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5.11</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Delay or Omission Not Waiver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5.12</w:t>
            </w:r>
          </w:p>
        </w:tc>
        <w:tc>
          <w:tcPr>
            <w:tcW w:w="8760" w:type="dxa"/>
            <w:vAlign w:val="bottom"/>
          </w:tcPr>
          <w:p>
            <w:pPr>
              <w:ind w:left="300"/>
              <w:spacing w:after="0"/>
              <w:rPr>
                <w:sz w:val="20"/>
                <w:szCs w:val="20"/>
                <w:color w:val="auto"/>
              </w:rPr>
            </w:pPr>
            <w:r>
              <w:rPr>
                <w:rFonts w:ascii="Arial" w:cs="Arial" w:eastAsia="Arial" w:hAnsi="Arial"/>
                <w:sz w:val="18"/>
                <w:szCs w:val="18"/>
                <w:color w:val="auto"/>
              </w:rPr>
              <w:t>Control by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5.13</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Waiver of Past Defaults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5.14</w:t>
            </w:r>
          </w:p>
        </w:tc>
        <w:tc>
          <w:tcPr>
            <w:tcW w:w="8760" w:type="dxa"/>
            <w:vAlign w:val="bottom"/>
          </w:tcPr>
          <w:p>
            <w:pPr>
              <w:ind w:left="300"/>
              <w:spacing w:after="0"/>
              <w:rPr>
                <w:sz w:val="20"/>
                <w:szCs w:val="20"/>
                <w:color w:val="auto"/>
              </w:rPr>
            </w:pPr>
            <w:r>
              <w:rPr>
                <w:rFonts w:ascii="Arial" w:cs="Arial" w:eastAsia="Arial" w:hAnsi="Arial"/>
                <w:sz w:val="18"/>
                <w:szCs w:val="18"/>
                <w:color w:val="auto"/>
              </w:rPr>
              <w:t>Undertaking for Costs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5.15</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6</w:t>
            </w:r>
          </w:p>
        </w:tc>
        <w:tc>
          <w:tcPr>
            <w:tcW w:w="9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6.1</w:t>
            </w:r>
          </w:p>
        </w:tc>
        <w:tc>
          <w:tcPr>
            <w:tcW w:w="8760" w:type="dxa"/>
            <w:vAlign w:val="bottom"/>
          </w:tcPr>
          <w:p>
            <w:pPr>
              <w:ind w:left="30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Notice of Defaults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6.3</w:t>
            </w:r>
          </w:p>
        </w:tc>
        <w:tc>
          <w:tcPr>
            <w:tcW w:w="8760" w:type="dxa"/>
            <w:vAlign w:val="bottom"/>
          </w:tcPr>
          <w:p>
            <w:pPr>
              <w:ind w:left="300"/>
              <w:spacing w:after="0"/>
              <w:rPr>
                <w:sz w:val="20"/>
                <w:szCs w:val="20"/>
                <w:color w:val="auto"/>
              </w:rPr>
            </w:pPr>
            <w:r>
              <w:rPr>
                <w:rFonts w:ascii="Arial" w:cs="Arial" w:eastAsia="Arial" w:hAnsi="Arial"/>
                <w:sz w:val="18"/>
                <w:szCs w:val="18"/>
                <w:color w:val="auto"/>
              </w:rPr>
              <w:t>Certain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6.4</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6.5</w:t>
            </w:r>
          </w:p>
        </w:tc>
        <w:tc>
          <w:tcPr>
            <w:tcW w:w="8760" w:type="dxa"/>
            <w:vAlign w:val="bottom"/>
          </w:tcPr>
          <w:p>
            <w:pPr>
              <w:ind w:left="30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6.6</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Money Held in Trust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6.7</w:t>
            </w:r>
          </w:p>
        </w:tc>
        <w:tc>
          <w:tcPr>
            <w:tcW w:w="8760" w:type="dxa"/>
            <w:vAlign w:val="bottom"/>
          </w:tcPr>
          <w:p>
            <w:pPr>
              <w:ind w:left="300"/>
              <w:spacing w:after="0"/>
              <w:rPr>
                <w:sz w:val="20"/>
                <w:szCs w:val="20"/>
                <w:color w:val="auto"/>
              </w:rPr>
            </w:pPr>
            <w:r>
              <w:rPr>
                <w:rFonts w:ascii="Arial" w:cs="Arial" w:eastAsia="Arial" w:hAnsi="Arial"/>
                <w:sz w:val="18"/>
                <w:szCs w:val="18"/>
                <w:color w:val="auto"/>
              </w:rPr>
              <w:t>Compensation and Reimbursement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6.8</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Conflicting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6.9</w:t>
            </w:r>
          </w:p>
        </w:tc>
        <w:tc>
          <w:tcPr>
            <w:tcW w:w="8760" w:type="dxa"/>
            <w:vAlign w:val="bottom"/>
          </w:tcPr>
          <w:p>
            <w:pPr>
              <w:ind w:left="30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6.10</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6.11</w:t>
            </w:r>
          </w:p>
        </w:tc>
        <w:tc>
          <w:tcPr>
            <w:tcW w:w="8760" w:type="dxa"/>
            <w:vAlign w:val="bottom"/>
          </w:tcPr>
          <w:p>
            <w:pPr>
              <w:ind w:left="30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6.12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6.13</w:t>
            </w:r>
          </w:p>
        </w:tc>
        <w:tc>
          <w:tcPr>
            <w:tcW w:w="8760" w:type="dxa"/>
            <w:vAlign w:val="bottom"/>
          </w:tcPr>
          <w:p>
            <w:pPr>
              <w:ind w:left="30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6.14</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7</w:t>
            </w: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7.1</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7.2</w:t>
            </w:r>
          </w:p>
        </w:tc>
        <w:tc>
          <w:tcPr>
            <w:tcW w:w="8760" w:type="dxa"/>
            <w:vAlign w:val="bottom"/>
          </w:tcPr>
          <w:p>
            <w:pPr>
              <w:ind w:left="30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7.3</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Reports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7.4</w:t>
            </w:r>
          </w:p>
        </w:tc>
        <w:tc>
          <w:tcPr>
            <w:tcW w:w="8760" w:type="dxa"/>
            <w:vAlign w:val="bottom"/>
          </w:tcPr>
          <w:p>
            <w:pPr>
              <w:ind w:left="300"/>
              <w:spacing w:after="0"/>
              <w:rPr>
                <w:sz w:val="20"/>
                <w:szCs w:val="20"/>
                <w:color w:val="auto"/>
              </w:rPr>
            </w:pPr>
            <w:r>
              <w:rPr>
                <w:rFonts w:ascii="Arial" w:cs="Arial" w:eastAsia="Arial" w:hAnsi="Arial"/>
                <w:sz w:val="18"/>
                <w:szCs w:val="18"/>
                <w:color w:val="auto"/>
              </w:rPr>
              <w:t>Reports by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8</w:t>
            </w:r>
          </w:p>
        </w:tc>
        <w:tc>
          <w:tcPr>
            <w:tcW w:w="9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8.1</w:t>
            </w:r>
          </w:p>
        </w:tc>
        <w:tc>
          <w:tcPr>
            <w:tcW w:w="8760" w:type="dxa"/>
            <w:vAlign w:val="bottom"/>
          </w:tcPr>
          <w:p>
            <w:pPr>
              <w:ind w:left="30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8.2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Successor Substituted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9</w:t>
            </w:r>
          </w:p>
        </w:tc>
        <w:tc>
          <w:tcPr>
            <w:tcW w:w="9460" w:type="dxa"/>
            <w:vAlign w:val="bottom"/>
            <w:gridSpan w:val="2"/>
          </w:tcPr>
          <w:p>
            <w:pPr>
              <w:ind w:left="200"/>
              <w:spacing w:after="0"/>
              <w:rPr>
                <w:sz w:val="20"/>
                <w:szCs w:val="20"/>
                <w:color w:val="auto"/>
              </w:rPr>
            </w:pPr>
            <w:r>
              <w:rPr>
                <w:rFonts w:ascii="Arial" w:cs="Arial" w:eastAsia="Arial" w:hAnsi="Arial"/>
                <w:sz w:val="18"/>
                <w:szCs w:val="18"/>
                <w:color w:val="auto"/>
              </w:rPr>
              <w:t>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9.1</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9.2</w:t>
            </w:r>
          </w:p>
        </w:tc>
        <w:tc>
          <w:tcPr>
            <w:tcW w:w="8760" w:type="dxa"/>
            <w:vAlign w:val="bottom"/>
          </w:tcPr>
          <w:p>
            <w:pPr>
              <w:ind w:left="30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9.3</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9.4</w:t>
            </w:r>
          </w:p>
        </w:tc>
        <w:tc>
          <w:tcPr>
            <w:tcW w:w="8760" w:type="dxa"/>
            <w:vAlign w:val="bottom"/>
          </w:tcPr>
          <w:p>
            <w:pPr>
              <w:ind w:left="30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9.5</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9.6</w:t>
            </w:r>
          </w:p>
        </w:tc>
        <w:tc>
          <w:tcPr>
            <w:tcW w:w="8760" w:type="dxa"/>
            <w:vAlign w:val="bottom"/>
          </w:tcPr>
          <w:p>
            <w:pPr>
              <w:ind w:left="30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9.7</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Subordination Unimpaired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10</w:t>
            </w:r>
          </w:p>
        </w:tc>
        <w:tc>
          <w:tcPr>
            <w:tcW w:w="9460" w:type="dxa"/>
            <w:vAlign w:val="bottom"/>
            <w:gridSpan w:val="2"/>
          </w:tcPr>
          <w:p>
            <w:pPr>
              <w:ind w:left="300"/>
              <w:spacing w:after="0"/>
              <w:rPr>
                <w:sz w:val="20"/>
                <w:szCs w:val="20"/>
                <w:color w:val="auto"/>
              </w:rPr>
            </w:pPr>
            <w:r>
              <w:rPr>
                <w:rFonts w:ascii="Arial" w:cs="Arial" w:eastAsia="Arial" w:hAnsi="Arial"/>
                <w:sz w:val="18"/>
                <w:szCs w:val="18"/>
                <w:color w:val="auto"/>
              </w:rPr>
              <w:t>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10.1</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10.2</w:t>
            </w:r>
          </w:p>
        </w:tc>
        <w:tc>
          <w:tcPr>
            <w:tcW w:w="8760" w:type="dxa"/>
            <w:vAlign w:val="bottom"/>
          </w:tcPr>
          <w:p>
            <w:pPr>
              <w:ind w:left="300"/>
              <w:spacing w:after="0"/>
              <w:rPr>
                <w:sz w:val="20"/>
                <w:szCs w:val="20"/>
                <w:color w:val="auto"/>
              </w:rPr>
            </w:pPr>
            <w:r>
              <w:rPr>
                <w:rFonts w:ascii="Arial" w:cs="Arial" w:eastAsia="Arial" w:hAnsi="Arial"/>
                <w:sz w:val="18"/>
                <w:szCs w:val="18"/>
                <w:color w:val="auto"/>
              </w:rPr>
              <w:t>Maintenance of Office or Agency</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10.3</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10.4</w:t>
            </w:r>
          </w:p>
        </w:tc>
        <w:tc>
          <w:tcPr>
            <w:tcW w:w="8760" w:type="dxa"/>
            <w:vAlign w:val="bottom"/>
          </w:tcPr>
          <w:p>
            <w:pPr>
              <w:ind w:left="30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10.5</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Existence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10.6</w:t>
            </w:r>
          </w:p>
        </w:tc>
        <w:tc>
          <w:tcPr>
            <w:tcW w:w="8760" w:type="dxa"/>
            <w:vAlign w:val="bottom"/>
          </w:tcPr>
          <w:p>
            <w:pPr>
              <w:ind w:left="300"/>
              <w:spacing w:after="0"/>
              <w:rPr>
                <w:sz w:val="20"/>
                <w:szCs w:val="20"/>
                <w:color w:val="auto"/>
              </w:rPr>
            </w:pPr>
            <w:r>
              <w:rPr>
                <w:rFonts w:ascii="Arial" w:cs="Arial" w:eastAsia="Arial" w:hAnsi="Arial"/>
                <w:sz w:val="18"/>
                <w:szCs w:val="18"/>
                <w:color w:val="auto"/>
              </w:rPr>
              <w:t>Maintenance of Properties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10.7</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of Taxes and Other Claims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10.8</w:t>
            </w:r>
          </w:p>
        </w:tc>
        <w:tc>
          <w:tcPr>
            <w:tcW w:w="8760" w:type="dxa"/>
            <w:vAlign w:val="bottom"/>
          </w:tcPr>
          <w:p>
            <w:pPr>
              <w:ind w:left="300"/>
              <w:spacing w:after="0"/>
              <w:rPr>
                <w:sz w:val="20"/>
                <w:szCs w:val="20"/>
                <w:color w:val="auto"/>
              </w:rPr>
            </w:pPr>
            <w:r>
              <w:rPr>
                <w:rFonts w:ascii="Arial" w:cs="Arial" w:eastAsia="Arial" w:hAnsi="Arial"/>
                <w:sz w:val="18"/>
                <w:szCs w:val="18"/>
                <w:color w:val="auto"/>
              </w:rPr>
              <w:t>Waiver of Certain 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11</w:t>
            </w:r>
          </w:p>
        </w:tc>
        <w:tc>
          <w:tcPr>
            <w:tcW w:w="9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REDEMPTION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11.1</w:t>
            </w:r>
          </w:p>
        </w:tc>
        <w:tc>
          <w:tcPr>
            <w:tcW w:w="8760" w:type="dxa"/>
            <w:vAlign w:val="bottom"/>
          </w:tcPr>
          <w:p>
            <w:pPr>
              <w:ind w:left="30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11.3</w:t>
            </w:r>
          </w:p>
        </w:tc>
        <w:tc>
          <w:tcPr>
            <w:tcW w:w="8760" w:type="dxa"/>
            <w:vAlign w:val="bottom"/>
          </w:tcPr>
          <w:p>
            <w:pPr>
              <w:ind w:left="30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11.4</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Notice of Redemption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11.5</w:t>
            </w:r>
          </w:p>
        </w:tc>
        <w:tc>
          <w:tcPr>
            <w:tcW w:w="8760" w:type="dxa"/>
            <w:vAlign w:val="bottom"/>
          </w:tcPr>
          <w:p>
            <w:pPr>
              <w:ind w:left="300"/>
              <w:spacing w:after="0"/>
              <w:rPr>
                <w:sz w:val="20"/>
                <w:szCs w:val="20"/>
                <w:color w:val="auto"/>
              </w:rPr>
            </w:pPr>
            <w:r>
              <w:rPr>
                <w:rFonts w:ascii="Arial" w:cs="Arial" w:eastAsia="Arial" w:hAnsi="Arial"/>
                <w:sz w:val="18"/>
                <w:szCs w:val="18"/>
                <w:color w:val="auto"/>
              </w:rPr>
              <w:t>Deposit of Redemption Price</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11.6</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11.7</w:t>
            </w:r>
          </w:p>
        </w:tc>
        <w:tc>
          <w:tcPr>
            <w:tcW w:w="8760" w:type="dxa"/>
            <w:vAlign w:val="bottom"/>
          </w:tcPr>
          <w:p>
            <w:pPr>
              <w:ind w:left="300"/>
              <w:spacing w:after="0"/>
              <w:rPr>
                <w:sz w:val="20"/>
                <w:szCs w:val="20"/>
                <w:color w:val="auto"/>
              </w:rPr>
            </w:pPr>
            <w:r>
              <w:rPr>
                <w:rFonts w:ascii="Arial" w:cs="Arial" w:eastAsia="Arial" w:hAnsi="Arial"/>
                <w:sz w:val="18"/>
                <w:szCs w:val="18"/>
                <w:color w:val="auto"/>
              </w:rPr>
              <w:t>Securities Redeemed in Part</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12</w:t>
            </w:r>
          </w:p>
        </w:tc>
        <w:tc>
          <w:tcPr>
            <w:tcW w:w="9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SINKING FUNDS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12.1</w:t>
            </w:r>
          </w:p>
        </w:tc>
        <w:tc>
          <w:tcPr>
            <w:tcW w:w="8760" w:type="dxa"/>
            <w:vAlign w:val="bottom"/>
          </w:tcPr>
          <w:p>
            <w:pPr>
              <w:ind w:left="30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12.2</w:t>
            </w:r>
          </w:p>
        </w:tc>
        <w:tc>
          <w:tcPr>
            <w:tcW w:w="8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640"/>
              <w:spacing w:after="0"/>
              <w:rPr>
                <w:sz w:val="20"/>
                <w:szCs w:val="20"/>
                <w:color w:val="auto"/>
              </w:rPr>
            </w:pPr>
            <w:r>
              <w:rPr>
                <w:rFonts w:ascii="Arial" w:cs="Arial" w:eastAsia="Arial" w:hAnsi="Arial"/>
                <w:sz w:val="18"/>
                <w:szCs w:val="18"/>
                <w:color w:val="auto"/>
              </w:rPr>
              <w:t>Section 12.3</w:t>
            </w:r>
          </w:p>
        </w:tc>
        <w:tc>
          <w:tcPr>
            <w:tcW w:w="8760" w:type="dxa"/>
            <w:vAlign w:val="bottom"/>
          </w:tcPr>
          <w:p>
            <w:pPr>
              <w:ind w:left="30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7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9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13.1</w:t>
            </w:r>
          </w:p>
        </w:tc>
        <w:tc>
          <w:tcPr>
            <w:tcW w:w="8720" w:type="dxa"/>
            <w:vAlign w:val="bottom"/>
          </w:tcPr>
          <w:p>
            <w:pPr>
              <w:ind w:left="26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13.2</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Defeasance and 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13.3</w:t>
            </w:r>
          </w:p>
        </w:tc>
        <w:tc>
          <w:tcPr>
            <w:tcW w:w="8720" w:type="dxa"/>
            <w:vAlign w:val="bottom"/>
          </w:tcPr>
          <w:p>
            <w:pPr>
              <w:ind w:left="260"/>
              <w:spacing w:after="0"/>
              <w:rPr>
                <w:sz w:val="20"/>
                <w:szCs w:val="20"/>
                <w:color w:val="auto"/>
              </w:rPr>
            </w:pPr>
            <w:r>
              <w:rPr>
                <w:rFonts w:ascii="Arial" w:cs="Arial" w:eastAsia="Arial" w:hAnsi="Arial"/>
                <w:sz w:val="18"/>
                <w:szCs w:val="18"/>
                <w:color w:val="auto"/>
              </w:rPr>
              <w:t>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13.4</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Section 13.5</w:t>
            </w:r>
          </w:p>
        </w:tc>
        <w:tc>
          <w:tcPr>
            <w:tcW w:w="8720" w:type="dxa"/>
            <w:vAlign w:val="bottom"/>
          </w:tcPr>
          <w:p>
            <w:pPr>
              <w:ind w:left="260"/>
              <w:spacing w:after="0" w:line="201" w:lineRule="exact"/>
              <w:rPr>
                <w:sz w:val="20"/>
                <w:szCs w:val="20"/>
                <w:color w:val="auto"/>
              </w:rPr>
            </w:pPr>
            <w:r>
              <w:rPr>
                <w:rFonts w:ascii="Arial" w:cs="Arial" w:eastAsia="Arial" w:hAnsi="Arial"/>
                <w:sz w:val="18"/>
                <w:szCs w:val="18"/>
                <w:color w:val="auto"/>
              </w:rPr>
              <w:t>Deposited Money, U.S. Government Obligations and Foreign Government Obligations to be Held in Trust;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Miscellaneous Provisions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13.6</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Reinstatement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14</w:t>
            </w:r>
          </w:p>
        </w:tc>
        <w:tc>
          <w:tcPr>
            <w:tcW w:w="9420" w:type="dxa"/>
            <w:vAlign w:val="bottom"/>
            <w:gridSpan w:val="2"/>
          </w:tcPr>
          <w:p>
            <w:pPr>
              <w:ind w:left="260"/>
              <w:spacing w:after="0"/>
              <w:rPr>
                <w:sz w:val="20"/>
                <w:szCs w:val="20"/>
                <w:color w:val="auto"/>
              </w:rPr>
            </w:pPr>
            <w:r>
              <w:rPr>
                <w:rFonts w:ascii="Arial" w:cs="Arial" w:eastAsia="Arial" w:hAnsi="Arial"/>
                <w:sz w:val="18"/>
                <w:szCs w:val="18"/>
                <w:color w:val="auto"/>
              </w:rPr>
              <w:t>CONVERSION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14.1</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14.2</w:t>
            </w:r>
          </w:p>
        </w:tc>
        <w:tc>
          <w:tcPr>
            <w:tcW w:w="8720" w:type="dxa"/>
            <w:vAlign w:val="bottom"/>
          </w:tcPr>
          <w:p>
            <w:pPr>
              <w:ind w:left="26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14.3</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Fractional 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14.4</w:t>
            </w:r>
          </w:p>
        </w:tc>
        <w:tc>
          <w:tcPr>
            <w:tcW w:w="8720" w:type="dxa"/>
            <w:vAlign w:val="bottom"/>
          </w:tcPr>
          <w:p>
            <w:pPr>
              <w:ind w:left="26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14.5</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 of Certain Corporate Actions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14.6</w:t>
            </w:r>
          </w:p>
        </w:tc>
        <w:tc>
          <w:tcPr>
            <w:tcW w:w="8720" w:type="dxa"/>
            <w:vAlign w:val="bottom"/>
          </w:tcPr>
          <w:p>
            <w:pPr>
              <w:ind w:left="26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14.7</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14.8</w:t>
            </w:r>
          </w:p>
        </w:tc>
        <w:tc>
          <w:tcPr>
            <w:tcW w:w="8720" w:type="dxa"/>
            <w:vAlign w:val="bottom"/>
          </w:tcPr>
          <w:p>
            <w:pPr>
              <w:ind w:left="260"/>
              <w:spacing w:after="0"/>
              <w:rPr>
                <w:sz w:val="20"/>
                <w:szCs w:val="20"/>
                <w:color w:val="auto"/>
              </w:rPr>
            </w:pPr>
            <w:r>
              <w:rPr>
                <w:rFonts w:ascii="Arial" w:cs="Arial" w:eastAsia="Arial" w:hAnsi="Arial"/>
                <w:sz w:val="18"/>
                <w:szCs w:val="18"/>
                <w:color w:val="auto"/>
              </w:rPr>
              <w:t>Nonassessability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14.9</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14.10</w:t>
            </w:r>
          </w:p>
        </w:tc>
        <w:tc>
          <w:tcPr>
            <w:tcW w:w="8720" w:type="dxa"/>
            <w:vAlign w:val="bottom"/>
          </w:tcPr>
          <w:p>
            <w:pPr>
              <w:ind w:left="260"/>
              <w:spacing w:after="0"/>
              <w:rPr>
                <w:sz w:val="20"/>
                <w:szCs w:val="20"/>
                <w:color w:val="auto"/>
              </w:rPr>
            </w:pPr>
            <w:r>
              <w:rPr>
                <w:rFonts w:ascii="Arial" w:cs="Arial" w:eastAsia="Arial" w:hAnsi="Arial"/>
                <w:sz w:val="18"/>
                <w:szCs w:val="18"/>
                <w:color w:val="auto"/>
              </w:rPr>
              <w:t>Duties of Trustee Regarding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14.11</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15</w:t>
            </w:r>
          </w:p>
        </w:tc>
        <w:tc>
          <w:tcPr>
            <w:tcW w:w="9420" w:type="dxa"/>
            <w:vAlign w:val="bottom"/>
            <w:gridSpan w:val="2"/>
          </w:tcPr>
          <w:p>
            <w:pPr>
              <w:ind w:left="260"/>
              <w:spacing w:after="0"/>
              <w:rPr>
                <w:sz w:val="20"/>
                <w:szCs w:val="20"/>
                <w:color w:val="auto"/>
              </w:rPr>
            </w:pPr>
            <w:r>
              <w:rPr>
                <w:rFonts w:ascii="Arial" w:cs="Arial" w:eastAsia="Arial" w:hAnsi="Arial"/>
                <w:sz w:val="18"/>
                <w:szCs w:val="18"/>
                <w:color w:val="auto"/>
              </w:rPr>
              <w:t>SUBORDINATION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15.1</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 of Subordination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15.2</w:t>
            </w:r>
          </w:p>
        </w:tc>
        <w:tc>
          <w:tcPr>
            <w:tcW w:w="8720" w:type="dxa"/>
            <w:vAlign w:val="bottom"/>
          </w:tcPr>
          <w:p>
            <w:pPr>
              <w:ind w:left="260"/>
              <w:spacing w:after="0"/>
              <w:rPr>
                <w:sz w:val="20"/>
                <w:szCs w:val="20"/>
                <w:color w:val="auto"/>
              </w:rPr>
            </w:pPr>
            <w:r>
              <w:rPr>
                <w:rFonts w:ascii="Arial" w:cs="Arial" w:eastAsia="Arial" w:hAnsi="Arial"/>
                <w:sz w:val="18"/>
                <w:szCs w:val="18"/>
                <w:color w:val="auto"/>
              </w:rPr>
              <w:t>Payments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15.3</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Subrogation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15.4</w:t>
            </w:r>
          </w:p>
        </w:tc>
        <w:tc>
          <w:tcPr>
            <w:tcW w:w="8720" w:type="dxa"/>
            <w:vAlign w:val="bottom"/>
          </w:tcPr>
          <w:p>
            <w:pPr>
              <w:ind w:left="260"/>
              <w:spacing w:after="0"/>
              <w:rPr>
                <w:sz w:val="20"/>
                <w:szCs w:val="20"/>
                <w:color w:val="auto"/>
              </w:rPr>
            </w:pPr>
            <w:r>
              <w:rPr>
                <w:rFonts w:ascii="Arial" w:cs="Arial" w:eastAsia="Arial" w:hAnsi="Arial"/>
                <w:sz w:val="18"/>
                <w:szCs w:val="18"/>
                <w:color w:val="auto"/>
              </w:rPr>
              <w:t>Authorization to Effect Subordination</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15.5</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 to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15.6</w:t>
            </w:r>
          </w:p>
        </w:tc>
        <w:tc>
          <w:tcPr>
            <w:tcW w:w="8720" w:type="dxa"/>
            <w:vAlign w:val="bottom"/>
          </w:tcPr>
          <w:p>
            <w:pPr>
              <w:ind w:left="260"/>
              <w:spacing w:after="0"/>
              <w:rPr>
                <w:sz w:val="20"/>
                <w:szCs w:val="20"/>
                <w:color w:val="auto"/>
              </w:rPr>
            </w:pPr>
            <w:r>
              <w:rPr>
                <w:rFonts w:ascii="Arial" w:cs="Arial" w:eastAsia="Arial" w:hAnsi="Arial"/>
                <w:sz w:val="18"/>
                <w:szCs w:val="18"/>
                <w:color w:val="auto"/>
              </w:rPr>
              <w:t>Trustee’s Relation to Senior Debt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15.7</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Impairment of Subordination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15.8</w:t>
            </w:r>
          </w:p>
        </w:tc>
        <w:tc>
          <w:tcPr>
            <w:tcW w:w="8720" w:type="dxa"/>
            <w:vAlign w:val="bottom"/>
          </w:tcPr>
          <w:p>
            <w:pPr>
              <w:ind w:left="260"/>
              <w:spacing w:after="0"/>
              <w:rPr>
                <w:sz w:val="20"/>
                <w:szCs w:val="20"/>
                <w:color w:val="auto"/>
              </w:rPr>
            </w:pPr>
            <w:r>
              <w:rPr>
                <w:rFonts w:ascii="Arial" w:cs="Arial" w:eastAsia="Arial" w:hAnsi="Arial"/>
                <w:sz w:val="18"/>
                <w:szCs w:val="18"/>
                <w:color w:val="auto"/>
              </w:rPr>
              <w:t>Certain Conversions/Exchanges Deemed Payment</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15.9</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Article Applicable to Paying Agents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15.10</w:t>
            </w:r>
          </w:p>
        </w:tc>
        <w:tc>
          <w:tcPr>
            <w:tcW w:w="8720" w:type="dxa"/>
            <w:vAlign w:val="bottom"/>
          </w:tcPr>
          <w:p>
            <w:pPr>
              <w:ind w:left="260"/>
              <w:spacing w:after="0"/>
              <w:rPr>
                <w:sz w:val="20"/>
                <w:szCs w:val="20"/>
                <w:color w:val="auto"/>
              </w:rPr>
            </w:pPr>
            <w:r>
              <w:rPr>
                <w:rFonts w:ascii="Arial" w:cs="Arial" w:eastAsia="Arial" w:hAnsi="Arial"/>
                <w:sz w:val="18"/>
                <w:szCs w:val="18"/>
                <w:color w:val="auto"/>
              </w:rPr>
              <w:t>Senior Debt Entitled to Rely</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15.11</w:t>
            </w:r>
          </w:p>
        </w:tc>
        <w:tc>
          <w:tcPr>
            <w:tcW w:w="8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Reliance on Judicial Order or Certificate of Liquidating Agent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640"/>
              <w:spacing w:after="0"/>
              <w:rPr>
                <w:sz w:val="20"/>
                <w:szCs w:val="20"/>
                <w:color w:val="auto"/>
              </w:rPr>
            </w:pPr>
            <w:r>
              <w:rPr>
                <w:rFonts w:ascii="Arial" w:cs="Arial" w:eastAsia="Arial" w:hAnsi="Arial"/>
                <w:sz w:val="18"/>
                <w:szCs w:val="18"/>
                <w:color w:val="auto"/>
              </w:rPr>
              <w:t>Section 15.12</w:t>
            </w:r>
          </w:p>
        </w:tc>
        <w:tc>
          <w:tcPr>
            <w:tcW w:w="8720" w:type="dxa"/>
            <w:vAlign w:val="bottom"/>
          </w:tcPr>
          <w:p>
            <w:pPr>
              <w:ind w:left="260"/>
              <w:spacing w:after="0"/>
              <w:rPr>
                <w:sz w:val="20"/>
                <w:szCs w:val="20"/>
                <w:color w:val="auto"/>
              </w:rPr>
            </w:pPr>
            <w:r>
              <w:rPr>
                <w:rFonts w:ascii="Arial" w:cs="Arial" w:eastAsia="Arial" w:hAnsi="Arial"/>
                <w:sz w:val="18"/>
                <w:szCs w:val="18"/>
                <w:color w:val="auto"/>
              </w:rPr>
              <w:t>Trust Monies Not Subordinated</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8260" w:type="dxa"/>
            <w:vAlign w:val="bottom"/>
          </w:tcPr>
          <w:p>
            <w:pPr>
              <w:ind w:left="3540"/>
              <w:spacing w:after="0"/>
              <w:rPr>
                <w:sz w:val="20"/>
                <w:szCs w:val="20"/>
                <w:color w:val="auto"/>
              </w:rPr>
            </w:pPr>
            <w:r>
              <w:rPr>
                <w:rFonts w:ascii="Arial" w:cs="Arial" w:eastAsia="Arial" w:hAnsi="Arial"/>
                <w:sz w:val="18"/>
                <w:szCs w:val="18"/>
                <w:color w:val="auto"/>
              </w:rPr>
              <w:t>HARROW HEALTH, INC.</w:t>
            </w: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40" w:type="dxa"/>
            <w:vAlign w:val="bottom"/>
            <w:gridSpan w:val="2"/>
          </w:tcPr>
          <w:p>
            <w:pPr>
              <w:spacing w:after="0"/>
              <w:rPr>
                <w:sz w:val="20"/>
                <w:szCs w:val="20"/>
                <w:color w:val="auto"/>
              </w:rPr>
            </w:pPr>
            <w:r>
              <w:rPr>
                <w:rFonts w:ascii="Arial" w:cs="Arial" w:eastAsia="Arial" w:hAnsi="Arial"/>
                <w:sz w:val="18"/>
                <w:szCs w:val="18"/>
                <w:color w:val="auto"/>
                <w:w w:val="99"/>
              </w:rPr>
              <w:t>Certain Sections of this Indenture relating to Sections 3.10 through 3.18, inclusive, of the Trust Indenture Act of 1939:</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310</w:t>
            </w: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(a)(2)</w:t>
            </w:r>
          </w:p>
        </w:tc>
        <w:tc>
          <w:tcPr>
            <w:tcW w:w="19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(a)(4)</w:t>
            </w:r>
          </w:p>
        </w:tc>
        <w:tc>
          <w:tcPr>
            <w:tcW w:w="190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311</w:t>
            </w:r>
          </w:p>
        </w:tc>
        <w:tc>
          <w:tcPr>
            <w:tcW w:w="8260" w:type="dxa"/>
            <w:vAlign w:val="bottom"/>
          </w:tcPr>
          <w:p>
            <w:pPr>
              <w:ind w:left="220"/>
              <w:spacing w:after="0"/>
              <w:rPr>
                <w:sz w:val="20"/>
                <w:szCs w:val="20"/>
                <w:color w:val="auto"/>
              </w:rPr>
            </w:pPr>
            <w:r>
              <w:rPr>
                <w:rFonts w:ascii="Arial" w:cs="Arial" w:eastAsia="Arial" w:hAnsi="Arial"/>
                <w:sz w:val="18"/>
                <w:szCs w:val="18"/>
                <w:color w:val="auto"/>
              </w:rPr>
              <w:t>(a)</w:t>
            </w:r>
          </w:p>
        </w:tc>
        <w:tc>
          <w:tcPr>
            <w:tcW w:w="190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312</w:t>
            </w:r>
          </w:p>
        </w:tc>
        <w:tc>
          <w:tcPr>
            <w:tcW w:w="8260" w:type="dxa"/>
            <w:vAlign w:val="bottom"/>
          </w:tcPr>
          <w:p>
            <w:pPr>
              <w:ind w:left="220"/>
              <w:spacing w:after="0"/>
              <w:rPr>
                <w:sz w:val="20"/>
                <w:szCs w:val="20"/>
                <w:color w:val="auto"/>
              </w:rPr>
            </w:pPr>
            <w:r>
              <w:rPr>
                <w:rFonts w:ascii="Arial" w:cs="Arial" w:eastAsia="Arial" w:hAnsi="Arial"/>
                <w:sz w:val="18"/>
                <w:szCs w:val="18"/>
                <w:color w:val="auto"/>
              </w:rPr>
              <w:t>(a)</w:t>
            </w:r>
          </w:p>
        </w:tc>
        <w:tc>
          <w:tcPr>
            <w:tcW w:w="1900" w:type="dxa"/>
            <w:vAlign w:val="bottom"/>
          </w:tcPr>
          <w:p>
            <w:pPr>
              <w:jc w:val="right"/>
              <w:spacing w:after="0"/>
              <w:rPr>
                <w:sz w:val="20"/>
                <w:szCs w:val="20"/>
                <w:color w:val="auto"/>
              </w:rPr>
            </w:pPr>
            <w:r>
              <w:rPr>
                <w:rFonts w:ascii="Arial" w:cs="Arial" w:eastAsia="Arial" w:hAnsi="Arial"/>
                <w:sz w:val="18"/>
                <w:szCs w:val="18"/>
                <w:color w:val="auto"/>
              </w:rPr>
              <w:t>7.1, 7.2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(c)</w:t>
            </w:r>
          </w:p>
        </w:tc>
        <w:tc>
          <w:tcPr>
            <w:tcW w:w="19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(b)</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(d)</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314</w:t>
            </w: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(a)(4)</w:t>
            </w:r>
          </w:p>
        </w:tc>
        <w:tc>
          <w:tcPr>
            <w:tcW w:w="1900" w:type="dxa"/>
            <w:vAlign w:val="bottom"/>
          </w:tcPr>
          <w:p>
            <w:pPr>
              <w:jc w:val="right"/>
              <w:spacing w:after="0"/>
              <w:rPr>
                <w:sz w:val="20"/>
                <w:szCs w:val="20"/>
                <w:color w:val="auto"/>
              </w:rPr>
            </w:pPr>
            <w:r>
              <w:rPr>
                <w:rFonts w:ascii="Arial" w:cs="Arial" w:eastAsia="Arial" w:hAnsi="Arial"/>
                <w:sz w:val="18"/>
                <w:szCs w:val="18"/>
                <w:color w:val="auto"/>
              </w:rPr>
              <w:t>1.1, 10.4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(c)(1)</w:t>
            </w: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(c)(3)</w:t>
            </w:r>
          </w:p>
        </w:tc>
        <w:tc>
          <w:tcPr>
            <w:tcW w:w="190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(e)</w:t>
            </w: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(b)</w:t>
            </w:r>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(d)</w:t>
            </w: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316</w:t>
            </w:r>
          </w:p>
        </w:tc>
        <w:tc>
          <w:tcPr>
            <w:tcW w:w="8260" w:type="dxa"/>
            <w:vAlign w:val="bottom"/>
          </w:tcPr>
          <w:p>
            <w:pPr>
              <w:ind w:left="220"/>
              <w:spacing w:after="0"/>
              <w:rPr>
                <w:sz w:val="20"/>
                <w:szCs w:val="20"/>
                <w:color w:val="auto"/>
              </w:rPr>
            </w:pPr>
            <w:r>
              <w:rPr>
                <w:rFonts w:ascii="Arial" w:cs="Arial" w:eastAsia="Arial" w:hAnsi="Arial"/>
                <w:sz w:val="18"/>
                <w:szCs w:val="18"/>
                <w:color w:val="auto"/>
              </w:rPr>
              <w:t>(a)</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(a)(1)(B)</w:t>
            </w:r>
          </w:p>
        </w:tc>
        <w:tc>
          <w:tcPr>
            <w:tcW w:w="190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(b)</w:t>
            </w:r>
          </w:p>
        </w:tc>
        <w:tc>
          <w:tcPr>
            <w:tcW w:w="19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317</w:t>
            </w:r>
          </w:p>
        </w:tc>
        <w:tc>
          <w:tcPr>
            <w:tcW w:w="8260" w:type="dxa"/>
            <w:vAlign w:val="bottom"/>
          </w:tcPr>
          <w:p>
            <w:pPr>
              <w:ind w:left="220"/>
              <w:spacing w:after="0"/>
              <w:rPr>
                <w:sz w:val="20"/>
                <w:szCs w:val="20"/>
                <w:color w:val="auto"/>
              </w:rPr>
            </w:pPr>
            <w:r>
              <w:rPr>
                <w:rFonts w:ascii="Arial" w:cs="Arial" w:eastAsia="Arial" w:hAnsi="Arial"/>
                <w:sz w:val="18"/>
                <w:szCs w:val="18"/>
                <w:color w:val="auto"/>
              </w:rPr>
              <w:t>(a)(1)</w:t>
            </w: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(b)</w:t>
            </w:r>
          </w:p>
        </w:tc>
        <w:tc>
          <w:tcPr>
            <w:tcW w:w="19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318</w:t>
            </w: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jc w:val="both"/>
        <w:ind w:firstLine="648"/>
        <w:spacing w:after="0" w:line="258" w:lineRule="auto"/>
        <w:rPr>
          <w:sz w:val="20"/>
          <w:szCs w:val="20"/>
          <w:color w:val="auto"/>
        </w:rPr>
      </w:pPr>
      <w:r>
        <w:rPr>
          <w:rFonts w:ascii="Arial" w:cs="Arial" w:eastAsia="Arial" w:hAnsi="Arial"/>
          <w:sz w:val="18"/>
          <w:szCs w:val="18"/>
          <w:color w:val="auto"/>
        </w:rPr>
        <w:t>INDENTURE, dated as of , 20 , between HARROW HEALTH, INC., a corporation duly organized and existing under the laws of the State of Delaware (herein called the “Company”), having its principal executive office at 102 Woodmont Blvd., Suite 610, Nashville, TN 37205</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as Trustee (herein called the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subordinated debentures, notes or other evidences of indebtedness (herein called the “Securities”), to be issued in one or more series as provided in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60" w:hanging="256"/>
        <w:spacing w:after="0"/>
        <w:tabs>
          <w:tab w:leader="none" w:pos="1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firstLine="644"/>
        <w:spacing w:after="0" w:line="277" w:lineRule="auto"/>
        <w:tabs>
          <w:tab w:leader="none" w:pos="15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6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all accounting terms not otherwise defined herein have the meanings assigned to them in accordance with generally accepted accounting principles in the United States of America, and, except as otherwise herein expressly </w:t>
      </w:r>
      <w:r>
        <w:rPr>
          <w:rFonts w:ascii="Arial" w:cs="Arial" w:eastAsia="Arial" w:hAnsi="Arial"/>
          <w:sz w:val="18"/>
          <w:szCs w:val="18"/>
          <w:u w:val="single" w:color="auto"/>
          <w:color w:val="auto"/>
        </w:rPr>
        <w:t>provided</w:t>
      </w:r>
      <w:r>
        <w:rPr>
          <w:rFonts w:ascii="Arial" w:cs="Arial" w:eastAsia="Arial" w:hAnsi="Arial"/>
          <w:sz w:val="18"/>
          <w:szCs w:val="18"/>
          <w:color w:val="auto"/>
        </w:rPr>
        <w:t>,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instrument, agreement or other document may place limitations and conditions on the right of such Senior Debt to exercise the rights of Designated Senior Debt). If any payment made to any holder of any Designated Senior Debt or its Representative with respect to such Designated Senior Debt is rescinded or must otherwise be returned by such holder or Representative upon the insolvency, bankruptcy or reorganization of the Company or otherwise, the reinstated Indebtedness of the Company arising as a result of such rescission or return shall constitute Designated Senior Debt effective as of the date of such rescission or return.</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timely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“Indebtedness” means, with respect to any Person, and without duplication, whether absolute or contingent, secured or unsecured, due or to become due, (a) all indebtedness, obligations and other liabilities (contingent or otherwise) of such Person evidenced by a credit or loan agreement, note, bond, debenture, or other written obligation (whether or not the recourse of the lender is to the whole of the assets of such person or to only a portion thereof) or for money borrowed (including obligations of such Person in respect of overdrafts, foreign exchange contracts, currency exchange agreements, interest rate protection agreements, and any loans or advances from banks, whether or not evidenced by notes or similar instruments); (b) all obligations and liabilities (contingent or otherwise) of such Person evidenced by a note or similar instrument given in connection with the acquisition of any businesses, properties or assets of any kind; (c) all obligations and liabilities (contingent or otherwise) in respect of leases of such Person required, in conformity with generally accepted accounting principles, to be accounted for as capitalized lease obligations on the balance sheet of such Person and all obligations and other liabilities (contingent or otherwise) or as lessee under any leases or related documents for facilities, capital equipment or related assets, whether or not capitalized, entered into or leased for financing purposes; (d) all obligations of such Person (contingent or otherwise) with respect to interest rate and currency swaps, caps, floors, collars, hedge agreements, forward contracts or similar agreements or arrangements; (e) all obligations and other liabilities (contingent or otherwise) of such Person with respect to letters of credit, bankers’ acceptances or similar facilities, including reimbursement obligations with respect to the foregoing; (f) all obligations and liabilities of such Person or assumed as the deferred purchase price of property or services, but excluding trade accounts payable and accrued liabilities arising in the ordinary course of business; (g) all obligations of the type referred to in (a) through (f) above of another Person the payment of which, in either case, such Person has assumed or guaranteed or for which such Person is responsible or liable directly or indirectly, jointly or severally, as obligor, guarantor or otherwise, or which are secured by a lien on such Person’s property; and (h) any and all renewals, extensions, modifications, replacements, restatements and refundings of, or, any indebtedness or obligation issued in exchange for, any such indebtedness or obligation of the kind described in clauses (a) through (g) above.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“Interest Payment Date,” when used with respect to any Security, means the Stated Maturity of an installment of interest on such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“Maturity,” when used with respect to any Security, means the date on which the principal of such Security or an installment of principal becomes due and payable as therein or herein </w:t>
      </w:r>
      <w:r>
        <w:rPr>
          <w:rFonts w:ascii="Arial" w:cs="Arial" w:eastAsia="Arial" w:hAnsi="Arial"/>
          <w:sz w:val="18"/>
          <w:szCs w:val="18"/>
          <w:u w:val="single" w:color="auto"/>
          <w:color w:val="auto"/>
        </w:rPr>
        <w:t>provided</w:t>
      </w:r>
      <w:r>
        <w:rPr>
          <w:rFonts w:ascii="Arial" w:cs="Arial" w:eastAsia="Arial" w:hAnsi="Arial"/>
          <w:sz w:val="18"/>
          <w:szCs w:val="18"/>
          <w:color w:val="auto"/>
        </w:rPr>
        <w:t>, whether at the Stated Maturity or by declaration of acceleration, repurchase at the option of the Holder, upon redemption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“Non-Payment Default” has the meaning specified in Section 15.2.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920" w:hanging="264"/>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16"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65" w:lineRule="exact"/>
        <w:rPr>
          <w:rFonts w:ascii="Arial" w:cs="Arial" w:eastAsia="Arial" w:hAnsi="Arial"/>
          <w:sz w:val="17"/>
          <w:szCs w:val="17"/>
          <w:color w:val="auto"/>
        </w:rPr>
      </w:pPr>
    </w:p>
    <w:p>
      <w:pPr>
        <w:ind w:firstLine="656"/>
        <w:spacing w:after="0" w:line="277" w:lineRule="auto"/>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converted or exchanged as contemplated by this Indenture into Capital Stock or other securities or property, if the terms of such Security provide for such conversion or exchange pursuant to Section 3.1;</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1" w:name="page102"/>
    <w:bookmarkEnd w:id="101"/>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Blockage Notice” has the meaning specified in Section 15.2.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Default” has the meaning specified in Section 15.2.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“Senior Debt”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Indebtedness of the Company, whether outstanding on the date of this Indenture or thereafter created, incurred, assumed, guaranteed or in effect guaranteed by the Company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6"/>
          <w:szCs w:val="16"/>
          <w:i w:val="1"/>
          <w:iCs w:val="1"/>
          <w:color w:val="auto"/>
        </w:rPr>
        <w:t>pari passu</w:t>
      </w:r>
      <w:r>
        <w:rPr>
          <w:rFonts w:ascii="Arial" w:cs="Arial" w:eastAsia="Arial" w:hAnsi="Arial"/>
          <w:sz w:val="16"/>
          <w:szCs w:val="16"/>
          <w:color w:val="auto"/>
        </w:rPr>
        <w:t>” or “ junior” to the Securities. Notwithstanding the foregoing, the term Senior Debt shall not include any Indebtedness of the Company to any Subsidiary of the Company. If any payment made to any holder of any Senior Debt or its Representative with respect to such Senior Debt is rescinded or must otherwise be returned by such holder or Representative upon the insolvency, bankruptcy or reorganization of the Company or otherwise, the reinstated Indebtedness of the Company arising as a result of such rescission or return shall constitute Senior Debt effective as of the date of such rescission or return.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3" w:name="page104"/>
    <w:bookmarkEnd w:id="103"/>
    <w:p>
      <w:pPr>
        <w:jc w:val="both"/>
        <w:ind w:right="20"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660" w:firstLine="644"/>
        <w:spacing w:after="0" w:line="277" w:lineRule="auto"/>
        <w:tabs>
          <w:tab w:leader="none" w:pos="15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8"/>
          <w:szCs w:val="18"/>
          <w:color w:val="auto"/>
        </w:rPr>
      </w:pPr>
    </w:p>
    <w:p>
      <w:pPr>
        <w:ind w:left="660" w:firstLine="644"/>
        <w:spacing w:after="0" w:line="277" w:lineRule="auto"/>
        <w:tabs>
          <w:tab w:leader="none" w:pos="15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4"/>
        <w:spacing w:after="0" w:line="308" w:lineRule="auto"/>
        <w:tabs>
          <w:tab w:leader="none" w:pos="1563"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Section 1.4 Acts of Holders; Record Dates.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jc w:val="both"/>
        <w:ind w:firstLine="648"/>
        <w:spacing w:after="0" w:line="272" w:lineRule="auto"/>
        <w:rPr>
          <w:sz w:val="20"/>
          <w:szCs w:val="20"/>
          <w:color w:val="auto"/>
        </w:rPr>
      </w:pPr>
      <w:r>
        <w:rPr>
          <w:rFonts w:ascii="Arial" w:cs="Arial" w:eastAsia="Arial" w:hAnsi="Arial"/>
          <w:sz w:val="17"/>
          <w:szCs w:val="17"/>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Any request, demand, authorization, direction, notice, consent, waiver or Act of Holders or other document provided or permitted by this Indenture to be made upon, given or furnished to, or filed with, (1) the Trustee by any Holder or by the Company shall be sufficient for every purpose hereunder if made, given, furnished or filed in writing (or by facsimile transmissions,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oral confirmation of receipt shall have been received) to or with the Trustee at its Corporate Trust Office, Attention: Corporate Trust Department, or (2) 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60" w:type="dxa"/>
            <w:vAlign w:val="bottom"/>
            <w:gridSpan w:val="2"/>
          </w:tcPr>
          <w:p>
            <w:pPr>
              <w:ind w:left="1180"/>
              <w:spacing w:after="0"/>
              <w:rPr>
                <w:sz w:val="20"/>
                <w:szCs w:val="20"/>
                <w:color w:val="auto"/>
              </w:rPr>
            </w:pPr>
            <w:r>
              <w:rPr>
                <w:rFonts w:ascii="Arial" w:cs="Arial" w:eastAsia="Arial" w:hAnsi="Arial"/>
                <w:sz w:val="18"/>
                <w:szCs w:val="18"/>
                <w:b w:val="1"/>
                <w:bCs w:val="1"/>
                <w:color w:val="auto"/>
              </w:rPr>
              <w:t>HARROW HEALTH, INC.</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20" w:type="dxa"/>
            <w:vAlign w:val="bottom"/>
            <w:vMerge w:val="restart"/>
          </w:tcPr>
          <w:p>
            <w:pPr>
              <w:spacing w:after="0"/>
              <w:rPr>
                <w:sz w:val="20"/>
                <w:szCs w:val="20"/>
                <w:color w:val="auto"/>
              </w:rPr>
            </w:pPr>
            <w:r>
              <w:rPr>
                <w:rFonts w:ascii="Arial" w:cs="Arial" w:eastAsia="Arial" w:hAnsi="Arial"/>
                <w:sz w:val="18"/>
                <w:szCs w:val="18"/>
                <w:color w:val="auto"/>
              </w:rPr>
              <w:t>NO __________</w:t>
            </w: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0"/>
              </w:rPr>
              <w:t>$ __________</w:t>
            </w:r>
          </w:p>
        </w:tc>
        <w:tc>
          <w:tcPr>
            <w:tcW w:w="0" w:type="dxa"/>
            <w:vAlign w:val="bottom"/>
          </w:tcPr>
          <w:p>
            <w:pPr>
              <w:spacing w:after="0"/>
              <w:rPr>
                <w:sz w:val="1"/>
                <w:szCs w:val="1"/>
                <w:color w:val="auto"/>
              </w:rPr>
            </w:pPr>
          </w:p>
        </w:tc>
      </w:tr>
      <w:tr>
        <w:trPr>
          <w:trHeight w:val="431"/>
        </w:trPr>
        <w:tc>
          <w:tcPr>
            <w:tcW w:w="15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CUSIP: __________</w:t>
            </w:r>
          </w:p>
        </w:tc>
        <w:tc>
          <w:tcPr>
            <w:tcW w:w="0" w:type="dxa"/>
            <w:vAlign w:val="bottom"/>
          </w:tcPr>
          <w:p>
            <w:pPr>
              <w:spacing w:after="0"/>
              <w:rPr>
                <w:sz w:val="1"/>
                <w:szCs w:val="1"/>
                <w:color w:val="auto"/>
              </w:rPr>
            </w:pPr>
          </w:p>
        </w:tc>
      </w:tr>
      <w:tr>
        <w:trPr>
          <w:trHeight w:val="418"/>
        </w:trPr>
        <w:tc>
          <w:tcPr>
            <w:tcW w:w="11240" w:type="dxa"/>
            <w:vAlign w:val="bottom"/>
            <w:gridSpan w:val="7"/>
          </w:tcPr>
          <w:p>
            <w:pPr>
              <w:jc w:val="right"/>
              <w:spacing w:after="0"/>
              <w:rPr>
                <w:sz w:val="20"/>
                <w:szCs w:val="20"/>
                <w:color w:val="auto"/>
              </w:rPr>
            </w:pPr>
            <w:r>
              <w:rPr>
                <w:rFonts w:ascii="Arial" w:cs="Arial" w:eastAsia="Arial" w:hAnsi="Arial"/>
                <w:sz w:val="18"/>
                <w:szCs w:val="18"/>
                <w:color w:val="auto"/>
              </w:rPr>
              <w:t>HARROW HEALTH, INC., a corporation duly organized and existing under the laws of Delaware (herein called the “Company,” which term</w:t>
            </w:r>
          </w:p>
        </w:tc>
        <w:tc>
          <w:tcPr>
            <w:tcW w:w="0" w:type="dxa"/>
            <w:vAlign w:val="bottom"/>
          </w:tcPr>
          <w:p>
            <w:pPr>
              <w:spacing w:after="0"/>
              <w:rPr>
                <w:sz w:val="1"/>
                <w:szCs w:val="1"/>
                <w:color w:val="auto"/>
              </w:rPr>
            </w:pPr>
          </w:p>
        </w:tc>
      </w:tr>
      <w:tr>
        <w:trPr>
          <w:trHeight w:val="212"/>
        </w:trPr>
        <w:tc>
          <w:tcPr>
            <w:tcW w:w="8940" w:type="dxa"/>
            <w:vAlign w:val="bottom"/>
            <w:gridSpan w:val="5"/>
          </w:tcPr>
          <w:p>
            <w:pPr>
              <w:spacing w:after="0"/>
              <w:rPr>
                <w:sz w:val="20"/>
                <w:szCs w:val="20"/>
                <w:color w:val="auto"/>
              </w:rPr>
            </w:pPr>
            <w:r>
              <w:rPr>
                <w:rFonts w:ascii="Arial" w:cs="Arial" w:eastAsia="Arial" w:hAnsi="Arial"/>
                <w:sz w:val="18"/>
                <w:szCs w:val="18"/>
                <w:color w:val="auto"/>
                <w:w w:val="92"/>
              </w:rPr>
              <w:t>includes any successor Person under the Indenture hereinafter referred to), for value received, hereby promises to pay to</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or registered assigns,</w:t>
            </w:r>
          </w:p>
        </w:tc>
        <w:tc>
          <w:tcPr>
            <w:tcW w:w="0" w:type="dxa"/>
            <w:vAlign w:val="bottom"/>
          </w:tcPr>
          <w:p>
            <w:pPr>
              <w:spacing w:after="0"/>
              <w:rPr>
                <w:sz w:val="1"/>
                <w:szCs w:val="1"/>
                <w:color w:val="auto"/>
              </w:rPr>
            </w:pPr>
          </w:p>
        </w:tc>
      </w:tr>
      <w:tr>
        <w:trPr>
          <w:trHeight w:val="220"/>
        </w:trPr>
        <w:tc>
          <w:tcPr>
            <w:tcW w:w="2940" w:type="dxa"/>
            <w:vAlign w:val="bottom"/>
            <w:gridSpan w:val="2"/>
          </w:tcPr>
          <w:p>
            <w:pPr>
              <w:spacing w:after="0"/>
              <w:rPr>
                <w:sz w:val="20"/>
                <w:szCs w:val="20"/>
                <w:color w:val="auto"/>
              </w:rPr>
            </w:pPr>
            <w:r>
              <w:rPr>
                <w:rFonts w:ascii="Arial" w:cs="Arial" w:eastAsia="Arial" w:hAnsi="Arial"/>
                <w:sz w:val="18"/>
                <w:szCs w:val="18"/>
                <w:color w:val="auto"/>
              </w:rPr>
              <w:t>the principal sum of dollars on</w:t>
            </w:r>
          </w:p>
        </w:tc>
        <w:tc>
          <w:tcPr>
            <w:tcW w:w="7240" w:type="dxa"/>
            <w:vAlign w:val="bottom"/>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if the Security is to bear interest prior to Maturity, insert —</w:t>
            </w:r>
            <w:r>
              <w:rPr>
                <w:rFonts w:ascii="Arial" w:cs="Arial" w:eastAsia="Arial" w:hAnsi="Arial"/>
                <w:sz w:val="18"/>
                <w:szCs w:val="18"/>
                <w:color w:val="auto"/>
                <w:w w:val="91"/>
              </w:rPr>
              <w:t xml:space="preserve"> , and to pay interest thereon from</w:t>
            </w:r>
          </w:p>
        </w:tc>
        <w:tc>
          <w:tcPr>
            <w:tcW w:w="1060" w:type="dxa"/>
            <w:vAlign w:val="bottom"/>
          </w:tcPr>
          <w:p>
            <w:pPr>
              <w:jc w:val="right"/>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212"/>
        </w:trPr>
        <w:tc>
          <w:tcPr>
            <w:tcW w:w="8940" w:type="dxa"/>
            <w:vAlign w:val="bottom"/>
            <w:gridSpan w:val="5"/>
          </w:tcPr>
          <w:p>
            <w:pPr>
              <w:spacing w:after="0"/>
              <w:rPr>
                <w:sz w:val="20"/>
                <w:szCs w:val="20"/>
                <w:color w:val="auto"/>
              </w:rPr>
            </w:pPr>
            <w:r>
              <w:rPr>
                <w:rFonts w:ascii="Arial" w:cs="Arial" w:eastAsia="Arial" w:hAnsi="Arial"/>
                <w:sz w:val="18"/>
                <w:szCs w:val="18"/>
                <w:color w:val="auto"/>
                <w:w w:val="98"/>
              </w:rPr>
              <w:t>from the most recent Interest Payment Date to which interest has been paid or duly provided for, semi-annually on</w:t>
            </w:r>
          </w:p>
        </w:tc>
        <w:tc>
          <w:tcPr>
            <w:tcW w:w="1240" w:type="dxa"/>
            <w:vAlign w:val="bottom"/>
          </w:tcPr>
          <w:p>
            <w:pPr>
              <w:ind w:left="240"/>
              <w:spacing w:after="0"/>
              <w:rPr>
                <w:sz w:val="20"/>
                <w:szCs w:val="20"/>
                <w:color w:val="auto"/>
              </w:rPr>
            </w:pPr>
            <w:r>
              <w:rPr>
                <w:rFonts w:ascii="Arial" w:cs="Arial" w:eastAsia="Arial" w:hAnsi="Arial"/>
                <w:sz w:val="18"/>
                <w:szCs w:val="18"/>
                <w:color w:val="auto"/>
              </w:rPr>
              <w:t>and</w:t>
            </w:r>
          </w:p>
        </w:tc>
        <w:tc>
          <w:tcPr>
            <w:tcW w:w="1060" w:type="dxa"/>
            <w:vAlign w:val="bottom"/>
          </w:tcPr>
          <w:p>
            <w:pPr>
              <w:jc w:val="right"/>
              <w:spacing w:after="0"/>
              <w:rPr>
                <w:sz w:val="20"/>
                <w:szCs w:val="20"/>
                <w:color w:val="auto"/>
              </w:rPr>
            </w:pPr>
            <w:r>
              <w:rPr>
                <w:rFonts w:ascii="Arial" w:cs="Arial" w:eastAsia="Arial" w:hAnsi="Arial"/>
                <w:sz w:val="18"/>
                <w:szCs w:val="18"/>
                <w:color w:val="auto"/>
              </w:rPr>
              <w:t>in each year,</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8"/>
                <w:szCs w:val="18"/>
                <w:color w:val="auto"/>
              </w:rPr>
              <w:t>commencing</w:t>
            </w:r>
          </w:p>
        </w:tc>
        <w:tc>
          <w:tcPr>
            <w:tcW w:w="1420" w:type="dxa"/>
            <w:vAlign w:val="bottom"/>
          </w:tcPr>
          <w:p>
            <w:pPr>
              <w:ind w:left="300"/>
              <w:spacing w:after="0"/>
              <w:rPr>
                <w:sz w:val="20"/>
                <w:szCs w:val="20"/>
                <w:color w:val="auto"/>
              </w:rPr>
            </w:pPr>
            <w:r>
              <w:rPr>
                <w:rFonts w:ascii="Arial" w:cs="Arial" w:eastAsia="Arial" w:hAnsi="Arial"/>
                <w:sz w:val="18"/>
                <w:szCs w:val="18"/>
                <w:color w:val="auto"/>
                <w:w w:val="98"/>
              </w:rPr>
              <w:t>, at the rate of</w:t>
            </w:r>
          </w:p>
        </w:tc>
        <w:tc>
          <w:tcPr>
            <w:tcW w:w="440" w:type="dxa"/>
            <w:vAlign w:val="bottom"/>
          </w:tcPr>
          <w:p>
            <w:pPr>
              <w:spacing w:after="0"/>
              <w:rPr>
                <w:sz w:val="20"/>
                <w:szCs w:val="20"/>
                <w:color w:val="auto"/>
              </w:rPr>
            </w:pPr>
          </w:p>
        </w:tc>
        <w:tc>
          <w:tcPr>
            <w:tcW w:w="7860" w:type="dxa"/>
            <w:vAlign w:val="bottom"/>
            <w:gridSpan w:val="4"/>
          </w:tcPr>
          <w:p>
            <w:pPr>
              <w:jc w:val="right"/>
              <w:spacing w:after="0"/>
              <w:rPr>
                <w:sz w:val="20"/>
                <w:szCs w:val="20"/>
                <w:color w:val="auto"/>
              </w:rPr>
            </w:pPr>
            <w:r>
              <w:rPr>
                <w:rFonts w:ascii="Arial" w:cs="Arial" w:eastAsia="Arial" w:hAnsi="Arial"/>
                <w:sz w:val="18"/>
                <w:szCs w:val="18"/>
                <w:color w:val="auto"/>
                <w:w w:val="95"/>
              </w:rPr>
              <w:t>% per annum, until the principal hereof is paid or made available for payment [</w:t>
            </w:r>
            <w:r>
              <w:rPr>
                <w:rFonts w:ascii="Arial" w:cs="Arial" w:eastAsia="Arial" w:hAnsi="Arial"/>
                <w:sz w:val="18"/>
                <w:szCs w:val="18"/>
                <w:b w:val="1"/>
                <w:bCs w:val="1"/>
                <w:color w:val="auto"/>
                <w:w w:val="95"/>
              </w:rPr>
              <w:t>if applicable, insert —</w:t>
            </w:r>
            <w:r>
              <w:rPr>
                <w:rFonts w:ascii="Arial" w:cs="Arial" w:eastAsia="Arial" w:hAnsi="Arial"/>
                <w:sz w:val="18"/>
                <w:szCs w:val="18"/>
                <w:color w:val="auto"/>
                <w:w w:val="95"/>
              </w:rPr>
              <w:t xml:space="preserve"> ,</w:t>
            </w:r>
          </w:p>
        </w:tc>
        <w:tc>
          <w:tcPr>
            <w:tcW w:w="0" w:type="dxa"/>
            <w:vAlign w:val="bottom"/>
          </w:tcPr>
          <w:p>
            <w:pPr>
              <w:spacing w:after="0"/>
              <w:rPr>
                <w:sz w:val="1"/>
                <w:szCs w:val="1"/>
                <w:color w:val="auto"/>
              </w:rPr>
            </w:pPr>
          </w:p>
        </w:tc>
      </w:tr>
    </w:tbl>
    <w:p>
      <w:pPr>
        <w:jc w:val="both"/>
        <w:spacing w:after="0" w:line="28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to bear interest prior to Maturity, insert —</w:t>
      </w:r>
      <w:r>
        <w:rPr>
          <w:rFonts w:ascii="Arial" w:cs="Arial" w:eastAsia="Arial" w:hAnsi="Arial"/>
          <w:sz w:val="16"/>
          <w:szCs w:val="16"/>
          <w:color w:val="auto"/>
        </w:rPr>
        <w:t xml:space="preserve"> The principal of this Security shall not bear interest except in the case of a default in payment of principal upon acceleration, upon redemption or at Stated Maturity and in such case the overdue principal and any overdue premium</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 Payment of the principal of (and premium, if any) and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any</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interest on this Security will be made at the office or agency of the Company maintained for that purpose in , in such coin or currency of the United States of America as at the time of payment is legal tender for payment of public and private debts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jc w:val="center"/>
        <w:ind w:right="352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_______________</w:t>
      </w:r>
      <w:r>
        <w:rPr>
          <w:sz w:val="20"/>
          <w:szCs w:val="20"/>
          <w:color w:val="auto"/>
        </w:rPr>
        <w:tab/>
      </w:r>
      <w:r>
        <w:rPr>
          <w:rFonts w:ascii="Arial" w:cs="Arial" w:eastAsia="Arial" w:hAnsi="Arial"/>
          <w:sz w:val="17"/>
          <w:szCs w:val="17"/>
          <w:color w:val="auto"/>
        </w:rPr>
        <w:t>HARROW HEALTH, INC.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566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 200 (herein called the “Indenture,” which term shall have the meaning assigned to it in such instrument), between</w:t>
      </w:r>
    </w:p>
    <w:p>
      <w:pPr>
        <w:jc w:val="both"/>
        <w:spacing w:after="0" w:line="281" w:lineRule="auto"/>
        <w:rPr>
          <w:sz w:val="20"/>
          <w:szCs w:val="20"/>
          <w:color w:val="auto"/>
        </w:rPr>
      </w:pPr>
      <w:r>
        <w:rPr>
          <w:rFonts w:ascii="Arial" w:cs="Arial" w:eastAsia="Arial" w:hAnsi="Arial"/>
          <w:sz w:val="16"/>
          <w:szCs w:val="16"/>
          <w:color w:val="auto"/>
        </w:rPr>
        <w:t>the Company and ,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limited in aggregate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principal amount to $</w:t>
            </w:r>
          </w:p>
        </w:tc>
        <w:tc>
          <w:tcPr>
            <w:tcW w:w="9240" w:type="dxa"/>
            <w:vAlign w:val="bottom"/>
          </w:tcPr>
          <w:p>
            <w:pPr>
              <w:jc w:val="right"/>
              <w:ind w:right="8590"/>
              <w:spacing w:after="0"/>
              <w:rPr>
                <w:sz w:val="20"/>
                <w:szCs w:val="20"/>
                <w:color w:val="auto"/>
              </w:rPr>
            </w:pPr>
            <w:r>
              <w:rPr>
                <w:rFonts w:ascii="Arial" w:cs="Arial" w:eastAsia="Arial" w:hAnsi="Arial"/>
                <w:sz w:val="18"/>
                <w:szCs w:val="18"/>
                <w:color w:val="auto"/>
              </w:rPr>
              <w:t>].</w:t>
            </w:r>
          </w:p>
        </w:tc>
      </w:tr>
      <w:tr>
        <w:trPr>
          <w:trHeight w:val="425"/>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661"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Securities of this series are subject to redemption upon not less than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30] days’ notice by</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mail,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 (1) on in any year commencing with the year and ending with the year through operation of the sinking fund for this series at a Redemption Price equal to 100% of the principal amount, and (2) ] at any time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or after , 20 ], as a whole or in part, at the election of the Company, at the following Redemption Prices (expressed as percentages of the principal amount):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4"/>
          </w:tcPr>
          <w:p>
            <w:pPr>
              <w:spacing w:after="0"/>
              <w:rPr>
                <w:sz w:val="20"/>
                <w:szCs w:val="20"/>
                <w:color w:val="auto"/>
              </w:rPr>
            </w:pPr>
            <w:r>
              <w:rPr>
                <w:rFonts w:ascii="Arial" w:cs="Arial" w:eastAsia="Arial" w:hAnsi="Arial"/>
                <w:sz w:val="18"/>
                <w:szCs w:val="18"/>
                <w:color w:val="auto"/>
                <w:w w:val="94"/>
              </w:rPr>
              <w:t xml:space="preserve">If redeemed </w:t>
            </w:r>
            <w:r>
              <w:rPr>
                <w:rFonts w:ascii="Arial" w:cs="Arial" w:eastAsia="Arial" w:hAnsi="Arial"/>
                <w:sz w:val="18"/>
                <w:szCs w:val="18"/>
                <w:b w:val="1"/>
                <w:bCs w:val="1"/>
                <w:color w:val="auto"/>
                <w:w w:val="94"/>
              </w:rPr>
              <w:t>[if applicable, insert —</w:t>
            </w:r>
            <w:r>
              <w:rPr>
                <w:rFonts w:ascii="Arial" w:cs="Arial" w:eastAsia="Arial" w:hAnsi="Arial"/>
                <w:sz w:val="18"/>
                <w:szCs w:val="18"/>
                <w:color w:val="auto"/>
                <w:w w:val="94"/>
              </w:rPr>
              <w:t xml:space="preserve"> on or before</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120" w:type="dxa"/>
            <w:vAlign w:val="bottom"/>
            <w:gridSpan w:val="6"/>
          </w:tcPr>
          <w:p>
            <w:pPr>
              <w:ind w:left="240"/>
              <w:spacing w:after="0"/>
              <w:rPr>
                <w:sz w:val="20"/>
                <w:szCs w:val="20"/>
                <w:color w:val="auto"/>
              </w:rPr>
            </w:pPr>
            <w:r>
              <w:rPr>
                <w:rFonts w:ascii="Arial" w:cs="Arial" w:eastAsia="Arial" w:hAnsi="Arial"/>
                <w:sz w:val="18"/>
                <w:szCs w:val="18"/>
                <w:color w:val="auto"/>
                <w:w w:val="90"/>
              </w:rPr>
              <w:t>%, and if redeemed] during the 12-month period beginning of the years indicated,</w:t>
            </w:r>
          </w:p>
        </w:tc>
      </w:tr>
      <w:tr>
        <w:trPr>
          <w:trHeight w:val="421"/>
        </w:trPr>
        <w:tc>
          <w:tcPr>
            <w:tcW w:w="580" w:type="dxa"/>
            <w:vAlign w:val="bottom"/>
          </w:tcPr>
          <w:p>
            <w:pPr>
              <w:spacing w:after="0"/>
              <w:rPr>
                <w:sz w:val="24"/>
                <w:szCs w:val="24"/>
                <w:color w:val="auto"/>
              </w:rPr>
            </w:pPr>
          </w:p>
        </w:tc>
        <w:tc>
          <w:tcPr>
            <w:tcW w:w="3160" w:type="dxa"/>
            <w:vAlign w:val="bottom"/>
            <w:gridSpan w:val="3"/>
          </w:tcPr>
          <w:p>
            <w:pPr>
              <w:ind w:left="1140"/>
              <w:spacing w:after="0"/>
              <w:rPr>
                <w:sz w:val="20"/>
                <w:szCs w:val="20"/>
                <w:color w:val="auto"/>
              </w:rPr>
            </w:pPr>
            <w:r>
              <w:rPr>
                <w:rFonts w:ascii="Arial" w:cs="Arial" w:eastAsia="Arial" w:hAnsi="Arial"/>
                <w:sz w:val="18"/>
                <w:szCs w:val="18"/>
                <w:b w:val="1"/>
                <w:bCs w:val="1"/>
                <w:color w:val="auto"/>
              </w:rPr>
              <w:t>Year</w:t>
            </w:r>
          </w:p>
        </w:tc>
        <w:tc>
          <w:tcPr>
            <w:tcW w:w="2200" w:type="dxa"/>
            <w:vAlign w:val="bottom"/>
            <w:gridSpan w:val="3"/>
          </w:tcPr>
          <w:p>
            <w:pPr>
              <w:ind w:left="140"/>
              <w:spacing w:after="0"/>
              <w:rPr>
                <w:sz w:val="20"/>
                <w:szCs w:val="20"/>
                <w:color w:val="auto"/>
              </w:rPr>
            </w:pPr>
            <w:r>
              <w:rPr>
                <w:rFonts w:ascii="Arial" w:cs="Arial" w:eastAsia="Arial" w:hAnsi="Arial"/>
                <w:sz w:val="18"/>
                <w:szCs w:val="18"/>
                <w:b w:val="1"/>
                <w:bCs w:val="1"/>
                <w:color w:val="auto"/>
              </w:rPr>
              <w:t>Redemption Price</w:t>
            </w:r>
          </w:p>
        </w:tc>
        <w:tc>
          <w:tcPr>
            <w:tcW w:w="2520" w:type="dxa"/>
            <w:vAlign w:val="bottom"/>
            <w:gridSpan w:val="2"/>
          </w:tcPr>
          <w:p>
            <w:pPr>
              <w:ind w:left="980"/>
              <w:spacing w:after="0"/>
              <w:rPr>
                <w:sz w:val="20"/>
                <w:szCs w:val="20"/>
                <w:color w:val="auto"/>
              </w:rPr>
            </w:pPr>
            <w:r>
              <w:rPr>
                <w:rFonts w:ascii="Arial" w:cs="Arial" w:eastAsia="Arial" w:hAnsi="Arial"/>
                <w:sz w:val="18"/>
                <w:szCs w:val="18"/>
                <w:b w:val="1"/>
                <w:bCs w:val="1"/>
                <w:color w:val="auto"/>
              </w:rPr>
              <w:t>Year</w:t>
            </w:r>
          </w:p>
        </w:tc>
        <w:tc>
          <w:tcPr>
            <w:tcW w:w="2420" w:type="dxa"/>
            <w:vAlign w:val="bottom"/>
            <w:gridSpan w:val="2"/>
          </w:tcPr>
          <w:p>
            <w:pPr>
              <w:ind w:left="420"/>
              <w:spacing w:after="0"/>
              <w:rPr>
                <w:sz w:val="20"/>
                <w:szCs w:val="20"/>
                <w:color w:val="auto"/>
              </w:rPr>
            </w:pPr>
            <w:r>
              <w:rPr>
                <w:rFonts w:ascii="Arial" w:cs="Arial" w:eastAsia="Arial" w:hAnsi="Arial"/>
                <w:sz w:val="18"/>
                <w:szCs w:val="18"/>
                <w:b w:val="1"/>
                <w:bCs w:val="1"/>
                <w:color w:val="auto"/>
              </w:rPr>
              <w:t>Redemption Price</w:t>
            </w:r>
          </w:p>
        </w:tc>
      </w:tr>
      <w:tr>
        <w:trPr>
          <w:trHeight w:val="216"/>
        </w:trPr>
        <w:tc>
          <w:tcPr>
            <w:tcW w:w="58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Securities of this series are subject to redemption upon not less than [</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 30] days’ notice by</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mail, (1) on in any year commencing with the year and ending with the year through operation of the sinking fund for this series at the Redemption Prices for redemption through operation of the sinking fund (expressed as percentages of the principal amount) set forth in the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table below, and (2) at any time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on or after ], as a whole or in part, at the election of the Company, at the Redemption Prices for redemption otherwise than through operation of the sinking fund (expressed as percentages of the principal amount) set forth in the table below:</w:t>
      </w:r>
    </w:p>
    <w:tbl>
      <w:tblPr>
        <w:tblLayout w:type="fixed"/>
        <w:tblInd w:w="0" w:type="dxa"/>
        <w:tblCellMar>
          <w:top w:w="0" w:type="dxa"/>
          <w:left w:w="0" w:type="dxa"/>
          <w:bottom w:w="0" w:type="dxa"/>
          <w:right w:w="0" w:type="dxa"/>
        </w:tblCellMar>
      </w:tblPr>
      <w:tr>
        <w:trPr>
          <w:trHeight w:val="230"/>
        </w:trPr>
        <w:tc>
          <w:tcPr>
            <w:tcW w:w="3700" w:type="dxa"/>
            <w:vAlign w:val="bottom"/>
            <w:gridSpan w:val="4"/>
          </w:tcPr>
          <w:p>
            <w:pPr>
              <w:spacing w:after="0"/>
              <w:rPr>
                <w:sz w:val="20"/>
                <w:szCs w:val="20"/>
                <w:color w:val="auto"/>
              </w:rPr>
            </w:pPr>
            <w:r>
              <w:rPr>
                <w:rFonts w:ascii="Arial" w:cs="Arial" w:eastAsia="Arial" w:hAnsi="Arial"/>
                <w:sz w:val="18"/>
                <w:szCs w:val="18"/>
                <w:color w:val="auto"/>
                <w:w w:val="91"/>
              </w:rPr>
              <w:t>If redeemed during the 12-month period beginning</w:t>
            </w:r>
          </w:p>
        </w:tc>
        <w:tc>
          <w:tcPr>
            <w:tcW w:w="2820" w:type="dxa"/>
            <w:vAlign w:val="bottom"/>
            <w:gridSpan w:val="3"/>
          </w:tcPr>
          <w:p>
            <w:pPr>
              <w:ind w:left="820"/>
              <w:spacing w:after="0"/>
              <w:rPr>
                <w:sz w:val="20"/>
                <w:szCs w:val="20"/>
                <w:color w:val="auto"/>
              </w:rPr>
            </w:pPr>
            <w:r>
              <w:rPr>
                <w:rFonts w:ascii="Arial" w:cs="Arial" w:eastAsia="Arial" w:hAnsi="Arial"/>
                <w:sz w:val="18"/>
                <w:szCs w:val="18"/>
                <w:color w:val="auto"/>
              </w:rPr>
              <w:t>of the years indicated,</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 For</w:t>
            </w:r>
          </w:p>
        </w:tc>
      </w:tr>
      <w:tr>
        <w:trPr>
          <w:trHeight w:val="216"/>
        </w:trPr>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0"/>
              </w:rPr>
              <w:t>Redemption Price For</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r>
      <w:tr>
        <w:trPr>
          <w:trHeight w:val="216"/>
        </w:trPr>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1"/>
              </w:rPr>
              <w:t>Redemption Through</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Otherwise Than Through</w:t>
            </w:r>
          </w:p>
        </w:tc>
      </w:tr>
      <w:tr>
        <w:trPr>
          <w:trHeight w:val="216"/>
        </w:trPr>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0"/>
              </w:rPr>
              <w:t>Operation of the Sinking</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 of the Sinking</w:t>
            </w:r>
          </w:p>
        </w:tc>
      </w:tr>
      <w:tr>
        <w:trPr>
          <w:trHeight w:val="241"/>
        </w:trPr>
        <w:tc>
          <w:tcPr>
            <w:tcW w:w="580" w:type="dxa"/>
            <w:vAlign w:val="bottom"/>
          </w:tcPr>
          <w:p>
            <w:pPr>
              <w:spacing w:after="0"/>
              <w:rPr>
                <w:sz w:val="20"/>
                <w:szCs w:val="20"/>
                <w:color w:val="auto"/>
              </w:rPr>
            </w:pPr>
          </w:p>
        </w:tc>
        <w:tc>
          <w:tcPr>
            <w:tcW w:w="3120" w:type="dxa"/>
            <w:vAlign w:val="bottom"/>
            <w:gridSpan w:val="3"/>
          </w:tcPr>
          <w:p>
            <w:pPr>
              <w:ind w:left="1140"/>
              <w:spacing w:after="0"/>
              <w:rPr>
                <w:sz w:val="20"/>
                <w:szCs w:val="20"/>
                <w:color w:val="auto"/>
              </w:rPr>
            </w:pPr>
            <w:r>
              <w:rPr>
                <w:rFonts w:ascii="Arial" w:cs="Arial" w:eastAsia="Arial" w:hAnsi="Arial"/>
                <w:sz w:val="18"/>
                <w:szCs w:val="18"/>
                <w:b w:val="1"/>
                <w:bCs w:val="1"/>
                <w:color w:val="auto"/>
              </w:rPr>
              <w:t>Year</w:t>
            </w:r>
          </w:p>
        </w:tc>
        <w:tc>
          <w:tcPr>
            <w:tcW w:w="282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Fund</w:t>
            </w:r>
          </w:p>
        </w:tc>
        <w:tc>
          <w:tcPr>
            <w:tcW w:w="1940" w:type="dxa"/>
            <w:vAlign w:val="bottom"/>
            <w:gridSpan w:val="2"/>
          </w:tcPr>
          <w:p>
            <w:pPr>
              <w:ind w:left="400"/>
              <w:spacing w:after="0"/>
              <w:rPr>
                <w:sz w:val="20"/>
                <w:szCs w:val="20"/>
                <w:color w:val="auto"/>
              </w:rPr>
            </w:pPr>
            <w:r>
              <w:rPr>
                <w:rFonts w:ascii="Arial" w:cs="Arial" w:eastAsia="Arial" w:hAnsi="Arial"/>
                <w:sz w:val="18"/>
                <w:szCs w:val="18"/>
                <w:b w:val="1"/>
                <w:bCs w:val="1"/>
                <w:color w:val="auto"/>
              </w:rPr>
              <w:t>Year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5"/>
              </w:rPr>
              <w:t>Fund</w:t>
            </w:r>
          </w:p>
        </w:tc>
      </w:tr>
      <w:tr>
        <w:trPr>
          <w:trHeight w:val="216"/>
        </w:trPr>
        <w:tc>
          <w:tcPr>
            <w:tcW w:w="58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Notwithstanding the foregoing, the Company may not, prior to , redeem any Securities of this series as contemplated by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sinking fund for this series provides for the redemption on , in each year beginning with the year and ending with the year of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 less than $ (“mandatory sinking fund”) and not more than] $ aggregate principal</w:t>
      </w:r>
    </w:p>
    <w:p>
      <w:pPr>
        <w:jc w:val="both"/>
        <w:spacing w:after="0" w:line="255" w:lineRule="auto"/>
        <w:rPr>
          <w:sz w:val="20"/>
          <w:szCs w:val="20"/>
          <w:color w:val="auto"/>
        </w:rPr>
      </w:pPr>
      <w:r>
        <w:rPr>
          <w:rFonts w:ascii="Arial" w:cs="Arial" w:eastAsia="Arial" w:hAnsi="Arial"/>
          <w:sz w:val="18"/>
          <w:szCs w:val="18"/>
          <w:color w:val="auto"/>
        </w:rPr>
        <w:t>amount of 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in the inverse order in which they become due].]</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[If the Security is convertible into other securities of the Company, specify the conversion features.] </w:t>
      </w:r>
      <w:r>
        <w:rPr>
          <w:rFonts w:ascii="Arial" w:cs="Arial" w:eastAsia="Arial" w:hAnsi="Arial"/>
          <w:sz w:val="16"/>
          <w:szCs w:val="16"/>
          <w:color w:val="auto"/>
        </w:rPr>
        <w:t>The indebtedness evidenced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not an Original Issue Discount Security, insert —</w:t>
      </w:r>
      <w:r>
        <w:rPr>
          <w:rFonts w:ascii="Arial" w:cs="Arial" w:eastAsia="Arial" w:hAnsi="Arial"/>
          <w:sz w:val="18"/>
          <w:szCs w:val="18"/>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 </w:t>
      </w:r>
      <w:r>
        <w:rPr>
          <w:rFonts w:ascii="Arial" w:cs="Arial" w:eastAsia="Arial" w:hAnsi="Arial"/>
          <w:sz w:val="18"/>
          <w:szCs w:val="18"/>
          <w:b w:val="1"/>
          <w:bCs w:val="1"/>
          <w:color w:val="auto"/>
        </w:rPr>
        <w:t>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jc w:val="both"/>
        <w:ind w:firstLine="648"/>
        <w:spacing w:after="0" w:line="296"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that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HARROW HEALTH,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Signature(s) must be guaranteed by an eligible guarantor institution (banks,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stock  brokers,  savings  and  loan  associations  and  credit  unions  with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membership in an approved signature guarantee medallion program) pursuant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280035</wp:posOffset>
            </wp:positionV>
            <wp:extent cx="3566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975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975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49" w:lineRule="exact"/>
        <w:rPr>
          <w:sz w:val="20"/>
          <w:szCs w:val="20"/>
          <w:color w:val="auto"/>
        </w:rPr>
      </w:pPr>
    </w:p>
    <w:p>
      <w:pPr>
        <w:ind w:left="1560" w:hanging="256"/>
        <w:spacing w:after="0"/>
        <w:tabs>
          <w:tab w:leader="none" w:pos="1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jc w:val="both"/>
        <w:ind w:left="660" w:firstLine="644"/>
        <w:spacing w:after="0" w:line="259" w:lineRule="auto"/>
        <w:tabs>
          <w:tab w:leader="none" w:pos="15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5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5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65" w:lineRule="exact"/>
        <w:rPr>
          <w:rFonts w:ascii="Arial" w:cs="Arial" w:eastAsia="Arial" w:hAnsi="Arial"/>
          <w:sz w:val="17"/>
          <w:szCs w:val="17"/>
          <w:color w:val="auto"/>
        </w:rPr>
      </w:pPr>
    </w:p>
    <w:p>
      <w:pPr>
        <w:ind w:left="1560" w:hanging="256"/>
        <w:spacing w:after="0"/>
        <w:tabs>
          <w:tab w:leader="none" w:pos="1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57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1560" w:hanging="256"/>
        <w:spacing w:after="0"/>
        <w:tabs>
          <w:tab w:leader="none" w:pos="1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 issuable;</w:t>
      </w:r>
    </w:p>
    <w:p>
      <w:pPr>
        <w:spacing w:after="0" w:line="210" w:lineRule="exact"/>
        <w:rPr>
          <w:rFonts w:ascii="Arial" w:cs="Arial" w:eastAsia="Arial" w:hAnsi="Arial"/>
          <w:sz w:val="16"/>
          <w:szCs w:val="16"/>
          <w:color w:val="auto"/>
        </w:rPr>
      </w:pPr>
    </w:p>
    <w:p>
      <w:pPr>
        <w:ind w:left="660" w:firstLine="644"/>
        <w:spacing w:after="0" w:line="277" w:lineRule="auto"/>
        <w:tabs>
          <w:tab w:leader="none" w:pos="16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6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jc w:val="both"/>
        <w:ind w:left="4" w:firstLine="644"/>
        <w:spacing w:after="0" w:line="257" w:lineRule="auto"/>
        <w:tabs>
          <w:tab w:leader="none" w:pos="10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7" w:lineRule="exact"/>
        <w:rPr>
          <w:rFonts w:ascii="Arial" w:cs="Arial" w:eastAsia="Arial" w:hAnsi="Arial"/>
          <w:sz w:val="18"/>
          <w:szCs w:val="18"/>
          <w:color w:val="auto"/>
        </w:rPr>
      </w:pPr>
    </w:p>
    <w:p>
      <w:pPr>
        <w:ind w:left="4" w:firstLine="644"/>
        <w:spacing w:after="0" w:line="277" w:lineRule="auto"/>
        <w:tabs>
          <w:tab w:leader="none" w:pos="101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rFonts w:ascii="Arial" w:cs="Arial" w:eastAsia="Arial" w:hAnsi="Arial"/>
          <w:sz w:val="18"/>
          <w:szCs w:val="18"/>
          <w:color w:val="auto"/>
        </w:rPr>
      </w:pPr>
    </w:p>
    <w:p>
      <w:pPr>
        <w:jc w:val="both"/>
        <w:ind w:left="4" w:firstLine="644"/>
        <w:spacing w:after="0" w:line="257" w:lineRule="auto"/>
        <w:tabs>
          <w:tab w:leader="none" w:pos="1003"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7" w:lineRule="exact"/>
        <w:rPr>
          <w:rFonts w:ascii="Arial" w:cs="Arial" w:eastAsia="Arial" w:hAnsi="Arial"/>
          <w:sz w:val="18"/>
          <w:szCs w:val="18"/>
          <w:color w:val="auto"/>
        </w:rPr>
      </w:pPr>
    </w:p>
    <w:p>
      <w:pPr>
        <w:jc w:val="both"/>
        <w:ind w:left="4" w:firstLine="644"/>
        <w:spacing w:after="0" w:line="263" w:lineRule="auto"/>
        <w:tabs>
          <w:tab w:leader="none" w:pos="1004"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3" w:lineRule="exact"/>
        <w:rPr>
          <w:rFonts w:ascii="Arial" w:cs="Arial" w:eastAsia="Arial" w:hAnsi="Arial"/>
          <w:sz w:val="18"/>
          <w:szCs w:val="18"/>
          <w:color w:val="auto"/>
        </w:rPr>
      </w:pPr>
    </w:p>
    <w:p>
      <w:pPr>
        <w:ind w:left="4" w:firstLine="644"/>
        <w:spacing w:after="0" w:line="277" w:lineRule="auto"/>
        <w:tabs>
          <w:tab w:leader="none" w:pos="1001"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4" w:firstLine="644"/>
        <w:spacing w:after="0" w:line="287" w:lineRule="auto"/>
        <w:tabs>
          <w:tab w:leader="none" w:pos="1003"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Form of clause</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2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9" w:lineRule="exact"/>
        <w:rPr>
          <w:rFonts w:ascii="Arial" w:cs="Arial" w:eastAsia="Arial" w:hAnsi="Arial"/>
          <w:sz w:val="18"/>
          <w:szCs w:val="18"/>
          <w:color w:val="auto"/>
        </w:rPr>
      </w:pPr>
    </w:p>
    <w:p>
      <w:pPr>
        <w:ind w:left="4" w:firstLine="644"/>
        <w:spacing w:after="0" w:line="308" w:lineRule="auto"/>
        <w:tabs>
          <w:tab w:leader="none" w:pos="101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984" w:hanging="336"/>
        <w:spacing w:after="0"/>
        <w:tabs>
          <w:tab w:leader="none" w:pos="98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4" w:firstLine="644"/>
        <w:spacing w:after="0" w:line="277"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4" w:right="20" w:firstLine="644"/>
        <w:spacing w:after="0" w:line="277" w:lineRule="auto"/>
        <w:tabs>
          <w:tab w:leader="none" w:pos="1043"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4" w:right="20" w:firstLine="644"/>
        <w:spacing w:after="0" w:line="277" w:lineRule="auto"/>
        <w:tabs>
          <w:tab w:leader="none" w:pos="10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w:t>
      </w:r>
    </w:p>
    <w:p>
      <w:pPr>
        <w:spacing w:after="0" w:line="170" w:lineRule="exact"/>
        <w:rPr>
          <w:rFonts w:ascii="Arial" w:cs="Arial" w:eastAsia="Arial" w:hAnsi="Arial"/>
          <w:sz w:val="18"/>
          <w:szCs w:val="18"/>
          <w:color w:val="auto"/>
        </w:rPr>
      </w:pPr>
    </w:p>
    <w:p>
      <w:pPr>
        <w:jc w:val="both"/>
        <w:ind w:left="4" w:right="20" w:firstLine="644"/>
        <w:spacing w:after="0" w:line="263" w:lineRule="auto"/>
        <w:tabs>
          <w:tab w:leader="none" w:pos="100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addition to or change in or modification to the subordinated provisions of this Indenture relating to the Securities of that series (including the provisions of Article 15), or different subordination provisions, including a different definition of “Senior Debt” or “Designated Senior Debt,” will apply to Securities of the series; and</w:t>
      </w:r>
    </w:p>
    <w:p>
      <w:pPr>
        <w:spacing w:after="0" w:line="184"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115" w:name="page116"/>
    <w:bookmarkEnd w:id="115"/>
    <w:p>
      <w:pPr>
        <w:ind w:left="660" w:right="20" w:firstLine="644"/>
        <w:spacing w:after="0" w:line="277" w:lineRule="auto"/>
        <w:tabs>
          <w:tab w:leader="none" w:pos="16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except as permitted by Section 9.1(5)).</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shall be subordinated in right of payment to Senior Debt as provided in Article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95" w:lineRule="exact"/>
        <w:rPr>
          <w:sz w:val="20"/>
          <w:szCs w:val="20"/>
          <w:color w:val="auto"/>
        </w:rPr>
      </w:pPr>
    </w:p>
    <w:p>
      <w:pPr>
        <w:ind w:left="660" w:firstLine="644"/>
        <w:spacing w:after="0" w:line="277" w:lineRule="auto"/>
        <w:tabs>
          <w:tab w:leader="none" w:pos="15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4"/>
        <w:spacing w:after="0" w:line="277" w:lineRule="auto"/>
        <w:tabs>
          <w:tab w:leader="none" w:pos="15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jc w:val="both"/>
        <w:ind w:left="660" w:firstLine="644"/>
        <w:spacing w:after="0" w:line="259" w:lineRule="auto"/>
        <w:tabs>
          <w:tab w:leader="none" w:pos="15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 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right="20" w:firstLine="644"/>
        <w:spacing w:after="0" w:line="263" w:lineRule="auto"/>
        <w:tabs>
          <w:tab w:leader="none" w:pos="15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592"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both"/>
        <w:ind w:left="660" w:firstLine="644"/>
        <w:spacing w:after="0" w:line="263" w:lineRule="auto"/>
        <w:tabs>
          <w:tab w:leader="none" w:pos="15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5" w:lineRule="exact"/>
        <w:rPr>
          <w:sz w:val="20"/>
          <w:szCs w:val="20"/>
          <w:color w:val="auto"/>
        </w:rPr>
      </w:pPr>
    </w:p>
    <w:p>
      <w:pPr>
        <w:jc w:val="both"/>
        <w:ind w:left="660" w:firstLine="644"/>
        <w:spacing w:after="0" w:line="286" w:lineRule="auto"/>
        <w:tabs>
          <w:tab w:leader="none" w:pos="157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jc w:val="both"/>
        <w:ind w:left="660" w:firstLine="644"/>
        <w:spacing w:after="0" w:line="259" w:lineRule="auto"/>
        <w:tabs>
          <w:tab w:leader="none" w:pos="16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conversion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4" w:lineRule="exact"/>
        <w:rPr>
          <w:sz w:val="20"/>
          <w:szCs w:val="20"/>
          <w:color w:val="auto"/>
        </w:rPr>
      </w:pPr>
    </w:p>
    <w:p>
      <w:pPr>
        <w:ind w:left="1560" w:hanging="256"/>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20" w:firstLine="643"/>
        <w:spacing w:after="0" w:line="259" w:lineRule="auto"/>
        <w:tabs>
          <w:tab w:leader="none" w:pos="18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6" w:lineRule="exact"/>
        <w:rPr>
          <w:rFonts w:ascii="Arial" w:cs="Arial" w:eastAsia="Arial" w:hAnsi="Arial"/>
          <w:sz w:val="18"/>
          <w:szCs w:val="18"/>
          <w:color w:val="auto"/>
        </w:rPr>
      </w:pPr>
    </w:p>
    <w:p>
      <w:pPr>
        <w:ind w:left="1840" w:hanging="277"/>
        <w:spacing w:after="0"/>
        <w:tabs>
          <w:tab w:leader="none" w:pos="18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040" w:hanging="218"/>
        <w:spacing w:after="0"/>
        <w:tabs>
          <w:tab w:leader="none" w:pos="2040" w:val="left"/>
        </w:tabs>
        <w:numPr>
          <w:ilvl w:val="2"/>
          <w:numId w:val="9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080" w:hanging="258"/>
        <w:spacing w:after="0"/>
        <w:tabs>
          <w:tab w:leader="none" w:pos="20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180" w:right="20" w:firstLine="642"/>
        <w:spacing w:after="0" w:line="277" w:lineRule="auto"/>
        <w:tabs>
          <w:tab w:leader="none" w:pos="2164" w:val="left"/>
        </w:tabs>
        <w:numPr>
          <w:ilvl w:val="2"/>
          <w:numId w:val="90"/>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560" w:hanging="256"/>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5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w:t>
      </w:r>
    </w:p>
    <w:p>
      <w:pPr>
        <w:ind w:left="5500" w:right="2660" w:hanging="5492"/>
        <w:spacing w:after="0" w:line="511" w:lineRule="auto"/>
        <w:tabs>
          <w:tab w:leader="none" w:pos="2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this Section, the obligations of the Trustee under Section 4.2 and the last paragraph of Section 10.3 shall survive.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“Event of Default,” wherever used herein with respect to Securities of any series, means any one of the following events (whatever the reason for such Event of Default and whether it shall be occasioned by the provisions of Article 15 or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series shall not have the benefit of said Event of Default:</w:t>
      </w:r>
    </w:p>
    <w:p>
      <w:pPr>
        <w:spacing w:after="0" w:line="188" w:lineRule="exact"/>
        <w:rPr>
          <w:sz w:val="20"/>
          <w:szCs w:val="20"/>
          <w:color w:val="auto"/>
        </w:rPr>
      </w:pPr>
    </w:p>
    <w:p>
      <w:pPr>
        <w:ind w:left="660" w:firstLine="644"/>
        <w:spacing w:after="0" w:line="277" w:lineRule="auto"/>
        <w:tabs>
          <w:tab w:leader="none" w:pos="15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91"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jc w:val="both"/>
        <w:ind w:left="660" w:firstLine="644"/>
        <w:spacing w:after="0" w:line="254" w:lineRule="auto"/>
        <w:tabs>
          <w:tab w:leader="none" w:pos="15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4" w:lineRule="exact"/>
        <w:rPr>
          <w:rFonts w:ascii="Arial" w:cs="Arial" w:eastAsia="Arial" w:hAnsi="Arial"/>
          <w:sz w:val="18"/>
          <w:szCs w:val="18"/>
          <w:color w:val="auto"/>
        </w:rPr>
      </w:pPr>
    </w:p>
    <w:p>
      <w:pPr>
        <w:jc w:val="both"/>
        <w:ind w:left="660" w:firstLine="644"/>
        <w:spacing w:after="0" w:line="270" w:lineRule="auto"/>
        <w:tabs>
          <w:tab w:leader="none" w:pos="1569"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ind w:left="660" w:firstLine="644"/>
        <w:spacing w:after="0" w:line="277" w:lineRule="auto"/>
        <w:tabs>
          <w:tab w:leader="none" w:pos="15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68" w:lineRule="auto"/>
        <w:tabs>
          <w:tab w:leader="none" w:pos="893" w:val="left"/>
        </w:tabs>
        <w:numPr>
          <w:ilvl w:val="0"/>
          <w:numId w:val="95"/>
        </w:numPr>
        <w:rPr>
          <w:rFonts w:ascii="Arial" w:cs="Arial" w:eastAsia="Arial" w:hAnsi="Arial"/>
          <w:sz w:val="17"/>
          <w:szCs w:val="17"/>
          <w:color w:val="auto"/>
        </w:rPr>
      </w:pPr>
      <w:r>
        <w:rPr>
          <w:rFonts w:ascii="Arial" w:cs="Arial" w:eastAsia="Arial" w:hAnsi="Arial"/>
          <w:sz w:val="17"/>
          <w:szCs w:val="17"/>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 Any payments by the Company on the Securities following any such acceleration will be subject to the subordination provisions of Article 15 to the extent provided therein.</w:t>
      </w:r>
    </w:p>
    <w:p>
      <w:pPr>
        <w:spacing w:after="0" w:line="186" w:lineRule="exact"/>
        <w:rPr>
          <w:rFonts w:ascii="Arial" w:cs="Arial" w:eastAsia="Arial" w:hAnsi="Arial"/>
          <w:sz w:val="17"/>
          <w:szCs w:val="17"/>
          <w:color w:val="auto"/>
        </w:rPr>
      </w:pPr>
    </w:p>
    <w:p>
      <w:pPr>
        <w:jc w:val="both"/>
        <w:ind w:firstLine="656"/>
        <w:spacing w:after="0" w:line="287" w:lineRule="auto"/>
        <w:tabs>
          <w:tab w:leader="none" w:pos="924"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181st day after such Reporting Default (if such violation is not cured or waived prior to such 181st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2" w:lineRule="exact"/>
        <w:rPr>
          <w:sz w:val="20"/>
          <w:szCs w:val="20"/>
          <w:color w:val="auto"/>
        </w:rPr>
      </w:pPr>
    </w:p>
    <w:p>
      <w:pPr>
        <w:jc w:val="both"/>
        <w:ind w:firstLine="656"/>
        <w:spacing w:after="0" w:line="311" w:lineRule="auto"/>
        <w:tabs>
          <w:tab w:leader="none" w:pos="887" w:val="left"/>
        </w:tabs>
        <w:numPr>
          <w:ilvl w:val="0"/>
          <w:numId w:val="96"/>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3" w:name="page124"/>
    <w:bookmarkEnd w:id="123"/>
    <w:p>
      <w:pPr>
        <w:ind w:left="1560" w:hanging="256"/>
        <w:spacing w:after="0"/>
        <w:tabs>
          <w:tab w:leader="none" w:pos="1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1920" w:hanging="292"/>
        <w:spacing w:after="0"/>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980" w:firstLine="648"/>
        <w:spacing w:after="0" w:line="277" w:lineRule="auto"/>
        <w:tabs>
          <w:tab w:leader="none" w:pos="19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980" w:right="20" w:firstLine="648"/>
        <w:spacing w:after="0" w:line="277" w:lineRule="auto"/>
        <w:tabs>
          <w:tab w:leader="none" w:pos="1918"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980" w:firstLine="648"/>
        <w:spacing w:after="0" w:line="277" w:lineRule="auto"/>
        <w:tabs>
          <w:tab w:leader="none" w:pos="193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7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4"/>
        <w:spacing w:after="0" w:line="277" w:lineRule="auto"/>
        <w:tabs>
          <w:tab w:leader="none" w:pos="15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5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 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SECOND: Subject to Article 15,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such Holder has previously given written notice to the Trustee of a continuing Event of Default with respect to the Securities of that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firstLine="644"/>
        <w:spacing w:after="0" w:line="277" w:lineRule="auto"/>
        <w:tabs>
          <w:tab w:leader="none" w:pos="1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57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660" w:firstLine="644"/>
        <w:spacing w:after="0" w:line="277" w:lineRule="auto"/>
        <w:tabs>
          <w:tab w:leader="none" w:pos="1587"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660" w:right="20" w:firstLine="644"/>
        <w:spacing w:after="0" w:line="342" w:lineRule="auto"/>
        <w:tabs>
          <w:tab w:leader="none" w:pos="157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Trustee may take any other action deemed proper by the Trustee that is not inconsistent with such direction or this Indenture.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right="20" w:firstLine="644"/>
        <w:spacing w:after="0" w:line="263" w:lineRule="auto"/>
        <w:tabs>
          <w:tab w:leader="none" w:pos="15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3" w:lineRule="exact"/>
        <w:rPr>
          <w:rFonts w:ascii="Arial" w:cs="Arial" w:eastAsia="Arial" w:hAnsi="Arial"/>
          <w:sz w:val="18"/>
          <w:szCs w:val="18"/>
          <w:color w:val="auto"/>
        </w:rPr>
      </w:pPr>
    </w:p>
    <w:p>
      <w:pPr>
        <w:ind w:left="1580" w:hanging="276"/>
        <w:spacing w:after="0"/>
        <w:tabs>
          <w:tab w:leader="none" w:pos="15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the extent such right is applicable to such Security, a failure by the Company on request to convert any Security into Common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Stock; or</w:t>
      </w:r>
    </w:p>
    <w:p>
      <w:pPr>
        <w:spacing w:after="0" w:line="210" w:lineRule="exact"/>
        <w:rPr>
          <w:rFonts w:ascii="Arial" w:cs="Arial" w:eastAsia="Arial" w:hAnsi="Arial"/>
          <w:sz w:val="17"/>
          <w:szCs w:val="17"/>
          <w:color w:val="auto"/>
        </w:rPr>
      </w:pPr>
    </w:p>
    <w:p>
      <w:pPr>
        <w:ind w:left="660" w:right="20" w:firstLine="644"/>
        <w:spacing w:after="0" w:line="277" w:lineRule="auto"/>
        <w:tabs>
          <w:tab w:leader="none" w:pos="156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in the case of any default of the character specified in Section 5.1(4) with respect to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Securities of such series.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4"/>
        <w:spacing w:after="0" w:line="259" w:lineRule="auto"/>
        <w:tabs>
          <w:tab w:leader="none" w:pos="157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56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3" w:lineRule="exact"/>
        <w:rPr>
          <w:rFonts w:ascii="Arial" w:cs="Arial" w:eastAsia="Arial" w:hAnsi="Arial"/>
          <w:sz w:val="18"/>
          <w:szCs w:val="18"/>
          <w:color w:val="auto"/>
        </w:rPr>
      </w:pPr>
    </w:p>
    <w:p>
      <w:pPr>
        <w:ind w:left="660" w:firstLine="644"/>
        <w:spacing w:after="0" w:line="342" w:lineRule="auto"/>
        <w:tabs>
          <w:tab w:leader="none" w:pos="157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jc w:val="both"/>
        <w:ind w:left="660" w:firstLine="644"/>
        <w:spacing w:after="0" w:line="286" w:lineRule="auto"/>
        <w:tabs>
          <w:tab w:leader="none" w:pos="156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jc w:val="both"/>
        <w:ind w:left="660" w:firstLine="644"/>
        <w:spacing w:after="0" w:line="257" w:lineRule="auto"/>
        <w:tabs>
          <w:tab w:leader="none" w:pos="15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jc w:val="both"/>
        <w:ind w:left="660" w:firstLine="644"/>
        <w:spacing w:after="0" w:line="263" w:lineRule="auto"/>
        <w:tabs>
          <w:tab w:leader="none" w:pos="156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 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4"/>
        <w:spacing w:after="0" w:line="277" w:lineRule="auto"/>
        <w:tabs>
          <w:tab w:leader="none" w:pos="15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firstLine="644"/>
        <w:spacing w:after="0" w:line="311" w:lineRule="auto"/>
        <w:tabs>
          <w:tab w:leader="none" w:pos="156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4"/>
        <w:spacing w:after="0" w:line="277" w:lineRule="auto"/>
        <w:tabs>
          <w:tab w:leader="none" w:pos="15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jc w:val="both"/>
        <w:ind w:firstLine="648"/>
        <w:spacing w:after="0" w:line="311"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-36-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1" w:name="page132"/>
    <w:bookmarkEnd w:id="131"/>
    <w:p>
      <w:pPr>
        <w:jc w:val="both"/>
        <w:ind w:firstLine="648"/>
        <w:spacing w:after="0" w:line="311"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No successor Trustee shall accept its appointment unless at the time of such acceptance such successor Trustee shall be qualified and eligible under this Article.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a predecessor Trustee, with the full force and effect which this Indenture provides for the certificate of authentication of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2" w:name="page133"/>
    <w:bookmarkEnd w:id="132"/>
    <w:p>
      <w:pPr>
        <w:jc w:val="both"/>
        <w:ind w:firstLine="648"/>
        <w:spacing w:after="0" w:line="271"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4"/>
        <w:spacing w:after="0" w:line="263" w:lineRule="auto"/>
        <w:tabs>
          <w:tab w:leader="none" w:pos="15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list need be furnished by the Company to the Trustee so long as the Trustee is acting as Security Registrar.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rights of Holders to communicate with other Holders with respect to their rights under this Indenture or under the Securities, and the corresponding rights and privileges of the Trustee, shall be as provided by the Trust Indenture Act.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4" w:lineRule="exact"/>
        <w:rPr>
          <w:sz w:val="20"/>
          <w:szCs w:val="20"/>
          <w:color w:val="auto"/>
        </w:rPr>
      </w:pPr>
    </w:p>
    <w:p>
      <w:pPr>
        <w:jc w:val="both"/>
        <w:ind w:left="660" w:firstLine="644"/>
        <w:spacing w:after="0" w:line="269" w:lineRule="auto"/>
        <w:tabs>
          <w:tab w:leader="none" w:pos="156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1" w:lineRule="exact"/>
        <w:rPr>
          <w:rFonts w:ascii="Arial" w:cs="Arial" w:eastAsia="Arial" w:hAnsi="Arial"/>
          <w:sz w:val="17"/>
          <w:szCs w:val="17"/>
          <w:color w:val="auto"/>
        </w:rPr>
      </w:pPr>
    </w:p>
    <w:p>
      <w:pPr>
        <w:jc w:val="both"/>
        <w:ind w:left="660" w:firstLine="644"/>
        <w:spacing w:after="0" w:line="311" w:lineRule="auto"/>
        <w:tabs>
          <w:tab w:leader="none" w:pos="156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4" w:name="page135"/>
    <w:bookmarkEnd w:id="134"/>
    <w:p>
      <w:pPr>
        <w:jc w:val="both"/>
        <w:ind w:left="660" w:firstLine="644"/>
        <w:spacing w:after="0" w:line="311" w:lineRule="auto"/>
        <w:tabs>
          <w:tab w:leader="none" w:pos="15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46" w:lineRule="exact"/>
        <w:rPr>
          <w:sz w:val="20"/>
          <w:szCs w:val="20"/>
          <w:color w:val="auto"/>
        </w:rPr>
      </w:pPr>
    </w:p>
    <w:p>
      <w:pPr>
        <w:ind w:left="660" w:right="20" w:firstLine="644"/>
        <w:spacing w:after="0" w:line="277" w:lineRule="auto"/>
        <w:tabs>
          <w:tab w:leader="none" w:pos="15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3" w:lineRule="exact"/>
        <w:rPr>
          <w:rFonts w:ascii="Arial" w:cs="Arial" w:eastAsia="Arial" w:hAnsi="Arial"/>
          <w:sz w:val="18"/>
          <w:szCs w:val="18"/>
          <w:color w:val="auto"/>
        </w:rPr>
      </w:pPr>
    </w:p>
    <w:p>
      <w:pPr>
        <w:jc w:val="both"/>
        <w:ind w:left="660" w:right="20" w:firstLine="644"/>
        <w:spacing w:after="0" w:line="263" w:lineRule="auto"/>
        <w:tabs>
          <w:tab w:leader="none" w:pos="157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6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of this Indenture in respect of one or more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 or</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5" w:name="page136"/>
    <w:bookmarkEnd w:id="135"/>
    <w:p>
      <w:pPr>
        <w:ind w:left="1560" w:hanging="256"/>
        <w:spacing w:after="0"/>
        <w:tabs>
          <w:tab w:leader="none" w:pos="1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7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68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6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6" w:lineRule="exact"/>
        <w:rPr>
          <w:sz w:val="20"/>
          <w:szCs w:val="20"/>
          <w:color w:val="auto"/>
        </w:rPr>
      </w:pPr>
    </w:p>
    <w:p>
      <w:pPr>
        <w:jc w:val="both"/>
        <w:ind w:left="660" w:firstLine="644"/>
        <w:spacing w:after="0" w:line="270" w:lineRule="auto"/>
        <w:tabs>
          <w:tab w:leader="none" w:pos="157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materially adverse to the Holders of Securities of such series, or,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5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5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7" w:lineRule="exact"/>
        <w:rPr>
          <w:rFonts w:ascii="Arial" w:cs="Arial" w:eastAsia="Arial" w:hAnsi="Arial"/>
          <w:sz w:val="18"/>
          <w:szCs w:val="18"/>
          <w:color w:val="auto"/>
        </w:rPr>
      </w:pPr>
    </w:p>
    <w:p>
      <w:pPr>
        <w:ind w:left="660" w:firstLine="644"/>
        <w:spacing w:after="0" w:line="277" w:lineRule="auto"/>
        <w:tabs>
          <w:tab w:leader="none" w:pos="15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6" w:name="page137"/>
    <w:bookmarkEnd w:id="136"/>
    <w:p>
      <w:pPr>
        <w:jc w:val="both"/>
        <w:ind w:firstLine="648"/>
        <w:spacing w:after="0" w:line="257"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shall not be necessary for any Act of Holders under this Section to approve the particular form of any proposed supplemental indenture, but it shall be sufficient if such Act shall approve the substance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Subordination Unimpaired.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provision in any supplemental indenture that affects the superior position of the holders of Senior Debt shall be effective against holders of Senior Debt.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Section 10.2Maintenance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Maintenance of 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Payment of Taxes and Other Claims.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Waiver of Certain Covenants.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such Security, the Holder of such Security will receive, without charge, a new Security or Securities of authorized denominations for the principal amount thereof remaining unredeemed,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firstLine="644"/>
        <w:spacing w:after="0" w:line="342" w:lineRule="auto"/>
        <w:tabs>
          <w:tab w:leader="none" w:pos="157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applicable, the conversion price or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Company’s exercise of its option (if any) to have this Section applied to any Securities or any series of Securities, as the case may be, the Company shall be deemed to have been discharged from its obligations, and the provisions of Article 15 shall cease to be effective,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95" w:lineRule="exact"/>
        <w:rPr>
          <w:sz w:val="20"/>
          <w:szCs w:val="20"/>
          <w:color w:val="auto"/>
        </w:rPr>
      </w:pPr>
    </w:p>
    <w:p>
      <w:pPr>
        <w:ind w:left="660" w:firstLine="644"/>
        <w:spacing w:after="0" w:line="308" w:lineRule="auto"/>
        <w:tabs>
          <w:tab w:leader="none" w:pos="157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Sections 3.4, 3.5, 3.6, 10.2 and 10.3, and, if applicable, Article 14,</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maybe,</w:t>
      </w:r>
    </w:p>
    <w:p>
      <w:pPr>
        <w:spacing w:after="0" w:line="248" w:lineRule="exact"/>
        <w:rPr>
          <w:sz w:val="20"/>
          <w:szCs w:val="20"/>
          <w:color w:val="auto"/>
        </w:rPr>
      </w:pPr>
    </w:p>
    <w:p>
      <w:pPr>
        <w:ind w:left="660" w:firstLine="644"/>
        <w:spacing w:after="0" w:line="277" w:lineRule="auto"/>
        <w:tabs>
          <w:tab w:leader="none" w:pos="15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8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occurrence of any event specified in Sections 5.1(4) (with respect to any of Sections 10.6 and 10.7 and any such covenants provided pursuant to Section 3.1(19), 9.1(2) or 9.1(7)) and the occurrence of any Event of Default specified pursuant to Section 3.1, shall be deemed not to be or result in an Event of Default, and</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of Article 15 shall cease to be effective,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case with respect to such Securities or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Event of Default specified pursuant to Section 3.1) or Article 15,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be:</w:t>
      </w:r>
    </w:p>
    <w:p>
      <w:pPr>
        <w:spacing w:after="0" w:line="211" w:lineRule="exact"/>
        <w:rPr>
          <w:sz w:val="20"/>
          <w:szCs w:val="20"/>
          <w:color w:val="auto"/>
        </w:rPr>
      </w:pPr>
    </w:p>
    <w:p>
      <w:pPr>
        <w:jc w:val="both"/>
        <w:ind w:left="660" w:firstLine="644"/>
        <w:spacing w:after="0" w:line="259" w:lineRule="auto"/>
        <w:tabs>
          <w:tab w:leader="none" w:pos="15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1920" w:hanging="292"/>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300" w:firstLine="652"/>
        <w:spacing w:after="0" w:line="277" w:lineRule="auto"/>
        <w:tabs>
          <w:tab w:leader="none" w:pos="2266" w:val="left"/>
        </w:tabs>
        <w:numPr>
          <w:ilvl w:val="2"/>
          <w:numId w:val="115"/>
        </w:numPr>
        <w:rPr>
          <w:rFonts w:ascii="Arial" w:cs="Arial" w:eastAsia="Arial" w:hAnsi="Arial"/>
          <w:sz w:val="18"/>
          <w:szCs w:val="18"/>
          <w:color w:val="auto"/>
        </w:rPr>
      </w:pPr>
      <w:r>
        <w:rPr>
          <w:rFonts w:ascii="Arial" w:cs="Arial" w:eastAsia="Arial" w:hAnsi="Arial"/>
          <w:sz w:val="18"/>
          <w:szCs w:val="18"/>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1920" w:hanging="292"/>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4" w:name="page145"/>
    <w:bookmarkEnd w:id="144"/>
    <w:p>
      <w:pPr>
        <w:ind w:left="1300" w:firstLine="652"/>
        <w:spacing w:after="0" w:line="308" w:lineRule="auto"/>
        <w:tabs>
          <w:tab w:leader="none" w:pos="225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46" w:lineRule="exact"/>
        <w:rPr>
          <w:rFonts w:ascii="Arial" w:cs="Arial" w:eastAsia="Arial" w:hAnsi="Arial"/>
          <w:sz w:val="17"/>
          <w:szCs w:val="17"/>
          <w:color w:val="auto"/>
        </w:rPr>
      </w:pPr>
    </w:p>
    <w:p>
      <w:pPr>
        <w:ind w:left="2260" w:hanging="308"/>
        <w:spacing w:after="0"/>
        <w:tabs>
          <w:tab w:leader="none" w:pos="2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87" w:lineRule="exact"/>
        <w:rPr>
          <w:sz w:val="20"/>
          <w:szCs w:val="20"/>
          <w:color w:val="auto"/>
        </w:rPr>
      </w:pPr>
    </w:p>
    <w:p>
      <w:pPr>
        <w:ind w:left="660" w:firstLine="644"/>
        <w:spacing w:after="0" w:line="277" w:lineRule="auto"/>
        <w:tabs>
          <w:tab w:leader="none" w:pos="157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w:t>
      </w:r>
    </w:p>
    <w:p>
      <w:pPr>
        <w:spacing w:after="0" w:line="170" w:lineRule="exact"/>
        <w:rPr>
          <w:rFonts w:ascii="Arial" w:cs="Arial" w:eastAsia="Arial" w:hAnsi="Arial"/>
          <w:sz w:val="18"/>
          <w:szCs w:val="18"/>
          <w:color w:val="auto"/>
        </w:rPr>
      </w:pPr>
    </w:p>
    <w:p>
      <w:pPr>
        <w:ind w:left="1920" w:hanging="292"/>
        <w:spacing w:after="0"/>
        <w:tabs>
          <w:tab w:leader="none" w:pos="19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1920" w:hanging="292"/>
        <w:spacing w:after="0"/>
        <w:tabs>
          <w:tab w:leader="none" w:pos="19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since the date of this instrument, there has been a change in the applicable Federal income tax law,</w:t>
      </w:r>
    </w:p>
    <w:p>
      <w:pPr>
        <w:spacing w:after="0" w:line="225" w:lineRule="exact"/>
        <w:rPr>
          <w:rFonts w:ascii="Arial" w:cs="Arial" w:eastAsia="Arial" w:hAnsi="Arial"/>
          <w:sz w:val="18"/>
          <w:szCs w:val="18"/>
          <w:color w:val="auto"/>
        </w:rPr>
      </w:pPr>
    </w:p>
    <w:p>
      <w:pPr>
        <w:jc w:val="both"/>
        <w:ind w:left="980" w:firstLine="648"/>
        <w:spacing w:after="0" w:line="259" w:lineRule="auto"/>
        <w:tabs>
          <w:tab w:leader="none" w:pos="191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57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7" w:lineRule="exact"/>
        <w:rPr>
          <w:rFonts w:ascii="Arial" w:cs="Arial" w:eastAsia="Arial" w:hAnsi="Arial"/>
          <w:sz w:val="18"/>
          <w:szCs w:val="18"/>
          <w:color w:val="auto"/>
        </w:rPr>
      </w:pPr>
    </w:p>
    <w:p>
      <w:pPr>
        <w:ind w:left="660" w:firstLine="644"/>
        <w:spacing w:after="0" w:line="277" w:lineRule="auto"/>
        <w:tabs>
          <w:tab w:leader="none" w:pos="15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57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5" w:lineRule="exact"/>
        <w:rPr>
          <w:rFonts w:ascii="Arial" w:cs="Arial" w:eastAsia="Arial" w:hAnsi="Arial"/>
          <w:sz w:val="16"/>
          <w:szCs w:val="16"/>
          <w:color w:val="auto"/>
        </w:rPr>
      </w:pPr>
    </w:p>
    <w:p>
      <w:pPr>
        <w:ind w:left="660" w:firstLine="644"/>
        <w:spacing w:after="0" w:line="277" w:lineRule="auto"/>
        <w:tabs>
          <w:tab w:leader="none" w:pos="15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firstLine="644"/>
        <w:spacing w:after="0" w:line="277" w:lineRule="auto"/>
        <w:tabs>
          <w:tab w:leader="none" w:pos="157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5" w:name="page146"/>
    <w:bookmarkEnd w:id="145"/>
    <w:p>
      <w:pPr>
        <w:ind w:left="660" w:firstLine="644"/>
        <w:spacing w:after="0" w:line="342" w:lineRule="auto"/>
        <w:tabs>
          <w:tab w:leader="none" w:pos="15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23" w:lineRule="exact"/>
        <w:rPr>
          <w:rFonts w:ascii="Arial" w:cs="Arial" w:eastAsia="Arial" w:hAnsi="Arial"/>
          <w:sz w:val="16"/>
          <w:szCs w:val="16"/>
          <w:color w:val="auto"/>
        </w:rPr>
      </w:pPr>
    </w:p>
    <w:p>
      <w:pPr>
        <w:ind w:left="1540" w:hanging="236"/>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the time of such deposit,</w:t>
      </w:r>
    </w:p>
    <w:p>
      <w:pPr>
        <w:spacing w:after="0" w:line="225" w:lineRule="exact"/>
        <w:rPr>
          <w:rFonts w:ascii="Arial" w:cs="Arial" w:eastAsia="Arial" w:hAnsi="Arial"/>
          <w:sz w:val="18"/>
          <w:szCs w:val="18"/>
          <w:color w:val="auto"/>
        </w:rPr>
      </w:pPr>
    </w:p>
    <w:p>
      <w:pPr>
        <w:ind w:left="1920" w:hanging="292"/>
        <w:spacing w:after="0"/>
        <w:tabs>
          <w:tab w:leader="none" w:pos="19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 default in the payment of any principal of or premium or interest on any Senior Debt shall have occurred and be continuing,</w:t>
      </w:r>
    </w:p>
    <w:p>
      <w:pPr>
        <w:spacing w:after="0" w:line="248" w:lineRule="exact"/>
        <w:rPr>
          <w:rFonts w:ascii="Arial" w:cs="Arial" w:eastAsia="Arial" w:hAnsi="Arial"/>
          <w:sz w:val="16"/>
          <w:szCs w:val="16"/>
          <w:color w:val="auto"/>
        </w:rPr>
      </w:pPr>
    </w:p>
    <w:p>
      <w:pPr>
        <w:jc w:val="both"/>
        <w:ind w:left="980" w:right="20" w:firstLine="648"/>
        <w:spacing w:after="0" w:line="263" w:lineRule="auto"/>
        <w:tabs>
          <w:tab w:leader="none" w:pos="191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w:t>
      </w:r>
    </w:p>
    <w:p>
      <w:pPr>
        <w:spacing w:after="0" w:line="183" w:lineRule="exact"/>
        <w:rPr>
          <w:rFonts w:ascii="Arial" w:cs="Arial" w:eastAsia="Arial" w:hAnsi="Arial"/>
          <w:sz w:val="18"/>
          <w:szCs w:val="18"/>
          <w:color w:val="auto"/>
        </w:rPr>
      </w:pPr>
    </w:p>
    <w:p>
      <w:pPr>
        <w:jc w:val="both"/>
        <w:ind w:left="980" w:firstLine="648"/>
        <w:spacing w:after="0" w:line="263" w:lineRule="auto"/>
        <w:tabs>
          <w:tab w:leader="none" w:pos="191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83" w:lineRule="exact"/>
        <w:rPr>
          <w:rFonts w:ascii="Arial" w:cs="Arial" w:eastAsia="Arial" w:hAnsi="Arial"/>
          <w:sz w:val="18"/>
          <w:szCs w:val="18"/>
          <w:color w:val="auto"/>
        </w:rPr>
      </w:pPr>
    </w:p>
    <w:p>
      <w:pPr>
        <w:ind w:left="660" w:firstLine="644"/>
        <w:spacing w:after="0" w:line="277" w:lineRule="auto"/>
        <w:tabs>
          <w:tab w:leader="none" w:pos="165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U.S. Government Obligations and Foreign Government Obligations so held in trust shall not be subject to the provisions of Article 15.</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7" w:name="page148"/>
    <w:bookmarkEnd w:id="147"/>
    <w:p>
      <w:pPr>
        <w:jc w:val="both"/>
        <w:ind w:firstLine="648"/>
        <w:spacing w:after="0" w:line="263" w:lineRule="auto"/>
        <w:rPr>
          <w:sz w:val="20"/>
          <w:szCs w:val="20"/>
          <w:color w:val="auto"/>
        </w:rPr>
      </w:pPr>
      <w:r>
        <w:rPr>
          <w:rFonts w:ascii="Arial" w:cs="Arial" w:eastAsia="Arial" w:hAnsi="Arial"/>
          <w:sz w:val="18"/>
          <w:szCs w:val="18"/>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principal exchange or market on which the Common Stock is then traded or quoted.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14.5 Notice of Certain Corporate 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w:t>
      </w:r>
    </w:p>
    <w:p>
      <w:pPr>
        <w:spacing w:after="0" w:line="225" w:lineRule="exact"/>
        <w:rPr>
          <w:sz w:val="20"/>
          <w:szCs w:val="20"/>
          <w:color w:val="auto"/>
        </w:rPr>
      </w:pPr>
    </w:p>
    <w:p>
      <w:pPr>
        <w:jc w:val="both"/>
        <w:ind w:left="660" w:firstLine="644"/>
        <w:spacing w:after="0" w:line="263" w:lineRule="auto"/>
        <w:tabs>
          <w:tab w:leader="none" w:pos="15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8" w:name="page149"/>
    <w:bookmarkEnd w:id="148"/>
    <w:p>
      <w:pPr>
        <w:jc w:val="both"/>
        <w:ind w:left="660" w:firstLine="644"/>
        <w:spacing w:after="0" w:line="263" w:lineRule="auto"/>
        <w:tabs>
          <w:tab w:leader="none" w:pos="15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 Agreement of 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 supplemental indenture or pursuant to Section 3.1, the Company covenants and agrees, and each Holder of Securities issued hereunder by its acceptance thereof likewise covenants and agrees, that all Securities shall be issued subject to the provisions of this Article 15; and each Person holding any Security, whether upon original issue or upon transfer, assignment or exchange thereof, accepts and agrees to be bound by such provisions.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(including, but not limited to, the redemption price with respect to the Securities called for redemption in accordance with Article 11 as provided in the Indenture) issued hereunder shall, to the extent and in the manner hereinafter set forth, be subordinated and subject in right of payment to the prior payment in full of all Senior Debt, whether outstanding at the date of this Indenture or thereafter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15 shall prevent the occurrence of any default or Event of Default hereunder.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15.2 Payments to 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payment shall be made with respect to the principal of, or premium, if any, or interest on the Securities (including, but not limited to, the redemption price with respect to the Securities to be called for redemption in accordance with Article 11 as provided in the Indenture), except payments and distributions made by the Trustee as permitted by the first or second paragraph of Section 15.5, if:</w:t>
      </w:r>
    </w:p>
    <w:p>
      <w:pPr>
        <w:spacing w:after="0" w:line="184" w:lineRule="exact"/>
        <w:rPr>
          <w:sz w:val="20"/>
          <w:szCs w:val="20"/>
          <w:color w:val="auto"/>
        </w:rPr>
      </w:pPr>
    </w:p>
    <w:p>
      <w:pPr>
        <w:jc w:val="both"/>
        <w:ind w:left="1300" w:firstLine="652"/>
        <w:spacing w:after="0" w:line="259" w:lineRule="auto"/>
        <w:tabs>
          <w:tab w:leader="none" w:pos="21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default in the payment of principal, premium, if any, interest, rent or other obligations due on any Senior Debt occurs and is continuing (or, in the case of Senior Debt for which there is a period of grace, in the event of such a default that continues beyond the period of grace, if any, specified in the instrument or lease evidencing such Senior Debt) (a “Payment Default”), unless and until such default shall have been cured or waived or shall have ceased to exist; or</w:t>
      </w:r>
    </w:p>
    <w:p>
      <w:pPr>
        <w:spacing w:after="0" w:line="186" w:lineRule="exact"/>
        <w:rPr>
          <w:rFonts w:ascii="Arial" w:cs="Arial" w:eastAsia="Arial" w:hAnsi="Arial"/>
          <w:sz w:val="18"/>
          <w:szCs w:val="18"/>
          <w:color w:val="auto"/>
        </w:rPr>
      </w:pPr>
    </w:p>
    <w:p>
      <w:pPr>
        <w:jc w:val="both"/>
        <w:ind w:left="1300" w:firstLine="652"/>
        <w:spacing w:after="0" w:line="311" w:lineRule="auto"/>
        <w:tabs>
          <w:tab w:leader="none" w:pos="221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a holder of Designated Senior Debt, a Representative of Designated Senior Debt or the Company (a “Non-Payment Default”).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and shall resume payments on and distributions in respect of the Securities upon the earlier of:</w:t>
      </w:r>
    </w:p>
    <w:p>
      <w:pPr>
        <w:spacing w:after="0" w:line="225" w:lineRule="exact"/>
        <w:rPr>
          <w:sz w:val="20"/>
          <w:szCs w:val="20"/>
          <w:color w:val="auto"/>
        </w:rPr>
      </w:pPr>
    </w:p>
    <w:p>
      <w:pPr>
        <w:jc w:val="center"/>
        <w:ind w:left="5480" w:right="1220" w:hanging="4176"/>
        <w:spacing w:after="0" w:line="527" w:lineRule="auto"/>
        <w:tabs>
          <w:tab w:leader="none" w:pos="15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any Payment Default, the date upon which the Payment Default is cured or waived or ceases to exist, or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51" w:name="page152"/>
    <w:bookmarkEnd w:id="151"/>
    <w:p>
      <w:pPr>
        <w:ind w:left="660" w:firstLine="644"/>
        <w:spacing w:after="0" w:line="277" w:lineRule="auto"/>
        <w:tabs>
          <w:tab w:leader="none" w:pos="15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 Non-Payment Default, the earlier of (a) the date upon which such Non-Payment Default is cured, waived or ceases to exist or (b) 179 days after the date on which the applicable Payment Blockage Notice is received by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this Article 15 otherwise prohibits the payment or distribution at such time.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Upon any payment or distribution of assets of the Company of any kind or character, whether in cash, property or securities, to creditors upon any dissolution or winding-up or liquidation or reorganization of the Company, whether voluntary or involuntary or in bankruptcy, insolvency, reorganization, liquidation, receivership or other proceedings, or upon an assignment for the benefit of creditors or any marshalling of the assets and liabilities of the Company, or otherwise, all amounts due or to become due upon all Senior Debt shall first be paid in full in cash or other payment satisfactory to the holders of such Senior Debt, or payment thereof in accordance with its terms provided for in cash or other payment satisfactory to the holders of such Senior Debt, before any payment is made on account of the principal of, premium, if any, or interest on the Securities (except payments made pursuant to Article 4 from monies deposited with the Trustee pursuant thereto prior to commencement of proceedings for such dissolution, winding-up, liquidation, reorganization, assignment for the benefit of creditors or the marshalling of assets and liabilities of the Company); and upon any such dissolution, winding-up, liquidation, reorganization, assignment for the benefit of creditors or marshalling of assets and liabilities of the Company or bankruptcy, insolvency, receivership or other proceeding, any payment by the Company, or distribution of assets of the Company of any kind or character, whether in cash, property or securities, to which the Holders of the Securities or the Trustee would be entitled, except for the provision of this Article 15, shall (except as aforesaid) be paid by the Company or by any receiver, trustee in bankruptcy, liquidating trustee, agent or other Person making such payment or distribution, or by the Holders of the Securities or by the Trustee under this Indenture if received by them or it, directly to the holders of Senior Debt (pro rata to such holders on the basis of the respective amounts of Senior Debt held by such holders, or as otherwise required by law or a court order) or their Representative or Representatives, or to the trustee or trustees under any indenture pursuant to which any instruments evidencing any Senior Debt may have been issued, as their respective interests may appear, to the extent necessary to pay all Senior Debt in full, in cash or other payment satisfactory to the holders of such Senior Debt, after giving effect to any concurrent payment or distribution to or for the holders of Senior Debt, before any payment or distribution or provision therefor is made to the Holders of the Securities or to the Trustee.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For purposes of this Article 15,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15 with respect to the Securities to the payment of all Senior Debt which may at the time be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Senior Debt is assumed by the new corporation, if any, resulting from any reorganization or readjustment, and (ii) the rights of the holders of Senior Debt (other than leases which are not assumed by the Company or the new corporation, as the case may be)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shall not be deemed a dissolution, winding-up, liquidation or reorganization for the purposes of this Section 15.2 if such other corporation shall, as a part of such consolidation, merger, conveyance or transfer, comply with the conditions stated in Article 8.</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of the acceleration of the Securities because of an Event of Default, no payment or distribution shall be made to the Trustee or any Holder of Securities in respect of the principal of, premium, if any, or interest on the Securities (including, but not limited to, the redemption price with respect to the Securities called for redemption in accordance with Article 11 as provided in the Indenture), except payments and distributions made by the Trustee as permitted by the first or second paragraph of Section 15.5, until all Senior Debt has been paid in full in cash or other payment satisfactory to the holders of Senior Debt or such acceleration is rescinded in accordance with the terms of this Indenture. If payment of the Securities is accelerated because of an Event of Default, the Company shall promptly notify holders of Senior Debt of the acceleration.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2" w:name="page153"/>
    <w:bookmarkEnd w:id="152"/>
    <w:p>
      <w:pPr>
        <w:jc w:val="both"/>
        <w:ind w:firstLine="648"/>
        <w:spacing w:after="0" w:line="270" w:lineRule="auto"/>
        <w:rPr>
          <w:sz w:val="20"/>
          <w:szCs w:val="20"/>
          <w:color w:val="auto"/>
        </w:rPr>
      </w:pPr>
      <w:r>
        <w:rPr>
          <w:rFonts w:ascii="Arial" w:cs="Arial" w:eastAsia="Arial" w:hAnsi="Arial"/>
          <w:sz w:val="17"/>
          <w:szCs w:val="17"/>
          <w:color w:val="auto"/>
        </w:rPr>
        <w:t>In the event that, notwithstanding the foregoing provisions, any payment or distribution of assets of the Company of any kind or character, whether in cash, property or securities (including, without limitation, by way of setoff or otherwise), prohibited by the foregoing, shall be received by the Trustee or the Holders of the Securities before all Senior Debt is paid in full in cash or other payment satisfactory to the holders of such Senior Debt, or provision is made for such payment thereof in accordance with its terms in cash or other payment satisfactory to the holders of such Senior Debt, such payment or distribution shall be held in trust for the benefit of and shall be paid over or delivered to the holders of Senior Debt or their Representative or Representatives, or to the trustee or trustees under any indenture pursuant to which any instruments evidencing any Senior Debt may have been issued, as their respective interests may appear, as calculated by the Company, for application to the payment of all Senior Debt remaining unpaid to the extent necessary to pay all Senior Debt in full in cash or other payment satisfactory to the holders of such Senior Debt, after giving effect to any concurrent payment or distribution to or for the holders of such Senior Debt.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Section 15.2 shall apply to claims of, or payments to, the Trustee under or pursuant to Section 6.7. This Section 15.2 shall be subject to the further provisions of Section 15.5.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15.3 Subrogation of Securities.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payment in full of all Senior Debt, the rights of the Holders of the Securities shall be subrogated to the extent of the payments or distributions made to the holders of such Senior Debt pursuant to the provisions of this Article 15 (equally and ratably with the holders of all indebtedness of the Company which by its express terms is subordinated to other indebtedness of the Company to substantially the same extent as the Securities are subordinated and is entitled to like rights of subrogation) to the rights of the holders of Senior Debt to receive payments or distributions of cash, property or securities of the Company applicable to the Senior Debt until the principal, premium, if any, and interest on the Securities shall be paid in full; and, for the purposes of such subrogation, no payments or distributions to the holders of the Senior Debt of any cash, property or securities to which the Holders of the Securities or the Trustee would be entitled except for the provisions of this Article 15, and no payment over pursuant to the provisions of this Article 15, to or for the benefit of the holders of Senior Debt by Holders of the Securities or the Trustee, shall, as between the Company, its creditors other than holders of Senior Debt, and the Holders of the Securities, be deemed to be a payment by the Company to or on account of the Senior Debt; and no payments or distributions of cash, property or securities to or for the benefit of the Holders of the Securities pursuant to the subrogation provisions of this Article 15, which would otherwise have been paid to the holders of Senior Debt shall be deemed to be a payment by the Company to or for the account of the Securities. It is understood that the provisions of this Article 15 are and are intended solely for the purposes of defining the relative rights of the Holders of the Securities, on the one hand, and the holders of the Senior Debt, on the other hand.</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Nothing contained in this Article 15 or elsewhere in this Indenture or in the Securities is intended to or shall impair, as among the Company, its creditors other than the holders of Senior Debt,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 therein prevent the Trustee or the Holder of any Security from exercising all remedies otherwise permitted by applicable law upon default under this Indenture, subject to the rights, if any, under this Article 15 of the holders of Senior Debt in respect of cash, property or securities of the Company received upon the exercise of any such remedy.</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15, the Trustee, subject to the provisions of Section 6.1, and the Holders of the Securities shall be entitled to rely upon any order or decree made by any court of competent jurisdiction in which such bankruptcy,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Debt and other indebtedness of the Company, the amount thereof or payable thereon and all other facts pertinent thereto or to this Article 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Section 15.4 Authorization to Effect Subordination.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Holder of a Security by the holder’s acceptance thereof authorizes and directs the Trustee on the holder’s behalf to take such action as may be necessary or appropriate to effectuate the subordination as provided in this Article 15 and appoints the Trustee to act as the holder’s attorney-in-fact for any and all such purposes. If the Trustee does not file a proper proof of claim or proof of debt in the form required in any proceeding referred to in Section 5.4 hereof at least 30 days before the expiration of the time to file such claim, the holders of any Senior Debt or their representatives are hereby authorized to file an appropriate claim for and on behalf of the Holders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15.5 Notice to Trustee.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shall give prompt written notice in the form of an Officers’ Certificate to a Responsible Officer of the Trustee and to any Paying Agent of any fact known to the Company which would prohibit the making of any payment of monies to or by the Trustee or any Paying Agent in respect of the Securities pursuant to the provisions of this Article 15. Notwithstanding the provisions of this Article 15 or any other provision of this Indenture, the Trustee shall not be charged with knowledge of the existence of any facts which would prohibit the making of any payment of monies to or by the Trustee in respect of the Securities pursuant to the provisions of this Article 15, unless and until a Responsible Officer of the Trustee shall have received written notice thereof at the Corporate Trust Office from the Company (in the form of an Officers’ Certificate) or a Representative or a holder or holders of Senior Debt or from any trustee therefor; and before the receipt of any such written notice, the Trustee, subject to the provisions of Section 6.1,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 date not fewer than two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15.5,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in this Article 15 to the contrary, nothing shall prevent any payment by the Trustee to the Holders of monies deposited with it pursuant to Section 4.1, and any such payment shall not be subject to the provisions of Section 15.1 or 15.2.</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Trustee, subject to the provisions of Section 6.1, shall be entitled to rely on the delivery to it of a written notice by a Representative or a person representing himself to be a holder of Senior Debt (or a trustee on behalf of such holder) to establish that such notice has been given by a Representative or a holder of Senior Debt or a trustee on behalf of any such holder or holders. The Trustee shall not be required to make any payment or distribution to or on behalf of a holder of Senior Debt pursuant to this Article 15 unless it has received satisfactory evidence as to the amount of Senior Debt held by such person, the extent to which such person is entitled to participate in such payment or distribution and any other facts pertinent to the rights of such person under this Article 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15.6 Trustee’s Relation to Senior Debt.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Trustee in its individual capacity shall be entitled to all the rights set forth in this Article 15 in respect of any Senior Debt at any time held by it, to the same extent as any other holder of Senior Debt, and nothing in this Indenture shall deprive the Trustee of any of its rights as such holder.</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the holders of Senior Debt, the Trustee undertakes to perform or to observe only such of its covenants and obligations as are specifically set forth in this Article 15, and no implied covenants or obligations with respect to the holders of Senior Debt shall be read into this Indenture against the Trustee. The Trustee shall not be deemed to owe any fiduciary duty to the holders of Senior Debt and, subject to the provisions of Section 6.1, the Trustee shall not be liable to any holder of Senior Debt (i) for any failure to make any payments or distributions to such holders or (ii) if it shall pay over or deliver to Holders of Securities, the Company or any other Person money or assets to which any holder of Senior Debt shall be entitled by virtue of this Article 15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Section 15.7 No Impairment of 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the Trustee or any Holder of Securities with the terms, provisions and covenants of this Indenture, regardless of any knowledge thereof which any such holder may have or otherwise be charged with.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15.8 Certain Conversions/Exchanges Deemed Payment.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purposes of this Article 15 only, (1) the issuance and delivery of junior securities upon conversion or exchange of Securities in accordance with Article 14 or otherwise (except upon conversion of the Securities in accordance with their terms) shall not be deemed to constitute a payment or distribution on account of the principal of (or premium, if any) or interest on Securities or on account of the purchase or other acquisition of Securities, and</w:t>
      </w:r>
    </w:p>
    <w:p>
      <w:pPr>
        <w:spacing w:after="0" w:line="2" w:lineRule="exact"/>
        <w:rPr>
          <w:sz w:val="20"/>
          <w:szCs w:val="20"/>
          <w:color w:val="auto"/>
        </w:rPr>
      </w:pPr>
    </w:p>
    <w:p>
      <w:pPr>
        <w:jc w:val="both"/>
        <w:ind w:firstLine="8"/>
        <w:spacing w:after="0" w:line="288" w:lineRule="auto"/>
        <w:tabs>
          <w:tab w:leader="none" w:pos="2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payment, issuance or delivery of cash (except in satisfaction of fractional shares pursuant to Section 14.3), property or securities (other than junior securities) upon conversion or exchange of a Security shall be deemed to constitute payment on account of the principal of such Security. For the purposes of this Section 15.8, the term “junior securities” means (a) shares of any stock of any class of the Company, or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 Nothing contained in this Article 15 or elsewhere in this Indenture or in the Securities is intended to or shall impair, as among the Company, its creditors other than holders of Senior Debt and the Holders of Securities, the right, which is absolute and unconditional, of the Holder of any Security to convert such Security in accordance with Article 14.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15.9 Article Applicable to Paying Agents.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at any time any Paying Agent other than the Trustee shall have been appointed by the Company and be then acting hereunder, the term “Trustee” as used in this Article shall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first paragraph of Section 15.5 shall not apply to the Company or any Affiliate of the Company if the Company or such Affiliate acts as Paying Agent. The Trustee shall not be responsible for the actions or inactions of any other Paying Agents (including the Company if acting as its own Paying Agent) and shall have no control of any funds held by such other Paying Agents.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15.10 Senior Debt Entitled to Rely.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holders of Senior Debt (including, without limitation, Designated Senior Debt) shall have the right to rely upon this Article 15, and no amendment or modification of the provisions contained herein shall diminish the rights of such holders unless such holders shall have agreed in writing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15.11 Reliance on Judicial Order or Certificate of Liquidating Agent.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any payment or distribution of assets of the Company referred to in this Article, the Trustee and the Holders shall be entitled to rely upon any order or decree entered by any court of competent jurisdiction in which such dissolution, winding up, liquidation, reorganization, assignment for the benefit of creditors or marshalling of assets and liabilities of the Company or bankruptcy, insolvency, receivership or other like proceeding is pending, or a certificate of the trustee in bankruptcy, liquidating trustee, custodian, receiver, assignee for the benefit of creditors, agent or other person making such payment or distribution, delivered to the Trustee or to the Holders, for the purpose of ascertaining the persons entitled to participate in such payment or distribution, the holders of Senior Debt and other indebtedness of the Company, the amount thereof or payable thereon, the amount or amounts paid or distributed thereon and all other facts pertinent thereto or to this Article.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15.12 Trust Monies Not Subordinated.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contained herein to the contrary, payments from money, U.S. Government Obligations and/or Foreign Government Obligations held in trust under Article 4 or Article 13 by the Trustee for the payment of the principal of, premium, if any, and interest on the Securities shall not be subordinated to the prior payment in full of any Senior Debt of the Company or subject to the restrictions set forth in this Article 15, and none of the Holders shall be obligated to pay over any such amount to the Company or any holder of Senior Debt of the Company or any other creditor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160655</wp:posOffset>
            </wp:positionV>
            <wp:extent cx="35915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91560" cy="1714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23495</wp:posOffset>
            </wp:positionV>
            <wp:extent cx="334327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23495</wp:posOffset>
            </wp:positionV>
            <wp:extent cx="334327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43275"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314960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679" w:right="1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154305</wp:posOffset>
            </wp:positionV>
            <wp:extent cx="5229225" cy="4540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292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special securities counsel to Harrow Health,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by the Company with the Securities and Exchange Commission relating to the registration of up to $100,000,000 in aggregate amount of one or more series of (i) shares of Common Stock, $0.001 par value (“</w:t>
      </w:r>
      <w:r>
        <w:rPr>
          <w:rFonts w:ascii="Arial" w:cs="Arial" w:eastAsia="Arial" w:hAnsi="Arial"/>
          <w:sz w:val="17"/>
          <w:szCs w:val="17"/>
          <w:u w:val="single" w:color="auto"/>
          <w:color w:val="auto"/>
        </w:rPr>
        <w:t>Common Shares</w:t>
      </w:r>
      <w:r>
        <w:rPr>
          <w:rFonts w:ascii="Arial" w:cs="Arial" w:eastAsia="Arial" w:hAnsi="Arial"/>
          <w:sz w:val="17"/>
          <w:szCs w:val="17"/>
          <w:color w:val="auto"/>
        </w:rPr>
        <w:t>”), (ii) shares of Preferred Stock, $0.001 par value (“</w:t>
      </w:r>
      <w:r>
        <w:rPr>
          <w:rFonts w:ascii="Arial" w:cs="Arial" w:eastAsia="Arial" w:hAnsi="Arial"/>
          <w:sz w:val="17"/>
          <w:szCs w:val="17"/>
          <w:u w:val="single" w:color="auto"/>
          <w:color w:val="auto"/>
        </w:rPr>
        <w:t>Preferred Shares</w:t>
      </w:r>
      <w:r>
        <w:rPr>
          <w:rFonts w:ascii="Arial" w:cs="Arial" w:eastAsia="Arial" w:hAnsi="Arial"/>
          <w:sz w:val="17"/>
          <w:szCs w:val="17"/>
          <w:color w:val="auto"/>
        </w:rPr>
        <w:t>”), (iii) debt securities (“</w:t>
      </w:r>
      <w:r>
        <w:rPr>
          <w:rFonts w:ascii="Arial" w:cs="Arial" w:eastAsia="Arial" w:hAnsi="Arial"/>
          <w:sz w:val="17"/>
          <w:szCs w:val="17"/>
          <w:u w:val="single" w:color="auto"/>
          <w:color w:val="auto"/>
        </w:rPr>
        <w:t>Debt Securities</w:t>
      </w:r>
      <w:r>
        <w:rPr>
          <w:rFonts w:ascii="Arial" w:cs="Arial" w:eastAsia="Arial" w:hAnsi="Arial"/>
          <w:sz w:val="17"/>
          <w:szCs w:val="17"/>
          <w:color w:val="auto"/>
        </w:rPr>
        <w:t>”), which may be either senior or subordinated and which may be convertible into or exchangeable for Common Shares or Preferred Shares, (iv) warrants to purchase any of the foregoing securities (“</w:t>
      </w:r>
      <w:r>
        <w:rPr>
          <w:rFonts w:ascii="Arial" w:cs="Arial" w:eastAsia="Arial" w:hAnsi="Arial"/>
          <w:sz w:val="17"/>
          <w:szCs w:val="17"/>
          <w:u w:val="single" w:color="auto"/>
          <w:color w:val="auto"/>
        </w:rPr>
        <w:t>Warrants</w:t>
      </w:r>
      <w:r>
        <w:rPr>
          <w:rFonts w:ascii="Arial" w:cs="Arial" w:eastAsia="Arial" w:hAnsi="Arial"/>
          <w:sz w:val="17"/>
          <w:szCs w:val="17"/>
          <w:color w:val="auto"/>
        </w:rPr>
        <w:t>”), (v) depositary shares representing fractional interests in the Preferred Shares (“</w:t>
      </w:r>
      <w:r>
        <w:rPr>
          <w:rFonts w:ascii="Arial" w:cs="Arial" w:eastAsia="Arial" w:hAnsi="Arial"/>
          <w:sz w:val="17"/>
          <w:szCs w:val="17"/>
          <w:u w:val="single" w:color="auto"/>
          <w:color w:val="auto"/>
        </w:rPr>
        <w:t>Depositary Shares</w:t>
      </w:r>
      <w:r>
        <w:rPr>
          <w:rFonts w:ascii="Arial" w:cs="Arial" w:eastAsia="Arial" w:hAnsi="Arial"/>
          <w:sz w:val="17"/>
          <w:szCs w:val="17"/>
          <w:color w:val="auto"/>
        </w:rPr>
        <w:t>”), and (vi) units, comprised of any combination of the foregoing securities, which may be separable from one another (“</w:t>
      </w:r>
      <w:r>
        <w:rPr>
          <w:rFonts w:ascii="Arial" w:cs="Arial" w:eastAsia="Arial" w:hAnsi="Arial"/>
          <w:sz w:val="17"/>
          <w:szCs w:val="17"/>
          <w:u w:val="single" w:color="auto"/>
          <w:color w:val="auto"/>
        </w:rPr>
        <w:t>Units</w:t>
      </w:r>
      <w:r>
        <w:rPr>
          <w:rFonts w:ascii="Arial" w:cs="Arial" w:eastAsia="Arial" w:hAnsi="Arial"/>
          <w:sz w:val="17"/>
          <w:szCs w:val="17"/>
          <w:color w:val="auto"/>
        </w:rPr>
        <w:t>” and, together with Depositary Shares, Warrants, Debt Securities, Preferred Shares and Common Shares, the “</w:t>
      </w:r>
      <w:r>
        <w:rPr>
          <w:rFonts w:ascii="Arial" w:cs="Arial" w:eastAsia="Arial" w:hAnsi="Arial"/>
          <w:sz w:val="17"/>
          <w:szCs w:val="17"/>
          <w:u w:val="single" w:color="auto"/>
          <w:color w:val="auto"/>
        </w:rPr>
        <w:t>Securities</w:t>
      </w:r>
      <w:r>
        <w:rPr>
          <w:rFonts w:ascii="Arial" w:cs="Arial" w:eastAsia="Arial" w:hAnsi="Arial"/>
          <w:sz w:val="17"/>
          <w:szCs w:val="17"/>
          <w:color w:val="auto"/>
        </w:rPr>
        <w:t>”), all of which Securities may be offered and sold by the Company from time to time as set forth in the prospectus which forms a part of the Registration Statement (the “</w:t>
      </w:r>
      <w:r>
        <w:rPr>
          <w:rFonts w:ascii="Arial" w:cs="Arial" w:eastAsia="Arial" w:hAnsi="Arial"/>
          <w:sz w:val="17"/>
          <w:szCs w:val="17"/>
          <w:u w:val="single" w:color="auto"/>
          <w:color w:val="auto"/>
        </w:rPr>
        <w:t>Prospectus</w:t>
      </w:r>
      <w:r>
        <w:rPr>
          <w:rFonts w:ascii="Arial" w:cs="Arial" w:eastAsia="Arial" w:hAnsi="Arial"/>
          <w:sz w:val="17"/>
          <w:szCs w:val="17"/>
          <w:color w:val="auto"/>
        </w:rPr>
        <w:t>”), and as to be set forth in one or more supplements to the Prospectus (each, a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assumed that the issuance, sale, amount and terms of the Securities to be offered from time to time will be duly authorized and determined by proper action of the Board of Directors of the Company (each, a “</w:t>
      </w:r>
      <w:r>
        <w:rPr>
          <w:rFonts w:ascii="Arial" w:cs="Arial" w:eastAsia="Arial" w:hAnsi="Arial"/>
          <w:sz w:val="17"/>
          <w:szCs w:val="17"/>
          <w:u w:val="single" w:color="auto"/>
          <w:color w:val="auto"/>
        </w:rPr>
        <w:t>Board Action</w:t>
      </w:r>
      <w:r>
        <w:rPr>
          <w:rFonts w:ascii="Arial" w:cs="Arial" w:eastAsia="Arial" w:hAnsi="Arial"/>
          <w:sz w:val="17"/>
          <w:szCs w:val="17"/>
          <w:color w:val="auto"/>
        </w:rPr>
        <w:t>”) and in accordance with the Company’s Amended and Restated Certificate of Incorporation, as amended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applicable Delaware law. We further assume that (i) any Debt Securities will be issued pursuant to an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a financial institution identified therein as a trustee (each, a “</w:t>
      </w:r>
      <w:r>
        <w:rPr>
          <w:rFonts w:ascii="Arial" w:cs="Arial" w:eastAsia="Arial" w:hAnsi="Arial"/>
          <w:sz w:val="17"/>
          <w:szCs w:val="17"/>
          <w:u w:val="single" w:color="auto"/>
          <w:color w:val="auto"/>
        </w:rPr>
        <w:t>Trustee</w:t>
      </w:r>
      <w:r>
        <w:rPr>
          <w:rFonts w:ascii="Arial" w:cs="Arial" w:eastAsia="Arial" w:hAnsi="Arial"/>
          <w:sz w:val="17"/>
          <w:szCs w:val="17"/>
          <w:color w:val="auto"/>
        </w:rPr>
        <w:t>”), (ii) any Warrants will be issued under one or more warrant agreements (each, a “</w:t>
      </w:r>
      <w:r>
        <w:rPr>
          <w:rFonts w:ascii="Arial" w:cs="Arial" w:eastAsia="Arial" w:hAnsi="Arial"/>
          <w:sz w:val="17"/>
          <w:szCs w:val="17"/>
          <w:u w:val="single" w:color="auto"/>
          <w:color w:val="auto"/>
        </w:rPr>
        <w:t>Warrant Agreement</w:t>
      </w:r>
      <w:r>
        <w:rPr>
          <w:rFonts w:ascii="Arial" w:cs="Arial" w:eastAsia="Arial" w:hAnsi="Arial"/>
          <w:sz w:val="17"/>
          <w:szCs w:val="17"/>
          <w:color w:val="auto"/>
        </w:rPr>
        <w:t>”), each to be between the Company and a financial institution identified therein as a warrant agent, if any (each, a “</w:t>
      </w:r>
      <w:r>
        <w:rPr>
          <w:rFonts w:ascii="Arial" w:cs="Arial" w:eastAsia="Arial" w:hAnsi="Arial"/>
          <w:sz w:val="17"/>
          <w:szCs w:val="17"/>
          <w:u w:val="single" w:color="auto"/>
          <w:color w:val="auto"/>
        </w:rPr>
        <w:t>Warrant Agent</w:t>
      </w:r>
      <w:r>
        <w:rPr>
          <w:rFonts w:ascii="Arial" w:cs="Arial" w:eastAsia="Arial" w:hAnsi="Arial"/>
          <w:sz w:val="17"/>
          <w:szCs w:val="17"/>
          <w:color w:val="auto"/>
        </w:rPr>
        <w:t>”), (iii) any Depositary Shares will be issued pursuant to a “</w:t>
      </w:r>
      <w:r>
        <w:rPr>
          <w:rFonts w:ascii="Arial" w:cs="Arial" w:eastAsia="Arial" w:hAnsi="Arial"/>
          <w:sz w:val="17"/>
          <w:szCs w:val="17"/>
          <w:u w:val="single" w:color="auto"/>
          <w:color w:val="auto"/>
        </w:rPr>
        <w:t>Deposit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the financial institution identified therein as a depositary, the form of which will be filed by amendment to the Registration Statement or as an exhibit to a document to be incorporated therein by reference, and (iv) any Units will be issued pursuant to a “</w:t>
      </w:r>
      <w:r>
        <w:rPr>
          <w:rFonts w:ascii="Arial" w:cs="Arial" w:eastAsia="Arial" w:hAnsi="Arial"/>
          <w:sz w:val="17"/>
          <w:szCs w:val="17"/>
          <w:u w:val="single" w:color="auto"/>
          <w:color w:val="auto"/>
        </w:rPr>
        <w:t>Unit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a financial institution identified therein as a unit agent, the form of which will be filed by amendment to the Registration Statement or as an exhibit to a document to be incorporated therein by reference.</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opinion,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rendering the following opinion, we express no opinion as to the laws of any jurisdiction other than the State of Tennessee, the General Corporation Law of the State of Delaware and the federal law of the United States to the extent specifically referred to herein. All opinions expressed are as of the date hereof except where expressly stated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subject to and limited by the foregoing, we are of the opinion that, as of the date hereof:</w:t>
      </w:r>
    </w:p>
    <w:p>
      <w:pPr>
        <w:spacing w:after="0" w:line="225" w:lineRule="exact"/>
        <w:rPr>
          <w:sz w:val="20"/>
          <w:szCs w:val="20"/>
          <w:color w:val="auto"/>
        </w:rPr>
      </w:pPr>
    </w:p>
    <w:p>
      <w:pPr>
        <w:jc w:val="both"/>
        <w:ind w:firstLine="656"/>
        <w:spacing w:after="0" w:line="293" w:lineRule="auto"/>
        <w:tabs>
          <w:tab w:leader="none" w:pos="91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When the Registration Statement has become effective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upon due authorization by Board Action of an issuance of Common Shares, and upon issuance and delivery of certificates, if any, for Common Shares against payment therefor in accordance with the terms of such Board Action, any applicable underwriting agreement and as contemplated by the Registration Statement and/or the applicable Prospectus Supplement, and, if issued upon the conversion, exchange or exercise of Preferred Shares, Debt Securities, Warrants or Units, when such shares have been duly issued and delivered as contemplated by the terms of the applicable Indenture, Warrant Agreement, Unit Agreement or the Certificate of Incorporation, the shares represented by such certificates, if any, will be duly authorized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both"/>
        <w:ind w:firstLine="656"/>
        <w:spacing w:after="0" w:line="272" w:lineRule="auto"/>
        <w:tabs>
          <w:tab w:leader="none" w:pos="9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When the Registration Statement has become effective under the Act and when a series of Preferred Shares has been duly authorized and established by applicable Board Action, in accordance with the terms of the Certificate of Incorporation and applicable law, and, upon issuance and delivery of certificates, if any, for such series of Preferred Shares against payment therefor in accordance with the terms of such Board Action, any applicable underwriting agreement, and as contemplated by the Registration Statement and/or the applicable Prospectus Supplement, and, if issued upon the conversion, exchange or exercise of Debt Securities, Warrants, Depositary Shares or Units, when such shares have been duly issued and delivered as contemplated by the terms of the applicable Indenture, Warrant Agreement, Deposit Agreement or Unit Agreement, the shares represented by such certificates, if any, will be duly authorized and validly issued, fully paid and non-assessable.</w:t>
      </w:r>
    </w:p>
    <w:p>
      <w:pPr>
        <w:spacing w:after="0" w:line="177" w:lineRule="exact"/>
        <w:rPr>
          <w:rFonts w:ascii="Arial" w:cs="Arial" w:eastAsia="Arial" w:hAnsi="Arial"/>
          <w:sz w:val="17"/>
          <w:szCs w:val="17"/>
          <w:color w:val="auto"/>
        </w:rPr>
      </w:pPr>
    </w:p>
    <w:p>
      <w:pPr>
        <w:jc w:val="both"/>
        <w:ind w:firstLine="656"/>
        <w:spacing w:after="0" w:line="255" w:lineRule="auto"/>
        <w:tabs>
          <w:tab w:leader="none" w:pos="9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 the Registration Statement has become effective under the Act, and when a series of Debt Securities has been (a) duly established by an Indenture or any supplemental indenture thereto, (b) duly authorized and established by applicable Board Action and duly authenticated by the Trustee under such Indenture, and (c) duly executed and delivered on behalf of the Company against payment therefor in accordance with the terms of such Board Action, any applicable underwriting agreement, the Indenture and any applicable supplemental indenture thereto, and as contemplated by the Registration Statement and/or the applicable Prospectus Supplement, the Debt Securities will be valid and binding obligations of the Company enforceable against the Company in accordance with their respective terms.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90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When the Registration Statement has become effective under the Act and when Warrants have been (a) duly established by the related Warrant Agreement, (b) duly authorized and established by applicable Board Action and duly authenticated by the Warrant Agent to the extent applicable, and (c) duly executed and delivered on behalf of the Company against payment therefor in accordance with the terms of such Board Action, any applicable underwriting agreement, the applicable Warrant Agreement, and as contemplated by the Registration Statement and/or the applicable Prospectus Supplement, the Warrants will be valid and binding obligations of the Company enforceable against the Company in accordance with their terms.</w:t>
      </w:r>
    </w:p>
    <w:p>
      <w:pPr>
        <w:spacing w:after="0" w:line="161" w:lineRule="exact"/>
        <w:rPr>
          <w:rFonts w:ascii="Arial" w:cs="Arial" w:eastAsia="Arial" w:hAnsi="Arial"/>
          <w:sz w:val="16"/>
          <w:szCs w:val="16"/>
          <w:color w:val="auto"/>
        </w:rPr>
      </w:pPr>
    </w:p>
    <w:p>
      <w:pPr>
        <w:jc w:val="both"/>
        <w:ind w:firstLine="656"/>
        <w:spacing w:after="0" w:line="270" w:lineRule="auto"/>
        <w:tabs>
          <w:tab w:leader="none" w:pos="90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When the Registration Statement has become effective under the Act, and (a) when Depositary Shares have been duly established by a Deposit Agreement and the related depositary receipts, (b) when any Preferred Shares underlying such Depositary Shares have been duly and validly issued and are fully paid and nonassessable as contemplated in Opinion Paragraph 2 above and deposited with a bank or trust company (which meets the requirements for depositary set forth in the Registration Statement) under the applicable Deposit Agreement, (c) when the Depositary Shares and the related depositary receipts have been duly authorized and established by applicable Board Action and duly authenticated by the depositary to the extent applicable, and (d) when the Depositary Shares and the related depositary receipts have been duly executed and delivered on behalf of the Company against payment therefor in accordance with the terms of such Board Action, the Deposit Agreement, and as contemplated by the Registration Statement and/or the applicable Prospectus Supplement, the Depositary Shares will be validly issued, fully paid and non-assessable and entitle the holders thereof to the rights specified in such depositary receipts and Deposit Agreement.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obligations of the Company under any agreement (including, without limitation, any Indenture, Warrant Agreement, Deposit Agreement, or Unit Agreement) may be dependent upon such matters, we assume for purposes of this opinion that: (i) the other party or parties to such agreement is duly organized, validly existing and in good standing under the laws of its jurisdiction of organization; (ii) the other party or parties to such agreement is duly qualified to engage in the activities contemplated by the agreement, as applicable; (iii) the agreement has been duly authorized, executed and delivered by the other party or parties to such agreement, as applicable, and constitutes the valid and binding obligation of the other party or parties to such agreement, as applicable, enforceable against the other party or parties to such agreement, as applicable, in accordance with its terms; (iv) the other party or parties to such agreement is in compliance, with respect to any actions the other party to such agreement may take under such agreement, as applicable, with all applicable laws and regulations; and (v) the other party or parties to such agreement has the requisite organizational and legal power and authority to perform its obligations under such agreement, as applicable.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assume no obligation to advise you of any changes in the foregoing subsequent to the delivery of this opinion letter. This opinion letter has been prepared solely for your use in connection with the transmitting for filing of the Registration Statement on the date of this opinion letter and should not be quoted in whole or in part or otherwise be referred to, or filed with or furnished to any governmental agency or other person or entity, without the prior written consent of this firm.</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hereby consent to the filing of this opinion letter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and further consent to the reference to this firm under the caption “Legal Matters” in the Prospectus. In giving such consent, we do not thereby admit that we are in the category of persons whose consent is required under Section 7 of the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8" w:name="page159"/>
    <w:bookmarkEnd w:id="158"/>
    <w:p>
      <w:pPr>
        <w:ind w:left="1012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on Form S-3 of Harrow Health, Inc. of our reports dated March 13, 2020, relating to the consolidated financial statements of Harrow Health, Inc. and subsidiaries, and the effectiveness of internal control over financial reporting of Harrow Health, Inc. and subsidiaries, appearing in the Annual Report on Form 10-K of Harrow Health, Inc. for the year ended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1)"/>
      <w:numFmt w:val="decimal"/>
      <w:start w:val="1"/>
    </w:lvl>
  </w:abstractNum>
  <w:abstractNum w:abstractNumId="18">
    <w:nsid w:val="168E121F"/>
    <w:multiLevelType w:val="hybridMultilevel"/>
    <w:lvl w:ilvl="0">
      <w:lvlJc w:val="left"/>
      <w:lvlText w:val="(%1)"/>
      <w:numFmt w:val="decimal"/>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lvl w:ilvl="1">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34">
    <w:nsid w:val="4962813B"/>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35">
    <w:nsid w:val="60B6DF7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6A5EE64"/>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7">
    <w:nsid w:val="14330624"/>
    <w:multiLevelType w:val="hybridMultilevel"/>
    <w:lvl w:ilvl="0">
      <w:lvlJc w:val="left"/>
      <w:lvlText w:val="(%1)"/>
      <w:numFmt w:val="decimal"/>
      <w:start w:val="1"/>
    </w:lvl>
  </w:abstractNum>
  <w:abstractNum w:abstractNumId="38">
    <w:nsid w:val="7FFFCA11"/>
    <w:multiLevelType w:val="hybridMultilevel"/>
    <w:lvl w:ilvl="0">
      <w:lvlJc w:val="left"/>
      <w:lvlText w:val="(%1)"/>
      <w:numFmt w:val="decimal"/>
      <w:start w:val="1"/>
    </w:lvl>
  </w:abstractNum>
  <w:abstractNum w:abstractNumId="39">
    <w:nsid w:val="1A27709E"/>
    <w:multiLevelType w:val="hybridMultilevel"/>
    <w:lvl w:ilvl="0">
      <w:lvlJc w:val="left"/>
      <w:lvlText w:val="(%1)"/>
      <w:numFmt w:val="decimal"/>
      <w:start w:val="4"/>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1)"/>
      <w:numFmt w:val="decimal"/>
      <w:start w:val="2"/>
    </w:lvl>
  </w:abstractNum>
  <w:abstractNum w:abstractNumId="44">
    <w:nsid w:val="6F6DD9AC"/>
    <w:multiLevelType w:val="hybridMultilevel"/>
    <w:lvl w:ilvl="0">
      <w:lvlJc w:val="left"/>
      <w:lvlText w:val="(%1)"/>
      <w:numFmt w:val="decimal"/>
      <w:start w:val="14"/>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decimal"/>
      <w:start w:val="2"/>
    </w:lvl>
  </w:abstractNum>
  <w:abstractNum w:abstractNumId="49">
    <w:nsid w:val="171670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0">
    <w:nsid w:val="14E17E33"/>
    <w:multiLevelType w:val="hybridMultilevel"/>
    <w:lvl w:ilvl="0">
      <w:lvlJc w:val="left"/>
      <w:lvlText w:val="(%1)"/>
      <w:numFmt w:val="decimal"/>
      <w:start w:val="2"/>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4">
    <w:nsid w:val="2DF6D648"/>
    <w:multiLevelType w:val="hybridMultilevel"/>
    <w:lvl w:ilvl="0">
      <w:lvlJc w:val="left"/>
      <w:lvlText w:val="(%1)"/>
      <w:numFmt w:val="decimal"/>
      <w:start w:val="2"/>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1)"/>
      <w:numFmt w:val="decimal"/>
      <w:start w:val="2"/>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1)"/>
      <w:numFmt w:val="decimal"/>
      <w:start w:val="1"/>
    </w:lvl>
  </w:abstractNum>
  <w:abstractNum w:abstractNumId="59">
    <w:nsid w:val="CC1016F"/>
    <w:multiLevelType w:val="hybridMultilevel"/>
    <w:lvl w:ilvl="0">
      <w:lvlJc w:val="left"/>
      <w:lvlText w:val="(%1)"/>
      <w:numFmt w:val="decimal"/>
      <w:start w:val="3"/>
    </w:lvl>
  </w:abstractNum>
  <w:abstractNum w:abstractNumId="60">
    <w:nsid w:val="43F18422"/>
    <w:multiLevelType w:val="hybridMultilevel"/>
    <w:lvl w:ilvl="0">
      <w:lvlJc w:val="left"/>
      <w:lvlText w:val="(%1)"/>
      <w:numFmt w:val="decimal"/>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1)"/>
      <w:numFmt w:val="decimal"/>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1"/>
    </w:lvl>
  </w:abstractNum>
  <w:abstractNum w:abstractNumId="65">
    <w:nsid w:val="7055A5F5"/>
    <w:multiLevelType w:val="hybridMultilevel"/>
    <w:lvl w:ilvl="0">
      <w:lvlJc w:val="left"/>
      <w:lvlText w:val="(%1)"/>
      <w:numFmt w:val="decimal"/>
      <w:start w:val="3"/>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1)"/>
      <w:numFmt w:val="decimal"/>
      <w:start w:val="7"/>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decimal"/>
      <w:start w:val="4"/>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4">
    <w:nsid w:val="7D5E18F8"/>
    <w:multiLevelType w:val="hybridMultilevel"/>
    <w:lvl w:ilvl="0">
      <w:lvlJc w:val="left"/>
      <w:lvlText w:val="(%1)"/>
      <w:numFmt w:val="decimal"/>
      <w:start w:val="2"/>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decimal"/>
      <w:start w:val="1"/>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1"/>
      <w:numFmt w:val="decimal"/>
      <w:start w:val="1"/>
    </w:lvl>
    <w:lvl w:ilvl="1">
      <w:lvlJc w:val="left"/>
      <w:lvlText w:val="(%2)"/>
      <w:numFmt w:val="decimal"/>
      <w:start w:val="12"/>
    </w:lvl>
  </w:abstractNum>
  <w:abstractNum w:abstractNumId="81">
    <w:nsid w:val="6A3DD3E8"/>
    <w:multiLevelType w:val="hybridMultilevel"/>
    <w:lvl w:ilvl="0">
      <w:lvlJc w:val="left"/>
      <w:lvlText w:val="(%1)"/>
      <w:numFmt w:val="decimal"/>
      <w:start w:val="2"/>
    </w:lvl>
    <w:lvl w:ilvl="1">
      <w:lvlJc w:val="left"/>
      <w:lvlText w:val="(%2)"/>
      <w:numFmt w:val="decimal"/>
      <w:start w:val="18"/>
    </w:lvl>
  </w:abstractNum>
  <w:abstractNum w:abstractNumId="82">
    <w:nsid w:val="71C91298"/>
    <w:multiLevelType w:val="hybridMultilevel"/>
    <w:lvl w:ilvl="0">
      <w:lvlJc w:val="left"/>
      <w:lvlText w:val="(%1)"/>
      <w:numFmt w:val="decimal"/>
      <w:start w:val="24"/>
    </w:lvl>
  </w:abstractNum>
  <w:abstractNum w:abstractNumId="83">
    <w:nsid w:val="9DAF632"/>
    <w:multiLevelType w:val="hybridMultilevel"/>
    <w:lvl w:ilvl="0">
      <w:lvlJc w:val="left"/>
      <w:lvlText w:val="(%1)"/>
      <w:numFmt w:val="decimal"/>
      <w:start w:val="1"/>
    </w:lvl>
  </w:abstractNum>
  <w:abstractNum w:abstractNumId="84">
    <w:nsid w:val="53299938"/>
    <w:multiLevelType w:val="hybridMultilevel"/>
    <w:lvl w:ilvl="0">
      <w:lvlJc w:val="left"/>
      <w:lvlText w:val="(%1)"/>
      <w:numFmt w:val="decimal"/>
      <w:start w:val="3"/>
    </w:lvl>
  </w:abstractNum>
  <w:abstractNum w:abstractNumId="85">
    <w:nsid w:val="1FBFE8E0"/>
    <w:multiLevelType w:val="hybridMultilevel"/>
    <w:lvl w:ilvl="0">
      <w:lvlJc w:val="left"/>
      <w:lvlText w:val="(%1)"/>
      <w:numFmt w:val="decimal"/>
      <w:start w:val="1"/>
    </w:lvl>
  </w:abstractNum>
  <w:abstractNum w:abstractNumId="86">
    <w:nsid w:val="5092CA79"/>
    <w:multiLevelType w:val="hybridMultilevel"/>
    <w:lvl w:ilvl="0">
      <w:lvlJc w:val="left"/>
      <w:lvlText w:val="(%1)"/>
      <w:numFmt w:val="decimal"/>
      <w:start w:val="3"/>
    </w:lvl>
  </w:abstractNum>
  <w:abstractNum w:abstractNumId="87">
    <w:nsid w:val="1D545C4D"/>
    <w:multiLevelType w:val="hybridMultilevel"/>
    <w:lvl w:ilvl="0">
      <w:lvlJc w:val="left"/>
      <w:lvlText w:val="(%1)"/>
      <w:numFmt w:val="decimal"/>
      <w:start w:val="1"/>
    </w:lvl>
  </w:abstractNum>
  <w:abstractNum w:abstractNumId="88">
    <w:nsid w:val="59ADEA3D"/>
    <w:multiLevelType w:val="hybridMultilevel"/>
    <w:lvl w:ilvl="0">
      <w:lvlJc w:val="left"/>
      <w:lvlText w:val="(%1)"/>
      <w:numFmt w:val="decimal"/>
      <w:start w:val="2"/>
    </w:lvl>
  </w:abstractNum>
  <w:abstractNum w:abstractNumId="89">
    <w:nsid w:val="288F1A3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0">
    <w:nsid w:val="2A155DBC"/>
    <w:multiLevelType w:val="hybridMultilevel"/>
    <w:lvl w:ilvl="0">
      <w:lvlJc w:val="left"/>
      <w:lvlText w:val="(%1)"/>
      <w:numFmt w:val="decimal"/>
      <w:start w:val="2"/>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1)"/>
      <w:numFmt w:val="decimal"/>
      <w:start w:val="1"/>
    </w:lvl>
  </w:abstractNum>
  <w:abstractNum w:abstractNumId="93">
    <w:nsid w:val="51088277"/>
    <w:multiLevelType w:val="hybridMultilevel"/>
    <w:lvl w:ilvl="0">
      <w:lvlJc w:val="left"/>
      <w:lvlText w:val="(%1)"/>
      <w:numFmt w:val="decimal"/>
      <w:start w:val="7"/>
    </w:lvl>
  </w:abstractNum>
  <w:abstractNum w:abstractNumId="94">
    <w:nsid w:val="1CA0C5FA"/>
    <w:multiLevelType w:val="hybridMultilevel"/>
    <w:lvl w:ilvl="0">
      <w:lvlJc w:val="left"/>
      <w:lvlText w:val="(%1)"/>
      <w:numFmt w:val="lowerLetter"/>
      <w:start w:val="1"/>
    </w:lvl>
  </w:abstractNum>
  <w:abstractNum w:abstractNumId="95">
    <w:nsid w:val="53584BCB"/>
    <w:multiLevelType w:val="hybridMultilevel"/>
    <w:lvl w:ilvl="0">
      <w:lvlJc w:val="left"/>
      <w:lvlText w:val="(%1)"/>
      <w:numFmt w:val="lowerLetter"/>
      <w:start w:val="3"/>
    </w:lvl>
  </w:abstractNum>
  <w:abstractNum w:abstractNumId="96">
    <w:nsid w:val="415E286C"/>
    <w:multiLevelType w:val="hybridMultilevel"/>
    <w:lvl w:ilvl="0">
      <w:lvlJc w:val="left"/>
      <w:lvlText w:val="(%1)"/>
      <w:numFmt w:val="decimal"/>
      <w:start w:val="1"/>
    </w:lvl>
    <w:lvl w:ilvl="1">
      <w:lvlJc w:val="left"/>
      <w:lvlText w:val="(%2)"/>
      <w:numFmt w:val="upperLetter"/>
      <w:start w:val="1"/>
    </w:lvl>
  </w:abstractNum>
  <w:abstractNum w:abstractNumId="97">
    <w:nsid w:val="7C58FD05"/>
    <w:multiLevelType w:val="hybridMultilevel"/>
    <w:lvl w:ilvl="0">
      <w:lvlJc w:val="left"/>
      <w:lvlText w:val="(%1)"/>
      <w:numFmt w:val="decimal"/>
      <w:start w:val="1"/>
    </w:lvl>
  </w:abstractNum>
  <w:abstractNum w:abstractNumId="98">
    <w:nsid w:val="23D86AAC"/>
    <w:multiLevelType w:val="hybridMultilevel"/>
    <w:lvl w:ilvl="0">
      <w:lvlJc w:val="left"/>
      <w:lvlText w:val="(%1)"/>
      <w:numFmt w:val="decimal"/>
      <w:start w:val="2"/>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7"/>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1)"/>
      <w:numFmt w:val="decimal"/>
      <w:start w:val="1"/>
    </w:lvl>
  </w:abstractNum>
  <w:abstractNum w:abstractNumId="105">
    <w:nsid w:val="39B7AAA2"/>
    <w:multiLevelType w:val="hybridMultilevel"/>
    <w:lvl w:ilvl="0">
      <w:lvlJc w:val="left"/>
      <w:lvlText w:val="(%1)"/>
      <w:numFmt w:val="decimal"/>
      <w:start w:val="1"/>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decimal"/>
      <w:start w:val="3"/>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decimal"/>
      <w:start w:val="8"/>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decimal"/>
      <w:start w:val="1"/>
    </w:lvl>
  </w:abstractNum>
  <w:abstractNum w:abstractNumId="112">
    <w:nsid w:val="6AA7B75C"/>
    <w:multiLevelType w:val="hybridMultilevel"/>
    <w:lvl w:ilvl="0">
      <w:lvlJc w:val="left"/>
      <w:lvlText w:val="(%1)"/>
      <w:numFmt w:val="decimal"/>
      <w:start w:val="1"/>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5">
    <w:nsid w:val="3DD15094"/>
    <w:multiLevelType w:val="hybridMultilevel"/>
    <w:lvl w:ilvl="0">
      <w:lvlJc w:val="left"/>
      <w:lvlText w:val="(%1)"/>
      <w:numFmt w:val="lowerRoman"/>
      <w:start w:val="2"/>
    </w:lvl>
  </w:abstractNum>
  <w:abstractNum w:abstractNumId="116">
    <w:nsid w:val="3DB012B3"/>
    <w:multiLevelType w:val="hybridMultilevel"/>
    <w:lvl w:ilvl="0">
      <w:lvlJc w:val="left"/>
      <w:lvlText w:val="(%1)"/>
      <w:numFmt w:val="decimal"/>
      <w:start w:val="2"/>
    </w:lvl>
    <w:lvl w:ilvl="1">
      <w:lvlJc w:val="left"/>
      <w:lvlText w:val="(%2)"/>
      <w:numFmt w:val="upperLetter"/>
      <w:start w:val="1"/>
    </w:lvl>
  </w:abstractNum>
  <w:abstractNum w:abstractNumId="117">
    <w:nsid w:val="2708C9AF"/>
    <w:multiLevelType w:val="hybridMultilevel"/>
    <w:lvl w:ilvl="0">
      <w:lvlJc w:val="left"/>
      <w:lvlText w:val="(%1)"/>
      <w:numFmt w:val="decimal"/>
      <w:start w:val="8"/>
    </w:lvl>
    <w:lvl w:ilvl="1">
      <w:lvlJc w:val="left"/>
      <w:lvlText w:val="(%2)"/>
      <w:numFmt w:val="upperLetter"/>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1)"/>
      <w:numFmt w:val="decimal"/>
      <w:start w:val="2"/>
    </w:lvl>
  </w:abstractNum>
  <w:abstractNum w:abstractNumId="120">
    <w:nsid w:val="4F97E3E4"/>
    <w:multiLevelType w:val="hybridMultilevel"/>
    <w:lvl w:ilvl="0">
      <w:lvlJc w:val="left"/>
      <w:lvlText w:val="(%1)"/>
      <w:numFmt w:val="lowerRoman"/>
      <w:start w:val="1"/>
    </w:lvl>
  </w:abstractNum>
  <w:abstractNum w:abstractNumId="121">
    <w:nsid w:val="53B0A9E"/>
    <w:multiLevelType w:val="hybridMultilevel"/>
    <w:lvl w:ilvl="0">
      <w:lvlJc w:val="left"/>
      <w:lvlText w:val="(%1)"/>
      <w:numFmt w:val="decimal"/>
      <w:start w:val="2"/>
    </w:lvl>
  </w:abstractNum>
  <w:abstractNum w:abstractNumId="122">
    <w:nsid w:val="34FD6B4F"/>
    <w:multiLevelType w:val="hybridMultilevel"/>
    <w:lvl w:ilvl="0">
      <w:lvlJc w:val="left"/>
      <w:lvlText w:val="(%1)"/>
      <w:numFmt w:val="decimal"/>
      <w:start w:val="3"/>
    </w:lvl>
  </w:abstractNum>
  <w:abstractNum w:abstractNumId="123">
    <w:nsid w:val="5915FF32"/>
    <w:multiLevelType w:val="hybridMultilevel"/>
    <w:lvl w:ilvl="0">
      <w:lvlJc w:val="left"/>
      <w:lvlText w:val="(%1)"/>
      <w:numFmt w:val="decimal"/>
      <w:start w:val="2"/>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2020-07-02T15:48:58Z</dcterms:created>
  <dcterms:modified xsi:type="dcterms:W3CDTF">2020-07-02T15:48:58Z</dcterms:modified>
</cp:coreProperties>
</file>