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February 20,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jc w:val="both"/>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President of ImprimisRx</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as of February 20, 2019, Harrow Health, Inc. (the “Company”) promoted John P. Saharek to President of ImprimisRx, the Company’s ophthalmology focused pharmaceutical compounding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Mr. Saharek, 59, prior to his promotion to President of ImprimisRx, served as the Company’s Chief Commercial Officer since February 2015 and its Vice-President of Commercialization, Ophthalmology since November 2012. He is a senior healthcare industry executive with over 30 years of broad experience developing and commercializing pharmaceutical, biotech, surgical device and diagnostic product portfolios. His results-oriented record of achievement includes designing and executing strategic commercial plans, building strong sustainable brands, launching new products, leading high performing teams and delivering outstanding results for a variety of healthcare companies. Over the past 19 years he has been focused in the ophthalmology segment where he has established valuable relationships with key opinion leaders and industry contacts. Prior to joining the Company in November 2012, he served as Head of U.S. Marketing and Strategy for ThromboGenics Inc., developing the commercial strategy and building a team to launch a new biologic into the US market. Prior to that he was Vice President, Business Development at SurModics Inc., working with both large and small pharmaceutical companies on multi-platform drug delivery initiatives in the U.S. and internationally. Early on in his career he held positions of increasing responsibility in both marketing and sales at a number of companies, including his tenure with Bausch &amp; Lomb. Mr. Saharek has a Masters of Business Administration from the University of Hartford and a Bachelor’s degree from Central Connecticut State University.</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connection with the Mr. Saharek’s promotion, he will be entitled to receive: (i) a base salary of $305,000 with a target annual cash incentive bonus equal to 50% of his base salary, with the actual amount of the bonus to be based on the achievement of certain corporate and individual performance goals to be determined by the Compensation Committee of the Company’s Board of Directors; (iii) a restricted stock unit award of up to 50,000 shares of the Company’s common stock, which will vest on the third anniversary of the date of grant, subject to Mr. Saharek’s continued employment with the Company on such date and accelerated vesting of all unvested shares thereunder upon the occurrence of a change in control (as defined in the Company’s 2017 Stock Incentive Plan (the “Plan”)), and is subject to the Company’s standard form of award agreement for restricted stock units granted under the Plan; and (iv) an option to purchase up to 50,000 shares of the Company’s common stock (the “Option”). The Option has an exercise price equal to the fair value of the Company’s common stock on the date of the grant (the “Grant Date”) and will vest in equal quarterly installments over a three-year period.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no family relationships between Mr. Saharek and any of the Company’s directors or other executive officers, and there have been no related transactions, and none are contemplated, between Mr. Saharek or any of his immediate family members and the Company that would require disclosure pursuant to Item 404(a) of Regulation S-K promulgated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February 25,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2020-01-09T22:14:22Z</dcterms:created>
  <dcterms:modified xsi:type="dcterms:W3CDTF">2020-01-09T22:14:22Z</dcterms:modified>
</cp:coreProperties>
</file>