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-10795</wp:posOffset>
            </wp:positionV>
            <wp:extent cx="144145" cy="194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120" w:hanging="273"/>
        <w:spacing w:after="0" w:line="19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HARROW HEALTH, INC.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102 WOODMONT BLVD. SUITE 610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5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Eton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ETON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1,518,000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1,982,000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45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12, 2021, Harrow Health, Inc., a Delaware corporation (the "Company"), closed the previously announced underwritten public offering of 1,518,000 shares of common stock of Eton Pharmaceuticals, Inc. at a public offering price of $7.00 per share, including 198,000 shared issued pursuant to the full exercise by the underwriter, National Securities Corporation, of its over-allotment option. The gross proceeds to the Company from the offering were approximately $10.6 million, before deducting underwriting discounts and commissions and other offering expenses payable by the Company.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Andrew R. Boll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04/12/2021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0214" TargetMode="External"/><Relationship Id="rId13" Type="http://schemas.openxmlformats.org/officeDocument/2006/relationships/hyperlink" Target="http://www.sec.gov/cgi-bin/browse-edgar?action=getcompany&amp;CIK=00017103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2021-04-12T18:56:23Z</dcterms:created>
  <dcterms:modified xsi:type="dcterms:W3CDTF">2021-04-12T18:56:23Z</dcterms:modified>
</cp:coreProperties>
</file>