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25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2576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SAHAREK JOHN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HARROW 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37205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9"/>
                <w:szCs w:val="19"/>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04/03/2023</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277,200</w:t>
            </w:r>
          </w:p>
        </w:tc>
        <w:tc>
          <w:tcPr>
            <w:tcW w:w="26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04/03/2028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277,200</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277,200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-1651635</wp:posOffset>
            </wp:positionV>
            <wp:extent cx="28575" cy="1656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567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granted under the Issuer's 2017 Stock Incentive and Awards Plan, as amended (the "Plan"). Each PSU represents a contingent right to receive one share of common stock of the Issuer upon vesting. The vesting of the PSUs (granted in lieu of service only stock option and restricted stock unit awards) require (i) a minimum of a two-year service period, and (ii) the achievement and maintenance of Harrow common stock price targets of $25 (causing the vesting of 39,600 PSU shares), $35 (causing the vesting of 59,400 PSU shares), $45 (causing the vesting of 79,200 PSU shares), $50 (causing the vesting of 99,000 PSU shares).</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John P. Saharek</w:t>
            </w:r>
          </w:p>
        </w:tc>
        <w:tc>
          <w:tcPr>
            <w:tcW w:w="9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04/04/2023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209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2023-04-04T18:55:32Z</dcterms:created>
  <dcterms:modified xsi:type="dcterms:W3CDTF">2023-04-04T18:55:32Z</dcterms:modified>
</cp:coreProperties>
</file>