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168"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SCHEDULE 13G/A</w:t>
      </w:r>
    </w:p>
    <w:p>
      <w:pPr>
        <w:spacing w:after="0" w:line="23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Under the Securities Exchange Act of 1934</w:t>
      </w:r>
    </w:p>
    <w:p>
      <w:pPr>
        <w:spacing w:after="0" w:line="27" w:lineRule="exact"/>
        <w:rPr>
          <w:sz w:val="24"/>
          <w:szCs w:val="24"/>
          <w:color w:val="auto"/>
        </w:rPr>
      </w:pPr>
    </w:p>
    <w:p>
      <w:pPr>
        <w:ind w:left="4460"/>
        <w:spacing w:after="0"/>
        <w:rPr>
          <w:sz w:val="20"/>
          <w:szCs w:val="20"/>
          <w:color w:val="auto"/>
        </w:rPr>
      </w:pPr>
      <w:r>
        <w:rPr>
          <w:rFonts w:ascii="Arial" w:cs="Arial" w:eastAsia="Arial" w:hAnsi="Arial"/>
          <w:sz w:val="18"/>
          <w:szCs w:val="18"/>
          <w:b w:val="1"/>
          <w:bCs w:val="1"/>
          <w:color w:val="auto"/>
        </w:rPr>
        <w:t>(Amendment No. __</w:t>
      </w:r>
      <w:r>
        <w:rPr>
          <w:rFonts w:ascii="Arial" w:cs="Arial" w:eastAsia="Arial" w:hAnsi="Arial"/>
          <w:sz w:val="18"/>
          <w:szCs w:val="18"/>
          <w:b w:val="1"/>
          <w:bCs w:val="1"/>
          <w:u w:val="single" w:color="auto"/>
          <w:color w:val="auto"/>
        </w:rPr>
        <w:t>3</w:t>
      </w:r>
      <w:r>
        <w:rPr>
          <w:rFonts w:ascii="Arial" w:cs="Arial" w:eastAsia="Arial" w:hAnsi="Arial"/>
          <w:sz w:val="18"/>
          <w:szCs w:val="18"/>
          <w:b w:val="1"/>
          <w:bCs w:val="1"/>
          <w:color w:val="auto"/>
        </w:rPr>
        <w:t>______)*</w:t>
      </w:r>
    </w:p>
    <w:p>
      <w:pPr>
        <w:spacing w:after="0" w:line="184"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HARROW HEALTH,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24130</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44"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(Name of Issuer)</w:t>
      </w:r>
    </w:p>
    <w:p>
      <w:pPr>
        <w:spacing w:after="0" w:line="22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Common Stock, par value $0.001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34"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(Title of Class of Securities)</w:t>
      </w:r>
    </w:p>
    <w:p>
      <w:pPr>
        <w:spacing w:after="0" w:line="22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415858109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34"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(CUSIP Number)</w:t>
      </w:r>
    </w:p>
    <w:p>
      <w:pPr>
        <w:spacing w:after="0" w:line="205"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James Silverman, One Boston Place, 26</w:t>
      </w:r>
      <w:r>
        <w:rPr>
          <w:rFonts w:ascii="Arial" w:cs="Arial" w:eastAsia="Arial" w:hAnsi="Arial"/>
          <w:sz w:val="29"/>
          <w:szCs w:val="29"/>
          <w:color w:val="auto"/>
          <w:vertAlign w:val="superscript"/>
        </w:rPr>
        <w:t>th</w:t>
      </w:r>
      <w:r>
        <w:rPr>
          <w:rFonts w:ascii="Arial" w:cs="Arial" w:eastAsia="Arial" w:hAnsi="Arial"/>
          <w:sz w:val="18"/>
          <w:szCs w:val="18"/>
          <w:color w:val="auto"/>
        </w:rPr>
        <w:t xml:space="preserve"> Floor, Boston, MA 02108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8"/>
          <w:szCs w:val="18"/>
          <w:color w:val="auto"/>
        </w:rPr>
        <w:t>(Name, Address and Telephone Number of Person</w:t>
      </w:r>
    </w:p>
    <w:p>
      <w:pPr>
        <w:spacing w:after="0" w:line="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Authorized to Receive Notices and Communications)</w:t>
      </w:r>
    </w:p>
    <w:p>
      <w:pPr>
        <w:spacing w:after="0" w:line="21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12/31/21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3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(Date of Event which Requires Filing of this Statement)</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225" w:lineRule="exact"/>
        <w:rPr>
          <w:sz w:val="24"/>
          <w:szCs w:val="24"/>
          <w:color w:val="auto"/>
        </w:rPr>
      </w:pPr>
    </w:p>
    <w:p>
      <w:pPr>
        <w:jc w:val="both"/>
        <w:ind w:right="9900" w:firstLine="8"/>
        <w:spacing w:after="0" w:line="224" w:lineRule="exact"/>
        <w:tabs>
          <w:tab w:leader="none" w:pos="324"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 xml:space="preserve">Rule 13d-1(b) </w:t>
      </w:r>
      <w:r>
        <w:rPr>
          <w:rFonts w:ascii="MS PGothic" w:cs="MS PGothic" w:eastAsia="MS PGothic" w:hAnsi="MS PGothic"/>
          <w:sz w:val="16"/>
          <w:szCs w:val="16"/>
          <w:color w:val="auto"/>
        </w:rPr>
        <w:t>☒</w:t>
      </w:r>
      <w:r>
        <w:rPr>
          <w:rFonts w:ascii="Arial" w:cs="Arial" w:eastAsia="Arial" w:hAnsi="Arial"/>
          <w:sz w:val="16"/>
          <w:szCs w:val="16"/>
          <w:color w:val="auto"/>
        </w:rPr>
        <w:t xml:space="preserve"> Rule 13d-1(c)</w:t>
      </w: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Rule 13d-1(d)</w:t>
      </w:r>
    </w:p>
    <w:p>
      <w:pPr>
        <w:spacing w:after="0" w:line="236" w:lineRule="exact"/>
        <w:rPr>
          <w:sz w:val="24"/>
          <w:szCs w:val="24"/>
          <w:color w:val="auto"/>
        </w:rPr>
      </w:pPr>
    </w:p>
    <w:p>
      <w:pPr>
        <w:ind w:firstLine="8"/>
        <w:spacing w:after="0" w:line="194" w:lineRule="auto"/>
        <w:tabs>
          <w:tab w:leader="none" w:pos="112" w:val="left"/>
        </w:tabs>
        <w:numPr>
          <w:ilvl w:val="0"/>
          <w:numId w:val="2"/>
        </w:numPr>
        <w:rPr>
          <w:rFonts w:ascii="Arial" w:cs="Arial" w:eastAsia="Arial" w:hAnsi="Arial"/>
          <w:sz w:val="30"/>
          <w:szCs w:val="30"/>
          <w:color w:val="auto"/>
          <w:vertAlign w:val="superscript"/>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202" w:lineRule="exact"/>
        <w:rPr>
          <w:sz w:val="24"/>
          <w:szCs w:val="24"/>
          <w:color w:val="auto"/>
        </w:rPr>
      </w:pPr>
    </w:p>
    <w:p>
      <w:pPr>
        <w:jc w:val="both"/>
        <w:spacing w:after="0" w:line="263" w:lineRule="auto"/>
        <w:rPr>
          <w:sz w:val="20"/>
          <w:szCs w:val="20"/>
          <w:color w:val="auto"/>
        </w:rPr>
      </w:pPr>
      <w:r>
        <w:rPr>
          <w:rFonts w:ascii="Arial" w:cs="Arial" w:eastAsia="Arial" w:hAnsi="Arial"/>
          <w:sz w:val="18"/>
          <w:szCs w:val="18"/>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160020</wp:posOffset>
            </wp:positionV>
            <wp:extent cx="7132320" cy="4318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476885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46" w:right="339" w:bottom="1440" w:gutter="0" w:footer="0" w:header="0"/>
        </w:sectPr>
      </w:pPr>
    </w:p>
    <w:bookmarkStart w:id="1" w:name="page2"/>
    <w:bookmarkEnd w:id="1"/>
    <w:p>
      <w:pPr>
        <w:spacing w:after="0"/>
        <w:tabs>
          <w:tab w:leader="none" w:pos="5460" w:val="left"/>
          <w:tab w:leader="none" w:pos="9940" w:val="left"/>
        </w:tabs>
        <w:rPr>
          <w:sz w:val="20"/>
          <w:szCs w:val="20"/>
          <w:color w:val="auto"/>
        </w:rPr>
      </w:pPr>
      <w:r>
        <w:rPr>
          <w:rFonts w:ascii="Arial" w:cs="Arial" w:eastAsia="Arial" w:hAnsi="Arial"/>
          <w:sz w:val="18"/>
          <w:szCs w:val="18"/>
          <w:color w:val="auto"/>
        </w:rPr>
        <w:t xml:space="preserve">CUSIP No. </w:t>
      </w:r>
      <w:r>
        <w:rPr>
          <w:rFonts w:ascii="Arial" w:cs="Arial" w:eastAsia="Arial" w:hAnsi="Arial"/>
          <w:sz w:val="18"/>
          <w:szCs w:val="18"/>
          <w:b w:val="1"/>
          <w:bCs w:val="1"/>
          <w:color w:val="auto"/>
        </w:rPr>
        <w:t>415858109</w:t>
      </w:r>
      <w:r>
        <w:rPr>
          <w:sz w:val="20"/>
          <w:szCs w:val="20"/>
          <w:color w:val="auto"/>
        </w:rPr>
        <w:tab/>
      </w:r>
      <w:r>
        <w:rPr>
          <w:rFonts w:ascii="Arial" w:cs="Arial" w:eastAsia="Arial" w:hAnsi="Arial"/>
          <w:sz w:val="18"/>
          <w:szCs w:val="18"/>
          <w:color w:val="auto"/>
        </w:rPr>
        <w:t>13G</w:t>
      </w:r>
      <w:r>
        <w:rPr>
          <w:sz w:val="20"/>
          <w:szCs w:val="20"/>
          <w:color w:val="auto"/>
        </w:rPr>
        <w:tab/>
      </w:r>
      <w:r>
        <w:rPr>
          <w:rFonts w:ascii="Arial" w:cs="Arial" w:eastAsia="Arial" w:hAnsi="Arial"/>
          <w:sz w:val="15"/>
          <w:szCs w:val="15"/>
          <w:color w:val="auto"/>
        </w:rPr>
        <w:t>Page 2 of 6 Pages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Opaleye Management,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32" w:lineRule="exact"/>
        <w:rPr>
          <w:sz w:val="20"/>
          <w:szCs w:val="20"/>
          <w:color w:val="auto"/>
        </w:rPr>
      </w:pPr>
    </w:p>
    <w:p>
      <w:pPr>
        <w:ind w:left="660" w:hanging="463"/>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NAMES OF REPORTING PERSONS</w:t>
      </w:r>
    </w:p>
    <w:p>
      <w:pPr>
        <w:spacing w:after="0" w:line="23"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color w:val="auto"/>
        </w:rPr>
        <w:t>I.R.S. IDENTIFICATION NOS. OF ABOVE PERSONS (ENTITIES ONLY)</w:t>
      </w:r>
    </w:p>
    <w:p>
      <w:pPr>
        <w:spacing w:after="0" w:line="237" w:lineRule="exact"/>
        <w:rPr>
          <w:rFonts w:ascii="Arial" w:cs="Arial" w:eastAsia="Arial" w:hAnsi="Arial"/>
          <w:sz w:val="18"/>
          <w:szCs w:val="18"/>
          <w:color w:val="auto"/>
        </w:rPr>
      </w:pPr>
    </w:p>
    <w:p>
      <w:pPr>
        <w:ind w:left="660" w:right="5620" w:hanging="463"/>
        <w:spacing w:after="0" w:line="258"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1" w:lineRule="exact"/>
        <w:rPr>
          <w:rFonts w:ascii="Arial" w:cs="Arial" w:eastAsia="Arial" w:hAnsi="Arial"/>
          <w:sz w:val="18"/>
          <w:szCs w:val="18"/>
          <w:color w:val="auto"/>
        </w:rPr>
      </w:pPr>
    </w:p>
    <w:p>
      <w:pPr>
        <w:ind w:left="900" w:hanging="244"/>
        <w:spacing w:after="0" w:line="207" w:lineRule="exact"/>
        <w:tabs>
          <w:tab w:leader="none" w:pos="900" w:val="left"/>
        </w:tabs>
        <w:numPr>
          <w:ilvl w:val="1"/>
          <w:numId w:val="3"/>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10" w:lineRule="exact"/>
        <w:rPr>
          <w:rFonts w:ascii="Arial" w:cs="Arial" w:eastAsia="Arial" w:hAnsi="Arial"/>
          <w:sz w:val="18"/>
          <w:szCs w:val="18"/>
          <w:color w:val="auto"/>
        </w:rPr>
      </w:pPr>
    </w:p>
    <w:p>
      <w:pPr>
        <w:ind w:left="920" w:hanging="264"/>
        <w:spacing w:after="0" w:line="207" w:lineRule="exact"/>
        <w:tabs>
          <w:tab w:leader="none" w:pos="920" w:val="left"/>
        </w:tabs>
        <w:numPr>
          <w:ilvl w:val="1"/>
          <w:numId w:val="3"/>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27" w:lineRule="exact"/>
        <w:rPr>
          <w:rFonts w:ascii="Arial" w:cs="Arial" w:eastAsia="Arial" w:hAnsi="Arial"/>
          <w:sz w:val="18"/>
          <w:szCs w:val="18"/>
          <w:color w:val="auto"/>
        </w:rPr>
      </w:pPr>
    </w:p>
    <w:p>
      <w:pPr>
        <w:ind w:left="660" w:hanging="463"/>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44" w:lineRule="exact"/>
        <w:rPr>
          <w:rFonts w:ascii="Arial" w:cs="Arial" w:eastAsia="Arial" w:hAnsi="Arial"/>
          <w:sz w:val="18"/>
          <w:szCs w:val="18"/>
          <w:color w:val="auto"/>
        </w:rPr>
      </w:pPr>
    </w:p>
    <w:p>
      <w:pPr>
        <w:ind w:left="660" w:right="6920" w:hanging="463"/>
        <w:spacing w:after="0" w:line="277"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CITIZENSHIP OR PLACE OF ORGANIZATION Massachusetts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-1167765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-601980</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-310515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142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rPr>
              <w:t>5.</w:t>
            </w:r>
          </w:p>
        </w:tc>
        <w:tc>
          <w:tcPr>
            <w:tcW w:w="9320" w:type="dxa"/>
            <w:vAlign w:val="bottom"/>
            <w:tcBorders>
              <w:top w:val="single" w:sz="8" w:color="auto"/>
            </w:tcBorders>
          </w:tcPr>
          <w:p>
            <w:pPr>
              <w:ind w:left="16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230"/>
        </w:trPr>
        <w:tc>
          <w:tcPr>
            <w:tcW w:w="14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320" w:type="dxa"/>
            <w:vAlign w:val="bottom"/>
          </w:tcPr>
          <w:p>
            <w:pPr>
              <w:ind w:left="1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23"/>
        </w:trPr>
        <w:tc>
          <w:tcPr>
            <w:tcW w:w="1420" w:type="dxa"/>
            <w:vAlign w:val="bottom"/>
            <w:vMerge w:val="restart"/>
          </w:tcPr>
          <w:p>
            <w:pPr>
              <w:jc w:val="center"/>
              <w:ind w:right="10"/>
              <w:spacing w:after="0"/>
              <w:rPr>
                <w:sz w:val="20"/>
                <w:szCs w:val="20"/>
                <w:color w:val="auto"/>
              </w:rPr>
            </w:pPr>
            <w:r>
              <w:rPr>
                <w:rFonts w:ascii="Arial" w:cs="Arial" w:eastAsia="Arial" w:hAnsi="Arial"/>
                <w:sz w:val="18"/>
                <w:szCs w:val="18"/>
                <w:color w:val="auto"/>
                <w:w w:val="96"/>
              </w:rPr>
              <w:t>NUMBER OF</w:t>
            </w:r>
          </w:p>
        </w:tc>
        <w:tc>
          <w:tcPr>
            <w:tcW w:w="500" w:type="dxa"/>
            <w:vAlign w:val="bottom"/>
            <w:tcBorders>
              <w:bottom w:val="single" w:sz="8" w:color="auto"/>
            </w:tcBorders>
          </w:tcPr>
          <w:p>
            <w:pPr>
              <w:spacing w:after="0"/>
              <w:rPr>
                <w:sz w:val="19"/>
                <w:szCs w:val="19"/>
                <w:color w:val="auto"/>
              </w:rPr>
            </w:pPr>
          </w:p>
        </w:tc>
        <w:tc>
          <w:tcPr>
            <w:tcW w:w="93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07"/>
        </w:trPr>
        <w:tc>
          <w:tcPr>
            <w:tcW w:w="1420" w:type="dxa"/>
            <w:vAlign w:val="bottom"/>
            <w:vMerge w:val="continue"/>
          </w:tcPr>
          <w:p>
            <w:pPr>
              <w:spacing w:after="0"/>
              <w:rPr>
                <w:sz w:val="9"/>
                <w:szCs w:val="9"/>
                <w:color w:val="auto"/>
              </w:rPr>
            </w:pPr>
          </w:p>
        </w:tc>
        <w:tc>
          <w:tcPr>
            <w:tcW w:w="500" w:type="dxa"/>
            <w:vAlign w:val="bottom"/>
            <w:vMerge w:val="restart"/>
          </w:tcPr>
          <w:p>
            <w:pPr>
              <w:jc w:val="right"/>
              <w:ind w:right="90"/>
              <w:spacing w:after="0" w:line="201" w:lineRule="exact"/>
              <w:rPr>
                <w:sz w:val="20"/>
                <w:szCs w:val="20"/>
                <w:color w:val="auto"/>
              </w:rPr>
            </w:pPr>
            <w:r>
              <w:rPr>
                <w:rFonts w:ascii="Arial" w:cs="Arial" w:eastAsia="Arial" w:hAnsi="Arial"/>
                <w:sz w:val="18"/>
                <w:szCs w:val="18"/>
                <w:color w:val="auto"/>
              </w:rPr>
              <w:t>6.</w:t>
            </w:r>
          </w:p>
        </w:tc>
        <w:tc>
          <w:tcPr>
            <w:tcW w:w="9320" w:type="dxa"/>
            <w:vAlign w:val="bottom"/>
            <w:vMerge w:val="restart"/>
          </w:tcPr>
          <w:p>
            <w:pPr>
              <w:ind w:left="160"/>
              <w:spacing w:after="0" w:line="201" w:lineRule="exact"/>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94"/>
        </w:trPr>
        <w:tc>
          <w:tcPr>
            <w:tcW w:w="1420" w:type="dxa"/>
            <w:vAlign w:val="bottom"/>
            <w:vMerge w:val="restart"/>
          </w:tcPr>
          <w:p>
            <w:pPr>
              <w:jc w:val="center"/>
              <w:ind w:right="10"/>
              <w:spacing w:after="0"/>
              <w:rPr>
                <w:sz w:val="20"/>
                <w:szCs w:val="20"/>
                <w:color w:val="auto"/>
              </w:rPr>
            </w:pPr>
            <w:r>
              <w:rPr>
                <w:rFonts w:ascii="Arial" w:cs="Arial" w:eastAsia="Arial" w:hAnsi="Arial"/>
                <w:sz w:val="18"/>
                <w:szCs w:val="18"/>
                <w:color w:val="auto"/>
                <w:w w:val="91"/>
              </w:rPr>
              <w:t>SHARES</w:t>
            </w:r>
          </w:p>
        </w:tc>
        <w:tc>
          <w:tcPr>
            <w:tcW w:w="500" w:type="dxa"/>
            <w:vAlign w:val="bottom"/>
            <w:vMerge w:val="continue"/>
          </w:tcPr>
          <w:p>
            <w:pPr>
              <w:spacing w:after="0"/>
              <w:rPr>
                <w:sz w:val="8"/>
                <w:szCs w:val="8"/>
                <w:color w:val="auto"/>
              </w:rPr>
            </w:pPr>
          </w:p>
        </w:tc>
        <w:tc>
          <w:tcPr>
            <w:tcW w:w="93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22"/>
        </w:trPr>
        <w:tc>
          <w:tcPr>
            <w:tcW w:w="1420" w:type="dxa"/>
            <w:vAlign w:val="bottom"/>
            <w:vMerge w:val="continue"/>
          </w:tcPr>
          <w:p>
            <w:pPr>
              <w:spacing w:after="0"/>
              <w:rPr>
                <w:sz w:val="10"/>
                <w:szCs w:val="10"/>
                <w:color w:val="auto"/>
              </w:rPr>
            </w:pPr>
          </w:p>
        </w:tc>
        <w:tc>
          <w:tcPr>
            <w:tcW w:w="500" w:type="dxa"/>
            <w:vAlign w:val="bottom"/>
          </w:tcPr>
          <w:p>
            <w:pPr>
              <w:spacing w:after="0"/>
              <w:rPr>
                <w:sz w:val="10"/>
                <w:szCs w:val="10"/>
                <w:color w:val="auto"/>
              </w:rPr>
            </w:pPr>
          </w:p>
        </w:tc>
        <w:tc>
          <w:tcPr>
            <w:tcW w:w="9320" w:type="dxa"/>
            <w:vAlign w:val="bottom"/>
            <w:vMerge w:val="restart"/>
          </w:tcPr>
          <w:p>
            <w:pPr>
              <w:ind w:left="160"/>
              <w:spacing w:after="0"/>
              <w:rPr>
                <w:sz w:val="20"/>
                <w:szCs w:val="20"/>
                <w:color w:val="auto"/>
              </w:rPr>
            </w:pPr>
            <w:r>
              <w:rPr>
                <w:rFonts w:ascii="Arial" w:cs="Arial" w:eastAsia="Arial" w:hAnsi="Arial"/>
                <w:sz w:val="18"/>
                <w:szCs w:val="18"/>
                <w:color w:val="auto"/>
              </w:rPr>
              <w:t>3,285,000</w:t>
            </w:r>
          </w:p>
        </w:tc>
        <w:tc>
          <w:tcPr>
            <w:tcW w:w="0" w:type="dxa"/>
            <w:vAlign w:val="bottom"/>
          </w:tcPr>
          <w:p>
            <w:pPr>
              <w:spacing w:after="0"/>
              <w:rPr>
                <w:sz w:val="1"/>
                <w:szCs w:val="1"/>
                <w:color w:val="auto"/>
              </w:rPr>
            </w:pPr>
          </w:p>
        </w:tc>
      </w:tr>
      <w:tr>
        <w:trPr>
          <w:trHeight w:val="109"/>
        </w:trPr>
        <w:tc>
          <w:tcPr>
            <w:tcW w:w="1420" w:type="dxa"/>
            <w:vAlign w:val="bottom"/>
            <w:vMerge w:val="restart"/>
          </w:tcPr>
          <w:p>
            <w:pPr>
              <w:jc w:val="center"/>
              <w:ind w:right="10"/>
              <w:spacing w:after="0"/>
              <w:rPr>
                <w:sz w:val="20"/>
                <w:szCs w:val="20"/>
                <w:color w:val="auto"/>
              </w:rPr>
            </w:pPr>
            <w:r>
              <w:rPr>
                <w:rFonts w:ascii="Arial" w:cs="Arial" w:eastAsia="Arial" w:hAnsi="Arial"/>
                <w:sz w:val="18"/>
                <w:szCs w:val="18"/>
                <w:color w:val="auto"/>
              </w:rPr>
              <w:t>BENEFICIALLY</w:t>
            </w:r>
          </w:p>
        </w:tc>
        <w:tc>
          <w:tcPr>
            <w:tcW w:w="500" w:type="dxa"/>
            <w:vAlign w:val="bottom"/>
          </w:tcPr>
          <w:p>
            <w:pPr>
              <w:spacing w:after="0"/>
              <w:rPr>
                <w:sz w:val="9"/>
                <w:szCs w:val="9"/>
                <w:color w:val="auto"/>
              </w:rPr>
            </w:pPr>
          </w:p>
        </w:tc>
        <w:tc>
          <w:tcPr>
            <w:tcW w:w="93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1420" w:type="dxa"/>
            <w:vAlign w:val="bottom"/>
            <w:vMerge w:val="continue"/>
          </w:tcPr>
          <w:p>
            <w:pPr>
              <w:spacing w:after="0"/>
              <w:rPr>
                <w:sz w:val="9"/>
                <w:szCs w:val="9"/>
                <w:color w:val="auto"/>
              </w:rPr>
            </w:pPr>
          </w:p>
        </w:tc>
        <w:tc>
          <w:tcPr>
            <w:tcW w:w="500" w:type="dxa"/>
            <w:vAlign w:val="bottom"/>
          </w:tcPr>
          <w:p>
            <w:pPr>
              <w:spacing w:after="0"/>
              <w:rPr>
                <w:sz w:val="9"/>
                <w:szCs w:val="9"/>
                <w:color w:val="auto"/>
              </w:rPr>
            </w:pPr>
          </w:p>
        </w:tc>
        <w:tc>
          <w:tcPr>
            <w:tcW w:w="93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6"/>
        </w:trPr>
        <w:tc>
          <w:tcPr>
            <w:tcW w:w="1420" w:type="dxa"/>
            <w:vAlign w:val="bottom"/>
            <w:vMerge w:val="restart"/>
          </w:tcPr>
          <w:p>
            <w:pPr>
              <w:jc w:val="center"/>
              <w:ind w:right="10"/>
              <w:spacing w:after="0"/>
              <w:rPr>
                <w:sz w:val="20"/>
                <w:szCs w:val="20"/>
                <w:color w:val="auto"/>
              </w:rPr>
            </w:pPr>
            <w:r>
              <w:rPr>
                <w:rFonts w:ascii="Arial" w:cs="Arial" w:eastAsia="Arial" w:hAnsi="Arial"/>
                <w:sz w:val="18"/>
                <w:szCs w:val="18"/>
                <w:color w:val="auto"/>
                <w:w w:val="97"/>
              </w:rPr>
              <w:t>OWNED BY</w:t>
            </w:r>
          </w:p>
        </w:tc>
        <w:tc>
          <w:tcPr>
            <w:tcW w:w="500" w:type="dxa"/>
            <w:vAlign w:val="bottom"/>
            <w:tcBorders>
              <w:bottom w:val="single" w:sz="8" w:color="auto"/>
            </w:tcBorders>
          </w:tcPr>
          <w:p>
            <w:pPr>
              <w:spacing w:after="0"/>
              <w:rPr>
                <w:sz w:val="10"/>
                <w:szCs w:val="10"/>
                <w:color w:val="auto"/>
              </w:rPr>
            </w:pPr>
          </w:p>
        </w:tc>
        <w:tc>
          <w:tcPr>
            <w:tcW w:w="932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80"/>
        </w:trPr>
        <w:tc>
          <w:tcPr>
            <w:tcW w:w="1420" w:type="dxa"/>
            <w:vAlign w:val="bottom"/>
            <w:vMerge w:val="continue"/>
          </w:tcPr>
          <w:p>
            <w:pPr>
              <w:spacing w:after="0"/>
              <w:rPr>
                <w:sz w:val="6"/>
                <w:szCs w:val="6"/>
                <w:color w:val="auto"/>
              </w:rPr>
            </w:pPr>
          </w:p>
        </w:tc>
        <w:tc>
          <w:tcPr>
            <w:tcW w:w="500" w:type="dxa"/>
            <w:vAlign w:val="bottom"/>
            <w:vMerge w:val="restart"/>
          </w:tcPr>
          <w:p>
            <w:pPr>
              <w:jc w:val="right"/>
              <w:ind w:right="90"/>
              <w:spacing w:after="0" w:line="201" w:lineRule="exact"/>
              <w:rPr>
                <w:sz w:val="20"/>
                <w:szCs w:val="20"/>
                <w:color w:val="auto"/>
              </w:rPr>
            </w:pPr>
            <w:r>
              <w:rPr>
                <w:rFonts w:ascii="Arial" w:cs="Arial" w:eastAsia="Arial" w:hAnsi="Arial"/>
                <w:sz w:val="18"/>
                <w:szCs w:val="18"/>
                <w:color w:val="auto"/>
              </w:rPr>
              <w:t>7.</w:t>
            </w:r>
          </w:p>
        </w:tc>
        <w:tc>
          <w:tcPr>
            <w:tcW w:w="9320" w:type="dxa"/>
            <w:vAlign w:val="bottom"/>
            <w:vMerge w:val="restart"/>
          </w:tcPr>
          <w:p>
            <w:pPr>
              <w:ind w:left="160"/>
              <w:spacing w:after="0" w:line="201"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122"/>
        </w:trPr>
        <w:tc>
          <w:tcPr>
            <w:tcW w:w="1420" w:type="dxa"/>
            <w:vAlign w:val="bottom"/>
            <w:vMerge w:val="restart"/>
          </w:tcPr>
          <w:p>
            <w:pPr>
              <w:jc w:val="center"/>
              <w:ind w:right="10"/>
              <w:spacing w:after="0"/>
              <w:rPr>
                <w:sz w:val="20"/>
                <w:szCs w:val="20"/>
                <w:color w:val="auto"/>
              </w:rPr>
            </w:pPr>
            <w:r>
              <w:rPr>
                <w:rFonts w:ascii="Arial" w:cs="Arial" w:eastAsia="Arial" w:hAnsi="Arial"/>
                <w:sz w:val="18"/>
                <w:szCs w:val="18"/>
                <w:color w:val="auto"/>
                <w:w w:val="95"/>
              </w:rPr>
              <w:t>EACH</w:t>
            </w:r>
          </w:p>
        </w:tc>
        <w:tc>
          <w:tcPr>
            <w:tcW w:w="500" w:type="dxa"/>
            <w:vAlign w:val="bottom"/>
            <w:vMerge w:val="continue"/>
          </w:tcPr>
          <w:p>
            <w:pPr>
              <w:spacing w:after="0"/>
              <w:rPr>
                <w:sz w:val="10"/>
                <w:szCs w:val="10"/>
                <w:color w:val="auto"/>
              </w:rPr>
            </w:pPr>
          </w:p>
        </w:tc>
        <w:tc>
          <w:tcPr>
            <w:tcW w:w="93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4"/>
        </w:trPr>
        <w:tc>
          <w:tcPr>
            <w:tcW w:w="1420" w:type="dxa"/>
            <w:vAlign w:val="bottom"/>
            <w:vMerge w:val="continue"/>
          </w:tcPr>
          <w:p>
            <w:pPr>
              <w:spacing w:after="0"/>
              <w:rPr>
                <w:sz w:val="8"/>
                <w:szCs w:val="8"/>
                <w:color w:val="auto"/>
              </w:rPr>
            </w:pPr>
          </w:p>
        </w:tc>
        <w:tc>
          <w:tcPr>
            <w:tcW w:w="500" w:type="dxa"/>
            <w:vAlign w:val="bottom"/>
          </w:tcPr>
          <w:p>
            <w:pPr>
              <w:spacing w:after="0"/>
              <w:rPr>
                <w:sz w:val="8"/>
                <w:szCs w:val="8"/>
                <w:color w:val="auto"/>
              </w:rPr>
            </w:pPr>
          </w:p>
        </w:tc>
        <w:tc>
          <w:tcPr>
            <w:tcW w:w="9320" w:type="dxa"/>
            <w:vAlign w:val="bottom"/>
            <w:vMerge w:val="restart"/>
          </w:tcPr>
          <w:p>
            <w:pPr>
              <w:ind w:left="1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36"/>
        </w:trPr>
        <w:tc>
          <w:tcPr>
            <w:tcW w:w="1420" w:type="dxa"/>
            <w:vAlign w:val="bottom"/>
            <w:vMerge w:val="restart"/>
          </w:tcPr>
          <w:p>
            <w:pPr>
              <w:jc w:val="center"/>
              <w:ind w:right="10"/>
              <w:spacing w:after="0"/>
              <w:rPr>
                <w:sz w:val="20"/>
                <w:szCs w:val="20"/>
                <w:color w:val="auto"/>
              </w:rPr>
            </w:pPr>
            <w:r>
              <w:rPr>
                <w:rFonts w:ascii="Arial" w:cs="Arial" w:eastAsia="Arial" w:hAnsi="Arial"/>
                <w:sz w:val="18"/>
                <w:szCs w:val="18"/>
                <w:color w:val="auto"/>
                <w:w w:val="93"/>
              </w:rPr>
              <w:t>REPORTING</w:t>
            </w:r>
          </w:p>
        </w:tc>
        <w:tc>
          <w:tcPr>
            <w:tcW w:w="500" w:type="dxa"/>
            <w:vAlign w:val="bottom"/>
          </w:tcPr>
          <w:p>
            <w:pPr>
              <w:spacing w:after="0"/>
              <w:rPr>
                <w:sz w:val="11"/>
                <w:szCs w:val="11"/>
                <w:color w:val="auto"/>
              </w:rPr>
            </w:pPr>
          </w:p>
        </w:tc>
        <w:tc>
          <w:tcPr>
            <w:tcW w:w="93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80"/>
        </w:trPr>
        <w:tc>
          <w:tcPr>
            <w:tcW w:w="1420" w:type="dxa"/>
            <w:vAlign w:val="bottom"/>
            <w:vMerge w:val="continue"/>
          </w:tcPr>
          <w:p>
            <w:pPr>
              <w:spacing w:after="0"/>
              <w:rPr>
                <w:sz w:val="6"/>
                <w:szCs w:val="6"/>
                <w:color w:val="auto"/>
              </w:rPr>
            </w:pPr>
          </w:p>
        </w:tc>
        <w:tc>
          <w:tcPr>
            <w:tcW w:w="500" w:type="dxa"/>
            <w:vAlign w:val="bottom"/>
          </w:tcPr>
          <w:p>
            <w:pPr>
              <w:spacing w:after="0"/>
              <w:rPr>
                <w:sz w:val="6"/>
                <w:szCs w:val="6"/>
                <w:color w:val="auto"/>
              </w:rPr>
            </w:pPr>
          </w:p>
        </w:tc>
        <w:tc>
          <w:tcPr>
            <w:tcW w:w="93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43"/>
        </w:trPr>
        <w:tc>
          <w:tcPr>
            <w:tcW w:w="1420" w:type="dxa"/>
            <w:vAlign w:val="bottom"/>
            <w:vMerge w:val="restart"/>
          </w:tcPr>
          <w:p>
            <w:pPr>
              <w:jc w:val="center"/>
              <w:ind w:right="10"/>
              <w:spacing w:after="0"/>
              <w:rPr>
                <w:sz w:val="20"/>
                <w:szCs w:val="20"/>
                <w:color w:val="auto"/>
              </w:rPr>
            </w:pPr>
            <w:r>
              <w:rPr>
                <w:rFonts w:ascii="Arial" w:cs="Arial" w:eastAsia="Arial" w:hAnsi="Arial"/>
                <w:sz w:val="18"/>
                <w:szCs w:val="18"/>
                <w:color w:val="auto"/>
                <w:w w:val="94"/>
              </w:rPr>
              <w:t>PERSON WITH</w:t>
            </w:r>
          </w:p>
        </w:tc>
        <w:tc>
          <w:tcPr>
            <w:tcW w:w="500" w:type="dxa"/>
            <w:vAlign w:val="bottom"/>
            <w:tcBorders>
              <w:bottom w:val="single" w:sz="8" w:color="auto"/>
            </w:tcBorders>
          </w:tcPr>
          <w:p>
            <w:pPr>
              <w:spacing w:after="0"/>
              <w:rPr>
                <w:sz w:val="12"/>
                <w:szCs w:val="12"/>
                <w:color w:val="auto"/>
              </w:rPr>
            </w:pPr>
          </w:p>
        </w:tc>
        <w:tc>
          <w:tcPr>
            <w:tcW w:w="932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68"/>
        </w:trPr>
        <w:tc>
          <w:tcPr>
            <w:tcW w:w="1420" w:type="dxa"/>
            <w:vAlign w:val="bottom"/>
            <w:vMerge w:val="continue"/>
          </w:tcPr>
          <w:p>
            <w:pPr>
              <w:spacing w:after="0"/>
              <w:rPr>
                <w:sz w:val="5"/>
                <w:szCs w:val="5"/>
                <w:color w:val="auto"/>
              </w:rPr>
            </w:pPr>
          </w:p>
        </w:tc>
        <w:tc>
          <w:tcPr>
            <w:tcW w:w="500" w:type="dxa"/>
            <w:vAlign w:val="bottom"/>
            <w:vMerge w:val="restart"/>
          </w:tcPr>
          <w:p>
            <w:pPr>
              <w:jc w:val="right"/>
              <w:ind w:right="90"/>
              <w:spacing w:after="0" w:line="201" w:lineRule="exact"/>
              <w:rPr>
                <w:sz w:val="20"/>
                <w:szCs w:val="20"/>
                <w:color w:val="auto"/>
              </w:rPr>
            </w:pPr>
            <w:r>
              <w:rPr>
                <w:rFonts w:ascii="Arial" w:cs="Arial" w:eastAsia="Arial" w:hAnsi="Arial"/>
                <w:sz w:val="18"/>
                <w:szCs w:val="18"/>
                <w:color w:val="auto"/>
              </w:rPr>
              <w:t>8.</w:t>
            </w:r>
          </w:p>
        </w:tc>
        <w:tc>
          <w:tcPr>
            <w:tcW w:w="9320" w:type="dxa"/>
            <w:vAlign w:val="bottom"/>
            <w:vMerge w:val="restart"/>
          </w:tcPr>
          <w:p>
            <w:pPr>
              <w:ind w:left="160"/>
              <w:spacing w:after="0" w:line="201" w:lineRule="exact"/>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134"/>
        </w:trPr>
        <w:tc>
          <w:tcPr>
            <w:tcW w:w="1420" w:type="dxa"/>
            <w:vAlign w:val="bottom"/>
          </w:tcPr>
          <w:p>
            <w:pPr>
              <w:spacing w:after="0"/>
              <w:rPr>
                <w:sz w:val="11"/>
                <w:szCs w:val="11"/>
                <w:color w:val="auto"/>
              </w:rPr>
            </w:pPr>
          </w:p>
        </w:tc>
        <w:tc>
          <w:tcPr>
            <w:tcW w:w="500" w:type="dxa"/>
            <w:vAlign w:val="bottom"/>
            <w:vMerge w:val="continue"/>
          </w:tcPr>
          <w:p>
            <w:pPr>
              <w:spacing w:after="0"/>
              <w:rPr>
                <w:sz w:val="11"/>
                <w:szCs w:val="11"/>
                <w:color w:val="auto"/>
              </w:rPr>
            </w:pPr>
          </w:p>
        </w:tc>
        <w:tc>
          <w:tcPr>
            <w:tcW w:w="93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30"/>
        </w:trPr>
        <w:tc>
          <w:tcPr>
            <w:tcW w:w="14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320" w:type="dxa"/>
            <w:vAlign w:val="bottom"/>
          </w:tcPr>
          <w:p>
            <w:pPr>
              <w:ind w:left="160"/>
              <w:spacing w:after="0"/>
              <w:rPr>
                <w:sz w:val="20"/>
                <w:szCs w:val="20"/>
                <w:color w:val="auto"/>
              </w:rPr>
            </w:pPr>
            <w:r>
              <w:rPr>
                <w:rFonts w:ascii="Arial" w:cs="Arial" w:eastAsia="Arial" w:hAnsi="Arial"/>
                <w:sz w:val="18"/>
                <w:szCs w:val="18"/>
                <w:color w:val="auto"/>
              </w:rPr>
              <w:t>3,285,000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9" w:lineRule="exact"/>
        <w:rPr>
          <w:sz w:val="20"/>
          <w:szCs w:val="20"/>
          <w:color w:val="auto"/>
        </w:rPr>
      </w:pPr>
    </w:p>
    <w:p>
      <w:pPr>
        <w:ind w:left="200"/>
        <w:spacing w:after="0"/>
        <w:tabs>
          <w:tab w:leader="none" w:pos="640" w:val="left"/>
        </w:tabs>
        <w:rPr>
          <w:sz w:val="20"/>
          <w:szCs w:val="20"/>
          <w:color w:val="auto"/>
        </w:rPr>
      </w:pPr>
      <w:r>
        <w:rPr>
          <w:rFonts w:ascii="Arial" w:cs="Arial" w:eastAsia="Arial" w:hAnsi="Arial"/>
          <w:sz w:val="18"/>
          <w:szCs w:val="18"/>
          <w:color w:val="auto"/>
        </w:rPr>
        <w:t>9.</w:t>
      </w:r>
      <w:r>
        <w:rPr>
          <w:sz w:val="20"/>
          <w:szCs w:val="20"/>
          <w:color w:val="auto"/>
        </w:rPr>
        <w:tab/>
      </w:r>
      <w:r>
        <w:rPr>
          <w:rFonts w:ascii="Arial" w:cs="Arial" w:eastAsia="Arial" w:hAnsi="Arial"/>
          <w:sz w:val="18"/>
          <w:szCs w:val="18"/>
          <w:color w:val="auto"/>
        </w:rPr>
        <w:t>AGGREGATE AMOUNT BENEFICIALLY OWNED BY EACH REPORTING PERSON</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3,285.000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18" w:lineRule="exact"/>
        <w:rPr>
          <w:sz w:val="20"/>
          <w:szCs w:val="20"/>
          <w:color w:val="auto"/>
        </w:rPr>
      </w:pPr>
    </w:p>
    <w:p>
      <w:pPr>
        <w:ind w:left="660" w:right="3940" w:hanging="559"/>
        <w:spacing w:after="0" w:line="233" w:lineRule="exact"/>
        <w:tabs>
          <w:tab w:leader="none" w:pos="640" w:val="left"/>
        </w:tabs>
        <w:rPr>
          <w:sz w:val="20"/>
          <w:szCs w:val="20"/>
          <w:color w:val="auto"/>
        </w:rPr>
      </w:pPr>
      <w:r>
        <w:rPr>
          <w:rFonts w:ascii="Arial" w:cs="Arial" w:eastAsia="Arial" w:hAnsi="Arial"/>
          <w:sz w:val="18"/>
          <w:szCs w:val="18"/>
          <w:color w:val="auto"/>
        </w:rPr>
        <w:t>10.</w:t>
      </w:r>
      <w:r>
        <w:rPr>
          <w:sz w:val="20"/>
          <w:szCs w:val="20"/>
          <w:color w:val="auto"/>
        </w:rPr>
        <w:tab/>
      </w:r>
      <w:r>
        <w:rPr>
          <w:rFonts w:ascii="Arial" w:cs="Arial" w:eastAsia="Arial" w:hAnsi="Arial"/>
          <w:sz w:val="18"/>
          <w:szCs w:val="18"/>
          <w:color w:val="auto"/>
        </w:rPr>
        <w:t xml:space="preserve">CHECK IF THE AGGREGATE AMOUNT IN ROW (9) EXCLUDES CERTAIN SHARES (see instructions) </w:t>
      </w:r>
      <w:r>
        <w:rPr>
          <w:rFonts w:ascii="MS PGothic" w:cs="MS PGothic" w:eastAsia="MS PGothic" w:hAnsi="MS PGothic"/>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142240</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16" w:lineRule="exact"/>
        <w:rPr>
          <w:sz w:val="20"/>
          <w:szCs w:val="20"/>
          <w:color w:val="auto"/>
        </w:rPr>
      </w:pPr>
    </w:p>
    <w:p>
      <w:pPr>
        <w:ind w:left="120"/>
        <w:spacing w:after="0"/>
        <w:tabs>
          <w:tab w:leader="none" w:pos="640" w:val="left"/>
        </w:tabs>
        <w:rPr>
          <w:sz w:val="20"/>
          <w:szCs w:val="20"/>
          <w:color w:val="auto"/>
        </w:rPr>
      </w:pPr>
      <w:r>
        <w:rPr>
          <w:rFonts w:ascii="Arial" w:cs="Arial" w:eastAsia="Arial" w:hAnsi="Arial"/>
          <w:sz w:val="18"/>
          <w:szCs w:val="18"/>
          <w:color w:val="auto"/>
        </w:rPr>
        <w:t>11.</w:t>
      </w:r>
      <w:r>
        <w:rPr>
          <w:sz w:val="20"/>
          <w:szCs w:val="20"/>
          <w:color w:val="auto"/>
        </w:rPr>
        <w:tab/>
      </w:r>
      <w:r>
        <w:rPr>
          <w:rFonts w:ascii="Arial" w:cs="Arial" w:eastAsia="Arial" w:hAnsi="Arial"/>
          <w:sz w:val="18"/>
          <w:szCs w:val="18"/>
          <w:color w:val="auto"/>
        </w:rPr>
        <w:t>PERCENT OF CLASS REPRESENTED BY AMOUNT IN ROW (9)</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18" w:lineRule="exact"/>
        <w:rPr>
          <w:sz w:val="20"/>
          <w:szCs w:val="20"/>
          <w:color w:val="auto"/>
        </w:rPr>
      </w:pPr>
    </w:p>
    <w:p>
      <w:pPr>
        <w:ind w:left="100"/>
        <w:spacing w:after="0"/>
        <w:tabs>
          <w:tab w:leader="none" w:pos="640" w:val="left"/>
        </w:tabs>
        <w:rPr>
          <w:sz w:val="20"/>
          <w:szCs w:val="20"/>
          <w:color w:val="auto"/>
        </w:rPr>
      </w:pPr>
      <w:r>
        <w:rPr>
          <w:rFonts w:ascii="Arial" w:cs="Arial" w:eastAsia="Arial" w:hAnsi="Arial"/>
          <w:sz w:val="18"/>
          <w:szCs w:val="18"/>
          <w:color w:val="auto"/>
        </w:rPr>
        <w:t>12.</w:t>
      </w:r>
      <w:r>
        <w:rPr>
          <w:sz w:val="20"/>
          <w:szCs w:val="20"/>
          <w:color w:val="auto"/>
        </w:rPr>
        <w:tab/>
      </w:r>
      <w:r>
        <w:rPr>
          <w:rFonts w:ascii="Arial" w:cs="Arial" w:eastAsia="Arial" w:hAnsi="Arial"/>
          <w:sz w:val="18"/>
          <w:szCs w:val="18"/>
          <w:color w:val="auto"/>
        </w:rPr>
        <w:t>TYPE OF REPORTING PERSON (see instructions)</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18" w:lineRule="exact"/>
        <w:rPr>
          <w:sz w:val="20"/>
          <w:szCs w:val="20"/>
          <w:color w:val="auto"/>
        </w:rPr>
      </w:pPr>
    </w:p>
    <w:p>
      <w:pPr>
        <w:jc w:val="both"/>
        <w:ind w:left="660"/>
        <w:spacing w:after="0" w:line="263" w:lineRule="auto"/>
        <w:rPr>
          <w:sz w:val="20"/>
          <w:szCs w:val="20"/>
          <w:color w:val="auto"/>
        </w:rPr>
      </w:pPr>
      <w:r>
        <w:rPr>
          <w:rFonts w:ascii="Arial" w:cs="Arial" w:eastAsia="Arial" w:hAnsi="Arial"/>
          <w:sz w:val="18"/>
          <w:szCs w:val="18"/>
          <w:color w:val="auto"/>
        </w:rPr>
        <w:t>* Based upon 26,902,763 shares of common stock issued and outstanding on November 8, 2021 as reported by the Issuer on its registration statement on Form 10-Q filed with the Securities and Exchange Commission on November 9, 2021. This calculation does not include the exercise or conversion of outstanding securities of the Issuer.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262890</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2" w:name="page3"/>
    <w:bookmarkEnd w:id="2"/>
    <w:p>
      <w:pPr>
        <w:spacing w:after="0"/>
        <w:tabs>
          <w:tab w:leader="none" w:pos="5460" w:val="left"/>
          <w:tab w:leader="none" w:pos="9940" w:val="left"/>
        </w:tabs>
        <w:rPr>
          <w:sz w:val="20"/>
          <w:szCs w:val="20"/>
          <w:color w:val="auto"/>
        </w:rPr>
      </w:pPr>
      <w:r>
        <w:rPr>
          <w:rFonts w:ascii="Arial" w:cs="Arial" w:eastAsia="Arial" w:hAnsi="Arial"/>
          <w:sz w:val="18"/>
          <w:szCs w:val="18"/>
          <w:color w:val="auto"/>
        </w:rPr>
        <w:t xml:space="preserve">CUSIP No. </w:t>
      </w:r>
      <w:r>
        <w:rPr>
          <w:rFonts w:ascii="Arial" w:cs="Arial" w:eastAsia="Arial" w:hAnsi="Arial"/>
          <w:sz w:val="18"/>
          <w:szCs w:val="18"/>
          <w:b w:val="1"/>
          <w:bCs w:val="1"/>
          <w:color w:val="auto"/>
        </w:rPr>
        <w:t>415858109</w:t>
      </w:r>
      <w:r>
        <w:rPr>
          <w:sz w:val="20"/>
          <w:szCs w:val="20"/>
          <w:color w:val="auto"/>
        </w:rPr>
        <w:tab/>
      </w:r>
      <w:r>
        <w:rPr>
          <w:rFonts w:ascii="Arial" w:cs="Arial" w:eastAsia="Arial" w:hAnsi="Arial"/>
          <w:sz w:val="18"/>
          <w:szCs w:val="18"/>
          <w:color w:val="auto"/>
        </w:rPr>
        <w:t>13G</w:t>
      </w:r>
      <w:r>
        <w:rPr>
          <w:sz w:val="20"/>
          <w:szCs w:val="20"/>
          <w:color w:val="auto"/>
        </w:rPr>
        <w:tab/>
      </w:r>
      <w:r>
        <w:rPr>
          <w:rFonts w:ascii="Arial" w:cs="Arial" w:eastAsia="Arial" w:hAnsi="Arial"/>
          <w:sz w:val="15"/>
          <w:szCs w:val="15"/>
          <w:color w:val="auto"/>
        </w:rPr>
        <w:t>Page 3 of 6 Pages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w:t>
      </w:r>
    </w:p>
    <w:p>
      <w:pPr>
        <w:spacing w:after="0" w:line="229" w:lineRule="exact"/>
        <w:rPr>
          <w:sz w:val="20"/>
          <w:szCs w:val="20"/>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Name of Issuer: Harrow Health, Inc. (the “</w:t>
      </w:r>
      <w:r>
        <w:rPr>
          <w:rFonts w:ascii="Arial" w:cs="Arial" w:eastAsia="Arial" w:hAnsi="Arial"/>
          <w:sz w:val="18"/>
          <w:szCs w:val="18"/>
          <w:u w:val="single" w:color="auto"/>
          <w:color w:val="auto"/>
        </w:rPr>
        <w:t>Company</w:t>
      </w:r>
      <w:r>
        <w:rPr>
          <w:rFonts w:ascii="Arial" w:cs="Arial" w:eastAsia="Arial" w:hAnsi="Arial"/>
          <w:sz w:val="18"/>
          <w:szCs w:val="18"/>
          <w:color w:val="auto"/>
        </w:rPr>
        <w:t>”).</w:t>
      </w:r>
    </w:p>
    <w:p>
      <w:pPr>
        <w:spacing w:after="0" w:line="200" w:lineRule="exact"/>
        <w:rPr>
          <w:rFonts w:ascii="Arial" w:cs="Arial" w:eastAsia="Arial" w:hAnsi="Arial"/>
          <w:sz w:val="18"/>
          <w:szCs w:val="18"/>
          <w:color w:val="auto"/>
        </w:rPr>
      </w:pPr>
    </w:p>
    <w:p>
      <w:pPr>
        <w:spacing w:after="0" w:line="241" w:lineRule="exact"/>
        <w:rPr>
          <w:rFonts w:ascii="Arial" w:cs="Arial" w:eastAsia="Arial" w:hAnsi="Arial"/>
          <w:sz w:val="18"/>
          <w:szCs w:val="18"/>
          <w:color w:val="auto"/>
        </w:rPr>
      </w:pPr>
    </w:p>
    <w:p>
      <w:pPr>
        <w:ind w:left="4940" w:right="4280" w:hanging="4608"/>
        <w:spacing w:after="0" w:line="342" w:lineRule="auto"/>
        <w:tabs>
          <w:tab w:leader="none" w:pos="654" w:val="left"/>
        </w:tabs>
        <w:numPr>
          <w:ilvl w:val="0"/>
          <w:numId w:val="4"/>
        </w:numPr>
        <w:rPr>
          <w:rFonts w:ascii="Arial" w:cs="Arial" w:eastAsia="Arial" w:hAnsi="Arial"/>
          <w:sz w:val="16"/>
          <w:szCs w:val="16"/>
          <w:color w:val="auto"/>
        </w:rPr>
      </w:pPr>
      <w:r>
        <w:rPr>
          <w:rFonts w:ascii="Arial" w:cs="Arial" w:eastAsia="Arial" w:hAnsi="Arial"/>
          <w:sz w:val="16"/>
          <w:szCs w:val="16"/>
          <w:color w:val="auto"/>
        </w:rPr>
        <w:t>Address of Issuer’s Principal Executive Offices: 102 Woodmont Blvd., Suite 610 Nashville, Tennessee 37205</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w:t>
      </w:r>
    </w:p>
    <w:p>
      <w:pPr>
        <w:spacing w:after="0" w:line="229" w:lineRule="exact"/>
        <w:rPr>
          <w:sz w:val="20"/>
          <w:szCs w:val="20"/>
          <w:color w:val="auto"/>
        </w:rPr>
      </w:pPr>
    </w:p>
    <w:p>
      <w:pPr>
        <w:ind w:left="660" w:hanging="328"/>
        <w:spacing w:after="0" w:line="277"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Name of Person Filing This statement is filed by the entities and persons listed below, who are collectively referred to herein as “</w:t>
      </w:r>
      <w:r>
        <w:rPr>
          <w:rFonts w:ascii="Arial" w:cs="Arial" w:eastAsia="Arial" w:hAnsi="Arial"/>
          <w:sz w:val="18"/>
          <w:szCs w:val="18"/>
          <w:u w:val="single" w:color="auto"/>
          <w:color w:val="auto"/>
        </w:rPr>
        <w:t>Reporting</w:t>
      </w:r>
      <w:r>
        <w:rPr>
          <w:rFonts w:ascii="Arial" w:cs="Arial" w:eastAsia="Arial" w:hAnsi="Arial"/>
          <w:sz w:val="18"/>
          <w:szCs w:val="18"/>
          <w:color w:val="auto"/>
        </w:rPr>
        <w:t xml:space="preserve"> </w:t>
      </w:r>
      <w:r>
        <w:rPr>
          <w:rFonts w:ascii="Arial" w:cs="Arial" w:eastAsia="Arial" w:hAnsi="Arial"/>
          <w:sz w:val="18"/>
          <w:szCs w:val="18"/>
          <w:u w:val="single" w:color="auto"/>
          <w:color w:val="auto"/>
        </w:rPr>
        <w:t>Persons”</w:t>
      </w:r>
      <w:r>
        <w:rPr>
          <w:rFonts w:ascii="Arial" w:cs="Arial" w:eastAsia="Arial" w:hAnsi="Arial"/>
          <w:sz w:val="18"/>
          <w:szCs w:val="18"/>
          <w:color w:val="auto"/>
        </w:rPr>
        <w:t xml:space="preserve"> with respect to the shares of common stock of the Company:</w:t>
      </w:r>
    </w:p>
    <w:p>
      <w:pPr>
        <w:spacing w:after="0" w:line="170"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color w:val="auto"/>
        </w:rPr>
        <w:t>Opaleye Fund</w:t>
      </w:r>
    </w:p>
    <w:p>
      <w:pPr>
        <w:spacing w:after="0" w:line="225" w:lineRule="exact"/>
        <w:rPr>
          <w:rFonts w:ascii="Arial" w:cs="Arial" w:eastAsia="Arial" w:hAnsi="Arial"/>
          <w:sz w:val="18"/>
          <w:szCs w:val="18"/>
          <w:color w:val="auto"/>
        </w:rPr>
      </w:pPr>
    </w:p>
    <w:p>
      <w:pPr>
        <w:ind w:left="660" w:right="4560"/>
        <w:spacing w:after="0" w:line="500" w:lineRule="auto"/>
        <w:rPr>
          <w:rFonts w:ascii="Arial" w:cs="Arial" w:eastAsia="Arial" w:hAnsi="Arial"/>
          <w:sz w:val="18"/>
          <w:szCs w:val="18"/>
          <w:color w:val="auto"/>
        </w:rPr>
      </w:pPr>
      <w:r>
        <w:rPr>
          <w:rFonts w:ascii="Arial" w:cs="Arial" w:eastAsia="Arial" w:hAnsi="Arial"/>
          <w:sz w:val="18"/>
          <w:szCs w:val="18"/>
          <w:color w:val="auto"/>
        </w:rPr>
        <w:t>Opaleye, L.P. (the “</w:t>
      </w:r>
      <w:r>
        <w:rPr>
          <w:rFonts w:ascii="Arial" w:cs="Arial" w:eastAsia="Arial" w:hAnsi="Arial"/>
          <w:sz w:val="18"/>
          <w:szCs w:val="18"/>
          <w:u w:val="single" w:color="auto"/>
          <w:color w:val="auto"/>
        </w:rPr>
        <w:t>Opaleye Fund</w:t>
      </w:r>
      <w:r>
        <w:rPr>
          <w:rFonts w:ascii="Arial" w:cs="Arial" w:eastAsia="Arial" w:hAnsi="Arial"/>
          <w:sz w:val="18"/>
          <w:szCs w:val="18"/>
          <w:color w:val="auto"/>
        </w:rPr>
        <w:t xml:space="preserve">”), a private fund formed in the state of Delaware. </w:t>
      </w:r>
      <w:r>
        <w:rPr>
          <w:rFonts w:ascii="Arial" w:cs="Arial" w:eastAsia="Arial" w:hAnsi="Arial"/>
          <w:sz w:val="18"/>
          <w:szCs w:val="18"/>
          <w:u w:val="single" w:color="auto"/>
          <w:color w:val="auto"/>
        </w:rPr>
        <w:t>Investment Manager</w:t>
      </w:r>
    </w:p>
    <w:p>
      <w:pPr>
        <w:spacing w:after="0" w:line="1" w:lineRule="exact"/>
        <w:rPr>
          <w:rFonts w:ascii="Arial" w:cs="Arial" w:eastAsia="Arial" w:hAnsi="Arial"/>
          <w:sz w:val="18"/>
          <w:szCs w:val="18"/>
          <w:color w:val="auto"/>
        </w:rPr>
      </w:pPr>
    </w:p>
    <w:p>
      <w:pPr>
        <w:jc w:val="both"/>
        <w:ind w:left="660"/>
        <w:spacing w:after="0" w:line="279" w:lineRule="auto"/>
        <w:rPr>
          <w:rFonts w:ascii="Arial" w:cs="Arial" w:eastAsia="Arial" w:hAnsi="Arial"/>
          <w:sz w:val="18"/>
          <w:szCs w:val="18"/>
          <w:color w:val="auto"/>
        </w:rPr>
      </w:pPr>
      <w:r>
        <w:rPr>
          <w:rFonts w:ascii="Arial" w:cs="Arial" w:eastAsia="Arial" w:hAnsi="Arial"/>
          <w:sz w:val="17"/>
          <w:szCs w:val="17"/>
          <w:color w:val="auto"/>
        </w:rPr>
        <w:t>Opaleye Management Inc. (the “</w:t>
      </w:r>
      <w:r>
        <w:rPr>
          <w:rFonts w:ascii="Arial" w:cs="Arial" w:eastAsia="Arial" w:hAnsi="Arial"/>
          <w:sz w:val="17"/>
          <w:szCs w:val="17"/>
          <w:u w:val="single" w:color="auto"/>
          <w:color w:val="auto"/>
        </w:rPr>
        <w:t>Investment Manager</w:t>
      </w:r>
      <w:r>
        <w:rPr>
          <w:rFonts w:ascii="Arial" w:cs="Arial" w:eastAsia="Arial" w:hAnsi="Arial"/>
          <w:sz w:val="17"/>
          <w:szCs w:val="17"/>
          <w:color w:val="auto"/>
        </w:rPr>
        <w:t>”), with respect to the shares of common stock held by the Opaleye Fund, a private fund to which the Investment Manager serves as investment manager. The Investment Manager also serves as a portfolio manager for a separate managed account (the “</w:t>
      </w:r>
      <w:r>
        <w:rPr>
          <w:rFonts w:ascii="Arial" w:cs="Arial" w:eastAsia="Arial" w:hAnsi="Arial"/>
          <w:sz w:val="17"/>
          <w:szCs w:val="17"/>
          <w:u w:val="single" w:color="auto"/>
          <w:color w:val="auto"/>
        </w:rPr>
        <w:t>Managed Account</w:t>
      </w:r>
      <w:r>
        <w:rPr>
          <w:rFonts w:ascii="Arial" w:cs="Arial" w:eastAsia="Arial" w:hAnsi="Arial"/>
          <w:sz w:val="17"/>
          <w:szCs w:val="17"/>
          <w:color w:val="auto"/>
        </w:rPr>
        <w:t>”) and may be deemed to indirectly beneficially own securities owned by the Managed Account. The Investment Manager disclaims beneficial ownership of the shares held by the Managed Account.</w:t>
      </w:r>
    </w:p>
    <w:p>
      <w:pPr>
        <w:spacing w:after="0" w:line="171"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u w:val="single" w:color="auto"/>
          <w:color w:val="auto"/>
        </w:rPr>
        <w:t>Reporting Individual</w:t>
      </w:r>
    </w:p>
    <w:p>
      <w:pPr>
        <w:spacing w:after="0" w:line="225" w:lineRule="exact"/>
        <w:rPr>
          <w:rFonts w:ascii="Arial" w:cs="Arial" w:eastAsia="Arial" w:hAnsi="Arial"/>
          <w:sz w:val="18"/>
          <w:szCs w:val="18"/>
          <w:color w:val="auto"/>
        </w:rPr>
      </w:pPr>
    </w:p>
    <w:p>
      <w:pPr>
        <w:ind w:left="660"/>
        <w:spacing w:after="0" w:line="277" w:lineRule="auto"/>
        <w:rPr>
          <w:rFonts w:ascii="Arial" w:cs="Arial" w:eastAsia="Arial" w:hAnsi="Arial"/>
          <w:sz w:val="18"/>
          <w:szCs w:val="18"/>
          <w:color w:val="auto"/>
        </w:rPr>
      </w:pPr>
      <w:r>
        <w:rPr>
          <w:rFonts w:ascii="Arial" w:cs="Arial" w:eastAsia="Arial" w:hAnsi="Arial"/>
          <w:sz w:val="18"/>
          <w:szCs w:val="18"/>
          <w:color w:val="auto"/>
        </w:rPr>
        <w:t>Mr. James Silverman (the “</w:t>
      </w:r>
      <w:r>
        <w:rPr>
          <w:rFonts w:ascii="Arial" w:cs="Arial" w:eastAsia="Arial" w:hAnsi="Arial"/>
          <w:sz w:val="18"/>
          <w:szCs w:val="18"/>
          <w:u w:val="single" w:color="auto"/>
          <w:color w:val="auto"/>
        </w:rPr>
        <w:t>Reporting Individual”</w:t>
      </w:r>
      <w:r>
        <w:rPr>
          <w:rFonts w:ascii="Arial" w:cs="Arial" w:eastAsia="Arial" w:hAnsi="Arial"/>
          <w:sz w:val="18"/>
          <w:szCs w:val="18"/>
          <w:color w:val="auto"/>
        </w:rPr>
        <w:t>), with respect to the shares of common stock held by the Opaleye Fund. Mr. Silverman is the President of the Investment Manager.</w:t>
      </w:r>
    </w:p>
    <w:p>
      <w:pPr>
        <w:spacing w:after="0" w:line="150"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36"/>
          <w:szCs w:val="36"/>
          <w:color w:val="auto"/>
          <w:vertAlign w:val="superscript"/>
        </w:rPr>
      </w:pPr>
      <w:r>
        <w:rPr>
          <w:rFonts w:ascii="Arial" w:cs="Arial" w:eastAsia="Arial" w:hAnsi="Arial"/>
          <w:sz w:val="18"/>
          <w:szCs w:val="18"/>
          <w:color w:val="auto"/>
        </w:rPr>
        <w:t>Address of the Principal Office or, if none, residence One Boston Place, 26</w:t>
      </w:r>
      <w:r>
        <w:rPr>
          <w:rFonts w:ascii="Arial" w:cs="Arial" w:eastAsia="Arial" w:hAnsi="Arial"/>
          <w:sz w:val="29"/>
          <w:szCs w:val="29"/>
          <w:color w:val="auto"/>
          <w:vertAlign w:val="superscript"/>
        </w:rPr>
        <w:t>th</w:t>
      </w:r>
      <w:r>
        <w:rPr>
          <w:rFonts w:ascii="Arial" w:cs="Arial" w:eastAsia="Arial" w:hAnsi="Arial"/>
          <w:sz w:val="18"/>
          <w:szCs w:val="18"/>
          <w:color w:val="auto"/>
        </w:rPr>
        <w:t xml:space="preserve"> Floor, Boston, MA 02108</w:t>
      </w:r>
    </w:p>
    <w:p>
      <w:pPr>
        <w:spacing w:after="0" w:line="78" w:lineRule="exact"/>
        <w:rPr>
          <w:rFonts w:ascii="Arial" w:cs="Arial" w:eastAsia="Arial" w:hAnsi="Arial"/>
          <w:sz w:val="36"/>
          <w:szCs w:val="36"/>
          <w:color w:val="auto"/>
          <w:vertAlign w:val="superscript"/>
        </w:rPr>
      </w:pPr>
    </w:p>
    <w:p>
      <w:pPr>
        <w:ind w:left="660" w:hanging="328"/>
        <w:spacing w:after="0" w:line="277"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Citizenship is set forth in Row 4 of the cover page for each Reporting Person and is incorporated herein by reference for each such Reporting Person.</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Title of Class of Securities Common Stock, $0.001 par value per share</w:t>
      </w:r>
    </w:p>
    <w:p>
      <w:pPr>
        <w:spacing w:after="0" w:line="221"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 xml:space="preserve">CUSIP Number </w:t>
      </w:r>
      <w:r>
        <w:rPr>
          <w:rFonts w:ascii="Arial" w:cs="Arial" w:eastAsia="Arial" w:hAnsi="Arial"/>
          <w:sz w:val="18"/>
          <w:szCs w:val="18"/>
          <w:b w:val="1"/>
          <w:bCs w:val="1"/>
          <w:color w:val="auto"/>
        </w:rPr>
        <w:t>415858109</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If this statement is filed pursuant to §§240.13d-1(b) or 240.13d-2(b) or (c), check whether the person filing is a:</w:t>
      </w:r>
    </w:p>
    <w:p>
      <w:pPr>
        <w:spacing w:after="0" w:line="196" w:lineRule="exact"/>
        <w:rPr>
          <w:sz w:val="20"/>
          <w:szCs w:val="20"/>
          <w:color w:val="auto"/>
        </w:rPr>
      </w:pPr>
    </w:p>
    <w:p>
      <w:pPr>
        <w:ind w:left="660" w:hanging="328"/>
        <w:spacing w:after="0" w:line="207" w:lineRule="exact"/>
        <w:tabs>
          <w:tab w:leader="none" w:pos="660" w:val="left"/>
        </w:tabs>
        <w:numPr>
          <w:ilvl w:val="0"/>
          <w:numId w:val="6"/>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Broker or dealer registered under section 15 of the Act (15 U.S.C. 78o).</w:t>
      </w:r>
    </w:p>
    <w:p>
      <w:pPr>
        <w:spacing w:after="0" w:line="225" w:lineRule="exact"/>
        <w:rPr>
          <w:rFonts w:ascii="Arial" w:cs="Arial" w:eastAsia="Arial" w:hAnsi="Arial"/>
          <w:sz w:val="18"/>
          <w:szCs w:val="18"/>
          <w:color w:val="auto"/>
        </w:rPr>
      </w:pPr>
    </w:p>
    <w:p>
      <w:pPr>
        <w:ind w:left="660" w:hanging="328"/>
        <w:spacing w:after="0" w:line="207" w:lineRule="exact"/>
        <w:tabs>
          <w:tab w:leader="none" w:pos="660" w:val="left"/>
        </w:tabs>
        <w:numPr>
          <w:ilvl w:val="0"/>
          <w:numId w:val="6"/>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Bank as defined in section 3(a)(6) of the Act (15 U.S.C. 78c).</w:t>
      </w:r>
    </w:p>
    <w:p>
      <w:pPr>
        <w:spacing w:after="0" w:line="225" w:lineRule="exact"/>
        <w:rPr>
          <w:rFonts w:ascii="Arial" w:cs="Arial" w:eastAsia="Arial" w:hAnsi="Arial"/>
          <w:sz w:val="18"/>
          <w:szCs w:val="18"/>
          <w:color w:val="auto"/>
        </w:rPr>
      </w:pPr>
    </w:p>
    <w:p>
      <w:pPr>
        <w:ind w:left="660" w:hanging="328"/>
        <w:spacing w:after="0" w:line="207" w:lineRule="exact"/>
        <w:tabs>
          <w:tab w:leader="none" w:pos="660" w:val="left"/>
        </w:tabs>
        <w:numPr>
          <w:ilvl w:val="0"/>
          <w:numId w:val="6"/>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Insurance company as defined in section 3(a)(19) of the Act (15 U.S.C. 78c).</w:t>
      </w:r>
    </w:p>
    <w:p>
      <w:pPr>
        <w:spacing w:after="0" w:line="225" w:lineRule="exact"/>
        <w:rPr>
          <w:rFonts w:ascii="Arial" w:cs="Arial" w:eastAsia="Arial" w:hAnsi="Arial"/>
          <w:sz w:val="18"/>
          <w:szCs w:val="18"/>
          <w:color w:val="auto"/>
        </w:rPr>
      </w:pPr>
    </w:p>
    <w:p>
      <w:pPr>
        <w:ind w:left="660" w:hanging="328"/>
        <w:spacing w:after="0" w:line="207" w:lineRule="exact"/>
        <w:tabs>
          <w:tab w:leader="none" w:pos="660" w:val="left"/>
        </w:tabs>
        <w:numPr>
          <w:ilvl w:val="0"/>
          <w:numId w:val="6"/>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Investment company registered under section 8 of the Investment Company Act of 1940 (15 U.S.C. 80a-8).</w:t>
      </w:r>
    </w:p>
    <w:p>
      <w:pPr>
        <w:spacing w:after="0" w:line="225" w:lineRule="exact"/>
        <w:rPr>
          <w:rFonts w:ascii="Arial" w:cs="Arial" w:eastAsia="Arial" w:hAnsi="Arial"/>
          <w:sz w:val="18"/>
          <w:szCs w:val="18"/>
          <w:color w:val="auto"/>
        </w:rPr>
      </w:pPr>
    </w:p>
    <w:p>
      <w:pPr>
        <w:ind w:left="660" w:hanging="328"/>
        <w:spacing w:after="0" w:line="207" w:lineRule="exact"/>
        <w:tabs>
          <w:tab w:leader="none" w:pos="660" w:val="left"/>
        </w:tabs>
        <w:numPr>
          <w:ilvl w:val="0"/>
          <w:numId w:val="6"/>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An investment adviser in accordance with §240.13d-1(b)(1)(ii)(E);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327025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3" w:name="page4"/>
    <w:bookmarkEnd w:id="3"/>
    <w:p>
      <w:pPr>
        <w:spacing w:after="0"/>
        <w:tabs>
          <w:tab w:leader="none" w:pos="5460" w:val="left"/>
          <w:tab w:leader="none" w:pos="9940" w:val="left"/>
        </w:tabs>
        <w:rPr>
          <w:sz w:val="20"/>
          <w:szCs w:val="20"/>
          <w:color w:val="auto"/>
        </w:rPr>
      </w:pPr>
      <w:r>
        <w:rPr>
          <w:rFonts w:ascii="Arial" w:cs="Arial" w:eastAsia="Arial" w:hAnsi="Arial"/>
          <w:sz w:val="18"/>
          <w:szCs w:val="18"/>
          <w:color w:val="auto"/>
        </w:rPr>
        <w:t xml:space="preserve">CUSIP No. </w:t>
      </w:r>
      <w:r>
        <w:rPr>
          <w:rFonts w:ascii="Arial" w:cs="Arial" w:eastAsia="Arial" w:hAnsi="Arial"/>
          <w:sz w:val="18"/>
          <w:szCs w:val="18"/>
          <w:b w:val="1"/>
          <w:bCs w:val="1"/>
          <w:color w:val="auto"/>
        </w:rPr>
        <w:t>415858109</w:t>
      </w:r>
      <w:r>
        <w:rPr>
          <w:sz w:val="20"/>
          <w:szCs w:val="20"/>
          <w:color w:val="auto"/>
        </w:rPr>
        <w:tab/>
      </w:r>
      <w:r>
        <w:rPr>
          <w:rFonts w:ascii="Arial" w:cs="Arial" w:eastAsia="Arial" w:hAnsi="Arial"/>
          <w:sz w:val="18"/>
          <w:szCs w:val="18"/>
          <w:color w:val="auto"/>
        </w:rPr>
        <w:t>13G</w:t>
      </w:r>
      <w:r>
        <w:rPr>
          <w:sz w:val="20"/>
          <w:szCs w:val="20"/>
          <w:color w:val="auto"/>
        </w:rPr>
        <w:tab/>
      </w:r>
      <w:r>
        <w:rPr>
          <w:rFonts w:ascii="Arial" w:cs="Arial" w:eastAsia="Arial" w:hAnsi="Arial"/>
          <w:sz w:val="15"/>
          <w:szCs w:val="15"/>
          <w:color w:val="auto"/>
        </w:rPr>
        <w:t>Page 4 of 6 Pages</w:t>
      </w:r>
    </w:p>
    <w:p>
      <w:pPr>
        <w:spacing w:after="0" w:line="223" w:lineRule="exact"/>
        <w:rPr>
          <w:sz w:val="20"/>
          <w:szCs w:val="20"/>
          <w:color w:val="auto"/>
        </w:rPr>
      </w:pPr>
    </w:p>
    <w:p>
      <w:pPr>
        <w:ind w:left="660" w:hanging="328"/>
        <w:spacing w:after="0" w:line="207" w:lineRule="exact"/>
        <w:tabs>
          <w:tab w:leader="none" w:pos="660" w:val="left"/>
        </w:tabs>
        <w:numPr>
          <w:ilvl w:val="0"/>
          <w:numId w:val="7"/>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An employee benefit plan or endowment fund in accordance with §240.13d-1(b)(1)(ii)(F);</w:t>
      </w:r>
    </w:p>
    <w:p>
      <w:pPr>
        <w:spacing w:after="0" w:line="225" w:lineRule="exact"/>
        <w:rPr>
          <w:rFonts w:ascii="Arial" w:cs="Arial" w:eastAsia="Arial" w:hAnsi="Arial"/>
          <w:sz w:val="18"/>
          <w:szCs w:val="18"/>
          <w:color w:val="auto"/>
        </w:rPr>
      </w:pPr>
    </w:p>
    <w:p>
      <w:pPr>
        <w:ind w:left="660" w:hanging="328"/>
        <w:spacing w:after="0" w:line="207" w:lineRule="exact"/>
        <w:tabs>
          <w:tab w:leader="none" w:pos="660" w:val="left"/>
        </w:tabs>
        <w:numPr>
          <w:ilvl w:val="0"/>
          <w:numId w:val="7"/>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 parent holding company or control person in accordance with §240.13d-1(b)(1)(ii)(G);</w:t>
      </w:r>
    </w:p>
    <w:p>
      <w:pPr>
        <w:spacing w:after="0" w:line="225" w:lineRule="exact"/>
        <w:rPr>
          <w:rFonts w:ascii="Arial" w:cs="Arial" w:eastAsia="Arial" w:hAnsi="Arial"/>
          <w:sz w:val="18"/>
          <w:szCs w:val="18"/>
          <w:color w:val="auto"/>
        </w:rPr>
      </w:pPr>
    </w:p>
    <w:p>
      <w:pPr>
        <w:ind w:left="660" w:hanging="328"/>
        <w:spacing w:after="0" w:line="207" w:lineRule="exact"/>
        <w:tabs>
          <w:tab w:leader="none" w:pos="660" w:val="left"/>
        </w:tabs>
        <w:numPr>
          <w:ilvl w:val="0"/>
          <w:numId w:val="7"/>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 savings associations as defined in Section 3(b) of the Federal Deposit Insurance Act (12 U.S.C. 1813);</w:t>
      </w:r>
    </w:p>
    <w:p>
      <w:pPr>
        <w:spacing w:after="0" w:line="225" w:lineRule="exact"/>
        <w:rPr>
          <w:rFonts w:ascii="Arial" w:cs="Arial" w:eastAsia="Arial" w:hAnsi="Arial"/>
          <w:sz w:val="18"/>
          <w:szCs w:val="18"/>
          <w:color w:val="auto"/>
        </w:rPr>
      </w:pPr>
    </w:p>
    <w:p>
      <w:pPr>
        <w:ind w:left="980" w:hanging="648"/>
        <w:spacing w:after="0" w:line="239" w:lineRule="exact"/>
        <w:tabs>
          <w:tab w:leader="none" w:pos="656" w:val="left"/>
        </w:tabs>
        <w:numPr>
          <w:ilvl w:val="0"/>
          <w:numId w:val="7"/>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 church plan that is excluded from the definition of an investment company under section 3(c)(14) of the Investment Company Act of 1940 (15 U.S.C. 80a-3);</w:t>
      </w:r>
    </w:p>
    <w:p>
      <w:pPr>
        <w:spacing w:after="0" w:line="170" w:lineRule="exact"/>
        <w:rPr>
          <w:rFonts w:ascii="Arial" w:cs="Arial" w:eastAsia="Arial" w:hAnsi="Arial"/>
          <w:sz w:val="18"/>
          <w:szCs w:val="18"/>
          <w:color w:val="auto"/>
        </w:rPr>
      </w:pPr>
    </w:p>
    <w:p>
      <w:pPr>
        <w:ind w:left="660" w:hanging="328"/>
        <w:spacing w:after="0" w:line="207" w:lineRule="exact"/>
        <w:tabs>
          <w:tab w:leader="none" w:pos="660" w:val="left"/>
        </w:tabs>
        <w:numPr>
          <w:ilvl w:val="0"/>
          <w:numId w:val="7"/>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Group, in accordance with §240.13d-1(b)(1)(ii)(J).</w:t>
      </w: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Ownership.</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Provide the following information regarding the aggregate number and percentage of the class of securities of the issuer identified in Item 1.</w:t>
      </w:r>
    </w:p>
    <w:p>
      <w:pPr>
        <w:spacing w:after="0" w:line="225" w:lineRule="exact"/>
        <w:rPr>
          <w:sz w:val="20"/>
          <w:szCs w:val="20"/>
          <w:color w:val="auto"/>
        </w:rPr>
      </w:pPr>
    </w:p>
    <w:p>
      <w:pPr>
        <w:ind w:left="980" w:hanging="648"/>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Amount beneficially owned: 3,285,000</w:t>
      </w:r>
    </w:p>
    <w:p>
      <w:pPr>
        <w:spacing w:after="0" w:line="225" w:lineRule="exact"/>
        <w:rPr>
          <w:rFonts w:ascii="Arial" w:cs="Arial" w:eastAsia="Arial" w:hAnsi="Arial"/>
          <w:sz w:val="18"/>
          <w:szCs w:val="18"/>
          <w:color w:val="auto"/>
        </w:rPr>
      </w:pPr>
    </w:p>
    <w:p>
      <w:pPr>
        <w:ind w:left="980" w:hanging="648"/>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Percent of class: 12.2%</w:t>
      </w:r>
    </w:p>
    <w:p>
      <w:pPr>
        <w:spacing w:after="0" w:line="225" w:lineRule="exact"/>
        <w:rPr>
          <w:rFonts w:ascii="Arial" w:cs="Arial" w:eastAsia="Arial" w:hAnsi="Arial"/>
          <w:sz w:val="18"/>
          <w:szCs w:val="18"/>
          <w:color w:val="auto"/>
        </w:rPr>
      </w:pPr>
    </w:p>
    <w:p>
      <w:pPr>
        <w:ind w:left="980" w:hanging="648"/>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Number of shares as to which the person has:</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1"/>
          <w:numId w:val="8"/>
        </w:numPr>
        <w:rPr>
          <w:rFonts w:ascii="Arial" w:cs="Arial" w:eastAsia="Arial" w:hAnsi="Arial"/>
          <w:sz w:val="18"/>
          <w:szCs w:val="18"/>
          <w:color w:val="auto"/>
        </w:rPr>
      </w:pPr>
      <w:r>
        <w:rPr>
          <w:rFonts w:ascii="Arial" w:cs="Arial" w:eastAsia="Arial" w:hAnsi="Arial"/>
          <w:sz w:val="18"/>
          <w:szCs w:val="18"/>
          <w:color w:val="auto"/>
        </w:rPr>
        <w:t>Sole power to vote or to direct the vote 0</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1"/>
          <w:numId w:val="8"/>
        </w:numPr>
        <w:rPr>
          <w:rFonts w:ascii="Arial" w:cs="Arial" w:eastAsia="Arial" w:hAnsi="Arial"/>
          <w:sz w:val="18"/>
          <w:szCs w:val="18"/>
          <w:color w:val="auto"/>
        </w:rPr>
      </w:pPr>
      <w:r>
        <w:rPr>
          <w:rFonts w:ascii="Arial" w:cs="Arial" w:eastAsia="Arial" w:hAnsi="Arial"/>
          <w:sz w:val="18"/>
          <w:szCs w:val="18"/>
          <w:color w:val="auto"/>
        </w:rPr>
        <w:t>Shared power to vote or to direct the vote 3,285,000</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1"/>
          <w:numId w:val="8"/>
        </w:numPr>
        <w:rPr>
          <w:rFonts w:ascii="Arial" w:cs="Arial" w:eastAsia="Arial" w:hAnsi="Arial"/>
          <w:sz w:val="18"/>
          <w:szCs w:val="18"/>
          <w:color w:val="auto"/>
        </w:rPr>
      </w:pPr>
      <w:r>
        <w:rPr>
          <w:rFonts w:ascii="Arial" w:cs="Arial" w:eastAsia="Arial" w:hAnsi="Arial"/>
          <w:sz w:val="18"/>
          <w:szCs w:val="18"/>
          <w:color w:val="auto"/>
        </w:rPr>
        <w:t>Sole power to dispose or to direct the disposition of .0</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1"/>
          <w:numId w:val="8"/>
        </w:numPr>
        <w:rPr>
          <w:rFonts w:ascii="Arial" w:cs="Arial" w:eastAsia="Arial" w:hAnsi="Arial"/>
          <w:sz w:val="18"/>
          <w:szCs w:val="18"/>
          <w:color w:val="auto"/>
        </w:rPr>
      </w:pPr>
      <w:r>
        <w:rPr>
          <w:rFonts w:ascii="Arial" w:cs="Arial" w:eastAsia="Arial" w:hAnsi="Arial"/>
          <w:sz w:val="18"/>
          <w:szCs w:val="18"/>
          <w:color w:val="auto"/>
        </w:rPr>
        <w:t>Shared power to dispose or to direct the disposition of 3,285,000</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Instruction</w:t>
      </w:r>
      <w:r>
        <w:rPr>
          <w:rFonts w:ascii="Arial" w:cs="Arial" w:eastAsia="Arial" w:hAnsi="Arial"/>
          <w:sz w:val="18"/>
          <w:szCs w:val="18"/>
          <w:color w:val="auto"/>
        </w:rPr>
        <w:t>. For computations regarding securities which represent a right to acquire an underlying security</w:t>
      </w:r>
      <w:r>
        <w:rPr>
          <w:rFonts w:ascii="Arial" w:cs="Arial" w:eastAsia="Arial" w:hAnsi="Arial"/>
          <w:sz w:val="18"/>
          <w:szCs w:val="18"/>
          <w:i w:val="1"/>
          <w:iCs w:val="1"/>
          <w:color w:val="auto"/>
        </w:rPr>
        <w:t xml:space="preserve"> see §240.13d-3(d)(1).</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Ownership of Five Percent or Less of a Class.</w:t>
      </w:r>
    </w:p>
    <w:p>
      <w:pPr>
        <w:spacing w:after="0" w:line="229" w:lineRule="exact"/>
        <w:rPr>
          <w:sz w:val="20"/>
          <w:szCs w:val="20"/>
          <w:color w:val="auto"/>
        </w:rPr>
      </w:pPr>
    </w:p>
    <w:p>
      <w:pPr>
        <w:ind w:right="20"/>
        <w:spacing w:after="0" w:line="233" w:lineRule="exact"/>
        <w:rPr>
          <w:sz w:val="20"/>
          <w:szCs w:val="20"/>
          <w:color w:val="auto"/>
        </w:rPr>
      </w:pPr>
      <w:r>
        <w:rPr>
          <w:rFonts w:ascii="Arial" w:cs="Arial" w:eastAsia="Arial" w:hAnsi="Arial"/>
          <w:sz w:val="18"/>
          <w:szCs w:val="18"/>
          <w:color w:val="auto"/>
        </w:rPr>
        <w:t xml:space="preserve">If this statement is being filed to report the fact that as of the date hereof the reporting person has ceased to be the beneficial owner of more than five percent of the class of securities, check the following </w:t>
      </w:r>
      <w:r>
        <w:rPr>
          <w:rFonts w:ascii="MS PGothic" w:cs="MS PGothic" w:eastAsia="MS PGothic" w:hAnsi="MS PGothic"/>
          <w:sz w:val="18"/>
          <w:szCs w:val="18"/>
          <w:color w:val="auto"/>
        </w:rPr>
        <w:t>☐</w:t>
      </w:r>
      <w:r>
        <w:rPr>
          <w:rFonts w:ascii="Arial" w:cs="Arial" w:eastAsia="Arial" w:hAnsi="Arial"/>
          <w:sz w:val="18"/>
          <w:szCs w:val="18"/>
          <w:color w:val="auto"/>
        </w:rPr>
        <w:t xml:space="preserve"> .</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Instruction</w:t>
      </w:r>
      <w:r>
        <w:rPr>
          <w:rFonts w:ascii="Arial" w:cs="Arial" w:eastAsia="Arial" w:hAnsi="Arial"/>
          <w:sz w:val="18"/>
          <w:szCs w:val="18"/>
          <w:color w:val="auto"/>
        </w:rPr>
        <w:t>. Dissolution of a group requires a response to this item.</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Ownership of More than Five Percent on Behalf of Another Person.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 applicable</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7. Identification and Classification of the Subsidiary Which Acquired the Security Being Reported on By the Parent Holding Company.</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4" w:name="page5"/>
    <w:bookmarkEnd w:id="4"/>
    <w:p>
      <w:pPr>
        <w:spacing w:after="0"/>
        <w:tabs>
          <w:tab w:leader="none" w:pos="5460" w:val="left"/>
          <w:tab w:leader="none" w:pos="9940" w:val="left"/>
        </w:tabs>
        <w:rPr>
          <w:sz w:val="20"/>
          <w:szCs w:val="20"/>
          <w:color w:val="auto"/>
        </w:rPr>
      </w:pPr>
      <w:r>
        <w:rPr>
          <w:rFonts w:ascii="Arial" w:cs="Arial" w:eastAsia="Arial" w:hAnsi="Arial"/>
          <w:sz w:val="18"/>
          <w:szCs w:val="18"/>
          <w:color w:val="auto"/>
        </w:rPr>
        <w:t xml:space="preserve">CUSIP No. </w:t>
      </w:r>
      <w:r>
        <w:rPr>
          <w:rFonts w:ascii="Arial" w:cs="Arial" w:eastAsia="Arial" w:hAnsi="Arial"/>
          <w:sz w:val="18"/>
          <w:szCs w:val="18"/>
          <w:b w:val="1"/>
          <w:bCs w:val="1"/>
          <w:color w:val="auto"/>
        </w:rPr>
        <w:t>415858109</w:t>
      </w:r>
      <w:r>
        <w:rPr>
          <w:sz w:val="20"/>
          <w:szCs w:val="20"/>
          <w:color w:val="auto"/>
        </w:rPr>
        <w:tab/>
      </w:r>
      <w:r>
        <w:rPr>
          <w:rFonts w:ascii="Arial" w:cs="Arial" w:eastAsia="Arial" w:hAnsi="Arial"/>
          <w:sz w:val="18"/>
          <w:szCs w:val="18"/>
          <w:color w:val="auto"/>
        </w:rPr>
        <w:t>13G</w:t>
      </w:r>
      <w:r>
        <w:rPr>
          <w:sz w:val="20"/>
          <w:szCs w:val="20"/>
          <w:color w:val="auto"/>
        </w:rPr>
        <w:tab/>
      </w:r>
      <w:r>
        <w:rPr>
          <w:rFonts w:ascii="Arial" w:cs="Arial" w:eastAsia="Arial" w:hAnsi="Arial"/>
          <w:sz w:val="15"/>
          <w:szCs w:val="15"/>
          <w:color w:val="auto"/>
        </w:rPr>
        <w:t>Page 5 of 6 Pages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 Identification and Classification of Members of the Group.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 applicable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 Notice of Dissolution of Group.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 applicable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Certification.</w:t>
      </w:r>
    </w:p>
    <w:p>
      <w:pPr>
        <w:spacing w:after="0" w:line="229" w:lineRule="exact"/>
        <w:rPr>
          <w:sz w:val="20"/>
          <w:szCs w:val="20"/>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following certification shall be included if the statement is filed pursuant to §240.13d-1(b):</w:t>
      </w:r>
    </w:p>
    <w:p>
      <w:pPr>
        <w:spacing w:after="0" w:line="225" w:lineRule="exact"/>
        <w:rPr>
          <w:rFonts w:ascii="Arial" w:cs="Arial" w:eastAsia="Arial" w:hAnsi="Arial"/>
          <w:sz w:val="18"/>
          <w:szCs w:val="18"/>
          <w:color w:val="auto"/>
        </w:rPr>
      </w:pPr>
    </w:p>
    <w:p>
      <w:pPr>
        <w:jc w:val="both"/>
        <w:ind w:left="660" w:right="20"/>
        <w:spacing w:after="0" w:line="311" w:lineRule="auto"/>
        <w:rPr>
          <w:rFonts w:ascii="Arial" w:cs="Arial" w:eastAsia="Arial" w:hAnsi="Arial"/>
          <w:sz w:val="18"/>
          <w:szCs w:val="18"/>
          <w:color w:val="auto"/>
        </w:rPr>
      </w:pPr>
      <w:r>
        <w:rPr>
          <w:rFonts w:ascii="Arial" w:cs="Arial" w:eastAsia="Arial" w:hAnsi="Arial"/>
          <w:sz w:val="16"/>
          <w:szCs w:val="16"/>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148"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following certification shall be included if the statement is filed pursuant to §240.13d-1(c):</w:t>
      </w:r>
    </w:p>
    <w:p>
      <w:pPr>
        <w:spacing w:after="0" w:line="225" w:lineRule="exact"/>
        <w:rPr>
          <w:rFonts w:ascii="Arial" w:cs="Arial" w:eastAsia="Arial" w:hAnsi="Arial"/>
          <w:sz w:val="18"/>
          <w:szCs w:val="18"/>
          <w:color w:val="auto"/>
        </w:rPr>
      </w:pPr>
    </w:p>
    <w:p>
      <w:pPr>
        <w:jc w:val="both"/>
        <w:ind w:left="660"/>
        <w:spacing w:after="0" w:line="263" w:lineRule="auto"/>
        <w:rPr>
          <w:rFonts w:ascii="Arial" w:cs="Arial" w:eastAsia="Arial" w:hAnsi="Arial"/>
          <w:sz w:val="18"/>
          <w:szCs w:val="18"/>
          <w:color w:val="auto"/>
        </w:rPr>
      </w:pPr>
      <w:r>
        <w:rPr>
          <w:rFonts w:ascii="Arial" w:cs="Arial" w:eastAsia="Arial" w:hAnsi="Arial"/>
          <w:sz w:val="18"/>
          <w:szCs w:val="18"/>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262890</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5" w:name="page6"/>
    <w:bookmarkEnd w:id="5"/>
    <w:p>
      <w:pPr>
        <w:spacing w:after="0"/>
        <w:tabs>
          <w:tab w:leader="none" w:pos="5460" w:val="left"/>
          <w:tab w:leader="none" w:pos="9940" w:val="left"/>
        </w:tabs>
        <w:rPr>
          <w:sz w:val="20"/>
          <w:szCs w:val="20"/>
          <w:color w:val="auto"/>
        </w:rPr>
      </w:pPr>
      <w:r>
        <w:rPr>
          <w:rFonts w:ascii="Arial" w:cs="Arial" w:eastAsia="Arial" w:hAnsi="Arial"/>
          <w:sz w:val="18"/>
          <w:szCs w:val="18"/>
          <w:color w:val="auto"/>
        </w:rPr>
        <w:t xml:space="preserve">CUSIP No. </w:t>
      </w:r>
      <w:r>
        <w:rPr>
          <w:rFonts w:ascii="Arial" w:cs="Arial" w:eastAsia="Arial" w:hAnsi="Arial"/>
          <w:sz w:val="18"/>
          <w:szCs w:val="18"/>
          <w:b w:val="1"/>
          <w:bCs w:val="1"/>
          <w:color w:val="auto"/>
        </w:rPr>
        <w:t>415858109</w:t>
      </w:r>
      <w:r>
        <w:rPr>
          <w:sz w:val="20"/>
          <w:szCs w:val="20"/>
          <w:color w:val="auto"/>
        </w:rPr>
        <w:tab/>
      </w:r>
      <w:r>
        <w:rPr>
          <w:rFonts w:ascii="Arial" w:cs="Arial" w:eastAsia="Arial" w:hAnsi="Arial"/>
          <w:sz w:val="18"/>
          <w:szCs w:val="18"/>
          <w:color w:val="auto"/>
        </w:rPr>
        <w:t>13G</w:t>
      </w:r>
      <w:r>
        <w:rPr>
          <w:sz w:val="20"/>
          <w:szCs w:val="20"/>
          <w:color w:val="auto"/>
        </w:rPr>
        <w:tab/>
      </w:r>
      <w:r>
        <w:rPr>
          <w:rFonts w:ascii="Arial" w:cs="Arial" w:eastAsia="Arial" w:hAnsi="Arial"/>
          <w:sz w:val="15"/>
          <w:szCs w:val="15"/>
          <w:color w:val="auto"/>
        </w:rPr>
        <w:t>Page 6 of 6 Pages</w:t>
      </w:r>
    </w:p>
    <w:p>
      <w:pPr>
        <w:spacing w:after="0" w:line="229"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After reasonable inquiry and to the best of my knowledge and belief, I certify that the information set forth in this statement is true, complete and correct.</w:t>
      </w:r>
    </w:p>
    <w:p>
      <w:pPr>
        <w:spacing w:after="0" w:line="386" w:lineRule="exact"/>
        <w:rPr>
          <w:sz w:val="20"/>
          <w:szCs w:val="20"/>
          <w:color w:val="auto"/>
        </w:rPr>
      </w:pPr>
    </w:p>
    <w:p>
      <w:pPr>
        <w:jc w:val="center"/>
        <w:ind w:left="5600"/>
        <w:spacing w:after="0"/>
        <w:rPr>
          <w:sz w:val="20"/>
          <w:szCs w:val="20"/>
          <w:color w:val="auto"/>
        </w:rPr>
      </w:pPr>
      <w:r>
        <w:rPr>
          <w:rFonts w:ascii="Arial" w:cs="Arial" w:eastAsia="Arial" w:hAnsi="Arial"/>
          <w:sz w:val="18"/>
          <w:szCs w:val="18"/>
          <w:color w:val="auto"/>
        </w:rPr>
        <w:t>01/26/2022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23495</wp:posOffset>
            </wp:positionV>
            <wp:extent cx="356616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566160" cy="17145"/>
                    </a:xfrm>
                    <a:prstGeom prst="rect">
                      <a:avLst/>
                    </a:prstGeom>
                    <a:noFill/>
                  </pic:spPr>
                </pic:pic>
              </a:graphicData>
            </a:graphic>
          </wp:anchor>
        </w:drawing>
      </w:r>
    </w:p>
    <w:p>
      <w:pPr>
        <w:spacing w:after="0" w:line="30" w:lineRule="exact"/>
        <w:rPr>
          <w:sz w:val="20"/>
          <w:szCs w:val="20"/>
          <w:color w:val="auto"/>
        </w:rPr>
      </w:pPr>
    </w:p>
    <w:p>
      <w:pPr>
        <w:jc w:val="center"/>
        <w:ind w:left="5600"/>
        <w:spacing w:after="0"/>
        <w:rPr>
          <w:sz w:val="20"/>
          <w:szCs w:val="20"/>
          <w:color w:val="auto"/>
        </w:rPr>
      </w:pPr>
      <w:r>
        <w:rPr>
          <w:rFonts w:ascii="Arial" w:cs="Arial" w:eastAsia="Arial" w:hAnsi="Arial"/>
          <w:sz w:val="18"/>
          <w:szCs w:val="18"/>
          <w:color w:val="auto"/>
        </w:rPr>
        <w:t>Date</w:t>
      </w:r>
    </w:p>
    <w:p>
      <w:pPr>
        <w:spacing w:after="0" w:line="225" w:lineRule="exact"/>
        <w:rPr>
          <w:sz w:val="20"/>
          <w:szCs w:val="20"/>
          <w:color w:val="auto"/>
        </w:rPr>
      </w:pPr>
    </w:p>
    <w:p>
      <w:pPr>
        <w:jc w:val="center"/>
        <w:ind w:left="5600"/>
        <w:spacing w:after="0"/>
        <w:rPr>
          <w:sz w:val="20"/>
          <w:szCs w:val="20"/>
          <w:color w:val="auto"/>
        </w:rPr>
      </w:pPr>
      <w:r>
        <w:rPr>
          <w:rFonts w:ascii="Arial" w:cs="Arial" w:eastAsia="Arial" w:hAnsi="Arial"/>
          <w:sz w:val="18"/>
          <w:szCs w:val="18"/>
          <w:color w:val="auto"/>
        </w:rPr>
        <w:t>/James Silverman/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23495</wp:posOffset>
            </wp:positionV>
            <wp:extent cx="356616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566160" cy="17145"/>
                    </a:xfrm>
                    <a:prstGeom prst="rect">
                      <a:avLst/>
                    </a:prstGeom>
                    <a:noFill/>
                  </pic:spPr>
                </pic:pic>
              </a:graphicData>
            </a:graphic>
          </wp:anchor>
        </w:drawing>
      </w:r>
    </w:p>
    <w:p>
      <w:pPr>
        <w:spacing w:after="0" w:line="30" w:lineRule="exact"/>
        <w:rPr>
          <w:sz w:val="20"/>
          <w:szCs w:val="20"/>
          <w:color w:val="auto"/>
        </w:rPr>
      </w:pPr>
    </w:p>
    <w:p>
      <w:pPr>
        <w:jc w:val="center"/>
        <w:ind w:left="5600"/>
        <w:spacing w:after="0"/>
        <w:rPr>
          <w:sz w:val="20"/>
          <w:szCs w:val="20"/>
          <w:color w:val="auto"/>
        </w:rPr>
      </w:pPr>
      <w:r>
        <w:rPr>
          <w:rFonts w:ascii="Arial" w:cs="Arial" w:eastAsia="Arial" w:hAnsi="Arial"/>
          <w:sz w:val="18"/>
          <w:szCs w:val="18"/>
          <w:color w:val="auto"/>
        </w:rPr>
        <w:t>Signature</w:t>
      </w:r>
    </w:p>
    <w:p>
      <w:pPr>
        <w:spacing w:after="0" w:line="225" w:lineRule="exact"/>
        <w:rPr>
          <w:sz w:val="20"/>
          <w:szCs w:val="20"/>
          <w:color w:val="auto"/>
        </w:rPr>
      </w:pPr>
    </w:p>
    <w:p>
      <w:pPr>
        <w:jc w:val="center"/>
        <w:ind w:left="5600"/>
        <w:spacing w:after="0"/>
        <w:rPr>
          <w:sz w:val="20"/>
          <w:szCs w:val="20"/>
          <w:color w:val="auto"/>
        </w:rPr>
      </w:pPr>
      <w:r>
        <w:rPr>
          <w:rFonts w:ascii="Arial" w:cs="Arial" w:eastAsia="Arial" w:hAnsi="Arial"/>
          <w:sz w:val="18"/>
          <w:szCs w:val="18"/>
          <w:color w:val="auto"/>
        </w:rPr>
        <w:t>James Silverman/Managing Member of Opaleye</w:t>
      </w:r>
    </w:p>
    <w:p>
      <w:pPr>
        <w:spacing w:after="0" w:line="225" w:lineRule="exact"/>
        <w:rPr>
          <w:sz w:val="20"/>
          <w:szCs w:val="20"/>
          <w:color w:val="auto"/>
        </w:rPr>
      </w:pPr>
    </w:p>
    <w:p>
      <w:pPr>
        <w:jc w:val="center"/>
        <w:ind w:left="5600"/>
        <w:spacing w:after="0"/>
        <w:rPr>
          <w:sz w:val="20"/>
          <w:szCs w:val="20"/>
          <w:color w:val="auto"/>
        </w:rPr>
      </w:pPr>
      <w:r>
        <w:rPr>
          <w:rFonts w:ascii="Arial" w:cs="Arial" w:eastAsia="Arial" w:hAnsi="Arial"/>
          <w:sz w:val="18"/>
          <w:szCs w:val="18"/>
          <w:color w:val="auto"/>
        </w:rPr>
        <w:t>GP LLC, the General Partner of</w:t>
      </w:r>
    </w:p>
    <w:p>
      <w:pPr>
        <w:spacing w:after="0" w:line="225" w:lineRule="exact"/>
        <w:rPr>
          <w:sz w:val="20"/>
          <w:szCs w:val="20"/>
          <w:color w:val="auto"/>
        </w:rPr>
      </w:pPr>
    </w:p>
    <w:p>
      <w:pPr>
        <w:jc w:val="center"/>
        <w:ind w:left="5600"/>
        <w:spacing w:after="0"/>
        <w:rPr>
          <w:sz w:val="20"/>
          <w:szCs w:val="20"/>
          <w:color w:val="auto"/>
        </w:rPr>
      </w:pPr>
      <w:r>
        <w:rPr>
          <w:rFonts w:ascii="Arial" w:cs="Arial" w:eastAsia="Arial" w:hAnsi="Arial"/>
          <w:sz w:val="18"/>
          <w:szCs w:val="18"/>
          <w:color w:val="auto"/>
        </w:rPr>
        <w:t>Opaleye,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23495</wp:posOffset>
            </wp:positionV>
            <wp:extent cx="356616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566160" cy="17145"/>
                    </a:xfrm>
                    <a:prstGeom prst="rect">
                      <a:avLst/>
                    </a:prstGeom>
                    <a:noFill/>
                  </pic:spPr>
                </pic:pic>
              </a:graphicData>
            </a:graphic>
          </wp:anchor>
        </w:drawing>
      </w:r>
    </w:p>
    <w:p>
      <w:pPr>
        <w:spacing w:after="0" w:line="30" w:lineRule="exact"/>
        <w:rPr>
          <w:sz w:val="20"/>
          <w:szCs w:val="20"/>
          <w:color w:val="auto"/>
        </w:rPr>
      </w:pPr>
    </w:p>
    <w:p>
      <w:pPr>
        <w:jc w:val="center"/>
        <w:ind w:left="5600"/>
        <w:spacing w:after="0"/>
        <w:rPr>
          <w:sz w:val="20"/>
          <w:szCs w:val="20"/>
          <w:color w:val="auto"/>
        </w:rPr>
      </w:pPr>
      <w:r>
        <w:rPr>
          <w:rFonts w:ascii="Arial" w:cs="Arial" w:eastAsia="Arial" w:hAnsi="Arial"/>
          <w:sz w:val="18"/>
          <w:szCs w:val="18"/>
          <w:color w:val="auto"/>
        </w:rPr>
        <w:t>Name/Title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288925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229"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6E87CCD"/>
    <w:multiLevelType w:val="hybridMultilevel"/>
    <w:lvl w:ilvl="0">
      <w:lvlJc w:val="left"/>
      <w:lvlText w:val="☐"/>
      <w:numFmt w:val="bullet"/>
      <w:start w:val="1"/>
    </w:lvl>
  </w:abstractNum>
  <w:abstractNum w:abstractNumId="1">
    <w:nsid w:val="3D1B58BA"/>
    <w:multiLevelType w:val="hybridMultilevel"/>
    <w:lvl w:ilvl="0">
      <w:lvlJc w:val="left"/>
      <w:lvlText w:val="*"/>
      <w:numFmt w:val="bullet"/>
      <w:start w:val="1"/>
    </w:lvl>
  </w:abstractNum>
  <w:abstractNum w:abstractNumId="2">
    <w:nsid w:val="507ED7AB"/>
    <w:multiLevelType w:val="hybridMultilevel"/>
    <w:lvl w:ilvl="0">
      <w:lvlJc w:val="left"/>
      <w:lvlText w:val="%1."/>
      <w:numFmt w:val="decimal"/>
      <w:start w:val="1"/>
    </w:lvl>
    <w:lvl w:ilvl="1">
      <w:lvlJc w:val="left"/>
      <w:lvlText w:val="(%2)"/>
      <w:numFmt w:val="lowerLetter"/>
      <w:start w:val="1"/>
    </w:lvl>
  </w:abstractNum>
  <w:abstractNum w:abstractNumId="3">
    <w:nsid w:val="2EB141F2"/>
    <w:multiLevelType w:val="hybridMultilevel"/>
    <w:lvl w:ilvl="0">
      <w:lvlJc w:val="left"/>
      <w:lvlText w:val="(%1)"/>
      <w:numFmt w:val="lowerLetter"/>
      <w:start w:val="1"/>
    </w:lvl>
  </w:abstractNum>
  <w:abstractNum w:abstractNumId="4">
    <w:nsid w:val="41B71EFB"/>
    <w:multiLevelType w:val="hybridMultilevel"/>
    <w:lvl w:ilvl="0">
      <w:lvlJc w:val="left"/>
      <w:lvlText w:val="(%1)"/>
      <w:numFmt w:val="lowerLetter"/>
      <w:start w:val="1"/>
    </w:lvl>
  </w:abstractNum>
  <w:abstractNum w:abstractNumId="5">
    <w:nsid w:val="79E2A9E3"/>
    <w:multiLevelType w:val="hybridMultilevel"/>
    <w:lvl w:ilvl="0">
      <w:lvlJc w:val="left"/>
      <w:lvlText w:val="(%1)"/>
      <w:numFmt w:val="lowerLetter"/>
      <w:start w:val="1"/>
    </w:lvl>
  </w:abstractNum>
  <w:abstractNum w:abstractNumId="6">
    <w:nsid w:val="7545E146"/>
    <w:multiLevelType w:val="hybridMultilevel"/>
    <w:lvl w:ilvl="0">
      <w:lvlJc w:val="left"/>
      <w:lvlText w:val="(%1)"/>
      <w:numFmt w:val="lowerLetter"/>
      <w:start w:val="6"/>
    </w:lvl>
  </w:abstractNum>
  <w:abstractNum w:abstractNumId="7">
    <w:nsid w:val="515F007C"/>
    <w:multiLevelType w:val="hybridMultilevel"/>
    <w:lvl w:ilvl="0">
      <w:lvlJc w:val="left"/>
      <w:lvlText w:val="(%1)"/>
      <w:numFmt w:val="lowerLetter"/>
      <w:start w:val="1"/>
    </w:lvl>
    <w:lvl w:ilvl="1">
      <w:lvlJc w:val="left"/>
      <w:lvlText w:val="(%2)"/>
      <w:numFmt w:val="lowerRoman"/>
      <w:start w:val="1"/>
    </w:lvl>
  </w:abstractNum>
  <w:abstractNum w:abstractNumId="8">
    <w:nsid w:val="5BD062C2"/>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2022-01-26T05:30:53Z</dcterms:created>
  <dcterms:modified xsi:type="dcterms:W3CDTF">2022-01-26T05:30:53Z</dcterms:modified>
</cp:coreProperties>
</file>