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285750</wp:posOffset>
            </wp:positionV>
            <wp:extent cx="716470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1333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August 9, 2022</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HARROW HEALTH,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2720" w:type="dxa"/>
            <w:vAlign w:val="bottom"/>
            <w:gridSpan w:val="3"/>
          </w:tcPr>
          <w:p>
            <w:pPr>
              <w:jc w:val="center"/>
              <w:ind w:left="1091"/>
              <w:spacing w:after="0"/>
              <w:rPr>
                <w:sz w:val="20"/>
                <w:szCs w:val="20"/>
                <w:color w:val="auto"/>
              </w:rPr>
            </w:pPr>
            <w:r>
              <w:rPr>
                <w:rFonts w:ascii="Times New Roman" w:cs="Times New Roman" w:eastAsia="Times New Roman" w:hAnsi="Times New Roman"/>
                <w:sz w:val="14"/>
                <w:szCs w:val="14"/>
                <w:b w:val="1"/>
                <w:bCs w:val="1"/>
                <w:color w:val="auto"/>
                <w:w w:val="98"/>
              </w:rPr>
              <w:t>001-35814</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45-0567010</w:t>
            </w:r>
          </w:p>
        </w:tc>
      </w:tr>
      <w:tr>
        <w:trPr>
          <w:trHeight w:val="165"/>
        </w:trPr>
        <w:tc>
          <w:tcPr>
            <w:tcW w:w="20" w:type="dxa"/>
            <w:vAlign w:val="bottom"/>
          </w:tcPr>
          <w:p>
            <w:pPr>
              <w:spacing w:after="0"/>
              <w:rPr>
                <w:sz w:val="14"/>
                <w:szCs w:val="14"/>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(State or other jurisdiction</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w w:val="97"/>
              </w:rPr>
              <w:t>(Commission</w:t>
            </w:r>
          </w:p>
        </w:tc>
        <w:tc>
          <w:tcPr>
            <w:tcW w:w="1040" w:type="dxa"/>
            <w:vAlign w:val="bottom"/>
          </w:tcPr>
          <w:p>
            <w:pPr>
              <w:spacing w:after="0"/>
              <w:rPr>
                <w:sz w:val="14"/>
                <w:szCs w:val="14"/>
                <w:color w:val="auto"/>
              </w:rPr>
            </w:pPr>
          </w:p>
        </w:tc>
        <w:tc>
          <w:tcPr>
            <w:tcW w:w="2540" w:type="dxa"/>
            <w:vAlign w:val="bottom"/>
          </w:tcPr>
          <w:p>
            <w:pPr>
              <w:jc w:val="center"/>
              <w:ind w:right="991"/>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79"/>
        </w:trPr>
        <w:tc>
          <w:tcPr>
            <w:tcW w:w="20" w:type="dxa"/>
            <w:vAlign w:val="bottom"/>
          </w:tcPr>
          <w:p>
            <w:pPr>
              <w:spacing w:after="0"/>
              <w:rPr>
                <w:sz w:val="15"/>
                <w:szCs w:val="15"/>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of incorporation)</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w w:val="97"/>
              </w:rPr>
              <w:t>File Number)</w:t>
            </w:r>
          </w:p>
        </w:tc>
        <w:tc>
          <w:tcPr>
            <w:tcW w:w="1040" w:type="dxa"/>
            <w:vAlign w:val="bottom"/>
          </w:tcPr>
          <w:p>
            <w:pPr>
              <w:spacing w:after="0"/>
              <w:rPr>
                <w:sz w:val="15"/>
                <w:szCs w:val="15"/>
                <w:color w:val="auto"/>
              </w:rPr>
            </w:pPr>
          </w:p>
        </w:tc>
        <w:tc>
          <w:tcPr>
            <w:tcW w:w="2540" w:type="dxa"/>
            <w:vAlign w:val="bottom"/>
          </w:tcPr>
          <w:p>
            <w:pPr>
              <w:jc w:val="center"/>
              <w:ind w:right="971"/>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313"/>
        </w:trPr>
        <w:tc>
          <w:tcPr>
            <w:tcW w:w="20" w:type="dxa"/>
            <w:vAlign w:val="bottom"/>
          </w:tcPr>
          <w:p>
            <w:pPr>
              <w:spacing w:after="0"/>
              <w:rPr>
                <w:sz w:val="24"/>
                <w:szCs w:val="24"/>
                <w:color w:val="auto"/>
              </w:rPr>
            </w:pPr>
          </w:p>
        </w:tc>
        <w:tc>
          <w:tcPr>
            <w:tcW w:w="3700" w:type="dxa"/>
            <w:vAlign w:val="bottom"/>
            <w:gridSpan w:val="2"/>
          </w:tcPr>
          <w:p>
            <w:pPr>
              <w:jc w:val="center"/>
              <w:ind w:left="1731"/>
              <w:spacing w:after="0"/>
              <w:rPr>
                <w:sz w:val="20"/>
                <w:szCs w:val="20"/>
                <w:color w:val="auto"/>
              </w:rPr>
            </w:pPr>
            <w:r>
              <w:rPr>
                <w:rFonts w:ascii="Times New Roman" w:cs="Times New Roman" w:eastAsia="Times New Roman" w:hAnsi="Times New Roman"/>
                <w:sz w:val="14"/>
                <w:szCs w:val="14"/>
                <w:b w:val="1"/>
                <w:bCs w:val="1"/>
                <w:color w:val="auto"/>
                <w:w w:val="98"/>
              </w:rPr>
              <w:t>102 Woodmont Blvd., Suite 610</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700" w:type="dxa"/>
            <w:vAlign w:val="bottom"/>
            <w:gridSpan w:val="2"/>
          </w:tcPr>
          <w:p>
            <w:pPr>
              <w:jc w:val="center"/>
              <w:ind w:left="1731"/>
              <w:spacing w:after="0"/>
              <w:rPr>
                <w:sz w:val="20"/>
                <w:szCs w:val="20"/>
                <w:color w:val="auto"/>
              </w:rPr>
            </w:pPr>
            <w:r>
              <w:rPr>
                <w:rFonts w:ascii="Times New Roman" w:cs="Times New Roman" w:eastAsia="Times New Roman" w:hAnsi="Times New Roman"/>
                <w:sz w:val="14"/>
                <w:szCs w:val="14"/>
                <w:b w:val="1"/>
                <w:bCs w:val="1"/>
                <w:color w:val="auto"/>
                <w:w w:val="95"/>
              </w:rPr>
              <w:t>Nashville, Tennessee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37205</w:t>
            </w:r>
          </w:p>
        </w:tc>
        <w:tc>
          <w:tcPr>
            <w:tcW w:w="254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7680" w:type="dxa"/>
            <w:vAlign w:val="bottom"/>
            <w:gridSpan w:val="7"/>
          </w:tcPr>
          <w:p>
            <w:pPr>
              <w:jc w:val="center"/>
              <w:ind w:right="2180"/>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3580" w:type="dxa"/>
            <w:vAlign w:val="bottom"/>
            <w:gridSpan w:val="2"/>
          </w:tcPr>
          <w:p>
            <w:pPr>
              <w:jc w:val="center"/>
              <w:ind w:right="187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31"/>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9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w w:val="98"/>
              </w:rPr>
              <w:t xml:space="preserve">Registrant’s telephone number, including area code: </w:t>
            </w:r>
            <w:r>
              <w:rPr>
                <w:rFonts w:ascii="Times New Roman" w:cs="Times New Roman" w:eastAsia="Times New Roman" w:hAnsi="Times New Roman"/>
                <w:sz w:val="14"/>
                <w:szCs w:val="14"/>
                <w:b w:val="1"/>
                <w:bCs w:val="1"/>
                <w:color w:val="auto"/>
                <w:w w:val="98"/>
              </w:rPr>
              <w:t>(615) 733-4730</w:t>
            </w:r>
          </w:p>
        </w:tc>
        <w:tc>
          <w:tcPr>
            <w:tcW w:w="10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7"/>
              </w:rPr>
              <w:t>Not Applicable</w:t>
            </w:r>
          </w:p>
        </w:tc>
        <w:tc>
          <w:tcPr>
            <w:tcW w:w="104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r>
      <w:tr>
        <w:trPr>
          <w:trHeight w:val="179"/>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9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w w:val="98"/>
              </w:rPr>
              <w:t>(Former Name or Former Address, if Changed Since Last Report)</w:t>
            </w:r>
          </w:p>
        </w:tc>
        <w:tc>
          <w:tcPr>
            <w:tcW w:w="104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28"/>
        </w:trPr>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41"/>
        </w:trPr>
        <w:tc>
          <w:tcPr>
            <w:tcW w:w="20" w:type="dxa"/>
            <w:vAlign w:val="bottom"/>
          </w:tcPr>
          <w:p>
            <w:pPr>
              <w:spacing w:after="0"/>
              <w:rPr>
                <w:sz w:val="24"/>
                <w:szCs w:val="24"/>
                <w:color w:val="auto"/>
              </w:rPr>
            </w:pPr>
          </w:p>
        </w:tc>
        <w:tc>
          <w:tcPr>
            <w:tcW w:w="3700" w:type="dxa"/>
            <w:vAlign w:val="bottom"/>
            <w:gridSpan w:val="2"/>
          </w:tcPr>
          <w:p>
            <w:pPr>
              <w:jc w:val="center"/>
              <w:ind w:left="271"/>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color w:val="auto"/>
                <w:w w:val="97"/>
              </w:rPr>
              <w:t>Trading Symbol(s)</w:t>
            </w:r>
          </w:p>
        </w:tc>
        <w:tc>
          <w:tcPr>
            <w:tcW w:w="3580" w:type="dxa"/>
            <w:vAlign w:val="bottom"/>
            <w:gridSpan w:val="2"/>
          </w:tcPr>
          <w:p>
            <w:pPr>
              <w:jc w:val="center"/>
              <w:ind w:right="971"/>
              <w:spacing w:after="0"/>
              <w:rPr>
                <w:sz w:val="20"/>
                <w:szCs w:val="20"/>
                <w:color w:val="auto"/>
              </w:rPr>
            </w:pPr>
            <w:r>
              <w:rPr>
                <w:rFonts w:ascii="Times New Roman" w:cs="Times New Roman" w:eastAsia="Times New Roman" w:hAnsi="Times New Roman"/>
                <w:sz w:val="14"/>
                <w:szCs w:val="14"/>
                <w:color w:val="auto"/>
                <w:w w:val="98"/>
              </w:rPr>
              <w:t>Name on exchange on which registered</w:t>
            </w:r>
          </w:p>
        </w:tc>
      </w:tr>
      <w:tr>
        <w:trPr>
          <w:trHeight w:val="153"/>
        </w:trPr>
        <w:tc>
          <w:tcPr>
            <w:tcW w:w="20" w:type="dxa"/>
            <w:vAlign w:val="bottom"/>
          </w:tcPr>
          <w:p>
            <w:pPr>
              <w:spacing w:after="0"/>
              <w:rPr>
                <w:sz w:val="13"/>
                <w:szCs w:val="13"/>
                <w:color w:val="auto"/>
              </w:rPr>
            </w:pPr>
          </w:p>
        </w:tc>
        <w:tc>
          <w:tcPr>
            <w:tcW w:w="3700" w:type="dxa"/>
            <w:vAlign w:val="bottom"/>
            <w:tcBorders>
              <w:top w:val="single" w:sz="8" w:color="auto"/>
            </w:tcBorders>
            <w:gridSpan w:val="2"/>
          </w:tcPr>
          <w:p>
            <w:pPr>
              <w:jc w:val="center"/>
              <w:ind w:left="271"/>
              <w:spacing w:after="0" w:line="153" w:lineRule="exact"/>
              <w:rPr>
                <w:sz w:val="20"/>
                <w:szCs w:val="20"/>
                <w:color w:val="auto"/>
              </w:rPr>
            </w:pPr>
            <w:r>
              <w:rPr>
                <w:rFonts w:ascii="Times New Roman" w:cs="Times New Roman" w:eastAsia="Times New Roman" w:hAnsi="Times New Roman"/>
                <w:sz w:val="14"/>
                <w:szCs w:val="14"/>
                <w:color w:val="auto"/>
                <w:w w:val="98"/>
              </w:rPr>
              <w:t>Common Stock, $0.001 par value per share</w:t>
            </w:r>
          </w:p>
        </w:tc>
        <w:tc>
          <w:tcPr>
            <w:tcW w:w="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HROW</w:t>
            </w:r>
          </w:p>
        </w:tc>
        <w:tc>
          <w:tcPr>
            <w:tcW w:w="2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580" w:type="dxa"/>
            <w:vAlign w:val="bottom"/>
            <w:tcBorders>
              <w:top w:val="single" w:sz="8" w:color="auto"/>
            </w:tcBorders>
            <w:gridSpan w:val="2"/>
          </w:tcPr>
          <w:p>
            <w:pPr>
              <w:jc w:val="center"/>
              <w:ind w:right="971"/>
              <w:spacing w:after="0" w:line="153" w:lineRule="exact"/>
              <w:rPr>
                <w:sz w:val="20"/>
                <w:szCs w:val="20"/>
                <w:color w:val="auto"/>
              </w:rPr>
            </w:pPr>
            <w:r>
              <w:rPr>
                <w:rFonts w:ascii="Times New Roman" w:cs="Times New Roman" w:eastAsia="Times New Roman" w:hAnsi="Times New Roman"/>
                <w:sz w:val="14"/>
                <w:szCs w:val="14"/>
                <w:color w:val="auto"/>
                <w:w w:val="98"/>
              </w:rPr>
              <w:t>The NASDAQ Global Market</w:t>
            </w:r>
          </w:p>
        </w:tc>
      </w:tr>
      <w:tr>
        <w:trPr>
          <w:trHeight w:val="179"/>
        </w:trPr>
        <w:tc>
          <w:tcPr>
            <w:tcW w:w="20" w:type="dxa"/>
            <w:vAlign w:val="bottom"/>
          </w:tcPr>
          <w:p>
            <w:pPr>
              <w:spacing w:after="0"/>
              <w:rPr>
                <w:sz w:val="15"/>
                <w:szCs w:val="15"/>
                <w:color w:val="auto"/>
              </w:rPr>
            </w:pPr>
          </w:p>
        </w:tc>
        <w:tc>
          <w:tcPr>
            <w:tcW w:w="3700" w:type="dxa"/>
            <w:vAlign w:val="bottom"/>
            <w:gridSpan w:val="2"/>
          </w:tcPr>
          <w:p>
            <w:pPr>
              <w:jc w:val="center"/>
              <w:ind w:left="271"/>
              <w:spacing w:after="0"/>
              <w:rPr>
                <w:sz w:val="20"/>
                <w:szCs w:val="20"/>
                <w:color w:val="auto"/>
              </w:rPr>
            </w:pPr>
            <w:r>
              <w:rPr>
                <w:rFonts w:ascii="Times New Roman" w:cs="Times New Roman" w:eastAsia="Times New Roman" w:hAnsi="Times New Roman"/>
                <w:sz w:val="14"/>
                <w:szCs w:val="14"/>
                <w:color w:val="auto"/>
                <w:w w:val="98"/>
              </w:rPr>
              <w:t>8.625% Senior Notes due 2026</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color w:val="auto"/>
                <w:w w:val="97"/>
              </w:rPr>
              <w:t>HROWL</w:t>
            </w:r>
          </w:p>
        </w:tc>
        <w:tc>
          <w:tcPr>
            <w:tcW w:w="3580" w:type="dxa"/>
            <w:vAlign w:val="bottom"/>
            <w:gridSpan w:val="2"/>
          </w:tcPr>
          <w:p>
            <w:pPr>
              <w:jc w:val="center"/>
              <w:ind w:right="971"/>
              <w:spacing w:after="0"/>
              <w:rPr>
                <w:sz w:val="20"/>
                <w:szCs w:val="20"/>
                <w:color w:val="auto"/>
              </w:rPr>
            </w:pPr>
            <w:r>
              <w:rPr>
                <w:rFonts w:ascii="Times New Roman" w:cs="Times New Roman" w:eastAsia="Times New Roman" w:hAnsi="Times New Roman"/>
                <w:sz w:val="14"/>
                <w:szCs w:val="14"/>
                <w:color w:val="auto"/>
                <w:w w:val="98"/>
              </w:rPr>
              <w:t>The NASDAQ Global Market</w:t>
            </w:r>
          </w:p>
        </w:tc>
      </w:tr>
    </w:tbl>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0" w:lineRule="exact"/>
        <w:rPr>
          <w:sz w:val="24"/>
          <w:szCs w:val="24"/>
          <w:color w:val="auto"/>
        </w:rPr>
      </w:pPr>
    </w:p>
    <w:p>
      <w:pPr>
        <w:spacing w:after="0" w:line="17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4"/>
          <w:szCs w:val="14"/>
          <w:color w:val="auto"/>
        </w:rPr>
        <w:t>☐</w:t>
      </w:r>
    </w:p>
    <w:p>
      <w:pPr>
        <w:spacing w:after="0" w:line="139" w:lineRule="exact"/>
        <w:rPr>
          <w:sz w:val="24"/>
          <w:szCs w:val="24"/>
          <w:color w:val="auto"/>
        </w:rPr>
      </w:pPr>
    </w:p>
    <w:p>
      <w:pPr>
        <w:spacing w:after="0" w:line="179" w:lineRule="exact"/>
        <w:rPr>
          <w:sz w:val="20"/>
          <w:szCs w:val="20"/>
          <w:color w:val="auto"/>
        </w:rPr>
      </w:pPr>
      <w:r>
        <w:rPr>
          <w:rFonts w:ascii="Times New Roman" w:cs="Times New Roman" w:eastAsia="Times New Roman" w:hAnsi="Times New Roman"/>
          <w:sz w:val="14"/>
          <w:szCs w:val="14"/>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716470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122555</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365125</wp:posOffset>
            </wp:positionV>
            <wp:extent cx="716470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9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On August 9, 2022, Harrow Health, Inc. (the “Company”) issued a press release and a letter to stockholders announcing its financial results for the period ended June 30, 2022 and an update on recent corporate events. The press release and letter to stockholders are being furnished as </w:t>
      </w:r>
      <w:r>
        <w:rPr>
          <w:rFonts w:ascii="Times New Roman" w:cs="Times New Roman" w:eastAsia="Times New Roman" w:hAnsi="Times New Roman"/>
          <w:sz w:val="14"/>
          <w:szCs w:val="14"/>
          <w:u w:val="single" w:color="auto"/>
          <w:color w:val="auto"/>
        </w:rPr>
        <w:t>Exhibits 99.1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99.2</w:t>
      </w:r>
      <w:r>
        <w:rPr>
          <w:rFonts w:ascii="Times New Roman" w:cs="Times New Roman" w:eastAsia="Times New Roman" w:hAnsi="Times New Roman"/>
          <w:sz w:val="14"/>
          <w:szCs w:val="14"/>
          <w:color w:val="auto"/>
        </w:rPr>
        <w:t>, respectively, to this Current Report on Form 8-K.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Attached as </w:t>
      </w:r>
      <w:r>
        <w:rPr>
          <w:rFonts w:ascii="Times New Roman" w:cs="Times New Roman" w:eastAsia="Times New Roman" w:hAnsi="Times New Roman"/>
          <w:sz w:val="14"/>
          <w:szCs w:val="14"/>
          <w:u w:val="single" w:color="auto"/>
          <w:color w:val="auto"/>
        </w:rPr>
        <w:t>Exhibit 99.3</w:t>
      </w:r>
      <w:r>
        <w:rPr>
          <w:rFonts w:ascii="Times New Roman" w:cs="Times New Roman" w:eastAsia="Times New Roman" w:hAnsi="Times New Roman"/>
          <w:sz w:val="14"/>
          <w:szCs w:val="14"/>
          <w:color w:val="auto"/>
        </w:rPr>
        <w:t xml:space="preserve"> to this Current Report on Form 8-K is a presentation of the Company that may be used by the management of the Company at investor conferences and at meetings describing the Company.</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The information furnished under Items 2.02 and 7.01 of this Current Report on Form 8-K, including </w:t>
      </w:r>
      <w:r>
        <w:rPr>
          <w:rFonts w:ascii="Times New Roman" w:cs="Times New Roman" w:eastAsia="Times New Roman" w:hAnsi="Times New Roman"/>
          <w:sz w:val="14"/>
          <w:szCs w:val="14"/>
          <w:u w:val="single" w:color="auto"/>
          <w:color w:val="auto"/>
        </w:rPr>
        <w:t>Exhibits 99.1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99.3</w:t>
      </w:r>
      <w:r>
        <w:rPr>
          <w:rFonts w:ascii="Times New Roman" w:cs="Times New Roman" w:eastAsia="Times New Roman" w:hAnsi="Times New Roman"/>
          <w:sz w:val="14"/>
          <w:szCs w:val="14"/>
          <w:color w:val="auto"/>
        </w:rPr>
        <w:t xml:space="preserve">, shall not be deemed to be “filed” for the purposes of Section 18 of the Securities Exchange Act of 1934, as amended (the “Exchange Act”), or otherwise subject to the liabilities of that Section. The information in Items 2.02 and 7.01, including </w:t>
      </w:r>
      <w:r>
        <w:rPr>
          <w:rFonts w:ascii="Times New Roman" w:cs="Times New Roman" w:eastAsia="Times New Roman" w:hAnsi="Times New Roman"/>
          <w:sz w:val="14"/>
          <w:szCs w:val="14"/>
          <w:u w:val="single" w:color="auto"/>
          <w:color w:val="auto"/>
        </w:rPr>
        <w:t>Exhibits 99.1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99.3</w:t>
      </w:r>
      <w:r>
        <w:rPr>
          <w:rFonts w:ascii="Times New Roman" w:cs="Times New Roman" w:eastAsia="Times New Roman" w:hAnsi="Times New Roman"/>
          <w:sz w:val="14"/>
          <w:szCs w:val="14"/>
          <w:color w:val="auto"/>
        </w:rPr>
        <w:t>,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The information furnished under Items 2.02 and 7.01 of this Current Report on Form 8-K, including </w:t>
      </w:r>
      <w:r>
        <w:rPr>
          <w:rFonts w:ascii="Times New Roman" w:cs="Times New Roman" w:eastAsia="Times New Roman" w:hAnsi="Times New Roman"/>
          <w:sz w:val="14"/>
          <w:szCs w:val="14"/>
          <w:u w:val="single" w:color="auto"/>
          <w:color w:val="auto"/>
        </w:rPr>
        <w:t>Exhibits 99.1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99.3</w:t>
      </w:r>
      <w:r>
        <w:rPr>
          <w:rFonts w:ascii="Times New Roman" w:cs="Times New Roman" w:eastAsia="Times New Roman" w:hAnsi="Times New Roman"/>
          <w:sz w:val="14"/>
          <w:szCs w:val="14"/>
          <w:color w:val="auto"/>
        </w:rPr>
        <w:t>,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0" w:lineRule="exact"/>
        <w:rPr>
          <w:sz w:val="20"/>
          <w:szCs w:val="20"/>
          <w:color w:val="auto"/>
        </w:rPr>
      </w:pPr>
    </w:p>
    <w:p>
      <w:pPr>
        <w:ind w:left="380" w:hanging="377"/>
        <w:spacing w:after="0"/>
        <w:tabs>
          <w:tab w:leader="none" w:pos="38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w:t>
      </w:r>
    </w:p>
    <w:p>
      <w:pPr>
        <w:spacing w:after="0" w:line="1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3"/>
          <w:szCs w:val="13"/>
          <w:u w:val="single" w:color="auto"/>
          <w:color w:val="0000EE"/>
        </w:rPr>
        <w:t>Press Release issued by Harrow Health, Inc. on August 9, 2022</w:t>
      </w:r>
    </w:p>
    <w:p>
      <w:pPr>
        <w:spacing w:after="0" w:line="17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99.2</w:t>
      </w:r>
      <w:r>
        <w:rPr>
          <w:sz w:val="20"/>
          <w:szCs w:val="20"/>
          <w:color w:val="auto"/>
        </w:rPr>
        <w:tab/>
      </w:r>
      <w:r>
        <w:rPr>
          <w:rFonts w:ascii="Times New Roman" w:cs="Times New Roman" w:eastAsia="Times New Roman" w:hAnsi="Times New Roman"/>
          <w:sz w:val="13"/>
          <w:szCs w:val="13"/>
          <w:u w:val="single" w:color="auto"/>
          <w:color w:val="0000EE"/>
        </w:rPr>
        <w:t>Letter to Stockholders by Harrow Health, Inc. dated August 9, 2022</w:t>
      </w:r>
    </w:p>
    <w:p>
      <w:pPr>
        <w:spacing w:after="0" w:line="17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99.3</w:t>
      </w:r>
      <w:r>
        <w:rPr>
          <w:sz w:val="20"/>
          <w:szCs w:val="20"/>
          <w:color w:val="auto"/>
        </w:rPr>
        <w:tab/>
      </w:r>
      <w:r>
        <w:rPr>
          <w:rFonts w:ascii="Times New Roman" w:cs="Times New Roman" w:eastAsia="Times New Roman" w:hAnsi="Times New Roman"/>
          <w:sz w:val="13"/>
          <w:szCs w:val="13"/>
          <w:u w:val="single" w:color="auto"/>
          <w:color w:val="0000EE"/>
        </w:rPr>
        <w:t>Harrow Health, Inc. Corporate Presentation dated August 2022</w:t>
      </w:r>
    </w:p>
    <w:p>
      <w:pPr>
        <w:spacing w:after="0" w:line="17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 w:name="page3"/>
    <w:bookmarkEnd w:id="2"/>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7820" w:type="dxa"/>
            <w:vAlign w:val="bottom"/>
            <w:gridSpan w:val="2"/>
          </w:tcPr>
          <w:p>
            <w:pPr>
              <w:ind w:left="2200"/>
              <w:spacing w:after="0"/>
              <w:rPr>
                <w:sz w:val="20"/>
                <w:szCs w:val="20"/>
                <w:color w:val="auto"/>
              </w:rPr>
            </w:pPr>
            <w:r>
              <w:rPr>
                <w:rFonts w:ascii="Times New Roman" w:cs="Times New Roman" w:eastAsia="Times New Roman" w:hAnsi="Times New Roman"/>
                <w:sz w:val="14"/>
                <w:szCs w:val="14"/>
                <w:b w:val="1"/>
                <w:bCs w:val="1"/>
                <w:color w:val="auto"/>
              </w:rPr>
              <w:t>HARROW HEALTH, INC.</w:t>
            </w:r>
          </w:p>
        </w:tc>
      </w:tr>
      <w:tr>
        <w:trPr>
          <w:trHeight w:val="34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Dated: August 9, 2022</w:t>
            </w:r>
          </w:p>
        </w:tc>
        <w:tc>
          <w:tcPr>
            <w:tcW w:w="276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Andrew R. Boll</w:t>
            </w:r>
          </w:p>
        </w:tc>
      </w:tr>
      <w:tr>
        <w:trPr>
          <w:trHeight w:val="153"/>
        </w:trPr>
        <w:tc>
          <w:tcPr>
            <w:tcW w:w="3460" w:type="dxa"/>
            <w:vAlign w:val="bottom"/>
          </w:tcPr>
          <w:p>
            <w:pPr>
              <w:spacing w:after="0"/>
              <w:rPr>
                <w:sz w:val="13"/>
                <w:szCs w:val="13"/>
                <w:color w:val="auto"/>
              </w:rPr>
            </w:pPr>
          </w:p>
        </w:tc>
        <w:tc>
          <w:tcPr>
            <w:tcW w:w="2760" w:type="dxa"/>
            <w:vAlign w:val="bottom"/>
          </w:tcPr>
          <w:p>
            <w:pPr>
              <w:ind w:left="2200"/>
              <w:spacing w:after="0" w:line="15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Andrew R. Boll</w:t>
            </w:r>
          </w:p>
        </w:tc>
      </w:tr>
      <w:tr>
        <w:trPr>
          <w:trHeight w:val="179"/>
        </w:trPr>
        <w:tc>
          <w:tcPr>
            <w:tcW w:w="3460" w:type="dxa"/>
            <w:vAlign w:val="bottom"/>
          </w:tcPr>
          <w:p>
            <w:pPr>
              <w:spacing w:after="0"/>
              <w:rPr>
                <w:sz w:val="15"/>
                <w:szCs w:val="15"/>
                <w:color w:val="auto"/>
              </w:rPr>
            </w:pPr>
          </w:p>
        </w:tc>
        <w:tc>
          <w:tcPr>
            <w:tcW w:w="276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331"/>
        </w:trPr>
        <w:tc>
          <w:tcPr>
            <w:tcW w:w="34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 w:name="page4"/>
    <w:bookmarkEnd w:id="3"/>
    <w:p>
      <w:pPr>
        <w:ind w:left="1042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125730</wp:posOffset>
            </wp:positionV>
            <wp:extent cx="1102360" cy="577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2360" cy="57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Harrow Health Announces Second Quarter 2022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118110</wp:posOffset>
            </wp:positionV>
            <wp:extent cx="501269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12690" cy="13335"/>
                    </a:xfrm>
                    <a:prstGeom prst="rect">
                      <a:avLst/>
                    </a:prstGeom>
                    <a:noFill/>
                  </pic:spPr>
                </pic:pic>
              </a:graphicData>
            </a:graphic>
          </wp:anchor>
        </w:drawing>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Revenues Increase for Eighth Consecutive Quarter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Highlights for Second Quarter 2022:</w:t>
      </w:r>
    </w:p>
    <w:p>
      <w:pPr>
        <w:spacing w:after="0" w:line="170" w:lineRule="exact"/>
        <w:rPr>
          <w:sz w:val="20"/>
          <w:szCs w:val="20"/>
          <w:color w:val="auto"/>
        </w:rPr>
      </w:pPr>
    </w:p>
    <w:p>
      <w:pPr>
        <w:ind w:left="500" w:hanging="249"/>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 revenues of $23.3 million, up 29% over $18.1 million for the prior-year quarter</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 gross profit of $16.8 million, up 22% over $13.7 million for the prior-year quarter</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record 718,000 product units shipped, up 4% from the prior-year quarter</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of $46.4 million as of June 30, 2022</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NASHVILLE, Tenn., August 9, 2022 – Harrow Health, Inc. (NASDAQ: HROW), an eyecare pharmaceutical company focused on the development, production, sale, and distribution of innovative ophthalmic prescription medicines, today announced results for the second quarter ended June 30, 2022. The Company also posted its second quarter </w:t>
      </w:r>
      <w:r>
        <w:rPr>
          <w:rFonts w:ascii="Times New Roman" w:cs="Times New Roman" w:eastAsia="Times New Roman" w:hAnsi="Times New Roman"/>
          <w:sz w:val="14"/>
          <w:szCs w:val="14"/>
          <w:u w:val="single" w:color="auto"/>
          <w:color w:val="auto"/>
        </w:rPr>
        <w:t>Letter to Stockholders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corporate presentation</w:t>
      </w:r>
      <w:r>
        <w:rPr>
          <w:rFonts w:ascii="Times New Roman" w:cs="Times New Roman" w:eastAsia="Times New Roman" w:hAnsi="Times New Roman"/>
          <w:sz w:val="14"/>
          <w:szCs w:val="14"/>
          <w:color w:val="auto"/>
        </w:rPr>
        <w:t xml:space="preserve"> to the “Investors” section of its website, </w:t>
      </w:r>
      <w:r>
        <w:rPr>
          <w:rFonts w:ascii="Times New Roman" w:cs="Times New Roman" w:eastAsia="Times New Roman" w:hAnsi="Times New Roman"/>
          <w:sz w:val="14"/>
          <w:szCs w:val="14"/>
          <w:u w:val="single" w:color="auto"/>
          <w:color w:val="auto"/>
        </w:rPr>
        <w:t>harrowinc.com.</w:t>
      </w:r>
    </w:p>
    <w:p>
      <w:pPr>
        <w:spacing w:after="0" w:line="14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are pleased with both our financial and operational performance during the second quarter of 2022,” said Mark L. Baum, CEO of Harrow Health. “The second quarter was our eighth consecutive quarter of record results in many of the financial metrics that we track, including total revenues, revenue per shipping day, and total number of product units distributed. From an operational perspective, during the quarter, we continued to focus on ensuring that the Harrow eyecare platform has the infrastructure, systems, resources, and talent needed to execute on the growth that we expect in our compounded pharmaceutical business and new and even more dramatic growth we expect from the continued integration of FDA-approved branded pharmaceutical products into the Harrow platform.</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business remains strong, and we believe the second half of 2022 will be a very consequential period for Harrow. We expect several milestone events during the second half, including the PDUFA target action date for AMP-100, a patented ocular surface anesthetic drug candidate, as well as several product launches of compounded formulations. In addition, we continue to be hard at work trying to close transactions, which are at various stages of completion, that we strongly believe will add value to our company in several important ways.”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Second quarter figures of merit: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13"/>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24"/>
                <w:szCs w:val="24"/>
                <w:color w:val="auto"/>
              </w:rPr>
            </w:pPr>
          </w:p>
        </w:tc>
        <w:tc>
          <w:tcPr>
            <w:tcW w:w="304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83"/>
        </w:trPr>
        <w:tc>
          <w:tcPr>
            <w:tcW w:w="4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43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23,323,000</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18,134,000</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45,443,000</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33,577,000</w:t>
            </w:r>
          </w:p>
        </w:tc>
        <w:tc>
          <w:tcPr>
            <w:tcW w:w="120" w:type="dxa"/>
            <w:vAlign w:val="bottom"/>
            <w:shd w:val="clear" w:color="auto" w:fill="CCEEFF"/>
          </w:tcPr>
          <w:p>
            <w:pPr>
              <w:spacing w:after="0"/>
              <w:rPr>
                <w:sz w:val="14"/>
                <w:szCs w:val="14"/>
                <w:color w:val="auto"/>
              </w:rPr>
            </w:pP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3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w:t>
            </w:r>
          </w:p>
        </w:tc>
        <w:tc>
          <w:tcPr>
            <w:tcW w:w="3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w:t>
            </w:r>
          </w:p>
        </w:tc>
        <w:tc>
          <w:tcPr>
            <w:tcW w:w="3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w:t>
            </w:r>
          </w:p>
        </w:tc>
        <w:tc>
          <w:tcPr>
            <w:tcW w:w="3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6"/>
        </w:trPr>
        <w:tc>
          <w:tcPr>
            <w:tcW w:w="43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Core gross margin</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73%</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(6,239,000)</w:t>
            </w:r>
          </w:p>
        </w:tc>
        <w:tc>
          <w:tcPr>
            <w:tcW w:w="34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(2,950,000)</w:t>
            </w:r>
          </w:p>
        </w:tc>
        <w:tc>
          <w:tcPr>
            <w:tcW w:w="34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(8,677,000)</w:t>
            </w: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(2,733,000)</w:t>
            </w:r>
          </w:p>
        </w:tc>
      </w:tr>
      <w:tr>
        <w:trPr>
          <w:trHeight w:val="196"/>
        </w:trPr>
        <w:tc>
          <w:tcPr>
            <w:tcW w:w="43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Core net income</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254,000</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2,087,000</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967,000</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4,531,000</w:t>
            </w:r>
          </w:p>
        </w:tc>
      </w:tr>
      <w:tr>
        <w:trPr>
          <w:trHeight w:val="196"/>
        </w:trPr>
        <w:tc>
          <w:tcPr>
            <w:tcW w:w="430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4,505,000</w:t>
            </w:r>
          </w:p>
        </w:tc>
        <w:tc>
          <w:tcPr>
            <w:tcW w:w="34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5,698,000</w:t>
            </w:r>
          </w:p>
        </w:tc>
        <w:tc>
          <w:tcPr>
            <w:tcW w:w="34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9,445,000</w:t>
            </w:r>
          </w:p>
        </w:tc>
        <w:tc>
          <w:tcPr>
            <w:tcW w:w="3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9,974,000</w:t>
            </w: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(0.23)</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(0.11)</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(0.32)</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(0.10)</w:t>
            </w:r>
          </w:p>
        </w:tc>
      </w:tr>
      <w:tr>
        <w:trPr>
          <w:trHeight w:val="302"/>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Core diluted net income per share</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0.01</w:t>
            </w:r>
          </w:p>
        </w:tc>
        <w:tc>
          <w:tcPr>
            <w:tcW w:w="34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0.07</w:t>
            </w:r>
          </w:p>
        </w:tc>
        <w:tc>
          <w:tcPr>
            <w:tcW w:w="34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0.04</w:t>
            </w:r>
          </w:p>
        </w:tc>
        <w:tc>
          <w:tcPr>
            <w:tcW w:w="34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0.16</w:t>
            </w:r>
          </w:p>
        </w:tc>
      </w:tr>
    </w:tbl>
    <w:p>
      <w:pPr>
        <w:spacing w:after="0" w:line="47" w:lineRule="exact"/>
        <w:rPr>
          <w:sz w:val="20"/>
          <w:szCs w:val="20"/>
          <w:color w:val="auto"/>
        </w:rPr>
      </w:pPr>
    </w:p>
    <w:p>
      <w:pPr>
        <w:jc w:val="both"/>
        <w:ind w:left="260" w:hanging="257"/>
        <w:spacing w:after="0" w:line="208" w:lineRule="auto"/>
        <w:tabs>
          <w:tab w:leader="none" w:pos="2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 xml:space="preserve">Core gross margin, core net income, core diluted net income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w:t>
      </w:r>
      <w:r>
        <w:rPr>
          <w:rFonts w:ascii="Times New Roman" w:cs="Times New Roman" w:eastAsia="Times New Roman" w:hAnsi="Times New Roman"/>
          <w:sz w:val="14"/>
          <w:szCs w:val="14"/>
          <w:u w:val="single" w:color="auto"/>
          <w:color w:val="auto"/>
        </w:rPr>
        <w:t>at the end</w:t>
      </w:r>
      <w:r>
        <w:rPr>
          <w:rFonts w:ascii="Times New Roman" w:cs="Times New Roman" w:eastAsia="Times New Roman" w:hAnsi="Times New Roman"/>
          <w:sz w:val="14"/>
          <w:szCs w:val="14"/>
          <w:color w:val="auto"/>
        </w:rPr>
        <w:t xml:space="preserve"> of this release.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HROW Announces Second Quarter 2022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9,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 and Webcast</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Company’s management team will host a conference call and live webcast today at 4:45 p.m. Eastern Time to discuss the second quarter results and provide a business update. To participate in the call, see details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Conference Call Details: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Tuesday, August 9, 2022</w:t>
            </w:r>
          </w:p>
        </w:tc>
        <w:tc>
          <w:tcPr>
            <w:tcW w:w="0" w:type="dxa"/>
            <w:vAlign w:val="bottom"/>
          </w:tcPr>
          <w:p>
            <w:pPr>
              <w:spacing w:after="0"/>
              <w:rPr>
                <w:sz w:val="1"/>
                <w:szCs w:val="1"/>
                <w:color w:val="auto"/>
              </w:rPr>
            </w:pPr>
          </w:p>
        </w:tc>
      </w:tr>
      <w:tr>
        <w:trPr>
          <w:trHeight w:val="165"/>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Time:</w:t>
            </w:r>
          </w:p>
        </w:tc>
        <w:tc>
          <w:tcPr>
            <w:tcW w:w="22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4:45 p.m. Eastern time</w:t>
            </w:r>
          </w:p>
        </w:tc>
        <w:tc>
          <w:tcPr>
            <w:tcW w:w="0" w:type="dxa"/>
            <w:vAlign w:val="bottom"/>
          </w:tcPr>
          <w:p>
            <w:pPr>
              <w:spacing w:after="0"/>
              <w:rPr>
                <w:sz w:val="1"/>
                <w:szCs w:val="1"/>
                <w:color w:val="auto"/>
              </w:rPr>
            </w:pPr>
          </w:p>
        </w:tc>
      </w:tr>
      <w:tr>
        <w:trPr>
          <w:trHeight w:val="169"/>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Participant Dial-in:</w:t>
            </w:r>
          </w:p>
        </w:tc>
        <w:tc>
          <w:tcPr>
            <w:tcW w:w="22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1-833-953-2434 (U.S.)</w:t>
            </w:r>
          </w:p>
        </w:tc>
        <w:tc>
          <w:tcPr>
            <w:tcW w:w="0" w:type="dxa"/>
            <w:vAlign w:val="bottom"/>
          </w:tcPr>
          <w:p>
            <w:pPr>
              <w:spacing w:after="0"/>
              <w:rPr>
                <w:sz w:val="1"/>
                <w:szCs w:val="1"/>
                <w:color w:val="auto"/>
              </w:rPr>
            </w:pPr>
          </w:p>
        </w:tc>
      </w:tr>
      <w:tr>
        <w:trPr>
          <w:trHeight w:val="165"/>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Replay Dial-in (Passcode 8466369):</w:t>
            </w:r>
          </w:p>
        </w:tc>
        <w:tc>
          <w:tcPr>
            <w:tcW w:w="11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w w:val="96"/>
              </w:rPr>
              <w:t>1-412-317-5763</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6"/>
              </w:rPr>
              <w:t>(International)</w:t>
            </w:r>
          </w:p>
        </w:tc>
        <w:tc>
          <w:tcPr>
            <w:tcW w:w="0" w:type="dxa"/>
            <w:vAlign w:val="bottom"/>
          </w:tcPr>
          <w:p>
            <w:pPr>
              <w:spacing w:after="0"/>
              <w:rPr>
                <w:sz w:val="1"/>
                <w:szCs w:val="1"/>
                <w:color w:val="auto"/>
              </w:rPr>
            </w:pPr>
          </w:p>
        </w:tc>
      </w:tr>
      <w:tr>
        <w:trPr>
          <w:trHeight w:val="161"/>
        </w:trPr>
        <w:tc>
          <w:tcPr>
            <w:tcW w:w="5540" w:type="dxa"/>
            <w:vAlign w:val="bottom"/>
            <w:vMerge w:val="continue"/>
          </w:tcPr>
          <w:p>
            <w:pPr>
              <w:spacing w:after="0"/>
              <w:rPr>
                <w:sz w:val="14"/>
                <w:szCs w:val="14"/>
                <w:color w:val="auto"/>
              </w:rPr>
            </w:pPr>
          </w:p>
        </w:tc>
        <w:tc>
          <w:tcPr>
            <w:tcW w:w="11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w w:val="96"/>
              </w:rPr>
              <w:t>1-877-344-7529</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65"/>
        </w:trPr>
        <w:tc>
          <w:tcPr>
            <w:tcW w:w="5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(telephonic replay through August 16, 2022)</w:t>
            </w:r>
          </w:p>
        </w:tc>
        <w:tc>
          <w:tcPr>
            <w:tcW w:w="11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w w:val="96"/>
              </w:rPr>
              <w:t>1-412-317-0088</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6"/>
              </w:rPr>
              <w:t>(International)</w:t>
            </w:r>
          </w:p>
        </w:tc>
        <w:tc>
          <w:tcPr>
            <w:tcW w:w="0" w:type="dxa"/>
            <w:vAlign w:val="bottom"/>
          </w:tcPr>
          <w:p>
            <w:pPr>
              <w:spacing w:after="0"/>
              <w:rPr>
                <w:sz w:val="1"/>
                <w:szCs w:val="1"/>
                <w:color w:val="auto"/>
              </w:rPr>
            </w:pPr>
          </w:p>
        </w:tc>
      </w:tr>
      <w:tr>
        <w:trPr>
          <w:trHeight w:val="151"/>
        </w:trPr>
        <w:tc>
          <w:tcPr>
            <w:tcW w:w="554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 xml:space="preserve">Webcast: </w:t>
            </w:r>
            <w:r>
              <w:rPr>
                <w:rFonts w:ascii="Times New Roman" w:cs="Times New Roman" w:eastAsia="Times New Roman" w:hAnsi="Times New Roman"/>
                <w:sz w:val="14"/>
                <w:szCs w:val="14"/>
                <w:i w:val="1"/>
                <w:iCs w:val="1"/>
                <w:color w:val="auto"/>
              </w:rPr>
              <w:t>(online replay through November 9, 2022)</w:t>
            </w:r>
          </w:p>
        </w:tc>
        <w:tc>
          <w:tcPr>
            <w:tcW w:w="220" w:type="dxa"/>
            <w:vAlign w:val="bottom"/>
          </w:tcPr>
          <w:p>
            <w:pPr>
              <w:spacing w:after="0"/>
              <w:rPr>
                <w:sz w:val="13"/>
                <w:szCs w:val="13"/>
                <w:color w:val="auto"/>
              </w:rPr>
            </w:pPr>
          </w:p>
        </w:tc>
        <w:tc>
          <w:tcPr>
            <w:tcW w:w="9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harrowinc.com</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Harrow Health</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Harrow Health, Inc. (Nasdaq: HROW) is an eyecare pharmaceutical company focused on the development, production, sale, and distribution of innovative ophthalmic prescription medications that are accessible and affordable. For more information about Harrow Health, please visit the Investors section of the corporate website, </w:t>
      </w:r>
      <w:r>
        <w:rPr>
          <w:rFonts w:ascii="Times New Roman" w:cs="Times New Roman" w:eastAsia="Times New Roman" w:hAnsi="Times New Roman"/>
          <w:sz w:val="14"/>
          <w:szCs w:val="14"/>
          <w:u w:val="single" w:color="auto"/>
          <w:color w:val="auto"/>
        </w:rPr>
        <w:t>harrowinc.com.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continued impact of the COVID-19 pandemic and any future health epidemics on our financial condition, liquidity and results of operations; our ability to make commercially available our FDA-approved products and compounded formulations and technologies in a timely manner or at all; market acceptance of the Company’s products and challenges related to the marketing of the Company’s products; risks related to our pharmacy operations; our ability to enter into other strategic alliances, including arrangements with pharmacies, physicians and healthcare organizations for the development and distribution of our products;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products;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Jamie Webb, Director of Communications and Investor Relations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jwebb@harrowinc.com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615-733-4737</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HROW Announces Second Quarter 2022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9, 2022</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HARROW HEALTH,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7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5"/>
        </w:trPr>
        <w:tc>
          <w:tcPr>
            <w:tcW w:w="74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211"/>
              <w:spacing w:after="0"/>
              <w:rPr>
                <w:sz w:val="20"/>
                <w:szCs w:val="20"/>
                <w:color w:val="auto"/>
              </w:rPr>
            </w:pPr>
            <w:r>
              <w:rPr>
                <w:rFonts w:ascii="Times New Roman" w:cs="Times New Roman" w:eastAsia="Times New Roman" w:hAnsi="Times New Roman"/>
                <w:sz w:val="14"/>
                <w:szCs w:val="14"/>
                <w:i w:val="1"/>
                <w:iCs w:val="1"/>
                <w:color w:val="auto"/>
                <w:w w:val="97"/>
              </w:rPr>
              <w:t>(unaudited)</w:t>
            </w:r>
          </w:p>
        </w:tc>
        <w:tc>
          <w:tcPr>
            <w:tcW w:w="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7460" w:type="dxa"/>
            <w:vAlign w:val="bottom"/>
            <w:shd w:val="clear" w:color="auto" w:fill="CCEEFF"/>
          </w:tcPr>
          <w:p>
            <w:pPr>
              <w:ind w:left="3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5"/>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46,438,000</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42,167,000</w:t>
            </w:r>
          </w:p>
        </w:tc>
        <w:tc>
          <w:tcPr>
            <w:tcW w:w="80" w:type="dxa"/>
            <w:vAlign w:val="bottom"/>
          </w:tcPr>
          <w:p>
            <w:pPr>
              <w:spacing w:after="0"/>
              <w:rPr>
                <w:sz w:val="14"/>
                <w:szCs w:val="14"/>
                <w:color w:val="auto"/>
              </w:rPr>
            </w:pPr>
          </w:p>
        </w:tc>
      </w:tr>
      <w:tr>
        <w:trPr>
          <w:trHeight w:val="19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current assets</w:t>
            </w: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18,265,000</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18,495,000</w:t>
            </w:r>
          </w:p>
        </w:tc>
        <w:tc>
          <w:tcPr>
            <w:tcW w:w="80" w:type="dxa"/>
            <w:vAlign w:val="bottom"/>
            <w:shd w:val="clear" w:color="auto" w:fill="CCEEFF"/>
          </w:tcPr>
          <w:p>
            <w:pPr>
              <w:spacing w:after="0"/>
              <w:rPr>
                <w:sz w:val="17"/>
                <w:szCs w:val="17"/>
                <w:color w:val="auto"/>
              </w:rPr>
            </w:pPr>
          </w:p>
        </w:tc>
      </w:tr>
      <w:tr>
        <w:trPr>
          <w:trHeight w:val="146"/>
        </w:trPr>
        <w:tc>
          <w:tcPr>
            <w:tcW w:w="7460" w:type="dxa"/>
            <w:vAlign w:val="bottom"/>
            <w:tcBorders>
              <w:top w:val="single" w:sz="8" w:color="CCEEFF"/>
            </w:tcBorders>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2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64,703,000</w:t>
            </w:r>
          </w:p>
        </w:tc>
        <w:tc>
          <w:tcPr>
            <w:tcW w:w="3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60,662,000</w:t>
            </w: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r>
      <w:tr>
        <w:trPr>
          <w:trHeight w:val="19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assets</w:t>
            </w: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33,359,000</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37,667,000</w:t>
            </w:r>
          </w:p>
        </w:tc>
        <w:tc>
          <w:tcPr>
            <w:tcW w:w="80" w:type="dxa"/>
            <w:vAlign w:val="bottom"/>
            <w:shd w:val="clear" w:color="auto" w:fill="CCEEFF"/>
          </w:tcPr>
          <w:p>
            <w:pPr>
              <w:spacing w:after="0"/>
              <w:rPr>
                <w:sz w:val="17"/>
                <w:szCs w:val="17"/>
                <w:color w:val="auto"/>
              </w:rPr>
            </w:pPr>
          </w:p>
        </w:tc>
      </w:tr>
      <w:tr>
        <w:trPr>
          <w:trHeight w:val="196"/>
        </w:trPr>
        <w:tc>
          <w:tcPr>
            <w:tcW w:w="7460" w:type="dxa"/>
            <w:vAlign w:val="bottom"/>
            <w:tcBorders>
              <w:top w:val="single" w:sz="8" w:color="CCEEFF"/>
              <w:bottom w:val="single" w:sz="8" w:color="CCEEFF"/>
            </w:tcBorders>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98,062,000</w:t>
            </w:r>
          </w:p>
        </w:tc>
        <w:tc>
          <w:tcPr>
            <w:tcW w:w="34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98,329,000</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r>
      <w:tr>
        <w:trPr>
          <w:trHeight w:val="136"/>
        </w:trPr>
        <w:tc>
          <w:tcPr>
            <w:tcW w:w="7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5"/>
        </w:trPr>
        <w:tc>
          <w:tcPr>
            <w:tcW w:w="746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12,922,000</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9,722,000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5"/>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Senior April 2026 Notes, net of discount</w:t>
            </w:r>
          </w:p>
        </w:tc>
        <w:tc>
          <w:tcPr>
            <w:tcW w:w="280" w:type="dxa"/>
            <w:vAlign w:val="bottom"/>
          </w:tcPr>
          <w:p>
            <w:pPr>
              <w:spacing w:after="0"/>
              <w:rPr>
                <w:sz w:val="14"/>
                <w:szCs w:val="14"/>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72,042,000</w:t>
            </w:r>
          </w:p>
        </w:tc>
        <w:tc>
          <w:tcPr>
            <w:tcW w:w="180" w:type="dxa"/>
            <w:vAlign w:val="bottom"/>
          </w:tcPr>
          <w:p>
            <w:pPr>
              <w:spacing w:after="0"/>
              <w:rPr>
                <w:sz w:val="14"/>
                <w:szCs w:val="14"/>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71,654,000</w:t>
            </w:r>
          </w:p>
        </w:tc>
        <w:tc>
          <w:tcPr>
            <w:tcW w:w="80" w:type="dxa"/>
            <w:vAlign w:val="bottom"/>
          </w:tcPr>
          <w:p>
            <w:pPr>
              <w:spacing w:after="0"/>
              <w:rPr>
                <w:sz w:val="14"/>
                <w:szCs w:val="14"/>
                <w:color w:val="auto"/>
              </w:rPr>
            </w:pPr>
          </w:p>
        </w:tc>
      </w:tr>
      <w:tr>
        <w:trPr>
          <w:trHeight w:val="19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liabilities</w:t>
            </w: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7,704,000</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46"/>
        </w:trPr>
        <w:tc>
          <w:tcPr>
            <w:tcW w:w="7460" w:type="dxa"/>
            <w:vAlign w:val="bottom"/>
            <w:tcBorders>
              <w:top w:val="single" w:sz="8" w:color="CCEEFF"/>
            </w:tcBorders>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92,668,000</w:t>
            </w:r>
          </w:p>
        </w:tc>
        <w:tc>
          <w:tcPr>
            <w:tcW w:w="3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87,398,000</w:t>
            </w: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r>
      <w:tr>
        <w:trPr>
          <w:trHeight w:val="19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5,394,000</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10,931,000</w:t>
            </w:r>
          </w:p>
        </w:tc>
        <w:tc>
          <w:tcPr>
            <w:tcW w:w="80" w:type="dxa"/>
            <w:vAlign w:val="bottom"/>
            <w:shd w:val="clear" w:color="auto" w:fill="CCEEFF"/>
          </w:tcPr>
          <w:p>
            <w:pPr>
              <w:spacing w:after="0"/>
              <w:rPr>
                <w:sz w:val="17"/>
                <w:szCs w:val="17"/>
                <w:color w:val="auto"/>
              </w:rPr>
            </w:pPr>
          </w:p>
        </w:tc>
      </w:tr>
      <w:tr>
        <w:trPr>
          <w:trHeight w:val="156"/>
        </w:trPr>
        <w:tc>
          <w:tcPr>
            <w:tcW w:w="7460" w:type="dxa"/>
            <w:vAlign w:val="bottom"/>
            <w:tcBorders>
              <w:top w:val="single" w:sz="8" w:color="CCEEFF"/>
            </w:tcBorders>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98,062,000</w:t>
            </w:r>
          </w:p>
        </w:tc>
        <w:tc>
          <w:tcPr>
            <w:tcW w:w="340" w:type="dxa"/>
            <w:vAlign w:val="bottom"/>
            <w:tcBorders>
              <w:top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1"/>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98,329,000</w:t>
            </w:r>
          </w:p>
        </w:tc>
        <w:tc>
          <w:tcPr>
            <w:tcW w:w="2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auto"/>
        </w:rPr>
        <w:t>HROW Announces Second Quarter 2022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9, 2022</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HARROW HEALTH,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83"/>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5"/>
                <w:szCs w:val="15"/>
                <w:color w:val="auto"/>
              </w:rPr>
            </w:pPr>
          </w:p>
        </w:tc>
        <w:tc>
          <w:tcPr>
            <w:tcW w:w="1680" w:type="dxa"/>
            <w:vAlign w:val="bottom"/>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8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16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23,323,000</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18,134,000</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45,443,000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33,577,000</w:t>
            </w:r>
          </w:p>
        </w:tc>
        <w:tc>
          <w:tcPr>
            <w:tcW w:w="100" w:type="dxa"/>
            <w:vAlign w:val="bottom"/>
            <w:shd w:val="clear" w:color="auto" w:fill="CCEEFF"/>
          </w:tcPr>
          <w:p>
            <w:pPr>
              <w:spacing w:after="0"/>
              <w:rPr>
                <w:sz w:val="14"/>
                <w:szCs w:val="14"/>
                <w:color w:val="auto"/>
              </w:rPr>
            </w:pPr>
          </w:p>
        </w:tc>
      </w:tr>
      <w:tr>
        <w:trPr>
          <w:trHeight w:val="176"/>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20" w:type="dxa"/>
            <w:vAlign w:val="bottom"/>
          </w:tcPr>
          <w:p>
            <w:pPr>
              <w:spacing w:after="0"/>
              <w:rPr>
                <w:sz w:val="15"/>
                <w:szCs w:val="15"/>
                <w:color w:val="auto"/>
              </w:rPr>
            </w:pPr>
          </w:p>
        </w:tc>
        <w:tc>
          <w:tcPr>
            <w:tcW w:w="1480" w:type="dxa"/>
            <w:vAlign w:val="bottom"/>
            <w:gridSpan w:val="2"/>
          </w:tcPr>
          <w:p>
            <w:pPr>
              <w:jc w:val="right"/>
              <w:ind w:right="391"/>
              <w:spacing w:after="0"/>
              <w:rPr>
                <w:sz w:val="20"/>
                <w:szCs w:val="20"/>
                <w:color w:val="auto"/>
              </w:rPr>
            </w:pPr>
            <w:r>
              <w:rPr>
                <w:rFonts w:ascii="Times New Roman" w:cs="Times New Roman" w:eastAsia="Times New Roman" w:hAnsi="Times New Roman"/>
                <w:sz w:val="14"/>
                <w:szCs w:val="14"/>
                <w:color w:val="auto"/>
              </w:rPr>
              <w:t>6,534,000</w:t>
            </w:r>
          </w:p>
        </w:tc>
        <w:tc>
          <w:tcPr>
            <w:tcW w:w="280" w:type="dxa"/>
            <w:vAlign w:val="bottom"/>
          </w:tcPr>
          <w:p>
            <w:pPr>
              <w:spacing w:after="0"/>
              <w:rPr>
                <w:sz w:val="15"/>
                <w:szCs w:val="15"/>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4,417,000</w:t>
            </w:r>
          </w:p>
        </w:tc>
        <w:tc>
          <w:tcPr>
            <w:tcW w:w="28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12,497,000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8,187,000</w:t>
            </w:r>
          </w:p>
        </w:tc>
        <w:tc>
          <w:tcPr>
            <w:tcW w:w="100" w:type="dxa"/>
            <w:vAlign w:val="bottom"/>
          </w:tcPr>
          <w:p>
            <w:pPr>
              <w:spacing w:after="0"/>
              <w:rPr>
                <w:sz w:val="15"/>
                <w:szCs w:val="15"/>
                <w:color w:val="auto"/>
              </w:rPr>
            </w:pPr>
          </w:p>
        </w:tc>
      </w:tr>
      <w:tr>
        <w:trPr>
          <w:trHeight w:val="165"/>
        </w:trPr>
        <w:tc>
          <w:tcPr>
            <w:tcW w:w="48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16,789,000</w:t>
            </w:r>
          </w:p>
        </w:tc>
        <w:tc>
          <w:tcPr>
            <w:tcW w:w="4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13,717,000</w:t>
            </w:r>
          </w:p>
        </w:tc>
        <w:tc>
          <w:tcPr>
            <w:tcW w:w="4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32,946,000</w:t>
            </w: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25,390,000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65"/>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20" w:type="dxa"/>
            <w:vAlign w:val="bottom"/>
          </w:tcPr>
          <w:p>
            <w:pPr>
              <w:spacing w:after="0"/>
              <w:rPr>
                <w:sz w:val="14"/>
                <w:szCs w:val="14"/>
                <w:color w:val="auto"/>
              </w:rPr>
            </w:pPr>
          </w:p>
        </w:tc>
        <w:tc>
          <w:tcPr>
            <w:tcW w:w="1480" w:type="dxa"/>
            <w:vAlign w:val="bottom"/>
            <w:gridSpan w:val="2"/>
          </w:tcPr>
          <w:p>
            <w:pPr>
              <w:jc w:val="right"/>
              <w:ind w:right="391"/>
              <w:spacing w:after="0"/>
              <w:rPr>
                <w:sz w:val="20"/>
                <w:szCs w:val="20"/>
                <w:color w:val="auto"/>
              </w:rPr>
            </w:pPr>
            <w:r>
              <w:rPr>
                <w:rFonts w:ascii="Times New Roman" w:cs="Times New Roman" w:eastAsia="Times New Roman" w:hAnsi="Times New Roman"/>
                <w:sz w:val="14"/>
                <w:szCs w:val="14"/>
                <w:color w:val="auto"/>
              </w:rPr>
              <w:t>14,185,000</w:t>
            </w:r>
          </w:p>
        </w:tc>
        <w:tc>
          <w:tcPr>
            <w:tcW w:w="28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9,123,000</w:t>
            </w:r>
          </w:p>
        </w:tc>
        <w:tc>
          <w:tcPr>
            <w:tcW w:w="2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27,583,000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17,287,000</w:t>
            </w:r>
          </w:p>
        </w:tc>
      </w:tr>
      <w:tr>
        <w:trPr>
          <w:trHeight w:val="19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914,000</w:t>
            </w: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425,000</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1,572,000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1,017,000</w:t>
            </w:r>
          </w:p>
        </w:tc>
        <w:tc>
          <w:tcPr>
            <w:tcW w:w="100" w:type="dxa"/>
            <w:vAlign w:val="bottom"/>
            <w:shd w:val="clear" w:color="auto" w:fill="CCEEFF"/>
          </w:tcPr>
          <w:p>
            <w:pPr>
              <w:spacing w:after="0"/>
              <w:rPr>
                <w:sz w:val="17"/>
                <w:szCs w:val="17"/>
                <w:color w:val="auto"/>
              </w:rPr>
            </w:pPr>
          </w:p>
        </w:tc>
      </w:tr>
      <w:tr>
        <w:trPr>
          <w:trHeight w:val="147"/>
        </w:trPr>
        <w:tc>
          <w:tcPr>
            <w:tcW w:w="4860" w:type="dxa"/>
            <w:vAlign w:val="bottom"/>
            <w:tcBorders>
              <w:top w:val="single" w:sz="8" w:color="CCEEFF"/>
              <w:bottom w:val="single" w:sz="8" w:color="CCEEFF"/>
            </w:tcBorders>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15,099,000</w:t>
            </w:r>
          </w:p>
        </w:tc>
        <w:tc>
          <w:tcPr>
            <w:tcW w:w="460" w:type="dxa"/>
            <w:vAlign w:val="bottom"/>
            <w:tcBorders>
              <w:top w:val="single" w:sz="8" w:color="CCEEFF"/>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9,548,000</w:t>
            </w:r>
          </w:p>
        </w:tc>
        <w:tc>
          <w:tcPr>
            <w:tcW w:w="440" w:type="dxa"/>
            <w:vAlign w:val="bottom"/>
            <w:tcBorders>
              <w:top w:val="single" w:sz="8" w:color="CCEEFF"/>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29,155,000</w:t>
            </w:r>
          </w:p>
        </w:tc>
        <w:tc>
          <w:tcPr>
            <w:tcW w:w="24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CCEEFF"/>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18,304,000</w:t>
            </w:r>
          </w:p>
        </w:tc>
        <w:tc>
          <w:tcPr>
            <w:tcW w:w="100" w:type="dxa"/>
            <w:vAlign w:val="bottom"/>
            <w:tcBorders>
              <w:top w:val="single" w:sz="8" w:color="CCEEFF"/>
              <w:bottom w:val="single" w:sz="8" w:color="CCEEFF"/>
            </w:tcBorders>
          </w:tcPr>
          <w:p>
            <w:pPr>
              <w:spacing w:after="0"/>
              <w:rPr>
                <w:sz w:val="12"/>
                <w:szCs w:val="12"/>
                <w:color w:val="auto"/>
              </w:rPr>
            </w:pPr>
          </w:p>
        </w:tc>
      </w:tr>
      <w:tr>
        <w:trPr>
          <w:trHeight w:val="165"/>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1,690,000</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4,169,000</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3,791,000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7,086,000</w:t>
            </w:r>
          </w:p>
        </w:tc>
        <w:tc>
          <w:tcPr>
            <w:tcW w:w="100" w:type="dxa"/>
            <w:vAlign w:val="bottom"/>
            <w:shd w:val="clear" w:color="auto" w:fill="CCEEFF"/>
          </w:tcPr>
          <w:p>
            <w:pPr>
              <w:spacing w:after="0"/>
              <w:rPr>
                <w:sz w:val="14"/>
                <w:szCs w:val="14"/>
                <w:color w:val="auto"/>
              </w:rPr>
            </w:pPr>
          </w:p>
        </w:tc>
      </w:tr>
      <w:tr>
        <w:trPr>
          <w:trHeight w:val="165"/>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net</w:t>
            </w:r>
          </w:p>
        </w:tc>
        <w:tc>
          <w:tcPr>
            <w:tcW w:w="220" w:type="dxa"/>
            <w:vAlign w:val="bottom"/>
          </w:tcPr>
          <w:p>
            <w:pPr>
              <w:spacing w:after="0"/>
              <w:rPr>
                <w:sz w:val="14"/>
                <w:szCs w:val="14"/>
                <w:color w:val="auto"/>
              </w:rPr>
            </w:pPr>
          </w:p>
        </w:tc>
        <w:tc>
          <w:tcPr>
            <w:tcW w:w="1480" w:type="dxa"/>
            <w:vAlign w:val="bottom"/>
            <w:gridSpan w:val="2"/>
          </w:tcPr>
          <w:p>
            <w:pPr>
              <w:jc w:val="right"/>
              <w:ind w:right="391"/>
              <w:spacing w:after="0"/>
              <w:rPr>
                <w:sz w:val="20"/>
                <w:szCs w:val="20"/>
                <w:color w:val="auto"/>
              </w:rPr>
            </w:pPr>
            <w:r>
              <w:rPr>
                <w:rFonts w:ascii="Times New Roman" w:cs="Times New Roman" w:eastAsia="Times New Roman" w:hAnsi="Times New Roman"/>
                <w:sz w:val="14"/>
                <w:szCs w:val="14"/>
                <w:color w:val="auto"/>
              </w:rPr>
              <w:t>7,889,000</w:t>
            </w:r>
          </w:p>
        </w:tc>
        <w:tc>
          <w:tcPr>
            <w:tcW w:w="28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6,647,000</w:t>
            </w:r>
          </w:p>
        </w:tc>
        <w:tc>
          <w:tcPr>
            <w:tcW w:w="2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12,428,000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9,347,000</w:t>
            </w:r>
          </w:p>
        </w:tc>
        <w:tc>
          <w:tcPr>
            <w:tcW w:w="100" w:type="dxa"/>
            <w:vAlign w:val="bottom"/>
          </w:tcPr>
          <w:p>
            <w:pPr>
              <w:spacing w:after="0"/>
              <w:rPr>
                <w:sz w:val="14"/>
                <w:szCs w:val="14"/>
                <w:color w:val="auto"/>
              </w:rPr>
            </w:pPr>
          </w:p>
        </w:tc>
      </w:tr>
      <w:tr>
        <w:trPr>
          <w:trHeight w:val="19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40,000</w:t>
            </w: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40,000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r>
      <w:tr>
        <w:trPr>
          <w:trHeight w:val="146"/>
        </w:trPr>
        <w:tc>
          <w:tcPr>
            <w:tcW w:w="4860" w:type="dxa"/>
            <w:vAlign w:val="bottom"/>
            <w:tcBorders>
              <w:top w:val="single" w:sz="8" w:color="CCEEFF"/>
            </w:tcBorders>
          </w:tcPr>
          <w:p>
            <w:pPr>
              <w:ind w:left="140"/>
              <w:spacing w:after="0" w:line="146" w:lineRule="exact"/>
              <w:rPr>
                <w:sz w:val="20"/>
                <w:szCs w:val="20"/>
                <w:color w:val="auto"/>
              </w:rPr>
            </w:pPr>
            <w:r>
              <w:rPr>
                <w:rFonts w:ascii="Times New Roman" w:cs="Times New Roman" w:eastAsia="Times New Roman" w:hAnsi="Times New Roman"/>
                <w:sz w:val="14"/>
                <w:szCs w:val="14"/>
                <w:color w:val="auto"/>
              </w:rPr>
              <w:t>Net loss attributable to Harrow Health, Inc.</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(6,239,000)</w:t>
            </w:r>
          </w:p>
        </w:tc>
        <w:tc>
          <w:tcPr>
            <w:tcW w:w="46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(2,478,000)</w:t>
            </w:r>
          </w:p>
        </w:tc>
        <w:tc>
          <w:tcPr>
            <w:tcW w:w="4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(8,677,000)</w:t>
            </w: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(2,261,000)</w:t>
            </w:r>
          </w:p>
        </w:tc>
        <w:tc>
          <w:tcPr>
            <w:tcW w:w="100" w:type="dxa"/>
            <w:vAlign w:val="bottom"/>
            <w:tcBorders>
              <w:top w:val="single" w:sz="8" w:color="CCEEFF"/>
            </w:tcBorders>
          </w:tcPr>
          <w:p>
            <w:pPr>
              <w:spacing w:after="0"/>
              <w:rPr>
                <w:sz w:val="12"/>
                <w:szCs w:val="12"/>
                <w:color w:val="auto"/>
              </w:rPr>
            </w:pPr>
          </w:p>
        </w:tc>
      </w:tr>
      <w:tr>
        <w:trPr>
          <w:trHeight w:val="19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dividends and accretion of preferred stock discount</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(472,000)</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(472,000)</w:t>
            </w:r>
          </w:p>
        </w:tc>
      </w:tr>
      <w:tr>
        <w:trPr>
          <w:trHeight w:val="196"/>
        </w:trPr>
        <w:tc>
          <w:tcPr>
            <w:tcW w:w="4860" w:type="dxa"/>
            <w:vAlign w:val="bottom"/>
            <w:tcBorders>
              <w:top w:val="single" w:sz="8" w:color="CCEEFF"/>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loss attributable to Harrow Health, Inc. common stockholders</w:t>
            </w: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(6,239,000</w:t>
            </w:r>
          </w:p>
        </w:tc>
        <w:tc>
          <w:tcPr>
            <w:tcW w:w="460" w:type="dxa"/>
            <w:vAlign w:val="bottom"/>
            <w:tcBorders>
              <w:top w:val="single" w:sz="8" w:color="CCEEFF"/>
              <w:bottom w:val="single" w:sz="8" w:color="CCEEFF"/>
            </w:tcBorders>
          </w:tcPr>
          <w:p>
            <w:pPr>
              <w:jc w:val="right"/>
              <w:ind w:right="331"/>
              <w:spacing w:after="0" w:line="157"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280" w:type="dxa"/>
            <w:vAlign w:val="bottom"/>
            <w:tcBorders>
              <w:top w:val="single" w:sz="8" w:color="auto"/>
              <w:bottom w:val="single" w:sz="8" w:color="auto"/>
            </w:tcBorders>
          </w:tcPr>
          <w:p>
            <w:pPr>
              <w:jc w:val="right"/>
              <w:ind w:right="131"/>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(2,950,000</w:t>
            </w:r>
          </w:p>
        </w:tc>
        <w:tc>
          <w:tcPr>
            <w:tcW w:w="440" w:type="dxa"/>
            <w:vAlign w:val="bottom"/>
            <w:tcBorders>
              <w:top w:val="single" w:sz="8" w:color="CCEEFF"/>
              <w:bottom w:val="single" w:sz="8" w:color="CCEEFF"/>
            </w:tcBorders>
          </w:tcPr>
          <w:p>
            <w:pPr>
              <w:jc w:val="right"/>
              <w:ind w:right="3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80" w:type="dxa"/>
            <w:vAlign w:val="bottom"/>
            <w:tcBorders>
              <w:top w:val="single" w:sz="8" w:color="auto"/>
              <w:bottom w:val="single" w:sz="8" w:color="auto"/>
            </w:tcBorders>
          </w:tcPr>
          <w:p>
            <w:pPr>
              <w:jc w:val="right"/>
              <w:ind w:right="131"/>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(8,677,000</w:t>
            </w:r>
          </w:p>
        </w:tc>
        <w:tc>
          <w:tcPr>
            <w:tcW w:w="240" w:type="dxa"/>
            <w:vAlign w:val="bottom"/>
            <w:tcBorders>
              <w:top w:val="single" w:sz="8" w:color="CCEEFF"/>
              <w:bottom w:val="single" w:sz="8" w:color="CCEEFF"/>
            </w:tcBorders>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(2,733,000</w:t>
            </w:r>
          </w:p>
        </w:tc>
        <w:tc>
          <w:tcPr>
            <w:tcW w:w="100" w:type="dxa"/>
            <w:vAlign w:val="bottom"/>
            <w:tcBorders>
              <w:top w:val="single" w:sz="8" w:color="CCEEFF"/>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36"/>
        </w:trPr>
        <w:tc>
          <w:tcPr>
            <w:tcW w:w="486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Net loss per share of common stock, basic and diluted</w:t>
            </w: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(0.23</w:t>
            </w:r>
          </w:p>
        </w:tc>
        <w:tc>
          <w:tcPr>
            <w:tcW w:w="460" w:type="dxa"/>
            <w:vAlign w:val="bottom"/>
            <w:tcBorders>
              <w:bottom w:val="single" w:sz="8" w:color="CCEEFF"/>
            </w:tcBorders>
            <w:shd w:val="clear" w:color="auto" w:fill="CCEEFF"/>
          </w:tcPr>
          <w:p>
            <w:pPr>
              <w:jc w:val="right"/>
              <w:ind w:right="331"/>
              <w:spacing w:after="0" w:line="137"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280" w:type="dxa"/>
            <w:vAlign w:val="bottom"/>
            <w:tcBorders>
              <w:bottom w:val="single" w:sz="8" w:color="auto"/>
            </w:tcBorders>
            <w:shd w:val="clear" w:color="auto" w:fill="CCEEFF"/>
          </w:tcPr>
          <w:p>
            <w:pPr>
              <w:jc w:val="right"/>
              <w:ind w:right="131"/>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(0.11</w:t>
            </w:r>
          </w:p>
        </w:tc>
        <w:tc>
          <w:tcPr>
            <w:tcW w:w="440" w:type="dxa"/>
            <w:vAlign w:val="bottom"/>
            <w:tcBorders>
              <w:bottom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80" w:type="dxa"/>
            <w:vAlign w:val="bottom"/>
            <w:tcBorders>
              <w:bottom w:val="single" w:sz="8" w:color="auto"/>
            </w:tcBorders>
            <w:shd w:val="clear" w:color="auto" w:fill="CCEEFF"/>
          </w:tcPr>
          <w:p>
            <w:pPr>
              <w:jc w:val="right"/>
              <w:ind w:right="131"/>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(0.32</w:t>
            </w:r>
          </w:p>
        </w:tc>
        <w:tc>
          <w:tcPr>
            <w:tcW w:w="2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(0.10</w:t>
            </w:r>
          </w:p>
        </w:tc>
        <w:tc>
          <w:tcPr>
            <w:tcW w:w="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auto"/>
        </w:rPr>
        <w:t>HROW Announces Second Quarter 2022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9, 2022</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HARROW HEALTH,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CASH FLOW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38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6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w:t>
            </w:r>
          </w:p>
        </w:tc>
        <w:tc>
          <w:tcPr>
            <w:tcW w:w="16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5"/>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2820" w:type="dxa"/>
            <w:vAlign w:val="bottom"/>
            <w:gridSpan w:val="2"/>
          </w:tcPr>
          <w:p>
            <w:pPr>
              <w:jc w:val="right"/>
              <w:ind w:right="105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5,827,000</w:t>
            </w:r>
          </w:p>
        </w:tc>
        <w:tc>
          <w:tcPr>
            <w:tcW w:w="360" w:type="dxa"/>
            <w:vAlign w:val="bottom"/>
          </w:tcPr>
          <w:p>
            <w:pPr>
              <w:spacing w:after="0"/>
              <w:rPr>
                <w:sz w:val="14"/>
                <w:szCs w:val="14"/>
                <w:color w:val="auto"/>
              </w:rPr>
            </w:pPr>
          </w:p>
        </w:tc>
        <w:tc>
          <w:tcPr>
            <w:tcW w:w="1180" w:type="dxa"/>
            <w:vAlign w:val="bottom"/>
          </w:tcPr>
          <w:p>
            <w:pPr>
              <w:jc w:val="right"/>
              <w:ind w:right="105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8,648,000</w:t>
            </w:r>
          </w:p>
        </w:tc>
        <w:tc>
          <w:tcPr>
            <w:tcW w:w="100" w:type="dxa"/>
            <w:vAlign w:val="bottom"/>
          </w:tcPr>
          <w:p>
            <w:pPr>
              <w:spacing w:after="0"/>
              <w:rPr>
                <w:sz w:val="14"/>
                <w:szCs w:val="14"/>
                <w:color w:val="auto"/>
              </w:rPr>
            </w:pPr>
          </w:p>
        </w:tc>
      </w:tr>
      <w:tr>
        <w:trPr>
          <w:trHeight w:val="165"/>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16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(669,000)</w:t>
            </w:r>
          </w:p>
        </w:tc>
        <w:tc>
          <w:tcPr>
            <w:tcW w:w="1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8,445,000</w:t>
            </w:r>
          </w:p>
        </w:tc>
        <w:tc>
          <w:tcPr>
            <w:tcW w:w="100" w:type="dxa"/>
            <w:vAlign w:val="bottom"/>
            <w:shd w:val="clear" w:color="auto" w:fill="CCEEFF"/>
          </w:tcPr>
          <w:p>
            <w:pPr>
              <w:spacing w:after="0"/>
              <w:rPr>
                <w:sz w:val="14"/>
                <w:szCs w:val="14"/>
                <w:color w:val="auto"/>
              </w:rPr>
            </w:pPr>
          </w:p>
        </w:tc>
      </w:tr>
      <w:tr>
        <w:trPr>
          <w:trHeight w:val="176"/>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(887,000)</w:t>
            </w:r>
          </w:p>
        </w:tc>
        <w:tc>
          <w:tcPr>
            <w:tcW w:w="1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51,457,000</w:t>
            </w:r>
          </w:p>
        </w:tc>
      </w:tr>
      <w:tr>
        <w:trPr>
          <w:trHeight w:val="165"/>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16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4,271,000</w:t>
            </w:r>
          </w:p>
        </w:tc>
        <w:tc>
          <w:tcPr>
            <w:tcW w:w="3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68,550,000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76"/>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the period</w:t>
            </w: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42,167,000</w:t>
            </w:r>
          </w:p>
        </w:tc>
        <w:tc>
          <w:tcPr>
            <w:tcW w:w="1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4,301,000</w:t>
            </w:r>
          </w:p>
        </w:tc>
        <w:tc>
          <w:tcPr>
            <w:tcW w:w="100" w:type="dxa"/>
            <w:vAlign w:val="bottom"/>
          </w:tcPr>
          <w:p>
            <w:pPr>
              <w:spacing w:after="0"/>
              <w:rPr>
                <w:sz w:val="15"/>
                <w:szCs w:val="15"/>
                <w:color w:val="auto"/>
              </w:rPr>
            </w:pPr>
          </w:p>
        </w:tc>
      </w:tr>
      <w:tr>
        <w:trPr>
          <w:trHeight w:val="17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the year</w:t>
            </w: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0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46,438,000</w:t>
            </w: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72,851,000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HROW Announces Second Quarter 2022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9,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EBITDA</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defines Adjusted EBITDA as net (loss) income attributable to Harrow Health, Inc., excluding the effects of stock-based compensation and expenses, interest, taxes, depreciation, amortization, investment loss, net, gain or forgiveness of debt, and, if any and when specified, other non-recurring income or expense items. Management believes that the most directly comparable GAAP financial measure to Adjusted EBITDA is net (loss) income attributable to Harrow Health, Inc. Adjusted EBITDA has limitations and should not be considered as an alternative to gross profit or net (loss) income as a measure of operating performance or to net cash provided by (used in) operating, investing, or financing activities as a measure of ability to meet cash needs.</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following is a reconciliation of Adjusted EBITDA, a non-GAAP measure, to the most comparable GAAP measure, net (loss) income, for the three months ended June 30, 2022, and for the same period in 2021:</w:t>
      </w:r>
    </w:p>
    <w:p>
      <w:pPr>
        <w:sectPr>
          <w:pgSz w:w="11900" w:h="16838" w:orient="portrait"/>
          <w:cols w:equalWidth="0" w:num="1">
            <w:col w:w="11280"/>
          </w:cols>
          <w:pgMar w:left="300" w:top="2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GAAP net (loss) income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Stock-based compensation and expenses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net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of intangible assets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loss, net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expense, net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EBITDA</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3420"/>
        <w:spacing w:after="0"/>
        <w:rPr>
          <w:sz w:val="20"/>
          <w:szCs w:val="20"/>
          <w:color w:val="auto"/>
        </w:rPr>
      </w:pPr>
      <w:r>
        <w:rPr>
          <w:rFonts w:ascii="Times New Roman" w:cs="Times New Roman" w:eastAsia="Times New Roman" w:hAnsi="Times New Roman"/>
          <w:sz w:val="14"/>
          <w:szCs w:val="14"/>
          <w:b w:val="1"/>
          <w:bCs w:val="1"/>
          <w:color w:val="auto"/>
        </w:rPr>
        <w:t>HARROW HEALTH, INC.</w:t>
      </w:r>
    </w:p>
    <w:p>
      <w:pPr>
        <w:spacing w:after="0" w:line="22" w:lineRule="exact"/>
        <w:rPr>
          <w:sz w:val="20"/>
          <w:szCs w:val="20"/>
          <w:color w:val="auto"/>
        </w:rPr>
      </w:pPr>
    </w:p>
    <w:p>
      <w:pPr>
        <w:jc w:val="center"/>
        <w:ind w:right="3420"/>
        <w:spacing w:after="0"/>
        <w:rPr>
          <w:sz w:val="20"/>
          <w:szCs w:val="20"/>
          <w:color w:val="auto"/>
        </w:rPr>
      </w:pPr>
      <w:r>
        <w:rPr>
          <w:rFonts w:ascii="Times New Roman" w:cs="Times New Roman" w:eastAsia="Times New Roman" w:hAnsi="Times New Roman"/>
          <w:sz w:val="13"/>
          <w:szCs w:val="13"/>
          <w:b w:val="1"/>
          <w:bCs w:val="1"/>
          <w:color w:val="auto"/>
        </w:rPr>
        <w:t>RECONCILIATION OF NET (LOSS) INCOME TO ADJUSTED EBITDA</w:t>
      </w:r>
    </w:p>
    <w:p>
      <w:pPr>
        <w:spacing w:after="0" w:line="1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p>
      <w:pPr>
        <w:spacing w:after="0" w:line="21" w:lineRule="exact"/>
        <w:rPr>
          <w:sz w:val="20"/>
          <w:szCs w:val="20"/>
          <w:color w:val="auto"/>
        </w:rPr>
      </w:pPr>
    </w:p>
    <w:tbl>
      <w:tblPr>
        <w:tblLayout w:type="fixed"/>
        <w:tblInd w:w="358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(6,239,000)</w:t>
            </w:r>
          </w:p>
        </w:tc>
        <w:tc>
          <w:tcPr>
            <w:tcW w:w="320" w:type="dxa"/>
            <w:vAlign w:val="bottom"/>
          </w:tcPr>
          <w:p>
            <w:pPr>
              <w:spacing w:after="0"/>
              <w:rPr>
                <w:sz w:val="13"/>
                <w:szCs w:val="13"/>
                <w:color w:val="auto"/>
              </w:rPr>
            </w:pPr>
          </w:p>
        </w:tc>
        <w:tc>
          <w:tcPr>
            <w:tcW w:w="460" w:type="dxa"/>
            <w:vAlign w:val="bottom"/>
          </w:tcPr>
          <w:p>
            <w:pPr>
              <w:jc w:val="right"/>
              <w:ind w:right="311"/>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(2,478,000)</w:t>
            </w:r>
          </w:p>
        </w:tc>
        <w:tc>
          <w:tcPr>
            <w:tcW w:w="12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1,993,000</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1,078,000</w:t>
            </w:r>
          </w:p>
        </w:tc>
        <w:tc>
          <w:tcPr>
            <w:tcW w:w="1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1,794,000</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1,314,000</w:t>
            </w:r>
          </w:p>
        </w:tc>
        <w:tc>
          <w:tcPr>
            <w:tcW w:w="1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40,000</w:t>
            </w: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424,000</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412,000</w:t>
            </w:r>
          </w:p>
        </w:tc>
        <w:tc>
          <w:tcPr>
            <w:tcW w:w="1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398,000</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39,000</w:t>
            </w: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6,095,000</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4,526,000</w:t>
            </w:r>
          </w:p>
        </w:tc>
        <w:tc>
          <w:tcPr>
            <w:tcW w:w="1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3"/>
                <w:szCs w:val="13"/>
                <w:color w:val="auto"/>
              </w:rPr>
              <w:t>807,000</w:t>
            </w:r>
            <w:r>
              <w:rPr>
                <w:rFonts w:ascii="Times New Roman" w:cs="Times New Roman" w:eastAsia="Times New Roman" w:hAnsi="Times New Roman"/>
                <w:sz w:val="20"/>
                <w:szCs w:val="20"/>
                <w:color w:val="auto"/>
                <w:vertAlign w:val="superscript"/>
              </w:rPr>
              <w:t>(1)</w:t>
            </w:r>
          </w:p>
        </w:tc>
      </w:tr>
      <w:tr>
        <w:trPr>
          <w:trHeight w:val="176"/>
        </w:trPr>
        <w:tc>
          <w:tcPr>
            <w:tcW w:w="2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4,505,000</w:t>
            </w:r>
          </w:p>
        </w:tc>
        <w:tc>
          <w:tcPr>
            <w:tcW w:w="3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5,698,000</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-996315</wp:posOffset>
            </wp:positionV>
            <wp:extent cx="7164705"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111760"/>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-780415</wp:posOffset>
            </wp:positionV>
            <wp:extent cx="7164705" cy="104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-570230</wp:posOffset>
            </wp:positionV>
            <wp:extent cx="7164705" cy="104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-360045</wp:posOffset>
            </wp:positionV>
            <wp:extent cx="7164705" cy="104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-137160</wp:posOffset>
            </wp:positionV>
            <wp:extent cx="7164705" cy="124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12446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2700" w:space="720"/>
            <w:col w:w="7860"/>
          </w:cols>
          <w:pgMar w:left="300" w:top="209" w:right="319" w:bottom="1440" w:gutter="0" w:footer="0" w:header="0"/>
          <w:type w:val="continuous"/>
        </w:sectPr>
      </w:pPr>
    </w:p>
    <w:p>
      <w:pPr>
        <w:ind w:left="260" w:hanging="257"/>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$756,000 for early extinguishment of loan.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64705"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HROW Announces Second Quarter 2022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9,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Core Results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Harrow Health Core Results, including core gross margin, core net income, core operating income, core EPS (basic and diluted), and core operating margin, exclude all amortization and impairment charges of intangible assets, excluding software development costs, net gains and losses on investments and equity securities, including equity method gains and losses and equity valued at fair value through profit and loss (“FVPL”), preferred stock dividends, and gains/losses on forgiveness of debt. In other periods, Core Results may also exclude fair value adjustments of financial assets in the form of options to acquire a company carried at FVPL, obligations related to product recalls, certain acquisition related items, the integration and divestment related income and expenses, divestment gains and losses, restructuring charges/releases and related items, legal related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Core Results, a non-GAAP measure, to the most comparable GAAP measure for the three and six months ended June 30, 2022, and for the same period in 2021: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Amortization of</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165"/>
        </w:trPr>
        <w:tc>
          <w:tcPr>
            <w:tcW w:w="4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80" w:type="dxa"/>
            <w:vAlign w:val="bottom"/>
          </w:tcPr>
          <w:p>
            <w:pPr>
              <w:spacing w:after="0"/>
              <w:rPr>
                <w:sz w:val="14"/>
                <w:szCs w:val="14"/>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Certain Intangible</w:t>
            </w:r>
          </w:p>
        </w:tc>
        <w:tc>
          <w:tcPr>
            <w:tcW w:w="180" w:type="dxa"/>
            <w:vAlign w:val="bottom"/>
          </w:tcPr>
          <w:p>
            <w:pPr>
              <w:spacing w:after="0"/>
              <w:rPr>
                <w:sz w:val="14"/>
                <w:szCs w:val="14"/>
                <w:color w:val="auto"/>
              </w:rPr>
            </w:pP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Core</w:t>
            </w:r>
          </w:p>
        </w:tc>
      </w:tr>
      <w:tr>
        <w:trPr>
          <w:trHeight w:val="183"/>
        </w:trPr>
        <w:tc>
          <w:tcPr>
            <w:tcW w:w="4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80" w:type="dxa"/>
            <w:vAlign w:val="bottom"/>
          </w:tcPr>
          <w:p>
            <w:pPr>
              <w:spacing w:after="0"/>
              <w:rPr>
                <w:sz w:val="15"/>
                <w:szCs w:val="15"/>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5"/>
                <w:szCs w:val="15"/>
                <w:color w:val="auto"/>
              </w:rPr>
            </w:pP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Results</w:t>
            </w:r>
          </w:p>
        </w:tc>
      </w:tr>
      <w:tr>
        <w:trPr>
          <w:trHeight w:val="165"/>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5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16,789,000</w:t>
            </w: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341,000</w:t>
            </w:r>
          </w:p>
        </w:tc>
        <w:tc>
          <w:tcPr>
            <w:tcW w:w="4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17,130,000</w:t>
            </w:r>
          </w:p>
        </w:tc>
        <w:tc>
          <w:tcPr>
            <w:tcW w:w="120" w:type="dxa"/>
            <w:vAlign w:val="bottom"/>
            <w:tcBorders>
              <w:top w:val="single" w:sz="8" w:color="CCEEFF"/>
            </w:tcBorders>
            <w:shd w:val="clear" w:color="auto" w:fill="CCEEFF"/>
          </w:tcPr>
          <w:p>
            <w:pPr>
              <w:spacing w:after="0"/>
              <w:rPr>
                <w:sz w:val="14"/>
                <w:szCs w:val="14"/>
                <w:color w:val="auto"/>
              </w:rPr>
            </w:pPr>
          </w:p>
        </w:tc>
      </w:tr>
      <w:tr>
        <w:trPr>
          <w:trHeight w:val="165"/>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1,690,000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398,000</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2,088,000</w:t>
            </w:r>
          </w:p>
        </w:tc>
      </w:tr>
      <w:tr>
        <w:trPr>
          <w:trHeight w:val="165"/>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(6,199,000)</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398,000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6,095,000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294,000</w:t>
            </w:r>
          </w:p>
        </w:tc>
      </w:tr>
      <w:tr>
        <w:trPr>
          <w:trHeight w:val="16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(40,000)</w:t>
            </w:r>
          </w:p>
        </w:tc>
      </w:tr>
      <w:tr>
        <w:trPr>
          <w:trHeight w:val="165"/>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(6,239,000)</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398,000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6,095,000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254,000</w:t>
            </w:r>
          </w:p>
        </w:tc>
      </w:tr>
      <w:tr>
        <w:trPr>
          <w:trHeight w:val="196"/>
        </w:trPr>
        <w:tc>
          <w:tcPr>
            <w:tcW w:w="42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(loss) earnings per share ($)</w:t>
            </w:r>
            <w:r>
              <w:rPr>
                <w:rFonts w:ascii="Times New Roman" w:cs="Times New Roman" w:eastAsia="Times New Roman" w:hAnsi="Times New Roman"/>
                <w:sz w:val="22"/>
                <w:szCs w:val="22"/>
                <w:color w:val="auto"/>
                <w:vertAlign w:val="superscript"/>
              </w:rPr>
              <w:t>(1)</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r>
      <w:tr>
        <w:trPr>
          <w:trHeight w:val="196"/>
        </w:trPr>
        <w:tc>
          <w:tcPr>
            <w:tcW w:w="428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Diluted (loss) earnings per share ($)</w:t>
            </w:r>
            <w:r>
              <w:rPr>
                <w:rFonts w:ascii="Times New Roman" w:cs="Times New Roman" w:eastAsia="Times New Roman" w:hAnsi="Times New Roman"/>
                <w:sz w:val="22"/>
                <w:szCs w:val="22"/>
                <w:color w:val="auto"/>
                <w:vertAlign w:val="superscript"/>
              </w:rPr>
              <w:t>(1)</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r>
      <w:tr>
        <w:trPr>
          <w:trHeight w:val="16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shares of common stock outstanding, basic</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27,303,458</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27,303,458</w:t>
            </w:r>
          </w:p>
        </w:tc>
      </w:tr>
      <w:tr>
        <w:trPr>
          <w:trHeight w:val="179"/>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shares of common stock outstanding, diluted</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27,303,458</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28,234,177</w:t>
            </w:r>
          </w:p>
        </w:tc>
      </w:tr>
      <w:tr>
        <w:trPr>
          <w:trHeight w:val="318"/>
        </w:trPr>
        <w:tc>
          <w:tcPr>
            <w:tcW w:w="42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2022</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49"/>
        </w:trPr>
        <w:tc>
          <w:tcPr>
            <w:tcW w:w="4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Amortization of</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4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80" w:type="dxa"/>
            <w:vAlign w:val="bottom"/>
          </w:tcPr>
          <w:p>
            <w:pPr>
              <w:spacing w:after="0"/>
              <w:rPr>
                <w:sz w:val="14"/>
                <w:szCs w:val="14"/>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Certain Intangible</w:t>
            </w:r>
          </w:p>
        </w:tc>
        <w:tc>
          <w:tcPr>
            <w:tcW w:w="180" w:type="dxa"/>
            <w:vAlign w:val="bottom"/>
          </w:tcPr>
          <w:p>
            <w:pPr>
              <w:spacing w:after="0"/>
              <w:rPr>
                <w:sz w:val="14"/>
                <w:szCs w:val="14"/>
                <w:color w:val="auto"/>
              </w:rPr>
            </w:pP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Core</w:t>
            </w:r>
          </w:p>
        </w:tc>
      </w:tr>
      <w:tr>
        <w:trPr>
          <w:trHeight w:val="183"/>
        </w:trPr>
        <w:tc>
          <w:tcPr>
            <w:tcW w:w="4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80" w:type="dxa"/>
            <w:vAlign w:val="bottom"/>
          </w:tcPr>
          <w:p>
            <w:pPr>
              <w:spacing w:after="0"/>
              <w:rPr>
                <w:sz w:val="15"/>
                <w:szCs w:val="15"/>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5"/>
                <w:szCs w:val="15"/>
                <w:color w:val="auto"/>
              </w:rPr>
            </w:pP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Results</w:t>
            </w:r>
          </w:p>
        </w:tc>
      </w:tr>
      <w:tr>
        <w:trPr>
          <w:trHeight w:val="165"/>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5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32,946,000</w:t>
            </w: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682,000</w:t>
            </w:r>
          </w:p>
        </w:tc>
        <w:tc>
          <w:tcPr>
            <w:tcW w:w="4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33,628,000</w:t>
            </w:r>
          </w:p>
        </w:tc>
        <w:tc>
          <w:tcPr>
            <w:tcW w:w="120" w:type="dxa"/>
            <w:vAlign w:val="bottom"/>
            <w:tcBorders>
              <w:top w:val="single" w:sz="8" w:color="CCEEFF"/>
            </w:tcBorders>
            <w:shd w:val="clear" w:color="auto" w:fill="CCEEFF"/>
          </w:tcPr>
          <w:p>
            <w:pPr>
              <w:spacing w:after="0"/>
              <w:rPr>
                <w:sz w:val="14"/>
                <w:szCs w:val="14"/>
                <w:color w:val="auto"/>
              </w:rPr>
            </w:pPr>
          </w:p>
        </w:tc>
      </w:tr>
      <w:tr>
        <w:trPr>
          <w:trHeight w:val="165"/>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6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3,791,000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802,000</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4,593,000</w:t>
            </w:r>
          </w:p>
        </w:tc>
      </w:tr>
      <w:tr>
        <w:trPr>
          <w:trHeight w:val="165"/>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(8,637,000)</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802,000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8,842,000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1,007,000</w:t>
            </w:r>
          </w:p>
        </w:tc>
      </w:tr>
      <w:tr>
        <w:trPr>
          <w:trHeight w:val="16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(40,000)</w:t>
            </w:r>
          </w:p>
        </w:tc>
      </w:tr>
      <w:tr>
        <w:trPr>
          <w:trHeight w:val="165"/>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(8,677,000)</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802,000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8,842,000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967,000</w:t>
            </w:r>
          </w:p>
        </w:tc>
      </w:tr>
      <w:tr>
        <w:trPr>
          <w:trHeight w:val="196"/>
        </w:trPr>
        <w:tc>
          <w:tcPr>
            <w:tcW w:w="42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(loss) earnings per share ($)</w:t>
            </w:r>
            <w:r>
              <w:rPr>
                <w:rFonts w:ascii="Times New Roman" w:cs="Times New Roman" w:eastAsia="Times New Roman" w:hAnsi="Times New Roman"/>
                <w:sz w:val="22"/>
                <w:szCs w:val="22"/>
                <w:color w:val="auto"/>
                <w:vertAlign w:val="superscript"/>
              </w:rPr>
              <w:t>(1)</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(0.32)</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0.04</w:t>
            </w:r>
          </w:p>
        </w:tc>
      </w:tr>
      <w:tr>
        <w:trPr>
          <w:trHeight w:val="196"/>
        </w:trPr>
        <w:tc>
          <w:tcPr>
            <w:tcW w:w="428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Diluted (loss) earnings per share ($)</w:t>
            </w:r>
            <w:r>
              <w:rPr>
                <w:rFonts w:ascii="Times New Roman" w:cs="Times New Roman" w:eastAsia="Times New Roman" w:hAnsi="Times New Roman"/>
                <w:sz w:val="22"/>
                <w:szCs w:val="22"/>
                <w:color w:val="auto"/>
                <w:vertAlign w:val="superscript"/>
              </w:rPr>
              <w:t>(1)</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(0.32)</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0.03</w:t>
            </w:r>
          </w:p>
        </w:tc>
      </w:tr>
      <w:tr>
        <w:trPr>
          <w:trHeight w:val="16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shares of common stock outstanding, basic</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27,265,350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27,265,350</w:t>
            </w:r>
          </w:p>
        </w:tc>
      </w:tr>
      <w:tr>
        <w:trPr>
          <w:trHeight w:val="179"/>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shares of common stock outstanding, diluted</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27,265,350</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28,270,639</w:t>
            </w: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HROW Announces Second Quarter 2022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9, 2022</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Amortization of</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165"/>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Certain Intangible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Core</w:t>
            </w:r>
          </w:p>
        </w:tc>
      </w:tr>
      <w:tr>
        <w:trPr>
          <w:trHeight w:val="183"/>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Results</w:t>
            </w:r>
          </w:p>
        </w:tc>
        <w:tc>
          <w:tcPr>
            <w:tcW w:w="8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Other Items</w:t>
            </w:r>
          </w:p>
        </w:tc>
        <w:tc>
          <w:tcPr>
            <w:tcW w:w="2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Results</w:t>
            </w:r>
          </w:p>
        </w:tc>
      </w:tr>
      <w:tr>
        <w:trPr>
          <w:trHeight w:val="165"/>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13,717,000</w:t>
            </w: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13,717,000</w:t>
            </w:r>
          </w:p>
        </w:tc>
        <w:tc>
          <w:tcPr>
            <w:tcW w:w="120" w:type="dxa"/>
            <w:vAlign w:val="bottom"/>
            <w:tcBorders>
              <w:top w:val="single" w:sz="8" w:color="CCEEFF"/>
            </w:tcBorders>
            <w:shd w:val="clear" w:color="auto" w:fill="CCEEFF"/>
          </w:tcPr>
          <w:p>
            <w:pPr>
              <w:spacing w:after="0"/>
              <w:rPr>
                <w:sz w:val="14"/>
                <w:szCs w:val="14"/>
                <w:color w:val="auto"/>
              </w:rPr>
            </w:pP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8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4,169,000</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39,000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4,208,000</w:t>
            </w: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18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(2,478,000)</w:t>
            </w: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4,526,000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2,087,000</w:t>
            </w: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 attributable to common stockholders</w:t>
            </w:r>
          </w:p>
        </w:tc>
        <w:tc>
          <w:tcPr>
            <w:tcW w:w="18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(2,950,000)</w:t>
            </w: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4,526,000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472,000</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2,087,000</w:t>
            </w:r>
          </w:p>
        </w:tc>
      </w:tr>
      <w:tr>
        <w:trPr>
          <w:trHeight w:val="196"/>
        </w:trPr>
        <w:tc>
          <w:tcPr>
            <w:tcW w:w="41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(loss) earnings per share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0.06</w:t>
            </w:r>
          </w:p>
        </w:tc>
      </w:tr>
      <w:tr>
        <w:trPr>
          <w:trHeight w:val="196"/>
        </w:trPr>
        <w:tc>
          <w:tcPr>
            <w:tcW w:w="418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Diluted (loss) earnings per share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0.07</w:t>
            </w:r>
          </w:p>
        </w:tc>
      </w:tr>
      <w:tr>
        <w:trPr>
          <w:trHeight w:val="153"/>
        </w:trPr>
        <w:tc>
          <w:tcPr>
            <w:tcW w:w="41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 of common stock outstanding,</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26,736,970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26,736,970</w:t>
            </w:r>
          </w:p>
        </w:tc>
      </w:tr>
      <w:tr>
        <w:trPr>
          <w:trHeight w:val="153"/>
        </w:trPr>
        <w:tc>
          <w:tcPr>
            <w:tcW w:w="41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 of common stock outstanding,</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26,736,970</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28,309,490</w:t>
            </w:r>
          </w:p>
        </w:tc>
      </w:tr>
      <w:tr>
        <w:trPr>
          <w:trHeight w:val="331"/>
        </w:trPr>
        <w:tc>
          <w:tcPr>
            <w:tcW w:w="4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2021</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Amortization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Certain Intangible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Core</w:t>
            </w:r>
          </w:p>
        </w:tc>
      </w:tr>
      <w:tr>
        <w:trPr>
          <w:trHeight w:val="183"/>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Results</w:t>
            </w:r>
          </w:p>
        </w:tc>
        <w:tc>
          <w:tcPr>
            <w:tcW w:w="8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Other Items</w:t>
            </w:r>
          </w:p>
        </w:tc>
        <w:tc>
          <w:tcPr>
            <w:tcW w:w="2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Results</w:t>
            </w:r>
          </w:p>
        </w:tc>
      </w:tr>
      <w:tr>
        <w:trPr>
          <w:trHeight w:val="165"/>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25,390,000</w:t>
            </w: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25,390,000</w:t>
            </w:r>
          </w:p>
        </w:tc>
        <w:tc>
          <w:tcPr>
            <w:tcW w:w="120" w:type="dxa"/>
            <w:vAlign w:val="bottom"/>
            <w:tcBorders>
              <w:top w:val="single" w:sz="8" w:color="CCEEFF"/>
            </w:tcBorders>
            <w:shd w:val="clear" w:color="auto" w:fill="CCEEFF"/>
          </w:tcPr>
          <w:p>
            <w:pPr>
              <w:spacing w:after="0"/>
              <w:rPr>
                <w:sz w:val="14"/>
                <w:szCs w:val="14"/>
                <w:color w:val="auto"/>
              </w:rPr>
            </w:pP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8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7,086,000</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79,000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7,165,000</w:t>
            </w: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18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(2,261,000)</w:t>
            </w: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79,000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6,713,000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4,531,000</w:t>
            </w: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 attributable to common stockholders</w:t>
            </w:r>
          </w:p>
        </w:tc>
        <w:tc>
          <w:tcPr>
            <w:tcW w:w="18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(2,733,000)</w:t>
            </w: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79,000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6,713,000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472,000</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4,531,000</w:t>
            </w:r>
          </w:p>
        </w:tc>
      </w:tr>
      <w:tr>
        <w:trPr>
          <w:trHeight w:val="196"/>
        </w:trPr>
        <w:tc>
          <w:tcPr>
            <w:tcW w:w="41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(loss) earnings per share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(0.10)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0.15</w:t>
            </w:r>
          </w:p>
        </w:tc>
      </w:tr>
      <w:tr>
        <w:trPr>
          <w:trHeight w:val="196"/>
        </w:trPr>
        <w:tc>
          <w:tcPr>
            <w:tcW w:w="418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Diluted (loss) earnings per share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0.16</w:t>
            </w:r>
          </w:p>
        </w:tc>
      </w:tr>
      <w:tr>
        <w:trPr>
          <w:trHeight w:val="153"/>
        </w:trPr>
        <w:tc>
          <w:tcPr>
            <w:tcW w:w="41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 of common stock outstanding,</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26,379,943</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26,379,943</w:t>
            </w:r>
          </w:p>
        </w:tc>
      </w:tr>
      <w:tr>
        <w:trPr>
          <w:trHeight w:val="153"/>
        </w:trPr>
        <w:tc>
          <w:tcPr>
            <w:tcW w:w="41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 of common stock outstanding,</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26,379,943</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27,914,254</w:t>
            </w:r>
          </w:p>
        </w:tc>
      </w:tr>
    </w:tbl>
    <w:p>
      <w:pPr>
        <w:spacing w:after="0" w:line="152" w:lineRule="exact"/>
        <w:rPr>
          <w:sz w:val="20"/>
          <w:szCs w:val="20"/>
          <w:color w:val="auto"/>
        </w:rPr>
      </w:pPr>
    </w:p>
    <w:p>
      <w:pPr>
        <w:jc w:val="both"/>
        <w:ind w:left="260" w:hanging="257"/>
        <w:spacing w:after="0" w:line="208" w:lineRule="auto"/>
        <w:tabs>
          <w:tab w:leader="none" w:pos="2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Core basic earnings per share is calculated using the weighted-average number of shares of common stock outstanding during the period. Core diluted earnings per share also contemplates dilutive shares associated with equity-based awards and warrants as described in Note 2 and elsewhere in the Condensed Consolidated Interim Financial Statements filed with the Company’s Quarterly Report on Form 10-Q for the quarterly period ended June 30, 2022.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1" w:name="page12"/>
    <w:bookmarkEnd w:id="11"/>
    <w:p>
      <w:pPr>
        <w:ind w:left="10420"/>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1102360" cy="577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02360" cy="57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Letter to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9,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Harrow Stockholders:</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Today I was delighted to report our eighth consecutive quarter of record financial results, including the addition of nearly $5 million in new cash generated from operations, making the cash position on our balance sheet at the end of the second quarter a total of more than $46 million. Our business remains strong, and as I will discuss, I believe the second half of 2022 will be a very consequential period for Harrow.</w:t>
      </w:r>
    </w:p>
    <w:p>
      <w:pPr>
        <w:spacing w:after="0" w:line="14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At the beginning of 2022, the Harrow leadership team developed a Five-Year Strategic Plan that included an ambitious list of operational and financial goals that we believed, if achieved, would transform Harrow into a leading U.S. eyecare company. Our plan included leveraging our strong U.S. market position by investing some of our profits into the Harrow eyecare platform, which includes our large, growing, and loyal customer base, production and distribution capabilities for our innovative family of products, and information technology that seamlessly knits the platform together. Our objective was to better serve our customers with new and high-value pharmaceutical products, including our market-leading compounded pharmaceutical products (CPPs) and branded pharmaceuticals products (BPPs). Our formal and anecdotal market research confirmed that Harrow’s customers wanted access to such a platform, and that is what we are working to deliver.</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I’ll talk more about our execution of our Five-Year Strategic Plan later, but first, let’s go over our second quarter financial results.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Second Quarter Core Results</w:t>
      </w:r>
    </w:p>
    <w:p>
      <w:pPr>
        <w:spacing w:after="0" w:line="170" w:lineRule="exact"/>
        <w:rPr>
          <w:sz w:val="20"/>
          <w:szCs w:val="20"/>
          <w:color w:val="auto"/>
        </w:rPr>
      </w:pPr>
    </w:p>
    <w:p>
      <w:pPr>
        <w:jc w:val="both"/>
        <w:ind w:firstLine="496"/>
        <w:spacing w:after="0" w:line="278" w:lineRule="auto"/>
        <w:rPr>
          <w:sz w:val="20"/>
          <w:szCs w:val="20"/>
          <w:color w:val="auto"/>
        </w:rPr>
      </w:pPr>
      <w:r>
        <w:rPr>
          <w:rFonts w:ascii="Times New Roman" w:cs="Times New Roman" w:eastAsia="Times New Roman" w:hAnsi="Times New Roman"/>
          <w:sz w:val="14"/>
          <w:szCs w:val="14"/>
          <w:color w:val="auto"/>
        </w:rPr>
        <w:t xml:space="preserve">Beginning in 2022, we began providing additional non-GAAP financial metrics – </w:t>
      </w:r>
      <w:r>
        <w:rPr>
          <w:rFonts w:ascii="Times New Roman" w:cs="Times New Roman" w:eastAsia="Times New Roman" w:hAnsi="Times New Roman"/>
          <w:sz w:val="14"/>
          <w:szCs w:val="14"/>
          <w:i w:val="1"/>
          <w:iCs w:val="1"/>
          <w:color w:val="auto"/>
        </w:rPr>
        <w:t>Core Results</w:t>
      </w:r>
      <w:r>
        <w:rPr>
          <w:rFonts w:ascii="Times New Roman" w:cs="Times New Roman" w:eastAsia="Times New Roman" w:hAnsi="Times New Roman"/>
          <w:sz w:val="14"/>
          <w:szCs w:val="14"/>
          <w:color w:val="auto"/>
        </w:rPr>
        <w:t>, which we define as the after-tax earnings and other operational and financial metrics generated from our principal business.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6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4"/>
                <w:szCs w:val="14"/>
                <w:color w:val="auto"/>
              </w:rPr>
            </w:pPr>
          </w:p>
        </w:tc>
        <w:tc>
          <w:tcPr>
            <w:tcW w:w="304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83"/>
        </w:trPr>
        <w:tc>
          <w:tcPr>
            <w:tcW w:w="4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43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23,323,000</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18,134,000</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45,443,000</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33,577,000</w:t>
            </w:r>
          </w:p>
        </w:tc>
        <w:tc>
          <w:tcPr>
            <w:tcW w:w="120" w:type="dxa"/>
            <w:vAlign w:val="bottom"/>
            <w:shd w:val="clear" w:color="auto" w:fill="CCEEFF"/>
          </w:tcPr>
          <w:p>
            <w:pPr>
              <w:spacing w:after="0"/>
              <w:rPr>
                <w:sz w:val="14"/>
                <w:szCs w:val="14"/>
                <w:color w:val="auto"/>
              </w:rPr>
            </w:pP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3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w:t>
            </w:r>
          </w:p>
        </w:tc>
        <w:tc>
          <w:tcPr>
            <w:tcW w:w="3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w:t>
            </w:r>
          </w:p>
        </w:tc>
        <w:tc>
          <w:tcPr>
            <w:tcW w:w="3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w:t>
            </w:r>
          </w:p>
        </w:tc>
        <w:tc>
          <w:tcPr>
            <w:tcW w:w="3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6"/>
        </w:trPr>
        <w:tc>
          <w:tcPr>
            <w:tcW w:w="43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Core gross margin</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73%</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(6,239,000)</w:t>
            </w:r>
          </w:p>
        </w:tc>
        <w:tc>
          <w:tcPr>
            <w:tcW w:w="34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(2,950,000)</w:t>
            </w:r>
          </w:p>
        </w:tc>
        <w:tc>
          <w:tcPr>
            <w:tcW w:w="34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(8,677,000)</w:t>
            </w: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(2,733,000)</w:t>
            </w:r>
          </w:p>
        </w:tc>
      </w:tr>
      <w:tr>
        <w:trPr>
          <w:trHeight w:val="196"/>
        </w:trPr>
        <w:tc>
          <w:tcPr>
            <w:tcW w:w="43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Core net income</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254,000</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2,087,000</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967,000</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4,531,000</w:t>
            </w:r>
          </w:p>
        </w:tc>
      </w:tr>
      <w:tr>
        <w:trPr>
          <w:trHeight w:val="196"/>
        </w:trPr>
        <w:tc>
          <w:tcPr>
            <w:tcW w:w="430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4,505,000</w:t>
            </w:r>
          </w:p>
        </w:tc>
        <w:tc>
          <w:tcPr>
            <w:tcW w:w="34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5,698,000</w:t>
            </w:r>
          </w:p>
        </w:tc>
        <w:tc>
          <w:tcPr>
            <w:tcW w:w="34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9,445,000</w:t>
            </w:r>
          </w:p>
        </w:tc>
        <w:tc>
          <w:tcPr>
            <w:tcW w:w="3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9,974,000</w:t>
            </w: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(0.23)</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(0.11)</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(0.32)</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(0.10)</w:t>
            </w:r>
          </w:p>
        </w:tc>
      </w:tr>
      <w:tr>
        <w:trPr>
          <w:trHeight w:val="302"/>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Core diluted net income per share</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0.01</w:t>
            </w:r>
          </w:p>
        </w:tc>
        <w:tc>
          <w:tcPr>
            <w:tcW w:w="34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0.07</w:t>
            </w:r>
          </w:p>
        </w:tc>
        <w:tc>
          <w:tcPr>
            <w:tcW w:w="34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0.04</w:t>
            </w:r>
          </w:p>
        </w:tc>
        <w:tc>
          <w:tcPr>
            <w:tcW w:w="34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0.16</w:t>
            </w:r>
          </w:p>
        </w:tc>
      </w:tr>
    </w:tbl>
    <w:p>
      <w:pPr>
        <w:spacing w:after="0" w:line="47" w:lineRule="exact"/>
        <w:rPr>
          <w:sz w:val="20"/>
          <w:szCs w:val="20"/>
          <w:color w:val="auto"/>
        </w:rPr>
      </w:pPr>
    </w:p>
    <w:p>
      <w:pPr>
        <w:jc w:val="both"/>
        <w:ind w:left="260" w:hanging="257"/>
        <w:spacing w:after="0" w:line="208" w:lineRule="auto"/>
        <w:tabs>
          <w:tab w:leader="none" w:pos="2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 xml:space="preserve">Core gross margin, core net income, core diluted net income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w:t>
      </w:r>
      <w:r>
        <w:rPr>
          <w:rFonts w:ascii="Times New Roman" w:cs="Times New Roman" w:eastAsia="Times New Roman" w:hAnsi="Times New Roman"/>
          <w:sz w:val="14"/>
          <w:szCs w:val="14"/>
          <w:u w:val="single" w:color="auto"/>
          <w:color w:val="auto"/>
        </w:rPr>
        <w:t>at the end</w:t>
      </w:r>
      <w:r>
        <w:rPr>
          <w:rFonts w:ascii="Times New Roman" w:cs="Times New Roman" w:eastAsia="Times New Roman" w:hAnsi="Times New Roman"/>
          <w:sz w:val="14"/>
          <w:szCs w:val="14"/>
          <w:color w:val="auto"/>
        </w:rPr>
        <w:t xml:space="preserve"> of this Letter to Stockholders.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Financial Highlights and Key Metrics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Revenues of $23.3 million for the second quarter of 2022 represent our </w:t>
      </w:r>
      <w:r>
        <w:rPr>
          <w:rFonts w:ascii="Times New Roman" w:cs="Times New Roman" w:eastAsia="Times New Roman" w:hAnsi="Times New Roman"/>
          <w:sz w:val="14"/>
          <w:szCs w:val="14"/>
          <w:u w:val="single" w:color="auto"/>
          <w:color w:val="auto"/>
        </w:rPr>
        <w:t>eighth consecutive quarter of record revenues</w:t>
      </w:r>
      <w:r>
        <w:rPr>
          <w:rFonts w:ascii="Times New Roman" w:cs="Times New Roman" w:eastAsia="Times New Roman" w:hAnsi="Times New Roman"/>
          <w:sz w:val="14"/>
          <w:szCs w:val="14"/>
          <w:color w:val="auto"/>
        </w:rPr>
        <w:t>, a 29% increase over prior-year revenues of $18.1 million as well as a 5% sequential increase over revenues for the first quarter of 2022.</w:t>
      </w:r>
    </w:p>
    <w:p>
      <w:pPr>
        <w:spacing w:after="0" w:line="133" w:lineRule="exact"/>
        <w:rPr>
          <w:sz w:val="20"/>
          <w:szCs w:val="20"/>
          <w:color w:val="auto"/>
        </w:rPr>
      </w:pPr>
    </w:p>
    <w:p>
      <w:pPr>
        <w:jc w:val="both"/>
        <w:ind w:firstLine="496"/>
        <w:spacing w:after="0" w:line="224" w:lineRule="auto"/>
        <w:rPr>
          <w:sz w:val="20"/>
          <w:szCs w:val="20"/>
          <w:color w:val="auto"/>
        </w:rPr>
      </w:pPr>
      <w:r>
        <w:rPr>
          <w:rFonts w:ascii="Times New Roman" w:cs="Times New Roman" w:eastAsia="Times New Roman" w:hAnsi="Times New Roman"/>
          <w:sz w:val="14"/>
          <w:szCs w:val="14"/>
          <w:color w:val="auto"/>
        </w:rPr>
        <w:t>Our second quarter revenues included the transfer of profits from sales of IOPIDINE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and MAXITROL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from the prior owner for the majority of the second quarter, with the transfer of the New Drug Applications (NDAs) from these products to Harrow being completed in mid-June. We then successfully re-launched IOPIDINE and MAXITROL under the Harrow umbrella and recorded our first revenues from sales of these products before the end of the second quarter.</w:t>
      </w:r>
    </w:p>
    <w:p>
      <w:pPr>
        <w:spacing w:after="0" w:line="156" w:lineRule="exact"/>
        <w:rPr>
          <w:sz w:val="20"/>
          <w:szCs w:val="20"/>
          <w:color w:val="auto"/>
        </w:rPr>
      </w:pPr>
    </w:p>
    <w:p>
      <w:pPr>
        <w:jc w:val="both"/>
        <w:ind w:firstLine="496"/>
        <w:spacing w:after="0" w:line="234" w:lineRule="auto"/>
        <w:rPr>
          <w:sz w:val="20"/>
          <w:szCs w:val="20"/>
          <w:color w:val="auto"/>
        </w:rPr>
      </w:pPr>
      <w:r>
        <w:rPr>
          <w:rFonts w:ascii="Times New Roman" w:cs="Times New Roman" w:eastAsia="Times New Roman" w:hAnsi="Times New Roman"/>
          <w:sz w:val="14"/>
          <w:szCs w:val="14"/>
          <w:color w:val="auto"/>
        </w:rPr>
        <w:t>Second quarter sales of DEXYCU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which is sold under a Commercial Alliance Agreement between Harrow and EyePoint Pharmaceuticals, decreased slightly over the prior quarter due to a decrease in the product’s average sales price (ASP). This is a trend that we expect to continue throughout the remainder of the year following the July 15, 2022, issuance of CMS’ Proposed CY 2023 Payment Rule for Hospital Outpatient Services and Ambulatory Surgery Centers (ASCs). Based on the summary in the proposed rule, DEXYCU will no longer qualify as a separately payable product in an ASC or outpatient setting and will instead be bundled into the general cataract procedure code effective January 1, 2023, when the Final Rule, if approved as currently proposed, will go into effect. </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do not expect the status of DEXYCU to materially affect our business, and any decrease in our revenues related to DEXYCU commissions should be replaced by products Harrow currently sells as well as anticipated organic and inorganic growth anticipated during 2023.</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Revenue per shipping day was a record $364,000 in the second quarter of 2022, a 4% sequential increase over the first quarter of 2022.</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total product units distributed was approximately 718,000 for the second quarter of 2022, a 4% sequential increase over the first quarter of 2022 and another distribution record for our company.</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Core gross margin was 73% in the second quarter of 2022 compared with core gross margin of 76% in the prior-year second quarter. Gross margins during the second quarter period were affected, in part, by a one-time partial inventory purge at our New Jersey facility. We do not expect such events to occur again, and therefore believe core gross margin should float back to recent historical levels and beyond in the coming quarters as more of our revenue is expected to come from BPPs.</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Selling, general and administrative expenses for the second quarter of 2022 increased to $14.2 million over the prior-year quarter’s $9.1 million, largely as a result of our initiatives to add key talent, support the transition and implementation of recently acquired branded products, increased expenses associated with the expansion of our commercial activities, and increased stock-based compensation associated with performance (market-based vesting) stock units that were granted in July 2021.</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Research and development costs increased to $914,000 in the second quarter of 2022, compared with $425,000 in the prior-year quarter. This increase was primarily the result of increased costs associated with the clinical programs for AMP-100 and MAQ-100 and program fees associated with IOPIDINE.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GAAP operating income was $1.7 million for the second quarter of 2022, compared with $4.2 million during the same period last year.</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Adjusted EBITDA was $4.5 million for the second quarter of 2022 compared with Adjusted EBITDA of $5.7 million reported in the prior-year quarter. Core net income was $254,000 for the second quarter of 2022 compared with core net income of $1.6 million in the second quarter of 2021.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3" w:name="page14"/>
    <w:bookmarkEnd w:id="13"/>
    <w:p>
      <w:pPr>
        <w:ind w:left="500"/>
        <w:spacing w:after="0"/>
        <w:rPr>
          <w:sz w:val="20"/>
          <w:szCs w:val="20"/>
          <w:color w:val="auto"/>
        </w:rPr>
      </w:pPr>
      <w:r>
        <w:rPr>
          <w:rFonts w:ascii="Times New Roman" w:cs="Times New Roman" w:eastAsia="Times New Roman" w:hAnsi="Times New Roman"/>
          <w:sz w:val="14"/>
          <w:szCs w:val="14"/>
          <w:color w:val="auto"/>
        </w:rPr>
        <w:t>Core diluted net income per share for the second quarter of 2022 was $0.01 compared with $0.06 during the same period last year.</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reconciliation of all non-GAAP financial measures in this letter begins on page 7.</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Selected highlights regarding GAAP operating results for the three months and six months ended June 30, 2022, and for the same periods in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0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4"/>
                <w:szCs w:val="14"/>
                <w:color w:val="auto"/>
              </w:rPr>
            </w:pPr>
          </w:p>
        </w:tc>
        <w:tc>
          <w:tcPr>
            <w:tcW w:w="30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23,323,000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18,134,000</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45,443,000</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33,577,000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6,534,000</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4,417,000</w:t>
            </w:r>
          </w:p>
        </w:tc>
        <w:tc>
          <w:tcPr>
            <w:tcW w:w="340" w:type="dxa"/>
            <w:vAlign w:val="bottom"/>
          </w:tcPr>
          <w:p>
            <w:pPr>
              <w:spacing w:after="0"/>
              <w:rPr>
                <w:sz w:val="15"/>
                <w:szCs w:val="15"/>
                <w:color w:val="auto"/>
              </w:rPr>
            </w:pPr>
          </w:p>
        </w:tc>
        <w:tc>
          <w:tcPr>
            <w:tcW w:w="1440" w:type="dxa"/>
            <w:vAlign w:val="bottom"/>
            <w:gridSpan w:val="2"/>
          </w:tcPr>
          <w:p>
            <w:pPr>
              <w:jc w:val="right"/>
              <w:ind w:right="251"/>
              <w:spacing w:after="0"/>
              <w:rPr>
                <w:sz w:val="20"/>
                <w:szCs w:val="20"/>
                <w:color w:val="auto"/>
              </w:rPr>
            </w:pPr>
            <w:r>
              <w:rPr>
                <w:rFonts w:ascii="Times New Roman" w:cs="Times New Roman" w:eastAsia="Times New Roman" w:hAnsi="Times New Roman"/>
                <w:sz w:val="14"/>
                <w:szCs w:val="14"/>
                <w:color w:val="auto"/>
              </w:rPr>
              <w:t>12,497,000</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8,187,000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16,789,000</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13,717,000</w:t>
            </w:r>
          </w:p>
        </w:tc>
        <w:tc>
          <w:tcPr>
            <w:tcW w:w="3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32,946,000</w:t>
            </w: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25,390,000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14,185,000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9,123,000</w:t>
            </w:r>
          </w:p>
        </w:tc>
        <w:tc>
          <w:tcPr>
            <w:tcW w:w="340" w:type="dxa"/>
            <w:vAlign w:val="bottom"/>
          </w:tcPr>
          <w:p>
            <w:pPr>
              <w:spacing w:after="0"/>
              <w:rPr>
                <w:sz w:val="14"/>
                <w:szCs w:val="14"/>
                <w:color w:val="auto"/>
              </w:rPr>
            </w:pPr>
          </w:p>
        </w:tc>
        <w:tc>
          <w:tcPr>
            <w:tcW w:w="1440" w:type="dxa"/>
            <w:vAlign w:val="bottom"/>
            <w:gridSpan w:val="2"/>
          </w:tcPr>
          <w:p>
            <w:pPr>
              <w:jc w:val="right"/>
              <w:ind w:right="251"/>
              <w:spacing w:after="0"/>
              <w:rPr>
                <w:sz w:val="20"/>
                <w:szCs w:val="20"/>
                <w:color w:val="auto"/>
              </w:rPr>
            </w:pPr>
            <w:r>
              <w:rPr>
                <w:rFonts w:ascii="Times New Roman" w:cs="Times New Roman" w:eastAsia="Times New Roman" w:hAnsi="Times New Roman"/>
                <w:sz w:val="14"/>
                <w:szCs w:val="14"/>
                <w:color w:val="auto"/>
              </w:rPr>
              <w:t>27,583,000</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17,287,000</w:t>
            </w: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914,000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425,000</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1,572,000</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00" w:type="dxa"/>
            <w:vAlign w:val="bottom"/>
            <w:tcBorders>
              <w:top w:val="single" w:sz="8" w:color="CCEEFF"/>
              <w:bottom w:val="single" w:sz="8" w:color="CCEEFF"/>
            </w:tcBorders>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0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15,099,000</w:t>
            </w:r>
          </w:p>
        </w:tc>
        <w:tc>
          <w:tcPr>
            <w:tcW w:w="2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9,548,000</w:t>
            </w:r>
          </w:p>
        </w:tc>
        <w:tc>
          <w:tcPr>
            <w:tcW w:w="34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29,155,000</w:t>
            </w:r>
          </w:p>
        </w:tc>
        <w:tc>
          <w:tcPr>
            <w:tcW w:w="32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18,304,000</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1,690,000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4,169,000</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3,791,000</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7,086,000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net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7,889,000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6,647,000</w:t>
            </w:r>
          </w:p>
        </w:tc>
        <w:tc>
          <w:tcPr>
            <w:tcW w:w="340" w:type="dxa"/>
            <w:vAlign w:val="bottom"/>
          </w:tcPr>
          <w:p>
            <w:pPr>
              <w:spacing w:after="0"/>
              <w:rPr>
                <w:sz w:val="14"/>
                <w:szCs w:val="14"/>
                <w:color w:val="auto"/>
              </w:rPr>
            </w:pPr>
          </w:p>
        </w:tc>
        <w:tc>
          <w:tcPr>
            <w:tcW w:w="1440" w:type="dxa"/>
            <w:vAlign w:val="bottom"/>
            <w:gridSpan w:val="2"/>
          </w:tcPr>
          <w:p>
            <w:pPr>
              <w:jc w:val="right"/>
              <w:ind w:right="251"/>
              <w:spacing w:after="0"/>
              <w:rPr>
                <w:sz w:val="20"/>
                <w:szCs w:val="20"/>
                <w:color w:val="auto"/>
              </w:rPr>
            </w:pPr>
            <w:r>
              <w:rPr>
                <w:rFonts w:ascii="Times New Roman" w:cs="Times New Roman" w:eastAsia="Times New Roman" w:hAnsi="Times New Roman"/>
                <w:sz w:val="14"/>
                <w:szCs w:val="14"/>
                <w:color w:val="auto"/>
              </w:rPr>
              <w:t>12,428,000</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9,347,000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40,000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40,000</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00" w:type="dxa"/>
            <w:vAlign w:val="bottom"/>
            <w:tcBorders>
              <w:top w:val="single" w:sz="8" w:color="CCEEFF"/>
              <w:bottom w:val="single" w:sz="8" w:color="CCEEFF"/>
            </w:tcBorders>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Net loss attributable to Harrow Health, Inc.</w:t>
            </w:r>
          </w:p>
        </w:tc>
        <w:tc>
          <w:tcPr>
            <w:tcW w:w="20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(6,239,000</w:t>
            </w:r>
          </w:p>
        </w:tc>
        <w:tc>
          <w:tcPr>
            <w:tcW w:w="200" w:type="dxa"/>
            <w:vAlign w:val="bottom"/>
            <w:tcBorders>
              <w:top w:val="single" w:sz="8" w:color="CCEEFF"/>
              <w:bottom w:val="single" w:sz="8" w:color="CCEEFF"/>
            </w:tcBorders>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(2,478,000</w:t>
            </w:r>
          </w:p>
        </w:tc>
        <w:tc>
          <w:tcPr>
            <w:tcW w:w="340" w:type="dxa"/>
            <w:vAlign w:val="bottom"/>
            <w:tcBorders>
              <w:top w:val="single" w:sz="8" w:color="CCEEFF"/>
              <w:bottom w:val="single" w:sz="8" w:color="CCEEFF"/>
            </w:tcBorders>
          </w:tcPr>
          <w:p>
            <w:pPr>
              <w:jc w:val="right"/>
              <w:ind w:right="2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(8,677,000</w:t>
            </w:r>
          </w:p>
        </w:tc>
        <w:tc>
          <w:tcPr>
            <w:tcW w:w="320" w:type="dxa"/>
            <w:vAlign w:val="bottom"/>
            <w:tcBorders>
              <w:top w:val="single" w:sz="8" w:color="CCEEFF"/>
              <w:bottom w:val="single" w:sz="8" w:color="CCEEFF"/>
            </w:tcBorders>
          </w:tcPr>
          <w:p>
            <w:pPr>
              <w:jc w:val="right"/>
              <w:ind w:right="191"/>
              <w:spacing w:after="0" w:line="146"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(2,261,000</w:t>
            </w:r>
          </w:p>
        </w:tc>
        <w:tc>
          <w:tcPr>
            <w:tcW w:w="100" w:type="dxa"/>
            <w:vAlign w:val="bottom"/>
            <w:tcBorders>
              <w:top w:val="single" w:sz="8" w:color="CCEEFF"/>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76"/>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dividends and accretion of preferred stock discount</w:t>
            </w: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(472,000</w:t>
            </w:r>
          </w:p>
        </w:tc>
        <w:tc>
          <w:tcPr>
            <w:tcW w:w="340" w:type="dxa"/>
            <w:vAlign w:val="bottom"/>
            <w:tcBorders>
              <w:bottom w:val="single" w:sz="8" w:color="CCEEFF"/>
            </w:tcBorders>
            <w:shd w:val="clear" w:color="auto" w:fill="CCEEFF"/>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(472,000</w:t>
            </w:r>
          </w:p>
        </w:tc>
        <w:tc>
          <w:tcPr>
            <w:tcW w:w="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Harrow Health, Inc. common stockholders</w:t>
            </w:r>
          </w:p>
        </w:tc>
        <w:tc>
          <w:tcPr>
            <w:tcW w:w="2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76"/>
        </w:trPr>
        <w:tc>
          <w:tcPr>
            <w:tcW w:w="4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(6,239,000</w:t>
            </w:r>
          </w:p>
        </w:tc>
        <w:tc>
          <w:tcPr>
            <w:tcW w:w="2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(2,950,000</w:t>
            </w:r>
          </w:p>
        </w:tc>
        <w:tc>
          <w:tcPr>
            <w:tcW w:w="34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(8,677,000</w:t>
            </w:r>
          </w:p>
        </w:tc>
        <w:tc>
          <w:tcPr>
            <w:tcW w:w="32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jc w:val="right"/>
              <w:ind w:right="191"/>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(2,733,000</w:t>
            </w: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10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Net loss per share of common stock, basic and diluted</w:t>
            </w:r>
          </w:p>
        </w:tc>
        <w:tc>
          <w:tcPr>
            <w:tcW w:w="2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(0.23</w:t>
            </w:r>
          </w:p>
        </w:tc>
        <w:tc>
          <w:tcPr>
            <w:tcW w:w="2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(0.11</w:t>
            </w:r>
          </w:p>
        </w:tc>
        <w:tc>
          <w:tcPr>
            <w:tcW w:w="340" w:type="dxa"/>
            <w:vAlign w:val="bottom"/>
            <w:tcBorders>
              <w:bottom w:val="single" w:sz="8" w:color="CCEEFF"/>
            </w:tcBorders>
            <w:shd w:val="clear" w:color="auto" w:fill="CCEEFF"/>
          </w:tcPr>
          <w:p>
            <w:pPr>
              <w:jc w:val="right"/>
              <w:ind w:right="2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(0.32</w:t>
            </w:r>
          </w:p>
        </w:tc>
        <w:tc>
          <w:tcPr>
            <w:tcW w:w="320" w:type="dxa"/>
            <w:vAlign w:val="bottom"/>
            <w:tcBorders>
              <w:bottom w:val="single" w:sz="8" w:color="CCEEFF"/>
            </w:tcBorders>
            <w:shd w:val="clear" w:color="auto" w:fill="CCEEFF"/>
          </w:tcPr>
          <w:p>
            <w:pPr>
              <w:jc w:val="right"/>
              <w:ind w:right="191"/>
              <w:spacing w:after="0" w:line="137"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340" w:type="dxa"/>
            <w:vAlign w:val="bottom"/>
            <w:tcBorders>
              <w:bottom w:val="single" w:sz="8" w:color="auto"/>
            </w:tcBorders>
            <w:shd w:val="clear" w:color="auto" w:fill="CCEEFF"/>
          </w:tcPr>
          <w:p>
            <w:pPr>
              <w:jc w:val="right"/>
              <w:ind w:right="191"/>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(0.10</w:t>
            </w:r>
          </w:p>
        </w:tc>
        <w:tc>
          <w:tcPr>
            <w:tcW w:w="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Growth is the Plan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 previously referred to our Five-Year Strategic Plan, which was created, in part, to ensure that the Harrow eyecare platform has the infrastructure, systems, resources, and talent needed to execute on the growth we expect in our CPP business and new and even more dramatic revenue growth we expect from the integration of FDA-approved BPPs into the Harrow platform.</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These investments we are making, as well as other operational moves we intend to make, are consistent with what I first disclosed and referred to in my 4Q20 Stockholders’ Letters as the “next major phase of growth for Harrow.” As we proceed, the Harrow management team is committed to having our platform ready and able to sustain the growth we expect, in keeping with our Five-Year Strategic Plan.</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As a stockholder myself, I believe these are but a few items my fellow stockholders should be particularly excited about:</w:t>
      </w:r>
    </w:p>
    <w:p>
      <w:pPr>
        <w:spacing w:after="0" w:line="170" w:lineRule="exact"/>
        <w:rPr>
          <w:sz w:val="20"/>
          <w:szCs w:val="20"/>
          <w:color w:val="auto"/>
        </w:rPr>
      </w:pPr>
    </w:p>
    <w:p>
      <w:pPr>
        <w:jc w:val="both"/>
        <w:ind w:left="740" w:hanging="241"/>
        <w:spacing w:after="0" w:line="259" w:lineRule="auto"/>
        <w:tabs>
          <w:tab w:leader="none" w:pos="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late September, we expect to launch a new and exciting compounded formulation at the upcoming American Academy of Ophthalmology (AAO) meeting in Chicago. This will be a premium-priced, patent-pending product that we’ve been working on for several years and that we believe could fill a large unmet need for acute sight-threatening needs in ophthalmology and optometry practices across the country. We hope we can visit with some of our stockholders at the AAO meeting and discuss this exciting new product launch.</w:t>
      </w:r>
    </w:p>
    <w:p>
      <w:pPr>
        <w:spacing w:after="0" w:line="141" w:lineRule="exact"/>
        <w:rPr>
          <w:rFonts w:ascii="Times New Roman" w:cs="Times New Roman" w:eastAsia="Times New Roman" w:hAnsi="Times New Roman"/>
          <w:sz w:val="14"/>
          <w:szCs w:val="14"/>
          <w:color w:val="auto"/>
        </w:rPr>
      </w:pPr>
    </w:p>
    <w:p>
      <w:pPr>
        <w:ind w:left="740" w:hanging="241"/>
        <w:spacing w:after="0" w:line="185" w:lineRule="auto"/>
        <w:tabs>
          <w:tab w:leader="none" w:pos="74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Following our October 16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PDUFA target action date for AMP-100, a patented ocular surface anesthetic drug candidate, we expect to begin commercialization activities in furtherance of an expected launch at or around the time of the American Society of Cataract and Refractive Surgery (ASCRS) meeting in San Diego in May of 2023.</w:t>
      </w:r>
    </w:p>
    <w:p>
      <w:pPr>
        <w:spacing w:after="0" w:line="152" w:lineRule="exact"/>
        <w:rPr>
          <w:rFonts w:ascii="Times New Roman" w:cs="Times New Roman" w:eastAsia="Times New Roman" w:hAnsi="Times New Roman"/>
          <w:sz w:val="28"/>
          <w:szCs w:val="28"/>
          <w:color w:val="auto"/>
          <w:vertAlign w:val="superscript"/>
        </w:rPr>
      </w:pPr>
    </w:p>
    <w:p>
      <w:pPr>
        <w:jc w:val="both"/>
        <w:ind w:left="740"/>
        <w:spacing w:after="0" w:line="253"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 xml:space="preserve">We are very excited about the potential we see to offer our customers a completely new ocular anesthesia solution for the broad ocular procedures category, including cataract surgery and intravitreal injections. Our market research has validated that there are massively diverse approaches to ocular anesthesia, with doctors using different active pharmaceutical ingredients at different time intervals during these procedures. We believe AMP-100 has the potential to provide ophthalmologists with a market-differentiated, reimbursable – </w:t>
      </w:r>
      <w:r>
        <w:rPr>
          <w:rFonts w:ascii="Times New Roman" w:cs="Times New Roman" w:eastAsia="Times New Roman" w:hAnsi="Times New Roman"/>
          <w:sz w:val="14"/>
          <w:szCs w:val="14"/>
          <w:i w:val="1"/>
          <w:iCs w:val="1"/>
          <w:color w:val="auto"/>
        </w:rPr>
        <w:t>unifying solution</w:t>
      </w:r>
      <w:r>
        <w:rPr>
          <w:rFonts w:ascii="Times New Roman" w:cs="Times New Roman" w:eastAsia="Times New Roman" w:hAnsi="Times New Roman"/>
          <w:sz w:val="14"/>
          <w:szCs w:val="14"/>
          <w:color w:val="auto"/>
        </w:rPr>
        <w:t xml:space="preserve"> – to anesthesia and intra-procedure pain. It should go without saying that as we achieve success in educating doctors about AMP-100’s clinical benefits, this will in turn lead to success in growing our revenues and profits.</w:t>
      </w:r>
    </w:p>
    <w:p>
      <w:pPr>
        <w:spacing w:after="0" w:line="143" w:lineRule="exact"/>
        <w:rPr>
          <w:rFonts w:ascii="Times New Roman" w:cs="Times New Roman" w:eastAsia="Times New Roman" w:hAnsi="Times New Roman"/>
          <w:sz w:val="28"/>
          <w:szCs w:val="28"/>
          <w:color w:val="auto"/>
          <w:vertAlign w:val="superscript"/>
        </w:rPr>
      </w:pPr>
    </w:p>
    <w:p>
      <w:pPr>
        <w:ind w:left="740"/>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We believe that the U.S. market AMP-100 could impact exceeds 12 million procedures annually, and it’s a market that we already serve, in part, in a significant way with other products.</w:t>
      </w:r>
    </w:p>
    <w:p>
      <w:pPr>
        <w:spacing w:after="0" w:line="169" w:lineRule="exact"/>
        <w:rPr>
          <w:rFonts w:ascii="Times New Roman" w:cs="Times New Roman" w:eastAsia="Times New Roman" w:hAnsi="Times New Roman"/>
          <w:sz w:val="28"/>
          <w:szCs w:val="28"/>
          <w:color w:val="auto"/>
          <w:vertAlign w:val="superscript"/>
        </w:rPr>
      </w:pPr>
    </w:p>
    <w:p>
      <w:pPr>
        <w:jc w:val="both"/>
        <w:ind w:left="740" w:hanging="241"/>
        <w:spacing w:after="0" w:line="259" w:lineRule="auto"/>
        <w:tabs>
          <w:tab w:leader="none" w:pos="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4, 2022, we had a successful Type B meeting with the FDA on our MAQ-100 program, during which the FDA provided clarity on what would be required in a future NDA filing for MAQ-100. We are currently awaiting the release of the FDA’s minutes from the meeting, as well as the completion of additional discussions with our Japanese manufacturing partner, but we remain optimistic we will be able to efficiently advance this program as we had intended.</w:t>
      </w:r>
    </w:p>
    <w:p>
      <w:pPr>
        <w:spacing w:after="0" w:line="140" w:lineRule="exact"/>
        <w:rPr>
          <w:rFonts w:ascii="Times New Roman" w:cs="Times New Roman" w:eastAsia="Times New Roman" w:hAnsi="Times New Roman"/>
          <w:sz w:val="14"/>
          <w:szCs w:val="14"/>
          <w:color w:val="auto"/>
        </w:rPr>
      </w:pPr>
    </w:p>
    <w:p>
      <w:pPr>
        <w:jc w:val="both"/>
        <w:ind w:left="740" w:hanging="241"/>
        <w:spacing w:after="0" w:line="259" w:lineRule="auto"/>
        <w:tabs>
          <w:tab w:leader="none" w:pos="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Later this year, we expect to launch yet another new, patent-pending, chronic care suite of compounded formulations that address a large and growing market in the United States. This is a family of products that we have been working on for many years, that we have, over the past year or so, had positive market acceptance testing with, and that we are excited to make more broadly available soon.</w:t>
      </w:r>
    </w:p>
    <w:p>
      <w:pPr>
        <w:spacing w:after="0" w:line="140"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Last, but certainly not least, we are hard at work trying to close transactions, which are at various stages of completion, that we strongly believe will add value to our company in several important ways.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Investments and Royalties</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Harrow owns non-controlling equity positions in Surface Ophthalmics, Melt Pharmaceuticals, and Eton Pharmaceuticals, companies founded as Harrow subsidiaries before being deconsolidated into independent and separately managed companies.</w:t>
      </w:r>
    </w:p>
    <w:p>
      <w:pPr>
        <w:spacing w:after="0" w:line="131" w:lineRule="exact"/>
        <w:rPr>
          <w:sz w:val="20"/>
          <w:szCs w:val="20"/>
          <w:color w:val="auto"/>
        </w:rPr>
      </w:pPr>
    </w:p>
    <w:p>
      <w:pPr>
        <w:jc w:val="both"/>
        <w:ind w:left="740" w:hanging="241"/>
        <w:spacing w:after="0" w:line="259" w:lineRule="auto"/>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own approximately 3.5 million shares of </w:t>
      </w:r>
      <w:r>
        <w:rPr>
          <w:rFonts w:ascii="Times New Roman" w:cs="Times New Roman" w:eastAsia="Times New Roman" w:hAnsi="Times New Roman"/>
          <w:sz w:val="14"/>
          <w:szCs w:val="14"/>
          <w:u w:val="single" w:color="auto"/>
          <w:color w:val="auto"/>
        </w:rPr>
        <w:t>Surface Ophthalmics</w:t>
      </w:r>
      <w:r>
        <w:rPr>
          <w:rFonts w:ascii="Times New Roman" w:cs="Times New Roman" w:eastAsia="Times New Roman" w:hAnsi="Times New Roman"/>
          <w:sz w:val="14"/>
          <w:szCs w:val="14"/>
          <w:color w:val="auto"/>
        </w:rPr>
        <w:t xml:space="preserve"> common stock or about 20% of the outstanding equity interests. Surface is focused on ocular surface disease, specifically dry eye disease. The U.S. market for dry eye disease is large and growing and importantly, continues to be underserved by the current weak array of available FDA-approved products. Harrow also owns royalty rights on all three active Surface drug development programs:</w:t>
      </w:r>
    </w:p>
    <w:p>
      <w:pPr>
        <w:spacing w:after="0" w:line="140" w:lineRule="exact"/>
        <w:rPr>
          <w:rFonts w:ascii="Times New Roman" w:cs="Times New Roman" w:eastAsia="Times New Roman" w:hAnsi="Times New Roman"/>
          <w:sz w:val="14"/>
          <w:szCs w:val="14"/>
          <w:color w:val="auto"/>
        </w:rPr>
      </w:pPr>
    </w:p>
    <w:p>
      <w:pPr>
        <w:ind w:left="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SURF-100 for Chronic Dry Eye Disease</w:t>
      </w:r>
    </w:p>
    <w:p>
      <w:pPr>
        <w:spacing w:after="0" w:line="169" w:lineRule="exact"/>
        <w:rPr>
          <w:rFonts w:ascii="Times New Roman" w:cs="Times New Roman" w:eastAsia="Times New Roman" w:hAnsi="Times New Roman"/>
          <w:sz w:val="14"/>
          <w:szCs w:val="14"/>
          <w:color w:val="auto"/>
        </w:rPr>
      </w:pPr>
    </w:p>
    <w:p>
      <w:pPr>
        <w:ind w:left="1240" w:hanging="245"/>
        <w:spacing w:after="0" w:line="292" w:lineRule="auto"/>
        <w:tabs>
          <w:tab w:leader="none" w:pos="124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Surface completed its 350-patient Phase 2 clinical trial, comparing five active arms of SURF-100 study drugs with the current market-leading prescription chronic dry eye treatments, Xiidra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and Restasis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spacing w:after="0" w:line="23" w:lineRule="exact"/>
        <w:rPr>
          <w:rFonts w:ascii="Times New Roman" w:cs="Times New Roman" w:eastAsia="Times New Roman" w:hAnsi="Times New Roman"/>
          <w:sz w:val="14"/>
          <w:szCs w:val="14"/>
          <w:color w:val="auto"/>
        </w:rPr>
      </w:pPr>
    </w:p>
    <w:p>
      <w:pPr>
        <w:jc w:val="both"/>
        <w:ind w:left="1240" w:hanging="245"/>
        <w:spacing w:after="0" w:line="255" w:lineRule="auto"/>
        <w:tabs>
          <w:tab w:leader="none" w:pos="124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SURF-100 Phase 2 clinical trial results, which exceeded our expectations, we believe Surface possesses a clinically superior medicine relative to all currently approved drugs and known data from drug candidates in development, for the highly underserved chronic dry eye disease market. We also believe that Surface has distinguished itself in its SURF-100 trial design, going up against the market leaders, and the success in doing so should translate meaningfully, from a commercial perspective, as Surface or other parties interested in Surface consider the impact of the SURF-100 program.</w:t>
      </w:r>
    </w:p>
    <w:p>
      <w:pPr>
        <w:spacing w:after="0" w:line="14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u w:val="single" w:color="auto"/>
          <w:color w:val="auto"/>
        </w:rPr>
        <w:t>SURF-200 for Acute Dry Eye</w:t>
      </w:r>
    </w:p>
    <w:p>
      <w:pPr>
        <w:spacing w:after="0" w:line="170" w:lineRule="exact"/>
        <w:rPr>
          <w:sz w:val="20"/>
          <w:szCs w:val="20"/>
          <w:color w:val="auto"/>
        </w:rPr>
      </w:pPr>
    </w:p>
    <w:p>
      <w:pPr>
        <w:ind w:left="740" w:right="3640" w:firstLine="255"/>
        <w:spacing w:after="0" w:line="492" w:lineRule="auto"/>
        <w:tabs>
          <w:tab w:leader="none" w:pos="1236"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Surface has completed enrollment of its Phase 2 clinical trial and expects to announce top-line results later this year. </w:t>
      </w:r>
      <w:r>
        <w:rPr>
          <w:rFonts w:ascii="Times New Roman" w:cs="Times New Roman" w:eastAsia="Times New Roman" w:hAnsi="Times New Roman"/>
          <w:sz w:val="14"/>
          <w:szCs w:val="14"/>
          <w:u w:val="single" w:color="auto"/>
          <w:color w:val="auto"/>
        </w:rPr>
        <w:t>SURF-201 for Pain and Inflammation Following Ocular Surgery</w:t>
      </w:r>
    </w:p>
    <w:p>
      <w:pPr>
        <w:spacing w:after="0" w:line="1" w:lineRule="exact"/>
        <w:rPr>
          <w:rFonts w:ascii="Times New Roman" w:cs="Times New Roman" w:eastAsia="Times New Roman" w:hAnsi="Times New Roman"/>
          <w:sz w:val="14"/>
          <w:szCs w:val="14"/>
          <w:color w:val="auto"/>
        </w:rPr>
      </w:pPr>
    </w:p>
    <w:p>
      <w:pPr>
        <w:ind w:left="1240" w:hanging="245"/>
        <w:spacing w:after="0" w:line="272" w:lineRule="auto"/>
        <w:tabs>
          <w:tab w:leader="none" w:pos="12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Surface reported that its Phase 2 SURF-201 study, with twice-daily dosing, met the primary endpoints of absence of inflammation at both Day 8 and Day 15, and was found to be safe and well-tolerated by the patient group. In addition, a secondary endpoint showed almost 90% of patients given SURF-201 were pain free at Day 15.</w:t>
      </w:r>
    </w:p>
    <w:p>
      <w:pPr>
        <w:spacing w:after="0" w:line="131"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own approximately 3.5 million shares of </w:t>
      </w:r>
      <w:r>
        <w:rPr>
          <w:rFonts w:ascii="Times New Roman" w:cs="Times New Roman" w:eastAsia="Times New Roman" w:hAnsi="Times New Roman"/>
          <w:sz w:val="14"/>
          <w:szCs w:val="14"/>
          <w:u w:val="single" w:color="auto"/>
          <w:color w:val="auto"/>
        </w:rPr>
        <w:t>Melt Pharmaceuticals</w:t>
      </w:r>
      <w:r>
        <w:rPr>
          <w:rFonts w:ascii="Times New Roman" w:cs="Times New Roman" w:eastAsia="Times New Roman" w:hAnsi="Times New Roman"/>
          <w:sz w:val="14"/>
          <w:szCs w:val="14"/>
          <w:color w:val="auto"/>
        </w:rPr>
        <w:t xml:space="preserve"> common stock or about 46% of the outstanding equity interests. We also own a $13.5 million senior secured note receivable from Melt and royalty rights on its flagship drug candidate, MELT-300.</w:t>
      </w:r>
    </w:p>
    <w:p>
      <w:pPr>
        <w:spacing w:after="0" w:line="131" w:lineRule="exact"/>
        <w:rPr>
          <w:rFonts w:ascii="Times New Roman" w:cs="Times New Roman" w:eastAsia="Times New Roman" w:hAnsi="Times New Roman"/>
          <w:sz w:val="14"/>
          <w:szCs w:val="14"/>
          <w:color w:val="auto"/>
        </w:rPr>
      </w:pPr>
    </w:p>
    <w:p>
      <w:pPr>
        <w:ind w:left="1240" w:hanging="245"/>
        <w:spacing w:after="0" w:line="272" w:lineRule="auto"/>
        <w:tabs>
          <w:tab w:leader="none" w:pos="12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MELT-300, a patented non-opioid sublingually delivered sedation and analgesia drug candidate, has the potential to transform the way U.S. cataract surgery patients are sedated. In addition, Melt’s drug candidates and related patented technologies may have a broader application that goes beyond ophthalmic surgery and for a global market.</w:t>
      </w:r>
    </w:p>
    <w:p>
      <w:pPr>
        <w:spacing w:after="0" w:line="131" w:lineRule="exact"/>
        <w:rPr>
          <w:rFonts w:ascii="Times New Roman" w:cs="Times New Roman" w:eastAsia="Times New Roman" w:hAnsi="Times New Roman"/>
          <w:sz w:val="14"/>
          <w:szCs w:val="14"/>
          <w:color w:val="auto"/>
        </w:rPr>
      </w:pPr>
    </w:p>
    <w:p>
      <w:pPr>
        <w:ind w:left="1240" w:hanging="245"/>
        <w:spacing w:after="0" w:line="272" w:lineRule="auto"/>
        <w:tabs>
          <w:tab w:leader="none" w:pos="12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Melt began enrolling patients in a Phase 2 efficacy study of MELT-300 during the fourth quarter of 2021. Melt has enrolled more than 200 patients out of 350 in the MELT-300 program and expects to report top-line clinical results in the fourth quarter of 2022.</w:t>
      </w:r>
    </w:p>
    <w:p>
      <w:pPr>
        <w:spacing w:after="0" w:line="131"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own just under 2.0 million shares of common stock of </w:t>
      </w:r>
      <w:r>
        <w:rPr>
          <w:rFonts w:ascii="Times New Roman" w:cs="Times New Roman" w:eastAsia="Times New Roman" w:hAnsi="Times New Roman"/>
          <w:sz w:val="14"/>
          <w:szCs w:val="14"/>
          <w:u w:val="single" w:color="auto"/>
          <w:color w:val="auto"/>
        </w:rPr>
        <w:t>Eton Pharmaceuticals</w:t>
      </w:r>
      <w:r>
        <w:rPr>
          <w:rFonts w:ascii="Times New Roman" w:cs="Times New Roman" w:eastAsia="Times New Roman" w:hAnsi="Times New Roman"/>
          <w:sz w:val="14"/>
          <w:szCs w:val="14"/>
          <w:color w:val="auto"/>
        </w:rPr>
        <w:t xml:space="preserve"> (Nasdaq: ETON), an orphan drug-focused pharmaceutical company. We continue to be excited about our investment in Eton and its focus on orphan drugs, and we believe in its mission.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Closing</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We are growing Harrow the “old-fashioned way.” We are committed to steady growth, making great pharmaceutical products that we can make a respectable profit on, that are ordered and reordered by customers who appreciate the tremendous value we bring to them and their patients. We focus on an area of healthcare – eyecare – in which we have considerable expertise and experience, and our agile and creative approach to serving our customers allows us to maintain a competitive advantage. While we are quite proud of what we have accomplished to date, we know that our story is just beginning.</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Though we are focused on growth and profitability, we remain committed to our corporate values, producing attractive profits for stockholders by using the Harrow eyecare platform as a growth engine that we believe will bear fruit for all its constituents for many years to come.</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 always, I want to express my gratitude to all members of the Harrow Family for their hard work and dedication which has led us to this important time in our company’s history. I also want to thank ALL my fellow stockholders for the confidence you have shown in us. We realize that investing in smaller market capitalization companies can be challenging, so we aim to be as transparent as possible. I assure you that your investment in Harrow is a responsibility that every member of the Harrow Family takes very seriously, and we appreciate your continued confidence and support.</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 look forward to updating you on our accomplishments and progress in my next Letter to Stockholders in November of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Sincerely,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 L. Baum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Founder, Chief Executive Officer, and Chairman of the Board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Nashville, Tennessee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jc w:val="both"/>
        <w:ind w:firstLine="495"/>
        <w:spacing w:after="0" w:line="288" w:lineRule="auto"/>
        <w:rPr>
          <w:sz w:val="20"/>
          <w:szCs w:val="20"/>
          <w:color w:val="auto"/>
        </w:rPr>
      </w:pPr>
      <w:r>
        <w:rPr>
          <w:rFonts w:ascii="Times New Roman" w:cs="Times New Roman" w:eastAsia="Times New Roman" w:hAnsi="Times New Roman"/>
          <w:sz w:val="13"/>
          <w:szCs w:val="13"/>
          <w:color w:val="auto"/>
        </w:rPr>
        <w:t>Management’s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FDA-approved products and compounded formulations and technologies, and FDA approval of certain drug candidates in a timely manner or at all.</w:t>
      </w:r>
    </w:p>
    <w:p>
      <w:pPr>
        <w:spacing w:after="0" w:line="123" w:lineRule="exact"/>
        <w:rPr>
          <w:sz w:val="20"/>
          <w:szCs w:val="20"/>
          <w:color w:val="auto"/>
        </w:rPr>
      </w:pPr>
    </w:p>
    <w:p>
      <w:pPr>
        <w:jc w:val="both"/>
        <w:ind w:firstLine="495"/>
        <w:spacing w:after="0" w:line="272" w:lineRule="auto"/>
        <w:rPr>
          <w:sz w:val="20"/>
          <w:szCs w:val="20"/>
          <w:color w:val="auto"/>
        </w:rPr>
      </w:pPr>
      <w:r>
        <w:rPr>
          <w:rFonts w:ascii="Times New Roman" w:cs="Times New Roman" w:eastAsia="Times New Roman" w:hAnsi="Times New Roman"/>
          <w:sz w:val="14"/>
          <w:szCs w:val="14"/>
          <w:color w:val="auto"/>
        </w:rPr>
        <w:t>For a list and description of those risks and uncertainties, please see the “Risk Factors” section of the Company’s Annual Report on Form 10-K, Quarterly Reports on Form 10-Q, and other filings with the SEC.</w:t>
      </w:r>
    </w:p>
    <w:p>
      <w:pPr>
        <w:spacing w:after="0" w:line="131" w:lineRule="exact"/>
        <w:rPr>
          <w:sz w:val="20"/>
          <w:szCs w:val="20"/>
          <w:color w:val="auto"/>
        </w:rPr>
      </w:pPr>
    </w:p>
    <w:p>
      <w:pPr>
        <w:jc w:val="both"/>
        <w:ind w:firstLine="495"/>
        <w:spacing w:after="0" w:line="272" w:lineRule="auto"/>
        <w:rPr>
          <w:sz w:val="20"/>
          <w:szCs w:val="20"/>
          <w:color w:val="auto"/>
        </w:rPr>
      </w:pPr>
      <w:r>
        <w:rPr>
          <w:rFonts w:ascii="Times New Roman" w:cs="Times New Roman" w:eastAsia="Times New Roman" w:hAnsi="Times New Roman"/>
          <w:sz w:val="14"/>
          <w:szCs w:val="14"/>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Additionally, Harrow Health refers to non-GAAP financial measures, specifically Adjusted EBITDA, adjusted earnings, core gross margin, core net income and core diluted net income per share.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non-GAAP measures with the most directly comparable GAAP measures is included in this letter.</w:t>
      </w:r>
    </w:p>
    <w:p>
      <w:pPr>
        <w:spacing w:after="0" w:line="152" w:lineRule="exact"/>
        <w:rPr>
          <w:sz w:val="20"/>
          <w:szCs w:val="20"/>
          <w:color w:val="auto"/>
        </w:rPr>
      </w:pPr>
    </w:p>
    <w:p>
      <w:pPr>
        <w:jc w:val="both"/>
        <w:ind w:firstLine="495"/>
        <w:spacing w:after="0" w:line="278" w:lineRule="auto"/>
        <w:rPr>
          <w:sz w:val="20"/>
          <w:szCs w:val="20"/>
          <w:color w:val="auto"/>
        </w:rPr>
      </w:pPr>
      <w:r>
        <w:rPr>
          <w:rFonts w:ascii="Times New Roman" w:cs="Times New Roman" w:eastAsia="Times New Roman" w:hAnsi="Times New Roman"/>
          <w:sz w:val="14"/>
          <w:szCs w:val="14"/>
          <w:i w:val="1"/>
          <w:iCs w:val="1"/>
          <w:color w:val="auto"/>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All trademarks, service marks and trade names included or referenced in this publication are the property of their respective owners.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Adjusted EBITDA</w:t>
      </w:r>
    </w:p>
    <w:p>
      <w:pPr>
        <w:spacing w:after="0" w:line="174"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4"/>
          <w:szCs w:val="14"/>
          <w:color w:val="auto"/>
        </w:rPr>
        <w:t>The Company defines Adjusted EBITDA as net (loss) income attributable to Harrow Health, Inc., excluding the effects of stock-based compensation and expenses, interest, taxes, depreciation, amortization, investment loss, net, gain or forgiveness of debt, and, if any and when specified, other non-recurring income or expense items. Management believes that the most directly comparable GAAP financial measure to Adjusted EBITDA is net (loss) income attributable to Harrow Health, Inc. Adjusted EBITDA has limitations and should not be considered as an alternative to gross profit or net (loss) income as a measure of operating performance or to net cash provided by (used in) operating, investing, or financing activities as a measure of ability to meet cash needs.</w:t>
      </w:r>
    </w:p>
    <w:p>
      <w:pPr>
        <w:spacing w:after="0" w:line="142" w:lineRule="exact"/>
        <w:rPr>
          <w:sz w:val="20"/>
          <w:szCs w:val="20"/>
          <w:color w:val="auto"/>
        </w:rPr>
      </w:pPr>
    </w:p>
    <w:p>
      <w:pPr>
        <w:jc w:val="both"/>
        <w:ind w:firstLine="495"/>
        <w:spacing w:after="0" w:line="272" w:lineRule="auto"/>
        <w:rPr>
          <w:sz w:val="20"/>
          <w:szCs w:val="20"/>
          <w:color w:val="auto"/>
        </w:rPr>
      </w:pPr>
      <w:r>
        <w:rPr>
          <w:rFonts w:ascii="Times New Roman" w:cs="Times New Roman" w:eastAsia="Times New Roman" w:hAnsi="Times New Roman"/>
          <w:sz w:val="14"/>
          <w:szCs w:val="14"/>
          <w:color w:val="auto"/>
        </w:rPr>
        <w:t>The following is a reconciliation of Adjusted EBITDA, a non-GAAP measure, to the most comparable GAAP measure, net (loss) income, for the three months ended June 30, 2022, and for the same period in 2021:</w:t>
      </w:r>
    </w:p>
    <w:p>
      <w:pPr>
        <w:sectPr>
          <w:pgSz w:w="11900" w:h="16838" w:orient="portrait"/>
          <w:cols w:equalWidth="0" w:num="1">
            <w:col w:w="11280"/>
          </w:cols>
          <w:pgMar w:left="300" w:top="5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GAAP net (loss) income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Stock-based compensation and expenses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net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of intangible assets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loss, net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expense, net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EBITDA</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(6,239,000)</w:t>
            </w:r>
          </w:p>
        </w:tc>
        <w:tc>
          <w:tcPr>
            <w:tcW w:w="320" w:type="dxa"/>
            <w:vAlign w:val="bottom"/>
          </w:tcPr>
          <w:p>
            <w:pPr>
              <w:spacing w:after="0"/>
              <w:rPr>
                <w:sz w:val="13"/>
                <w:szCs w:val="13"/>
                <w:color w:val="auto"/>
              </w:rPr>
            </w:pPr>
          </w:p>
        </w:tc>
        <w:tc>
          <w:tcPr>
            <w:tcW w:w="460" w:type="dxa"/>
            <w:vAlign w:val="bottom"/>
          </w:tcPr>
          <w:p>
            <w:pPr>
              <w:jc w:val="right"/>
              <w:ind w:right="311"/>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(2,478,000)</w:t>
            </w:r>
          </w:p>
        </w:tc>
        <w:tc>
          <w:tcPr>
            <w:tcW w:w="12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1,993,000</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1,078,000</w:t>
            </w:r>
          </w:p>
        </w:tc>
        <w:tc>
          <w:tcPr>
            <w:tcW w:w="1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1,794,000</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1,314,000</w:t>
            </w:r>
          </w:p>
        </w:tc>
        <w:tc>
          <w:tcPr>
            <w:tcW w:w="1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40,000</w:t>
            </w: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424,000</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412,000</w:t>
            </w:r>
          </w:p>
        </w:tc>
        <w:tc>
          <w:tcPr>
            <w:tcW w:w="1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398,000</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39,000</w:t>
            </w: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6,095,000</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4,526,000</w:t>
            </w:r>
          </w:p>
        </w:tc>
        <w:tc>
          <w:tcPr>
            <w:tcW w:w="1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3"/>
                <w:szCs w:val="13"/>
                <w:color w:val="auto"/>
              </w:rPr>
              <w:t>807,000</w:t>
            </w:r>
            <w:r>
              <w:rPr>
                <w:rFonts w:ascii="Times New Roman" w:cs="Times New Roman" w:eastAsia="Times New Roman" w:hAnsi="Times New Roman"/>
                <w:sz w:val="20"/>
                <w:szCs w:val="20"/>
                <w:color w:val="auto"/>
                <w:vertAlign w:val="superscript"/>
              </w:rPr>
              <w:t>(1)</w:t>
            </w:r>
          </w:p>
        </w:tc>
      </w:tr>
      <w:tr>
        <w:trPr>
          <w:trHeight w:val="176"/>
        </w:trPr>
        <w:tc>
          <w:tcPr>
            <w:tcW w:w="2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4,505,000</w:t>
            </w:r>
          </w:p>
        </w:tc>
        <w:tc>
          <w:tcPr>
            <w:tcW w:w="3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5,698,000</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-996315</wp:posOffset>
            </wp:positionV>
            <wp:extent cx="7164705" cy="111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111760"/>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-780415</wp:posOffset>
            </wp:positionV>
            <wp:extent cx="7164705" cy="104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-570230</wp:posOffset>
            </wp:positionV>
            <wp:extent cx="7164705" cy="104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-360045</wp:posOffset>
            </wp:positionV>
            <wp:extent cx="7164705" cy="104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-137160</wp:posOffset>
            </wp:positionV>
            <wp:extent cx="7164705" cy="124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124460"/>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6280" w:space="720"/>
            <w:col w:w="4280"/>
          </w:cols>
          <w:pgMar w:left="300" w:top="557" w:right="319" w:bottom="1440" w:gutter="0" w:footer="0" w:header="0"/>
          <w:type w:val="continuous"/>
        </w:sectPr>
      </w:pPr>
    </w:p>
    <w:p>
      <w:pPr>
        <w:ind w:left="260" w:hanging="257"/>
        <w:spacing w:after="0"/>
        <w:tabs>
          <w:tab w:leader="none" w:pos="2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$756,000 for early extinguishment of loan.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64705"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Core Results</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Harrow Health Core Results, including core gross margin, core net income, core operating income, core EPS (basic and diluted), and core operating margin, exclude all amortization and impairment charges of intangible assets, excluding software development costs, net gains and losses on investments and equity securities, including equity method gains and losses and equity valued at fair value through profit and loss (“FVPL”), preferred stock dividends, and gains/losses on forgiveness of debt. In other periods, Core Results may also exclude fair value adjustments of financial assets in the form of options to acquire a company carried at FVPL, obligations related to product recalls, certain acquisition related items, the integration and divestment related income and expenses, divestment gains and losses, restructuring charges/releases and related items, legal related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is a reconciliation of Core Results, a non-GAAP measure, to the most comparable GAAP measure for the three and six months ended June 30, 2022, and for the same period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2021:</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165"/>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of Certain Intangible</w:t>
            </w:r>
          </w:p>
        </w:tc>
        <w:tc>
          <w:tcPr>
            <w:tcW w:w="240" w:type="dxa"/>
            <w:vAlign w:val="bottom"/>
          </w:tcPr>
          <w:p>
            <w:pPr>
              <w:spacing w:after="0"/>
              <w:rPr>
                <w:sz w:val="14"/>
                <w:szCs w:val="14"/>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3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Core</w:t>
            </w:r>
          </w:p>
        </w:tc>
      </w:tr>
      <w:tr>
        <w:trPr>
          <w:trHeight w:val="183"/>
        </w:trPr>
        <w:tc>
          <w:tcPr>
            <w:tcW w:w="4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0" w:type="dxa"/>
            <w:vAlign w:val="bottom"/>
          </w:tcPr>
          <w:p>
            <w:pPr>
              <w:spacing w:after="0"/>
              <w:rPr>
                <w:sz w:val="15"/>
                <w:szCs w:val="15"/>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240" w:type="dxa"/>
            <w:vAlign w:val="bottom"/>
          </w:tcPr>
          <w:p>
            <w:pPr>
              <w:spacing w:after="0"/>
              <w:rPr>
                <w:sz w:val="15"/>
                <w:szCs w:val="15"/>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Results</w:t>
            </w:r>
          </w:p>
        </w:tc>
      </w:tr>
      <w:tr>
        <w:trPr>
          <w:trHeight w:val="165"/>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16,789,000</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341,000</w:t>
            </w: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17,130,000</w:t>
            </w:r>
          </w:p>
        </w:tc>
        <w:tc>
          <w:tcPr>
            <w:tcW w:w="120" w:type="dxa"/>
            <w:vAlign w:val="bottom"/>
            <w:tcBorders>
              <w:top w:val="single" w:sz="8" w:color="CCEEFF"/>
            </w:tcBorders>
            <w:shd w:val="clear" w:color="auto" w:fill="CCEEFF"/>
          </w:tcPr>
          <w:p>
            <w:pPr>
              <w:spacing w:after="0"/>
              <w:rPr>
                <w:sz w:val="14"/>
                <w:szCs w:val="14"/>
                <w:color w:val="auto"/>
              </w:rPr>
            </w:pP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2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1,690,000</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398,000</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2,088,000</w:t>
            </w: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120" w:type="dxa"/>
            <w:vAlign w:val="bottom"/>
          </w:tcPr>
          <w:p>
            <w:pPr>
              <w:spacing w:after="0"/>
              <w:rPr>
                <w:sz w:val="14"/>
                <w:szCs w:val="14"/>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(6,199,000)</w:t>
            </w:r>
          </w:p>
        </w:tc>
        <w:tc>
          <w:tcPr>
            <w:tcW w:w="100" w:type="dxa"/>
            <w:vAlign w:val="bottom"/>
          </w:tcPr>
          <w:p>
            <w:pPr>
              <w:spacing w:after="0"/>
              <w:rPr>
                <w:sz w:val="14"/>
                <w:szCs w:val="14"/>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398,000</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6,095,000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294,000</w:t>
            </w: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1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(40,000)</w:t>
            </w: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120" w:type="dxa"/>
            <w:vAlign w:val="bottom"/>
          </w:tcPr>
          <w:p>
            <w:pPr>
              <w:spacing w:after="0"/>
              <w:rPr>
                <w:sz w:val="14"/>
                <w:szCs w:val="14"/>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(6,239,000)</w:t>
            </w:r>
          </w:p>
        </w:tc>
        <w:tc>
          <w:tcPr>
            <w:tcW w:w="100" w:type="dxa"/>
            <w:vAlign w:val="bottom"/>
          </w:tcPr>
          <w:p>
            <w:pPr>
              <w:spacing w:after="0"/>
              <w:rPr>
                <w:sz w:val="14"/>
                <w:szCs w:val="14"/>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398,000</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6,095,000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254,000</w:t>
            </w:r>
          </w:p>
        </w:tc>
      </w:tr>
      <w:tr>
        <w:trPr>
          <w:trHeight w:val="196"/>
        </w:trPr>
        <w:tc>
          <w:tcPr>
            <w:tcW w:w="43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(loss) earnings per share ($)</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r>
      <w:tr>
        <w:trPr>
          <w:trHeight w:val="196"/>
        </w:trPr>
        <w:tc>
          <w:tcPr>
            <w:tcW w:w="430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Diluted (loss) earnings per share ($)</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7"/>
                <w:szCs w:val="17"/>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r>
      <w:tr>
        <w:trPr>
          <w:trHeight w:val="153"/>
        </w:trPr>
        <w:tc>
          <w:tcPr>
            <w:tcW w:w="43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 common stock outstanding, basic</w:t>
            </w: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27,303,458</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27,303,458</w:t>
            </w:r>
          </w:p>
        </w:tc>
      </w:tr>
      <w:tr>
        <w:trPr>
          <w:trHeight w:val="153"/>
        </w:trPr>
        <w:tc>
          <w:tcPr>
            <w:tcW w:w="43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of common stock outstanding, diluted</w:t>
            </w:r>
          </w:p>
        </w:tc>
        <w:tc>
          <w:tcPr>
            <w:tcW w:w="120" w:type="dxa"/>
            <w:vAlign w:val="bottom"/>
          </w:tcPr>
          <w:p>
            <w:pPr>
              <w:spacing w:after="0"/>
              <w:rPr>
                <w:sz w:val="15"/>
                <w:szCs w:val="15"/>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27,303,458</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28,234,177</w:t>
            </w:r>
          </w:p>
        </w:tc>
      </w:tr>
      <w:tr>
        <w:trPr>
          <w:trHeight w:val="331"/>
        </w:trPr>
        <w:tc>
          <w:tcPr>
            <w:tcW w:w="4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w w:val="98"/>
              </w:rPr>
              <w:t>For the Six Months Ended June 30, 2022</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49"/>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of Certain Intangible</w:t>
            </w:r>
          </w:p>
        </w:tc>
        <w:tc>
          <w:tcPr>
            <w:tcW w:w="240" w:type="dxa"/>
            <w:vAlign w:val="bottom"/>
          </w:tcPr>
          <w:p>
            <w:pPr>
              <w:spacing w:after="0"/>
              <w:rPr>
                <w:sz w:val="14"/>
                <w:szCs w:val="14"/>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3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Core</w:t>
            </w:r>
          </w:p>
        </w:tc>
      </w:tr>
      <w:tr>
        <w:trPr>
          <w:trHeight w:val="183"/>
        </w:trPr>
        <w:tc>
          <w:tcPr>
            <w:tcW w:w="4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0" w:type="dxa"/>
            <w:vAlign w:val="bottom"/>
          </w:tcPr>
          <w:p>
            <w:pPr>
              <w:spacing w:after="0"/>
              <w:rPr>
                <w:sz w:val="15"/>
                <w:szCs w:val="15"/>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240" w:type="dxa"/>
            <w:vAlign w:val="bottom"/>
          </w:tcPr>
          <w:p>
            <w:pPr>
              <w:spacing w:after="0"/>
              <w:rPr>
                <w:sz w:val="15"/>
                <w:szCs w:val="15"/>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Results</w:t>
            </w:r>
          </w:p>
        </w:tc>
      </w:tr>
      <w:tr>
        <w:trPr>
          <w:trHeight w:val="165"/>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32,946,000</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682,000</w:t>
            </w: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33,628,000</w:t>
            </w:r>
          </w:p>
        </w:tc>
        <w:tc>
          <w:tcPr>
            <w:tcW w:w="120" w:type="dxa"/>
            <w:vAlign w:val="bottom"/>
            <w:tcBorders>
              <w:top w:val="single" w:sz="8" w:color="CCEEFF"/>
            </w:tcBorders>
            <w:shd w:val="clear" w:color="auto" w:fill="CCEEFF"/>
          </w:tcPr>
          <w:p>
            <w:pPr>
              <w:spacing w:after="0"/>
              <w:rPr>
                <w:sz w:val="14"/>
                <w:szCs w:val="14"/>
                <w:color w:val="auto"/>
              </w:rPr>
            </w:pP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2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3,791,000</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802,000</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4,593,000</w:t>
            </w: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120" w:type="dxa"/>
            <w:vAlign w:val="bottom"/>
          </w:tcPr>
          <w:p>
            <w:pPr>
              <w:spacing w:after="0"/>
              <w:rPr>
                <w:sz w:val="14"/>
                <w:szCs w:val="14"/>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(8,637,000)</w:t>
            </w:r>
          </w:p>
        </w:tc>
        <w:tc>
          <w:tcPr>
            <w:tcW w:w="100" w:type="dxa"/>
            <w:vAlign w:val="bottom"/>
          </w:tcPr>
          <w:p>
            <w:pPr>
              <w:spacing w:after="0"/>
              <w:rPr>
                <w:sz w:val="14"/>
                <w:szCs w:val="14"/>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802,000</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8,842,000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1,007,000</w:t>
            </w: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1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(40,000)</w:t>
            </w: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120" w:type="dxa"/>
            <w:vAlign w:val="bottom"/>
          </w:tcPr>
          <w:p>
            <w:pPr>
              <w:spacing w:after="0"/>
              <w:rPr>
                <w:sz w:val="14"/>
                <w:szCs w:val="14"/>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(8,677,000)</w:t>
            </w:r>
          </w:p>
        </w:tc>
        <w:tc>
          <w:tcPr>
            <w:tcW w:w="100" w:type="dxa"/>
            <w:vAlign w:val="bottom"/>
          </w:tcPr>
          <w:p>
            <w:pPr>
              <w:spacing w:after="0"/>
              <w:rPr>
                <w:sz w:val="14"/>
                <w:szCs w:val="14"/>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802,000</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8,842,000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967,000</w:t>
            </w:r>
          </w:p>
        </w:tc>
      </w:tr>
      <w:tr>
        <w:trPr>
          <w:trHeight w:val="196"/>
        </w:trPr>
        <w:tc>
          <w:tcPr>
            <w:tcW w:w="43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(loss) earnings per share ($)</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0.04</w:t>
            </w:r>
          </w:p>
        </w:tc>
      </w:tr>
      <w:tr>
        <w:trPr>
          <w:trHeight w:val="196"/>
        </w:trPr>
        <w:tc>
          <w:tcPr>
            <w:tcW w:w="430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Diluted (loss) earnings per share ($)</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7"/>
                <w:szCs w:val="17"/>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0.03</w:t>
            </w:r>
          </w:p>
        </w:tc>
      </w:tr>
      <w:tr>
        <w:trPr>
          <w:trHeight w:val="153"/>
        </w:trPr>
        <w:tc>
          <w:tcPr>
            <w:tcW w:w="43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 common stock outstanding, basic</w:t>
            </w: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27,265,350</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27,265,350</w:t>
            </w:r>
          </w:p>
        </w:tc>
      </w:tr>
      <w:tr>
        <w:trPr>
          <w:trHeight w:val="153"/>
        </w:trPr>
        <w:tc>
          <w:tcPr>
            <w:tcW w:w="43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of common stock outstanding, diluted</w:t>
            </w:r>
          </w:p>
        </w:tc>
        <w:tc>
          <w:tcPr>
            <w:tcW w:w="120" w:type="dxa"/>
            <w:vAlign w:val="bottom"/>
          </w:tcPr>
          <w:p>
            <w:pPr>
              <w:spacing w:after="0"/>
              <w:rPr>
                <w:sz w:val="15"/>
                <w:szCs w:val="15"/>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27,265,350</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28,270,639</w:t>
            </w: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165"/>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of Certain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5"/>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Intangible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Core</w:t>
            </w:r>
          </w:p>
        </w:tc>
      </w:tr>
      <w:tr>
        <w:trPr>
          <w:trHeight w:val="183"/>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Results</w:t>
            </w:r>
          </w:p>
        </w:tc>
        <w:tc>
          <w:tcPr>
            <w:tcW w:w="12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Other Items</w:t>
            </w:r>
          </w:p>
        </w:tc>
        <w:tc>
          <w:tcPr>
            <w:tcW w:w="2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Results</w:t>
            </w:r>
          </w:p>
        </w:tc>
      </w:tr>
      <w:tr>
        <w:trPr>
          <w:trHeight w:val="165"/>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13,717,000</w:t>
            </w: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13,717,000</w:t>
            </w:r>
          </w:p>
        </w:tc>
        <w:tc>
          <w:tcPr>
            <w:tcW w:w="120" w:type="dxa"/>
            <w:vAlign w:val="bottom"/>
            <w:tcBorders>
              <w:top w:val="single" w:sz="8" w:color="CCEEFF"/>
            </w:tcBorders>
            <w:shd w:val="clear" w:color="auto" w:fill="CCEEFF"/>
          </w:tcPr>
          <w:p>
            <w:pPr>
              <w:spacing w:after="0"/>
              <w:rPr>
                <w:sz w:val="14"/>
                <w:szCs w:val="14"/>
                <w:color w:val="auto"/>
              </w:rPr>
            </w:pP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8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4,169,000</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39,000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4,208,000</w:t>
            </w: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18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(2,478,000)</w:t>
            </w:r>
          </w:p>
        </w:tc>
        <w:tc>
          <w:tcPr>
            <w:tcW w:w="1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4,526,000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2,087,000</w:t>
            </w: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 attributable to common stockholders</w:t>
            </w:r>
          </w:p>
        </w:tc>
        <w:tc>
          <w:tcPr>
            <w:tcW w:w="18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(2,950,000)</w:t>
            </w:r>
          </w:p>
        </w:tc>
        <w:tc>
          <w:tcPr>
            <w:tcW w:w="1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4,526,000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472,000</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2,087,000</w:t>
            </w:r>
          </w:p>
        </w:tc>
      </w:tr>
      <w:tr>
        <w:trPr>
          <w:trHeight w:val="196"/>
        </w:trPr>
        <w:tc>
          <w:tcPr>
            <w:tcW w:w="41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(loss) earnings per share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0.06</w:t>
            </w:r>
          </w:p>
        </w:tc>
      </w:tr>
      <w:tr>
        <w:trPr>
          <w:trHeight w:val="196"/>
        </w:trPr>
        <w:tc>
          <w:tcPr>
            <w:tcW w:w="418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Diluted (loss) earnings per share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0.07</w:t>
            </w:r>
          </w:p>
        </w:tc>
      </w:tr>
      <w:tr>
        <w:trPr>
          <w:trHeight w:val="153"/>
        </w:trPr>
        <w:tc>
          <w:tcPr>
            <w:tcW w:w="41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 common stock outstanding, basic</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26,736,970</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26,736,970</w:t>
            </w:r>
          </w:p>
        </w:tc>
      </w:tr>
      <w:tr>
        <w:trPr>
          <w:trHeight w:val="153"/>
        </w:trPr>
        <w:tc>
          <w:tcPr>
            <w:tcW w:w="41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of common stock outstanding, diluted</w:t>
            </w:r>
          </w:p>
        </w:tc>
        <w:tc>
          <w:tcPr>
            <w:tcW w:w="18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26,736,970</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28,309,490</w:t>
            </w:r>
          </w:p>
        </w:tc>
      </w:tr>
      <w:tr>
        <w:trPr>
          <w:trHeight w:val="331"/>
        </w:trPr>
        <w:tc>
          <w:tcPr>
            <w:tcW w:w="4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2021</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of Certain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5"/>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Intangible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Core</w:t>
            </w:r>
          </w:p>
        </w:tc>
      </w:tr>
      <w:tr>
        <w:trPr>
          <w:trHeight w:val="183"/>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Results</w:t>
            </w:r>
          </w:p>
        </w:tc>
        <w:tc>
          <w:tcPr>
            <w:tcW w:w="12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Other Items</w:t>
            </w:r>
          </w:p>
        </w:tc>
        <w:tc>
          <w:tcPr>
            <w:tcW w:w="2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Results</w:t>
            </w:r>
          </w:p>
        </w:tc>
      </w:tr>
      <w:tr>
        <w:trPr>
          <w:trHeight w:val="165"/>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25,390,000</w:t>
            </w: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25,390,000</w:t>
            </w:r>
          </w:p>
        </w:tc>
        <w:tc>
          <w:tcPr>
            <w:tcW w:w="120" w:type="dxa"/>
            <w:vAlign w:val="bottom"/>
            <w:tcBorders>
              <w:top w:val="single" w:sz="8" w:color="CCEEFF"/>
            </w:tcBorders>
            <w:shd w:val="clear" w:color="auto" w:fill="CCEEFF"/>
          </w:tcPr>
          <w:p>
            <w:pPr>
              <w:spacing w:after="0"/>
              <w:rPr>
                <w:sz w:val="14"/>
                <w:szCs w:val="14"/>
                <w:color w:val="auto"/>
              </w:rPr>
            </w:pP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8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7,086,000</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79,000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7,165,000</w:t>
            </w: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18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(2,261,000)</w:t>
            </w:r>
          </w:p>
        </w:tc>
        <w:tc>
          <w:tcPr>
            <w:tcW w:w="1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79,000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6,713,000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4,531,000</w:t>
            </w: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 attributable to common stockholders</w:t>
            </w:r>
          </w:p>
        </w:tc>
        <w:tc>
          <w:tcPr>
            <w:tcW w:w="18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(2,733,000)</w:t>
            </w:r>
          </w:p>
        </w:tc>
        <w:tc>
          <w:tcPr>
            <w:tcW w:w="1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79,000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6,713,000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472,000</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4,531,000</w:t>
            </w:r>
          </w:p>
        </w:tc>
      </w:tr>
      <w:tr>
        <w:trPr>
          <w:trHeight w:val="196"/>
        </w:trPr>
        <w:tc>
          <w:tcPr>
            <w:tcW w:w="41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(loss) earnings per share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0.15</w:t>
            </w:r>
          </w:p>
        </w:tc>
      </w:tr>
      <w:tr>
        <w:trPr>
          <w:trHeight w:val="196"/>
        </w:trPr>
        <w:tc>
          <w:tcPr>
            <w:tcW w:w="418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Diluted (loss) earnings per share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0.16</w:t>
            </w:r>
          </w:p>
        </w:tc>
      </w:tr>
      <w:tr>
        <w:trPr>
          <w:trHeight w:val="153"/>
        </w:trPr>
        <w:tc>
          <w:tcPr>
            <w:tcW w:w="41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 of common stock outstanding,</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26,379,943</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26,379,943</w:t>
            </w:r>
          </w:p>
        </w:tc>
      </w:tr>
      <w:tr>
        <w:trPr>
          <w:trHeight w:val="153"/>
        </w:trPr>
        <w:tc>
          <w:tcPr>
            <w:tcW w:w="41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 of common stock outstanding,</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26,379,943</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27,914,254</w:t>
            </w:r>
          </w:p>
        </w:tc>
      </w:tr>
    </w:tbl>
    <w:p>
      <w:pPr>
        <w:spacing w:after="0" w:line="152" w:lineRule="exact"/>
        <w:rPr>
          <w:sz w:val="20"/>
          <w:szCs w:val="20"/>
          <w:color w:val="auto"/>
        </w:rPr>
      </w:pPr>
    </w:p>
    <w:p>
      <w:pPr>
        <w:jc w:val="both"/>
        <w:ind w:left="260" w:hanging="257"/>
        <w:spacing w:after="0" w:line="208" w:lineRule="auto"/>
        <w:tabs>
          <w:tab w:leader="none" w:pos="2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Core basic earnings per share is calculated using the weighted-average number of shares of common stock outstanding during the period. Core diluted earnings per share also contemplates dilutive shares associated with equity-based awards and warrants as described in Note 2 and elsewhere in the Condensed Consolidated Interim Financial Statements filed with the Company’s Quarterly Report on Form 10-Q for the quarterly period ended June 30, 2022.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Investment Portfolio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(includes Non-GAAP Values)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9"/>
        </w:trPr>
        <w:tc>
          <w:tcPr>
            <w:tcW w:w="7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Shares of</w:t>
            </w:r>
          </w:p>
        </w:tc>
        <w:tc>
          <w:tcPr>
            <w:tcW w:w="280" w:type="dxa"/>
            <w:vAlign w:val="bottom"/>
          </w:tcPr>
          <w:p>
            <w:pPr>
              <w:spacing w:after="0"/>
              <w:rPr>
                <w:sz w:val="12"/>
                <w:szCs w:val="12"/>
                <w:color w:val="auto"/>
              </w:rPr>
            </w:pPr>
          </w:p>
        </w:tc>
        <w:tc>
          <w:tcPr>
            <w:tcW w:w="1180" w:type="dxa"/>
            <w:vAlign w:val="bottom"/>
          </w:tcPr>
          <w:p>
            <w:pPr>
              <w:jc w:val="center"/>
              <w:ind w:right="2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Management</w:t>
            </w:r>
          </w:p>
        </w:tc>
        <w:tc>
          <w:tcPr>
            <w:tcW w:w="120" w:type="dxa"/>
            <w:vAlign w:val="bottom"/>
          </w:tcPr>
          <w:p>
            <w:pPr>
              <w:spacing w:after="0"/>
              <w:rPr>
                <w:sz w:val="12"/>
                <w:szCs w:val="12"/>
                <w:color w:val="auto"/>
              </w:rPr>
            </w:pPr>
          </w:p>
        </w:tc>
      </w:tr>
      <w:tr>
        <w:trPr>
          <w:trHeight w:val="165"/>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Estimated</w:t>
            </w:r>
          </w:p>
        </w:tc>
      </w:tr>
      <w:tr>
        <w:trPr>
          <w:trHeight w:val="203"/>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156"/>
        </w:trPr>
        <w:tc>
          <w:tcPr>
            <w:tcW w:w="76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Eton Pharmaceuticals</w:t>
            </w:r>
          </w:p>
        </w:tc>
        <w:tc>
          <w:tcPr>
            <w:tcW w:w="2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1,982,000</w:t>
            </w:r>
          </w:p>
        </w:tc>
        <w:tc>
          <w:tcPr>
            <w:tcW w:w="3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5,192,840</w:t>
            </w: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Surface Ophthalmics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3,500,000</w:t>
            </w:r>
          </w:p>
        </w:tc>
        <w:tc>
          <w:tcPr>
            <w:tcW w:w="2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15,750,000</w:t>
            </w:r>
            <w:r>
              <w:rPr>
                <w:rFonts w:ascii="Times New Roman" w:cs="Times New Roman" w:eastAsia="Times New Roman" w:hAnsi="Times New Roman"/>
                <w:sz w:val="11"/>
                <w:szCs w:val="11"/>
                <w:color w:val="auto"/>
              </w:rPr>
              <w:t>(1)</w:t>
            </w:r>
          </w:p>
        </w:tc>
      </w:tr>
      <w:tr>
        <w:trPr>
          <w:trHeight w:val="165"/>
        </w:trPr>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Melt Pharmaceuticals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3,500,000</w:t>
            </w:r>
          </w:p>
        </w:tc>
        <w:tc>
          <w:tcPr>
            <w:tcW w:w="2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17,500,000</w:t>
            </w:r>
            <w:r>
              <w:rPr>
                <w:rFonts w:ascii="Times New Roman" w:cs="Times New Roman" w:eastAsia="Times New Roman" w:hAnsi="Times New Roman"/>
                <w:sz w:val="11"/>
                <w:szCs w:val="11"/>
                <w:color w:val="auto"/>
              </w:rPr>
              <w:t>(2)</w:t>
            </w:r>
          </w:p>
        </w:tc>
      </w:tr>
      <w:tr>
        <w:trPr>
          <w:trHeight w:val="176"/>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Melt Pharmaceuticals – Secured Loan + PIK</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3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3"/>
                <w:szCs w:val="13"/>
                <w:color w:val="auto"/>
              </w:rPr>
              <w:t>14,984,312</w:t>
            </w:r>
            <w:r>
              <w:rPr>
                <w:rFonts w:ascii="Times New Roman" w:cs="Times New Roman" w:eastAsia="Times New Roman" w:hAnsi="Times New Roman"/>
                <w:sz w:val="20"/>
                <w:szCs w:val="20"/>
                <w:color w:val="auto"/>
                <w:vertAlign w:val="superscript"/>
              </w:rPr>
              <w:t>(3)</w:t>
            </w:r>
          </w:p>
        </w:tc>
      </w:tr>
      <w:tr>
        <w:trPr>
          <w:trHeight w:val="176"/>
        </w:trPr>
        <w:tc>
          <w:tcPr>
            <w:tcW w:w="7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Estimated Total Value</w:t>
            </w: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53,427,152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2" w:lineRule="exact"/>
        <w:rPr>
          <w:sz w:val="20"/>
          <w:szCs w:val="20"/>
          <w:color w:val="auto"/>
        </w:rPr>
      </w:pPr>
    </w:p>
    <w:p>
      <w:pPr>
        <w:ind w:left="260" w:hanging="257"/>
        <w:spacing w:after="0" w:line="194" w:lineRule="auto"/>
        <w:tabs>
          <w:tab w:leader="none" w:pos="2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 non-GAAP value, calculated as the purchase and conversion price ($4.50) of the Series A-1 Preferred Stock (the most recent equity offering) multiplied by the number of common shares owned by Harrow at June 30, 2022.</w:t>
      </w:r>
    </w:p>
    <w:p>
      <w:pPr>
        <w:ind w:left="260" w:hanging="257"/>
        <w:spacing w:after="0" w:line="186" w:lineRule="auto"/>
        <w:tabs>
          <w:tab w:leader="none" w:pos="2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 non-GAAP value, calculated as the purchase and conversion price ($5.00) of the Series A Preferred Stock (the most recent equity offering) multiplied by the number of common shares owned by Harrow at June 30, 2022.</w:t>
      </w:r>
    </w:p>
    <w:p>
      <w:pPr>
        <w:ind w:left="260" w:hanging="257"/>
        <w:spacing w:after="0" w:line="186" w:lineRule="auto"/>
        <w:tabs>
          <w:tab w:leader="none" w:pos="2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the principal balance owed under the loan agreement including interest paid in kind (or PIK). In accordance with ASC 323, Harrow’s presentation of this loan receivable on its consolidated balance sheet is presented at its carry value less reductions in the carry value related to Harrow’s share of Melt equity losses.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2" w:name="page23"/>
    <w:bookmarkEnd w:id="22"/>
    <w:p>
      <w:pPr>
        <w:ind w:left="9300"/>
        <w:spacing w:after="0"/>
        <w:rPr>
          <w:sz w:val="20"/>
          <w:szCs w:val="20"/>
          <w:color w:val="auto"/>
        </w:rPr>
      </w:pPr>
      <w:r>
        <w:rPr>
          <w:rFonts w:ascii="Times New Roman" w:cs="Times New Roman" w:eastAsia="Times New Roman" w:hAnsi="Times New Roman"/>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211695" cy="4297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76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76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7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7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7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76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7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7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7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
      <w:numFmt w:val="bullet"/>
      <w:start w:val="1"/>
    </w:lvl>
    <w:lvl w:ilvl="1">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2022-08-09T17:17:57Z</dcterms:created>
  <dcterms:modified xsi:type="dcterms:W3CDTF">2022-08-09T17:17:57Z</dcterms:modified>
</cp:coreProperties>
</file>