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281305</wp:posOffset>
            </wp:positionV>
            <wp:extent cx="7141210" cy="400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337185</wp:posOffset>
            </wp:positionV>
            <wp:extent cx="71412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SECURITIES AND EXCHANGE COMMISSION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 INFORMATION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1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§240.14a-12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HARROW, INC.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3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below per Exchange Act Rules 14c-5(g)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142240</wp:posOffset>
            </wp:positionV>
            <wp:extent cx="71412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158750</wp:posOffset>
            </wp:positionV>
            <wp:extent cx="7141210" cy="40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462915</wp:posOffset>
            </wp:positionV>
            <wp:extent cx="7141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0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408940</wp:posOffset>
            </wp:positionV>
            <wp:extent cx="7200265" cy="9399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939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425450</wp:posOffset>
            </wp:positionV>
            <wp:extent cx="7200265" cy="97034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970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2026-04-24T15:37:15Z</dcterms:created>
  <dcterms:modified xsi:type="dcterms:W3CDTF">2026-04-24T15:37:15Z</dcterms:modified>
</cp:coreProperties>
</file>