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45"/>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left="5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5">
            <w:col w:w="2200" w:space="620"/>
            <w:col w:w="220" w:space="180"/>
            <w:col w:w="3980" w:space="720"/>
            <w:col w:w="1980" w:space="680"/>
            <w:col w:w="84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May 12, 2015, 9,551,026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6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6"/>
          </w:tcPr>
          <w:p>
            <w:pPr>
              <w:jc w:val="center"/>
              <w:ind w:right="276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shd w:val="clear" w:color="auto" w:fill="CCEEFF"/>
          </w:tcPr>
          <w:p>
            <w:pPr>
              <w:spacing w:after="0" w:line="136" w:lineRule="exact"/>
              <w:rPr>
                <w:sz w:val="20"/>
                <w:szCs w:val="20"/>
                <w:color w:val="auto"/>
              </w:rPr>
            </w:pPr>
            <w:r>
              <w:rPr>
                <w:rFonts w:ascii="Arial" w:cs="Arial" w:eastAsia="Arial" w:hAnsi="Arial"/>
                <w:sz w:val="15"/>
                <w:szCs w:val="15"/>
                <w:color w:val="auto"/>
              </w:rPr>
              <w:t>Part I</w:t>
            </w:r>
          </w:p>
        </w:tc>
        <w:tc>
          <w:tcPr>
            <w:tcW w:w="9840" w:type="dxa"/>
            <w:vAlign w:val="bottom"/>
            <w:gridSpan w:val="17"/>
            <w:shd w:val="clear" w:color="auto" w:fill="CCEEFF"/>
          </w:tcPr>
          <w:p>
            <w:pPr>
              <w:ind w:left="100"/>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560" w:type="dxa"/>
            <w:vAlign w:val="bottom"/>
            <w:tcBorders>
              <w:top w:val="single" w:sz="8" w:color="CCEEFF"/>
              <w:bottom w:val="single" w:sz="8" w:color="auto"/>
            </w:tcBorders>
            <w:gridSpan w:val="12"/>
          </w:tcPr>
          <w:p>
            <w:pPr>
              <w:jc w:val="center"/>
              <w:ind w:left="3170"/>
              <w:spacing w:after="0"/>
              <w:rPr>
                <w:sz w:val="20"/>
                <w:szCs w:val="20"/>
                <w:color w:val="auto"/>
              </w:rPr>
            </w:pPr>
            <w:r>
              <w:rPr>
                <w:rFonts w:ascii="Arial" w:cs="Arial" w:eastAsia="Arial" w:hAnsi="Arial"/>
                <w:sz w:val="18"/>
                <w:szCs w:val="18"/>
                <w:color w:val="auto"/>
                <w:w w:val="99"/>
              </w:rPr>
              <w:t>2</w:t>
            </w:r>
          </w:p>
        </w:tc>
        <w:tc>
          <w:tcPr>
            <w:tcW w:w="114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March 31,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December 31,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2,898</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Restricted 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4,608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9,375</w:t>
            </w:r>
          </w:p>
        </w:tc>
        <w:tc>
          <w:tcPr>
            <w:tcW w:w="3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ind w:left="156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1,145</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acquisition obligations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Contingent acquisition obligations, net of current portion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$0.001 par value, 90,000,000 shares authorized, 9,353,704 and 9,258,231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w w:val="95"/>
              </w:rPr>
              <w:t>shares issued and outstanding at March 31, 2015 and December 31, 2014, 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(44,958)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(41,865)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9,375</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March 31, 2014</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1,562</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2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(3,117</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8"/>
                <w:szCs w:val="18"/>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Weighted average number of shares of common stock outstanding, basic and diluted</w:t>
            </w:r>
          </w:p>
        </w:tc>
        <w:tc>
          <w:tcPr>
            <w:tcW w:w="2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9,337,275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9,010,602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March 31, 2015</w:t>
            </w:r>
          </w:p>
        </w:tc>
        <w:tc>
          <w:tcPr>
            <w:tcW w:w="180" w:type="dxa"/>
            <w:vAlign w:val="bottom"/>
          </w:tcPr>
          <w:p>
            <w:pPr>
              <w:spacing w:after="0"/>
              <w:rPr>
                <w:sz w:val="20"/>
                <w:szCs w:val="20"/>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(3,093)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22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obligations</w:t>
            </w:r>
          </w:p>
        </w:tc>
        <w:tc>
          <w:tcPr>
            <w:tcW w:w="220" w:type="dxa"/>
            <w:vAlign w:val="bottom"/>
          </w:tcPr>
          <w:p>
            <w:pPr>
              <w:spacing w:after="0"/>
              <w:rPr>
                <w:sz w:val="18"/>
                <w:szCs w:val="18"/>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9"/>
                <w:szCs w:val="19"/>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60" w:type="dxa"/>
            <w:vAlign w:val="bottom"/>
            <w:tcBorders>
              <w:top w:val="single" w:sz="8" w:color="CCEEFF"/>
              <w:bottom w:val="single" w:sz="8" w:color="CCEEFF"/>
              <w:right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Park Compounding, net of cash acquired</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w:t>
            </w: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Cash advances to Pharmacy Creations, LLC</w:t>
            </w:r>
          </w:p>
        </w:tc>
        <w:tc>
          <w:tcPr>
            <w:tcW w:w="22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furniture and equipment</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96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9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960" w:type="dxa"/>
            <w:vAlign w:val="bottom"/>
          </w:tcPr>
          <w:p>
            <w:pPr>
              <w:jc w:val="right"/>
              <w:spacing w:after="0" w:line="203" w:lineRule="exact"/>
              <w:rPr>
                <w:sz w:val="20"/>
                <w:szCs w:val="20"/>
                <w:color w:val="auto"/>
              </w:rPr>
            </w:pPr>
            <w:r>
              <w:rPr>
                <w:rFonts w:ascii="Arial" w:cs="Arial" w:eastAsia="Arial" w:hAnsi="Arial"/>
                <w:sz w:val="18"/>
                <w:szCs w:val="18"/>
                <w:color w:val="auto"/>
              </w:rPr>
              <w:t>(3,033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980" w:type="dxa"/>
            <w:vAlign w:val="bottom"/>
          </w:tcPr>
          <w:p>
            <w:pPr>
              <w:jc w:val="right"/>
              <w:spacing w:after="0" w:line="203" w:lineRule="exact"/>
              <w:rPr>
                <w:sz w:val="20"/>
                <w:szCs w:val="20"/>
                <w:color w:val="auto"/>
              </w:rPr>
            </w:pPr>
            <w:r>
              <w:rPr>
                <w:rFonts w:ascii="Arial" w:cs="Arial" w:eastAsia="Arial" w:hAnsi="Arial"/>
                <w:sz w:val="18"/>
                <w:szCs w:val="18"/>
                <w:color w:val="auto"/>
              </w:rPr>
              <w:t>(51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Payments on capital lease obligation</w:t>
            </w:r>
          </w:p>
        </w:tc>
        <w:tc>
          <w:tcPr>
            <w:tcW w:w="220" w:type="dxa"/>
            <w:vAlign w:val="bottom"/>
          </w:tcPr>
          <w:p>
            <w:pPr>
              <w:spacing w:after="0"/>
              <w:rPr>
                <w:sz w:val="18"/>
                <w:szCs w:val="18"/>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deferred financing costs</w:t>
            </w:r>
          </w:p>
        </w:tc>
        <w:tc>
          <w:tcPr>
            <w:tcW w:w="22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220" w:type="dxa"/>
            <w:vAlign w:val="bottom"/>
          </w:tcPr>
          <w:p>
            <w:pPr>
              <w:spacing w:after="0"/>
              <w:rPr>
                <w:sz w:val="19"/>
                <w:szCs w:val="19"/>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CCEEFF"/>
              <w:bottom w:val="single" w:sz="8" w:color="CCEEFF"/>
              <w:right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Arial" w:cs="Arial" w:eastAsia="Arial" w:hAnsi="Arial"/>
                <w:sz w:val="18"/>
                <w:szCs w:val="18"/>
                <w:color w:val="auto"/>
              </w:rPr>
              <w:t>(5,313)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Arial" w:cs="Arial" w:eastAsia="Arial" w:hAnsi="Arial"/>
                <w:sz w:val="18"/>
                <w:szCs w:val="18"/>
                <w:color w:val="auto"/>
              </w:rPr>
              <w:t>(1,378)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20"/>
                <w:szCs w:val="20"/>
                <w:color w:val="auto"/>
              </w:rPr>
            </w:pPr>
          </w:p>
        </w:tc>
        <w:tc>
          <w:tcPr>
            <w:tcW w:w="2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8,211</w:t>
            </w:r>
          </w:p>
        </w:tc>
        <w:tc>
          <w:tcPr>
            <w:tcW w:w="180" w:type="dxa"/>
            <w:vAlign w:val="bottom"/>
            <w:shd w:val="clear" w:color="auto" w:fill="CCEEFF"/>
          </w:tcPr>
          <w:p>
            <w:pPr>
              <w:spacing w:after="0"/>
              <w:rPr>
                <w:sz w:val="20"/>
                <w:szCs w:val="20"/>
                <w:color w:val="auto"/>
              </w:rPr>
            </w:pPr>
          </w:p>
        </w:tc>
        <w:tc>
          <w:tcPr>
            <w:tcW w:w="1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w:t>
            </w:r>
          </w:p>
        </w:tc>
        <w:tc>
          <w:tcPr>
            <w:tcW w:w="3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14,201</w:t>
            </w: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Cash paid for interest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SUPPLEMENTAL DISCLOSURES OF NON-CASH INVESTING AND</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stock options for consulting services included in accounts payable and</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32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vMerge w:val="continue"/>
            <w:shd w:val="clear" w:color="auto" w:fill="CCEEFF"/>
          </w:tcPr>
          <w:p>
            <w:pPr>
              <w:spacing w:after="0"/>
              <w:rPr>
                <w:sz w:val="18"/>
                <w:szCs w:val="18"/>
                <w:color w:val="auto"/>
              </w:rPr>
            </w:pPr>
          </w:p>
        </w:tc>
        <w:tc>
          <w:tcPr>
            <w:tcW w:w="232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4"/>
              </w:rPr>
              <w:t>Issuance of common stock and fair value of deferred acquisition obligations related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vMerge w:val="continue"/>
          </w:tcPr>
          <w:p>
            <w:pPr>
              <w:spacing w:after="0"/>
              <w:rPr>
                <w:sz w:val="13"/>
                <w:szCs w:val="13"/>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2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966</w:t>
            </w:r>
          </w:p>
        </w:tc>
        <w:tc>
          <w:tcPr>
            <w:tcW w:w="180" w:type="dxa"/>
            <w:vAlign w:val="bottom"/>
            <w:vMerge w:val="restart"/>
          </w:tcPr>
          <w:p>
            <w:pPr>
              <w:jc w:val="right"/>
              <w:ind w:right="70"/>
              <w:spacing w:after="0"/>
              <w:rPr>
                <w:sz w:val="20"/>
                <w:szCs w:val="20"/>
                <w:color w:val="auto"/>
              </w:rPr>
            </w:pPr>
            <w:r>
              <w:rPr>
                <w:rFonts w:ascii="Arial" w:cs="Arial" w:eastAsia="Arial" w:hAnsi="Arial"/>
                <w:sz w:val="10"/>
                <w:szCs w:val="10"/>
                <w:color w:val="auto"/>
                <w:w w:val="71"/>
              </w:rPr>
              <w:t>$</w:t>
            </w: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the purchase of Park Compounding</w:t>
            </w:r>
          </w:p>
        </w:tc>
        <w:tc>
          <w:tcPr>
            <w:tcW w:w="220" w:type="dxa"/>
            <w:vAlign w:val="bottom"/>
            <w:vMerge w:val="continue"/>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focused on developing and commercializing innovative and high quality proprietary compounded drug therapies and making these therapies available to physicians and patients at accessible prices. The Company owns, markets and sells a portfolio of proprietary combination formulations in ophthalmology and urology that it believes may offer competitive advantages and serve unmet needs in the marketplace. The Company’s ophthalmology formulation portfolio, led by its Dropless Therapy™ and LessDrops™ formulations, serves the multi-billion dollar eye drop market and is designed to address patient compliance issues and provide other medical and economic benefits to physicians and patients. The Company recently launched its urology business, headed by its Defeat IC™ campaign, which currently includes a patented compounded formulation for patients suffering from interstitial cystitis. The Company is also developing additional complementary proprietary compounded formulations to add to its ophthalmology and urology formulation portfolios. The Company makes, dispenses and sells its proprietary compounded formulations, as well as other non-proprietary products, through its wholly owned compounding pharmacies.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the Company acquired Pharmacy Creations, LLC (“PC”), a New Jersey based compounding pharmacy and on January 1, 2015, the Company acquired South Coast Specialty Compounding, Inc. D/B/A Park Compounding (“Park”), a California based compounding pharmacy. Effective with the acquisition of PC, the Company commenced sales and marketing efforts for Imprimis’ portfolio of proprietary and non-proprietary compounded drug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2015 are not necessarily indicative of the results that may be expected for the year ending December 31, 2015 or for any other period. For further information, refer to the Company’s audited consolidated financial statements and footnotes thereto included in the Company’s Annual Report on Form 10-K for the year ended December 31,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The Company incurred net losses of approximately $3,093 and $2,325 for the three months ended March 31, 2015 and 2014, respectively, and had an accumulated deficit of approximately $44,958 and $41,865 as of March 31, 2015 and December 31, 2014, respectively. In addition, the Company used cash in operating activities of approximately $2,275 and $1,676 for the three months ended March 31, 2015 and 2014,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2015, the Company entered into a loan agreement (the “LSAF Agreement”) with Life Science Alternative Funding, in which the Company received net proceeds of $9,684 (see Note 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From April 1, 2015 through the filing date of this Quarterly Report, the Company received $1,169 in proceeds from warrant exercises (see Note 12).</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there is no assurance, we believe that cash and cash equivalents and restricted investments of approximately $3,048 at March 31, 2015, together with the proceeds described above and expected revenues and expenses, will be sufficient to sustain our planned level of operations for at least the next twelve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2015 to the significant accounting policies described in the Company’s Annual Report on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March 31, 2015, the Company had approximately $2,648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$166 and $4 as of March 31, 2015 and December 31, 2014,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 sales of certain of the Company’s proprietary compounded drug formulations and certain non-proprietary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development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statements of operations, financial position and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condensed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condensed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 and 2014, the Company did not recognize any impairment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2015 and December 31, 2014, the Company did not have any financial assets or liabilities that are measured on a recurring basis. At March 31, 2015 and December 31, 2014, the Company’s financial instruments included cash and cash equivalents, restricted short-term investments, accounts receivable, accounts payable and accrued expenses, accrued payroll and related liabilities, customer deposits, deferred acquisition obligations and capital leases. The carrying amount of these financial instruments, except for the restricted short-term investments, deferred acquisition obligations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and capital leases approximate their respective fair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 Total billing and collection management expense under this agreement for the three months ended March 31, 2015 was $6, and is included in selling and marketing expenses in the accompanying condensed consolidated statement of operations. The amount due under the agreement as of March 31, 2015 was $95.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the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provisions of FASB Accounting Standards Codification (“ASC”) 740, “Income Taxes”, or ASC 740. As of March 31, 2015,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March 31, 2015 or December 31, 2014, and has not recognized interest and/or penalties in the condensed consolidated statements of operations for the periods ended March 31, 2015 and 2014. The Company is subject to taxation in the United States and California. The Company’s tax years since 2000 are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RSUs and warrants were 3,339,496 and 3,380,095 at March 31, 2015 and 2014, respectively, and are excluded from the calculation of diluted net loss per share for all periods presented because the effect is anti-dilutive. Common stock equivalents at March 31, 2015 included 23,665 shares of common stock underlying RSUs awarded to directors that had vested, but the issuance and delivery of these shares are deferred until the director resigns.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and diluted net loss per share of common stock for the three months ended March 31, 2015 and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31, 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31, 2014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Denominator – weighted average number of shares</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3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outstanding, basic and diluted</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9,337,275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9,010,602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and valuation of stock-based compensation issued to employees and non-employees.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prior period items and amounts have been reclassified to conform to the classifications used to prepare the condensed consolidated financial statements for the period ended March 31, 2015. The Company has classified in these financial statements certain expenses as selling and marketing, whereas in prior periods certain of these expenses were included in an expense line item titled selling, general and administrative in the condensed consolidated statements of operations. These reclassifications had no material impact on the Company’s financial position, results of operations or cash flows as previously reported.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2015, the FASB issued Accounting Standard Update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This update requires capitalized debt issuance costs to be classified as a reduction to the carrying value of debt rather than a deferred charge, as is currently required. This update will be effective for the Company for all annual and interim periods beginning after December 15, 2015 and is required to be adopted retroactively for all periods presented, and early adoption is permitted. The Company is currently evaluating the expected impact of this new accounting standard on its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April 2015, the FASB proposed a one-year deferral of the effective date of this updated guidance for public entities and others. The comment deadline for the one-year deferral period is May 29, 2015. The Company is currently evaluating the expected impact of this new accounting standard on its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Park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membership interests of Park (the “Park Acquisition”) from its previous owners (the “Sellers”), such that Park became a wholly owned subsidiary of the Company. The acquisition of Park permits the Company to further make and distribute its patent-pending proprietary drug formulations and other novel pharmaceutical solutions and introduces the Company to new geographic and compounded formulation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Park have been included in the Company’s condensed consolidated financial statements for the period subsequent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closing of the Park Acquisition, the Company paid to the Sellers an aggregate cash purchase price of $3,000, net of fees and expenses, which is subject to adjustment based on the final calculation of Park’s working capital and certain other financial information, and a $100 payment for cash remaining in a Park bank account, and we issued to the Sellers 63,525 shares of the Company’s restricted common stock, valued at $500 based on the average closing price of the Company’s common stock for the 10 trading days preceding the closing. In addition, the Company is obligated to make 12 quarterly cash payments to the Sellers collectively of $53 each over the three years following the closing of the Park Acquisition, totaling $638; provided that the Sellers will have the option to receive the last six of such payments, totaling up to an aggregate of $319, in the form of 6,749 shares of the Company’s common stock for each such payment. The convertible features of the deferred consideration provide for a rate of conversion that is at market value, and as a result no value was attributed to the conversion feature.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applied a discount rate of 25% to the restricted common stock issued at the closing of the Park Acquisition due to a lack of marketability of such shares as a result of certain restrictions on their transfer. The total acquisition date fair value of the consideration transferred and to be transferred is estimated at approximately $4,066.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$591 liability was recognized for the estimated acquisition date fair value of the deferred consideration and is included in the deferred acquisition obligations in the accompanying condensed consolidated balance sheet at March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acquisition date fair value of consideration transferred and to be transferred is estimated as follows: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980" w:type="dxa"/>
            <w:vAlign w:val="bottom"/>
            <w:gridSpan w:val="2"/>
            <w:shd w:val="clear" w:color="auto" w:fill="CCEEFF"/>
          </w:tcPr>
          <w:p>
            <w:pPr>
              <w:jc w:val="right"/>
              <w:ind w:right="8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Restricted common stock issuance to Sellers at closing</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consideration to Sellers</w:t>
            </w: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780" w:type="dxa"/>
            <w:vAlign w:val="bottom"/>
            <w:gridSpan w:val="2"/>
          </w:tcPr>
          <w:p>
            <w:pPr>
              <w:spacing w:after="0" w:line="203" w:lineRule="exact"/>
              <w:rPr>
                <w:sz w:val="20"/>
                <w:szCs w:val="20"/>
                <w:color w:val="auto"/>
              </w:rPr>
            </w:pPr>
            <w:r>
              <w:rPr>
                <w:rFonts w:ascii="Arial" w:cs="Arial" w:eastAsia="Arial" w:hAnsi="Arial"/>
                <w:sz w:val="18"/>
                <w:szCs w:val="18"/>
                <w:color w:val="auto"/>
              </w:rPr>
              <w:t>Total acquisition date fair value</w:t>
            </w: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ectPr>
          <w:pgSz w:w="11900" w:h="16838" w:orient="portrait"/>
          <w:cols w:equalWidth="0" w:num="1">
            <w:col w:w="11420"/>
          </w:cols>
          <w:pgMar w:left="240" w:top="688" w:right="2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Furniture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identifiable assets acquired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identifiable assets less liabilities assumed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7"/>
        </w:trPr>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r>
      <w:tr>
        <w:trPr>
          <w:trHeight w:val="202"/>
        </w:trPr>
        <w:tc>
          <w:tcPr>
            <w:tcW w:w="9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3,603</w:t>
            </w:r>
          </w:p>
        </w:tc>
      </w:tr>
      <w:tr>
        <w:trPr>
          <w:trHeight w:val="230"/>
        </w:trPr>
        <w:tc>
          <w:tcPr>
            <w:tcW w:w="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7"/>
        </w:trPr>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02"/>
        </w:trPr>
        <w:tc>
          <w:tcPr>
            <w:tcW w:w="9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3,264</w:t>
            </w:r>
          </w:p>
        </w:tc>
      </w:tr>
      <w:tr>
        <w:trPr>
          <w:trHeight w:val="230"/>
        </w:trPr>
        <w:tc>
          <w:tcPr>
            <w:tcW w:w="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00" w:space="720"/>
            <w:col w:w="3500"/>
          </w:cols>
          <w:pgMar w:left="240" w:top="688" w:right="239" w:bottom="1440" w:gutter="0" w:footer="0" w:header="0"/>
          <w:type w:val="continuous"/>
        </w:sectPr>
      </w:pP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adjustments made herein and the allocation of purchase price is preliminary. The final allocation will be based on estimates and appraisals that will be finalized within one year of the closing of the Park Acquisition and based on the Company’s final evaluation of Park’s assets and liabilities, including both tangible and intangible assets. The final allocation of purchase price and the resulting effect on net income (loss) may differ from the amounts included herein. If the Company’s final purchase price allocation differs from the allocation used in preparing these condensed consolidated financial statements, the Company’s tangible and intangible assets and net loss could be higher or lower than the amounts presented in these condensed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revenues and net loss of Park included in the Company’s condensed consolidated statement of operations from the acquisition date through the period ended March 31, 2015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80" w:type="dxa"/>
            <w:vAlign w:val="bottom"/>
            <w:gridSpan w:val="2"/>
            <w:shd w:val="clear" w:color="auto" w:fill="CCEEFF"/>
          </w:tcPr>
          <w:p>
            <w:pPr>
              <w:jc w:val="right"/>
              <w:ind w:right="8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Park. In determining the fair value of the intangible assets, the Company considered, among other factors, the best use of the acquired assets, analyses of historical financial performance of Park and estimates of future performance of Park. The fair values of the identified intangible assets related to Park’s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Fair Value</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Useful 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CEEFF"/>
          </w:tcPr>
          <w:p>
            <w:pPr>
              <w:jc w:val="right"/>
              <w:ind w:right="139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Trade name</w:t>
            </w: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 pharmacy licenses</w:t>
            </w:r>
          </w:p>
        </w:tc>
        <w:tc>
          <w:tcPr>
            <w:tcW w:w="15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9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4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determined the useful lives of intangible assets based on the expected future cash flows and contractual life associated with the respective assets. Trade names represent the fair value of the brand and name recognition associated with the marketing of Park’s formulations and services. Customer relationships represent the expected future benefit from contracts and relationships which, at the date of acquisition, were reasonably anticipated to continue given the history and operating practices of Park. The non-competition clause represents the contractual period and expected degree of adverse economic impact that would exist in its absence. Licenses represent twelve state pharmacy licenses Park held at the date of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for the Park Acquisition, $802 was allocated to goodwill and is attributable to expected synergies between the combined companies, including access for the Company to fulfill prescriptions with its patent-pending proprietary drug formulations through Park’s market channels and assembled workforce. Goodwill represents the excess of the purchase price of the acquired business over the fair value of the underlying net tangible and intangible assets acquired.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 of PC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the Company completed the acquisition of PC. The Company has included the financial results of PC in its condensed consolidated financial statements from the date of acquisition. The total purchase price for PC was approximately $1,115, which consisted of approximately $600 in cash payments and $515 in contingent consideration. The Company has recorded $124 of net tangible assets less liabilities, $659 of identifiable intangible assets, and $332 of goodwill in connection with such acquisition.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Company’s unaudited pro forma results (including Park and PC) for the three months ended March 31, 2014, as though the companies had been combined as of the beginning of the period presented. The pro forma information is presented for informational purposes only and is not indicative of the results of operations that would have been achieved if the acquisitions had taken place at the beginning of the period presented, nor is it indicative of results of operations which may occur in the future. The unaudited pro forma results presented include amortization charges for intangible assets, interest charges and eliminations of intercompany transactions.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2014</w:t>
            </w:r>
          </w:p>
        </w:tc>
      </w:tr>
      <w:tr>
        <w:trPr>
          <w:trHeight w:val="236"/>
        </w:trPr>
        <w:tc>
          <w:tcPr>
            <w:tcW w:w="20" w:type="dxa"/>
            <w:vAlign w:val="bottom"/>
          </w:tcPr>
          <w:p>
            <w:pPr>
              <w:spacing w:after="0"/>
              <w:rPr>
                <w:sz w:val="20"/>
                <w:szCs w:val="20"/>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approximately $151 in acquisition expenses related to the Park Acquisition, and did not incur material acquisition expenses related to the PC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SHORT-TERM INVESTMENTS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investments at March 31, 2015 and December 31, 2014 consist of certificates of deposit, which are classified as held-to-maturity. At March 31, 2015 and December 31, 2014, the restricted short-term investments were recorded at amortized cost, which approximates fair value.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2015 and December 31, 2014, the certificates of deposit of $150 were classified as a current asset. These certificates of deposit are required as collateral under the Company’s corporate credit card agreement and additional security for the Company’s office space lease, and they automatically renew every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comprised of over-the-counter retail pharmacy products, commercial pharmaceutical products, related laboratory supplies and active pharmaceutical ingredients. The composition of inventories as of March 31, 2015 and December 31, 2014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b w:val="1"/>
                <w:bCs w:val="1"/>
                <w:color w:val="auto"/>
              </w:rPr>
              <w:t>March 31, 2015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80" w:type="dxa"/>
            <w:vAlign w:val="bottom"/>
            <w:gridSpan w:val="2"/>
            <w:shd w:val="clear" w:color="auto" w:fill="CCEEFF"/>
          </w:tcPr>
          <w:p>
            <w:pPr>
              <w:jc w:val="right"/>
              <w:ind w:right="15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60" w:type="dxa"/>
            <w:vAlign w:val="bottom"/>
          </w:tcPr>
          <w:p>
            <w:pPr>
              <w:spacing w:after="0"/>
              <w:rPr>
                <w:sz w:val="18"/>
                <w:szCs w:val="18"/>
                <w:color w:val="auto"/>
              </w:rPr>
            </w:pPr>
          </w:p>
        </w:tc>
        <w:tc>
          <w:tcPr>
            <w:tcW w:w="1720" w:type="dxa"/>
            <w:vAlign w:val="bottom"/>
            <w:tcBorders>
              <w:bottom w:val="single" w:sz="8" w:color="auto"/>
            </w:tcBorders>
          </w:tcPr>
          <w:p>
            <w:pPr>
              <w:jc w:val="right"/>
              <w:ind w:right="155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PREPAID EXPENSES AND OTHER CURRENT ASSETS</w:t>
            </w: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w w:val="98"/>
              </w:rPr>
              <w:t>Prepaid expenses and other current assets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b w:val="1"/>
                <w:bCs w:val="1"/>
                <w:color w:val="auto"/>
              </w:rPr>
              <w:t>March 31, 2015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980" w:type="dxa"/>
            <w:vAlign w:val="bottom"/>
            <w:gridSpan w:val="2"/>
            <w:shd w:val="clear" w:color="auto" w:fill="CCEEFF"/>
          </w:tcPr>
          <w:p>
            <w:pPr>
              <w:jc w:val="right"/>
              <w:ind w:right="15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 current assets</w:t>
            </w:r>
          </w:p>
        </w:tc>
        <w:tc>
          <w:tcPr>
            <w:tcW w:w="26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5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557"/>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NOTE 7. INTANGIBLE ASSETS AND GOODWILL</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gridSpan w:val="5"/>
          </w:tcPr>
          <w:p>
            <w:pPr>
              <w:spacing w:after="0"/>
              <w:rPr>
                <w:sz w:val="20"/>
                <w:szCs w:val="20"/>
                <w:color w:val="auto"/>
              </w:rPr>
            </w:pPr>
            <w:r>
              <w:rPr>
                <w:rFonts w:ascii="Arial" w:cs="Arial" w:eastAsia="Arial" w:hAnsi="Arial"/>
                <w:sz w:val="18"/>
                <w:szCs w:val="18"/>
                <w:color w:val="auto"/>
                <w:w w:val="92"/>
              </w:rPr>
              <w:t>The Company’s intangible assets at March 31, 2015 consisted of the following:</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Accumulated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Net</w:t>
            </w:r>
          </w:p>
        </w:tc>
      </w:tr>
      <w:tr>
        <w:trPr>
          <w:trHeight w:val="237"/>
        </w:trPr>
        <w:tc>
          <w:tcPr>
            <w:tcW w:w="1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amortization</w:t>
            </w:r>
          </w:p>
        </w:tc>
        <w:tc>
          <w:tcPr>
            <w:tcW w:w="300" w:type="dxa"/>
            <w:vAlign w:val="bottom"/>
          </w:tcPr>
          <w:p>
            <w:pPr>
              <w:spacing w:after="0"/>
              <w:rPr>
                <w:sz w:val="20"/>
                <w:szCs w:val="20"/>
                <w:color w:val="auto"/>
              </w:rPr>
            </w:pPr>
          </w:p>
        </w:tc>
        <w:tc>
          <w:tcPr>
            <w:tcW w:w="1620" w:type="dxa"/>
            <w:vAlign w:val="bottom"/>
            <w:gridSpan w:val="4"/>
          </w:tcPr>
          <w:p>
            <w:pPr>
              <w:jc w:val="center"/>
              <w:ind w:right="420"/>
              <w:spacing w:after="0"/>
              <w:rPr>
                <w:sz w:val="20"/>
                <w:szCs w:val="20"/>
                <w:color w:val="auto"/>
              </w:rPr>
            </w:pPr>
            <w:r>
              <w:rPr>
                <w:rFonts w:ascii="Arial" w:cs="Arial" w:eastAsia="Arial" w:hAnsi="Arial"/>
                <w:sz w:val="18"/>
                <w:szCs w:val="18"/>
                <w:color w:val="auto"/>
                <w:w w:val="92"/>
              </w:rPr>
              <w:t>carrying value</w:t>
            </w: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 years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State pharmacy licenses</w:t>
            </w: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600" w:type="dxa"/>
            <w:vAlign w:val="bottom"/>
            <w:gridSpan w:val="8"/>
          </w:tcPr>
          <w:p>
            <w:pPr>
              <w:spacing w:after="0"/>
              <w:rPr>
                <w:sz w:val="20"/>
                <w:szCs w:val="20"/>
                <w:color w:val="auto"/>
              </w:rPr>
            </w:pPr>
            <w:r>
              <w:rPr>
                <w:rFonts w:ascii="Arial" w:cs="Arial" w:eastAsia="Arial" w:hAnsi="Arial"/>
                <w:sz w:val="18"/>
                <w:szCs w:val="18"/>
                <w:color w:val="auto"/>
                <w:w w:val="92"/>
              </w:rPr>
              <w:t>Amortization expense for intangible assets for the three months ended March 31, 2015 was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left="614"/>
              <w:spacing w:after="0"/>
              <w:rPr>
                <w:sz w:val="20"/>
                <w:szCs w:val="20"/>
                <w:color w:val="auto"/>
              </w:rPr>
            </w:pPr>
            <w:r>
              <w:rPr>
                <w:rFonts w:ascii="Arial" w:cs="Arial" w:eastAsia="Arial" w:hAnsi="Arial"/>
                <w:sz w:val="18"/>
                <w:szCs w:val="18"/>
                <w:color w:val="auto"/>
                <w:w w:val="87"/>
              </w:rPr>
              <w:t>For the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3"/>
          </w:tcPr>
          <w:p>
            <w:pPr>
              <w:jc w:val="center"/>
              <w:ind w:left="294"/>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8"/>
                <w:szCs w:val="18"/>
                <w:color w:val="auto"/>
                <w:w w:val="91"/>
              </w:rPr>
              <w:t>March 31, 2015</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7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Trade name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 pharmacy licenses</w:t>
            </w:r>
          </w:p>
        </w:tc>
        <w:tc>
          <w:tcPr>
            <w:tcW w:w="18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74"/>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2015 is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1260" w:type="dxa"/>
            <w:vAlign w:val="bottom"/>
            <w:tcBorders>
              <w:top w:val="single" w:sz="8" w:color="CCEEFF"/>
            </w:tcBorders>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three months ended March 31, 2015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426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 of Park (see Note 3)</w:t>
            </w:r>
          </w:p>
        </w:tc>
        <w:tc>
          <w:tcPr>
            <w:tcW w:w="31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3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180" w:type="dxa"/>
            <w:vAlign w:val="bottom"/>
            <w:vMerge w:val="restart"/>
          </w:tcPr>
          <w:p>
            <w:pPr>
              <w:jc w:val="right"/>
              <w:ind w:right="1850"/>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NOTE 8. ACCOUNTS PAYABLE AND ACCRUED EXPENSES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Building lease liability</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0"/>
                <w:szCs w:val="20"/>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 and accounts payable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The obligations were discounted based on current prevailing market rates.</w:t>
      </w:r>
    </w:p>
    <w:p>
      <w:pPr>
        <w:spacing w:after="0" w:line="18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consists of a $39 stock-based compensation accrual at December 31, 2014 related to stock options granted for consulting services provided. The stock options were granted during the three months ended March 31, 2015 and the $39 was recorded to additional paid-in-capital.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January 2015, the Company issued 63,525 shares of restricted common stock, valued at $375, in connection with the Park Acquisition (see Note 3).</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issued 8,521 shares of its common stock in connection with RSUs that had been awarded to a non-employee director and had vested, but were not issued and settled until the resignation of the director on January 1, 2015.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2015, 4,968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2015, the Company issued a total of 23,427 shares of common stock as a result of warrant exercises. Of these, the Company received gross cash proceeds of $77 for the issuance of 12,658 shares of common stock upon the exercise on a cash basis of warrants to purchase the same number of shares of common stock with an exercise price of $5.925, and the Company received no cash proceeds for the issuance of 10,769 shares of common stock upon the exercise pursuant to cashless exercise provisions of warrants to purchase 30,000 shares of common stock with an exercise price of $5.25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2015,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March 31, 2015,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gridSpan w:val="7"/>
          </w:tcPr>
          <w:p>
            <w:pPr>
              <w:spacing w:after="0"/>
              <w:rPr>
                <w:sz w:val="20"/>
                <w:szCs w:val="20"/>
                <w:color w:val="auto"/>
              </w:rPr>
            </w:pPr>
            <w:r>
              <w:rPr>
                <w:rFonts w:ascii="Arial" w:cs="Arial" w:eastAsia="Arial" w:hAnsi="Arial"/>
                <w:sz w:val="18"/>
                <w:szCs w:val="18"/>
                <w:color w:val="auto"/>
                <w:w w:val="91"/>
              </w:rPr>
              <w:t>A summary of stock option activity under the Plan for the three months ended March 31, 2015 is as follows:</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 Avg.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Weighted Avg.</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Exercise Price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Intrinsic Value</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2015</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1,029,240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Options granted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114,673</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7.42</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cancelled/forfeit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1,143,913</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5.40</w:t>
            </w: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5.00</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line="20" w:lineRule="exact"/>
              <w:rPr>
                <w:sz w:val="1"/>
                <w:szCs w:val="1"/>
                <w:color w:val="auto"/>
              </w:rPr>
            </w:pPr>
          </w:p>
        </w:tc>
      </w:tr>
      <w:tr>
        <w:trPr>
          <w:trHeight w:val="237"/>
        </w:trPr>
        <w:tc>
          <w:tcPr>
            <w:tcW w:w="390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786,323</w:t>
            </w:r>
          </w:p>
        </w:tc>
        <w:tc>
          <w:tcPr>
            <w:tcW w:w="1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gridSpan w:val="2"/>
            <w:vMerge w:val="continue"/>
          </w:tcPr>
          <w:p>
            <w:pPr>
              <w:spacing w:after="0"/>
              <w:rPr>
                <w:sz w:val="20"/>
                <w:szCs w:val="20"/>
                <w:color w:val="auto"/>
              </w:rPr>
            </w:pPr>
          </w:p>
        </w:tc>
        <w:tc>
          <w:tcPr>
            <w:tcW w:w="178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gridSpan w:val="2"/>
            <w:vMerge w:val="continue"/>
          </w:tcPr>
          <w:p>
            <w:pPr>
              <w:spacing w:after="0"/>
              <w:rPr>
                <w:sz w:val="20"/>
                <w:szCs w:val="20"/>
                <w:color w:val="auto"/>
              </w:rPr>
            </w:pPr>
          </w:p>
        </w:tc>
        <w:tc>
          <w:tcPr>
            <w:tcW w:w="340" w:type="dxa"/>
            <w:vAlign w:val="bottom"/>
            <w:tcBorders>
              <w:bottom w:val="single" w:sz="8" w:color="CCEEFF"/>
            </w:tcBorders>
            <w:gridSpan w:val="2"/>
            <w:vMerge w:val="continue"/>
          </w:tcPr>
          <w:p>
            <w:pPr>
              <w:spacing w:after="0"/>
              <w:rPr>
                <w:sz w:val="20"/>
                <w:szCs w:val="20"/>
                <w:color w:val="auto"/>
              </w:rPr>
            </w:pPr>
          </w:p>
        </w:tc>
        <w:tc>
          <w:tcPr>
            <w:tcW w:w="15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1,108,154</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25"/>
              <w:spacing w:after="0" w:line="190"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60"/>
              <w:spacing w:after="0" w:line="190" w:lineRule="exact"/>
              <w:rPr>
                <w:sz w:val="20"/>
                <w:szCs w:val="20"/>
                <w:color w:val="auto"/>
              </w:rPr>
            </w:pPr>
            <w:r>
              <w:rPr>
                <w:rFonts w:ascii="Arial" w:cs="Arial" w:eastAsia="Arial" w:hAnsi="Arial"/>
                <w:sz w:val="18"/>
                <w:szCs w:val="18"/>
                <w:color w:val="auto"/>
              </w:rPr>
              <w:t>5.87</w:t>
            </w:r>
          </w:p>
        </w:tc>
        <w:tc>
          <w:tcPr>
            <w:tcW w:w="17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6.13</w:t>
            </w:r>
          </w:p>
        </w:tc>
        <w:tc>
          <w:tcPr>
            <w:tcW w:w="340" w:type="dxa"/>
            <w:vAlign w:val="bottom"/>
            <w:tcBorders>
              <w:bottom w:val="single" w:sz="8" w:color="CCEEFF"/>
            </w:tcBorders>
            <w:gridSpan w:val="2"/>
            <w:shd w:val="clear" w:color="auto" w:fill="CCEEFF"/>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2015, based on the closing price of the Company’s common stock of $7.99 on that date.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March 31, 2015,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2015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5.81 - 6.11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106 - 121%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1.62 - 1.64%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Options Outstanding</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ind w:left="80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2"/>
              </w:rPr>
              <w:t>Weighted</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Weighted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Range of Exercise Prices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9"/>
                <w:szCs w:val="19"/>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Life in Years</w:t>
            </w: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Price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$ 2.40</w:t>
            </w: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$ 3.60</w:t>
            </w:r>
          </w:p>
        </w:tc>
        <w:tc>
          <w:tcPr>
            <w:tcW w:w="2300" w:type="dxa"/>
            <w:vAlign w:val="bottom"/>
          </w:tcPr>
          <w:p>
            <w:pPr>
              <w:ind w:left="20"/>
              <w:spacing w:after="0"/>
              <w:rPr>
                <w:sz w:val="20"/>
                <w:szCs w:val="20"/>
                <w:color w:val="auto"/>
              </w:rPr>
            </w:pPr>
            <w:r>
              <w:rPr>
                <w:rFonts w:ascii="Arial" w:cs="Arial" w:eastAsia="Arial" w:hAnsi="Arial"/>
                <w:sz w:val="18"/>
                <w:szCs w:val="18"/>
                <w:color w:val="auto"/>
              </w:rPr>
              <w:t>- $4.51</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337,723</w:t>
            </w:r>
          </w:p>
        </w:tc>
        <w:tc>
          <w:tcPr>
            <w:tcW w:w="1940" w:type="dxa"/>
            <w:vAlign w:val="bottom"/>
            <w:gridSpan w:val="3"/>
          </w:tcPr>
          <w:p>
            <w:pPr>
              <w:jc w:val="right"/>
              <w:ind w:right="360"/>
              <w:spacing w:after="0"/>
              <w:rPr>
                <w:sz w:val="20"/>
                <w:szCs w:val="20"/>
                <w:color w:val="auto"/>
              </w:rPr>
            </w:pPr>
            <w:r>
              <w:rPr>
                <w:rFonts w:ascii="Arial" w:cs="Arial" w:eastAsia="Arial" w:hAnsi="Arial"/>
                <w:sz w:val="18"/>
                <w:szCs w:val="18"/>
                <w:color w:val="auto"/>
              </w:rPr>
              <w:t>4.70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277,099</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$ 5.49</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$7.99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305,230</w:t>
            </w:r>
          </w:p>
        </w:tc>
        <w:tc>
          <w:tcPr>
            <w:tcW w:w="1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93,264</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$ 8.06</w:t>
            </w:r>
          </w:p>
        </w:tc>
        <w:tc>
          <w:tcPr>
            <w:tcW w:w="2300" w:type="dxa"/>
            <w:vAlign w:val="bottom"/>
          </w:tcPr>
          <w:p>
            <w:pPr>
              <w:ind w:left="20"/>
              <w:spacing w:after="0"/>
              <w:rPr>
                <w:sz w:val="20"/>
                <w:szCs w:val="20"/>
                <w:color w:val="auto"/>
              </w:rPr>
            </w:pPr>
            <w:r>
              <w:rPr>
                <w:rFonts w:ascii="Arial" w:cs="Arial" w:eastAsia="Arial" w:hAnsi="Arial"/>
                <w:sz w:val="18"/>
                <w:szCs w:val="18"/>
                <w:color w:val="auto"/>
              </w:rPr>
              <w:t>- $10.75</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244,160</w:t>
            </w:r>
          </w:p>
        </w:tc>
        <w:tc>
          <w:tcPr>
            <w:tcW w:w="1940" w:type="dxa"/>
            <w:vAlign w:val="bottom"/>
            <w:gridSpan w:val="3"/>
          </w:tcPr>
          <w:p>
            <w:pPr>
              <w:jc w:val="right"/>
              <w:ind w:right="360"/>
              <w:spacing w:after="0"/>
              <w:rPr>
                <w:sz w:val="20"/>
                <w:szCs w:val="20"/>
                <w:color w:val="auto"/>
              </w:rPr>
            </w:pPr>
            <w:r>
              <w:rPr>
                <w:rFonts w:ascii="Arial" w:cs="Arial" w:eastAsia="Arial" w:hAnsi="Arial"/>
                <w:sz w:val="18"/>
                <w:szCs w:val="18"/>
                <w:color w:val="auto"/>
              </w:rPr>
              <w:t>6.78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8.99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159,160</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$ 28.00 - $80.00</w:t>
            </w:r>
          </w:p>
        </w:tc>
        <w:tc>
          <w:tcPr>
            <w:tcW w:w="3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w:t>
            </w:r>
          </w:p>
        </w:tc>
        <w:tc>
          <w:tcPr>
            <w:tcW w:w="1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1,143,913</w:t>
            </w:r>
          </w:p>
        </w:tc>
        <w:tc>
          <w:tcPr>
            <w:tcW w:w="14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gridSpan w:val="3"/>
          </w:tcPr>
          <w:p>
            <w:pPr>
              <w:jc w:val="right"/>
              <w:ind w:right="360"/>
              <w:spacing w:after="0"/>
              <w:rPr>
                <w:sz w:val="20"/>
                <w:szCs w:val="20"/>
                <w:color w:val="auto"/>
              </w:rPr>
            </w:pPr>
            <w:r>
              <w:rPr>
                <w:rFonts w:ascii="Arial" w:cs="Arial" w:eastAsia="Arial" w:hAnsi="Arial"/>
                <w:sz w:val="18"/>
                <w:szCs w:val="18"/>
                <w:color w:val="auto"/>
              </w:rPr>
              <w:t>6.20</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5.91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786,323</w:t>
            </w:r>
          </w:p>
        </w:tc>
        <w:tc>
          <w:tcPr>
            <w:tcW w:w="20" w:type="dxa"/>
            <w:vAlign w:val="bottom"/>
            <w:tcBorders>
              <w:top w:val="single" w:sz="8" w:color="CCEEFF"/>
              <w:bottom w:val="single" w:sz="8" w:color="auto"/>
            </w:tcBorders>
          </w:tcPr>
          <w:p>
            <w:pPr>
              <w:spacing w:after="0"/>
              <w:rPr>
                <w:sz w:val="18"/>
                <w:szCs w:val="18"/>
                <w:color w:val="auto"/>
              </w:rPr>
            </w:pPr>
          </w:p>
        </w:tc>
        <w:tc>
          <w:tcPr>
            <w:tcW w:w="5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there was approximately $1,967 of total unrecognized compensation expense related to unvested stock options granted under the Plan. That expense is expected to be recognized over the weighted-average remaining vesting period of 2.4 years. The stock-based compensation for all stock options was $279 during the three months ended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 or 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February 2015, the Company granted 30,000 RSUs to its Chief Financial Officer, Andrew R. Boll and 30,000 RSUs to its Chief Commercial Officer, John P. Saharek, valued at $442 in the aggregate. The RSUs were granted pursuant to the Plan and will vest on the third anniversary of the RSU grant date, subject to the applicable employee’s continued employment with the Company on such date and accelerated vesting of all unvested shares thereunder upon the occurrence of a change in control (as defined in the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February 2015, the Company granted 157,500 RSUs to Mr. Boll, which are subject to the satisfaction of certain market-based and continued service conditions (the “Boll Performance Equity Award”). The market-based vesting criteria are separated into five tranches and require that the Company achieve and maintain certain stock price targets ranging from $10 per share to $30 per share during the three-year period following the grant date. With certain limited exceptions, Mr. Boll must be employed with the Company on the third anniversary of the grant date in order for the Boll Performance Equity Award to vest. The initial fair value of the Boll Performance Equity Award was $228 using a Monte Carlo Simulation with a three-year life, 60% volatility and a risk free interest rate of 0.77%.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market-based vesting conditions applicable to the Boll Performance Equity Award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00" w:type="dxa"/>
            <w:vAlign w:val="bottom"/>
            <w:gridSpan w:val="2"/>
          </w:tcPr>
          <w:p>
            <w:pPr>
              <w:ind w:left="1540"/>
              <w:spacing w:after="0"/>
              <w:rPr>
                <w:sz w:val="20"/>
                <w:szCs w:val="20"/>
                <w:color w:val="auto"/>
              </w:rPr>
            </w:pPr>
            <w:r>
              <w:rPr>
                <w:rFonts w:ascii="Arial" w:cs="Arial" w:eastAsia="Arial" w:hAnsi="Arial"/>
                <w:sz w:val="18"/>
                <w:szCs w:val="18"/>
                <w:color w:val="auto"/>
              </w:rPr>
              <w:t>Tranche</w:t>
            </w:r>
          </w:p>
        </w:tc>
        <w:tc>
          <w:tcPr>
            <w:tcW w:w="3880" w:type="dxa"/>
            <w:vAlign w:val="bottom"/>
            <w:gridSpan w:val="2"/>
          </w:tcPr>
          <w:p>
            <w:pPr>
              <w:ind w:left="1180"/>
              <w:spacing w:after="0"/>
              <w:rPr>
                <w:sz w:val="20"/>
                <w:szCs w:val="20"/>
                <w:color w:val="auto"/>
              </w:rPr>
            </w:pPr>
            <w:r>
              <w:rPr>
                <w:rFonts w:ascii="Arial" w:cs="Arial" w:eastAsia="Arial" w:hAnsi="Arial"/>
                <w:sz w:val="18"/>
                <w:szCs w:val="18"/>
                <w:color w:val="auto"/>
              </w:rPr>
              <w:t>Number of Shares</w:t>
            </w:r>
          </w:p>
        </w:tc>
        <w:tc>
          <w:tcPr>
            <w:tcW w:w="3640" w:type="dxa"/>
            <w:vAlign w:val="bottom"/>
          </w:tcPr>
          <w:p>
            <w:pPr>
              <w:ind w:left="1160"/>
              <w:spacing w:after="0"/>
              <w:rPr>
                <w:sz w:val="20"/>
                <w:szCs w:val="20"/>
                <w:color w:val="auto"/>
              </w:rPr>
            </w:pPr>
            <w:r>
              <w:rPr>
                <w:rFonts w:ascii="Arial" w:cs="Arial" w:eastAsia="Arial" w:hAnsi="Arial"/>
                <w:sz w:val="18"/>
                <w:szCs w:val="18"/>
                <w:color w:val="auto"/>
              </w:rPr>
              <w:t>Target Share Price</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30,000 shares</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8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64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30,000 shares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8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64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37,500 shares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continuous service with the Company through the third anniversary of the grant date. Any unvested RSUs under the Boll Performance Equity Award will be forfeited on the third anniversary of the grant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2015 is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60" w:type="dxa"/>
            <w:vAlign w:val="bottom"/>
            <w:gridSpan w:val="2"/>
          </w:tcPr>
          <w:p>
            <w:pPr>
              <w:jc w:val="right"/>
              <w:ind w:right="68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 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RSUs unvested - January 1, 2015</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1,276,815</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RSUs granted</w:t>
            </w:r>
          </w:p>
        </w:tc>
        <w:tc>
          <w:tcPr>
            <w:tcW w:w="2300" w:type="dxa"/>
            <w:vAlign w:val="bottom"/>
          </w:tcPr>
          <w:p>
            <w:pPr>
              <w:jc w:val="right"/>
              <w:spacing w:after="0"/>
              <w:rPr>
                <w:sz w:val="20"/>
                <w:szCs w:val="20"/>
                <w:color w:val="auto"/>
              </w:rPr>
            </w:pPr>
            <w:r>
              <w:rPr>
                <w:rFonts w:ascii="Arial" w:cs="Arial" w:eastAsia="Arial" w:hAnsi="Arial"/>
                <w:sz w:val="18"/>
                <w:szCs w:val="18"/>
                <w:color w:val="auto"/>
              </w:rPr>
              <w:t>217,500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color w:val="auto"/>
              </w:rPr>
              <w:t>RSUs cancelled/forfeit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(6,209)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2015</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the total unrecognized compensation expense related to unvested RSUs was approximately $2,214, which is expected to be recognized over a weighted-average period of 1.3 years, based on the vesting schedules of the applicable RSUs. The stock-based compensation for RSU’s during the three months ended March 31, 2015 was $379.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three months ended March 31,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0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Number of Shares Subject to</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00" w:type="dxa"/>
            <w:vAlign w:val="bottom"/>
            <w:gridSpan w:val="3"/>
          </w:tcPr>
          <w:p>
            <w:pPr>
              <w:jc w:val="right"/>
              <w:ind w:right="600"/>
              <w:spacing w:after="0"/>
              <w:rPr>
                <w:sz w:val="20"/>
                <w:szCs w:val="20"/>
                <w:color w:val="auto"/>
              </w:rPr>
            </w:pPr>
            <w:r>
              <w:rPr>
                <w:rFonts w:ascii="Arial" w:cs="Arial" w:eastAsia="Arial" w:hAnsi="Arial"/>
                <w:sz w:val="18"/>
                <w:szCs w:val="18"/>
                <w:color w:val="auto"/>
              </w:rPr>
              <w:t>Warrants 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2015</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690,944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(42,658)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Expired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2015</w:t>
            </w: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w:t>
            </w: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180" w:type="dxa"/>
            <w:vAlign w:val="bottom"/>
            <w:gridSpan w:val="2"/>
          </w:tcPr>
          <w:p>
            <w:pPr>
              <w:spacing w:after="0"/>
              <w:rPr>
                <w:sz w:val="20"/>
                <w:szCs w:val="20"/>
                <w:color w:val="auto"/>
              </w:rPr>
            </w:pPr>
            <w:r>
              <w:rPr>
                <w:rFonts w:ascii="Arial" w:cs="Arial" w:eastAsia="Arial" w:hAnsi="Arial"/>
                <w:sz w:val="18"/>
                <w:szCs w:val="18"/>
                <w:color w:val="auto"/>
              </w:rPr>
              <w:t>March 31, 2015</w:t>
            </w:r>
          </w:p>
        </w:tc>
        <w:tc>
          <w:tcPr>
            <w:tcW w:w="2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three months ended March 31, 2015 was approximately $109.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list of the warrants outstanding as of March 31, 2015 is included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Warrants Outstanding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4"/>
          </w:tcPr>
          <w:p>
            <w:pPr>
              <w:ind w:left="540"/>
              <w:spacing w:after="0"/>
              <w:rPr>
                <w:sz w:val="20"/>
                <w:szCs w:val="20"/>
                <w:color w:val="auto"/>
              </w:rPr>
            </w:pPr>
            <w:r>
              <w:rPr>
                <w:rFonts w:ascii="Arial" w:cs="Arial" w:eastAsia="Arial" w:hAnsi="Arial"/>
                <w:sz w:val="18"/>
                <w:szCs w:val="18"/>
                <w:color w:val="auto"/>
              </w:rPr>
              <w:t>Warrants Exercisable</w:t>
            </w: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0"/>
              </w:rPr>
              <w:t>Warrants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9"/>
              </w:rPr>
              <w:t>Exercise</w:t>
            </w:r>
          </w:p>
        </w:tc>
        <w:tc>
          <w:tcPr>
            <w:tcW w:w="320" w:type="dxa"/>
            <w:vAlign w:val="bottom"/>
          </w:tcPr>
          <w:p>
            <w:pPr>
              <w:spacing w:after="0"/>
              <w:rPr>
                <w:sz w:val="17"/>
                <w:szCs w:val="17"/>
                <w:color w:val="auto"/>
              </w:rPr>
            </w:pPr>
          </w:p>
        </w:tc>
        <w:tc>
          <w:tcPr>
            <w:tcW w:w="146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87"/>
              </w:rPr>
              <w:t>Warrants</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r>
      <w:tr>
        <w:trPr>
          <w:trHeight w:val="237"/>
        </w:trPr>
        <w:tc>
          <w:tcPr>
            <w:tcW w:w="4240" w:type="dxa"/>
            <w:vAlign w:val="bottom"/>
            <w:gridSpan w:val="2"/>
          </w:tcPr>
          <w:p>
            <w:pPr>
              <w:ind w:left="1480"/>
              <w:spacing w:after="0"/>
              <w:rPr>
                <w:sz w:val="20"/>
                <w:szCs w:val="20"/>
                <w:color w:val="auto"/>
              </w:rPr>
            </w:pPr>
            <w:r>
              <w:rPr>
                <w:rFonts w:ascii="Arial" w:cs="Arial" w:eastAsia="Arial" w:hAnsi="Arial"/>
                <w:sz w:val="18"/>
                <w:szCs w:val="18"/>
                <w:color w:val="auto"/>
              </w:rPr>
              <w:t>Warrant Series</w:t>
            </w:r>
          </w:p>
        </w:tc>
        <w:tc>
          <w:tcPr>
            <w:tcW w:w="116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3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issued to a former major shareholder</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4/25/2012</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4/25/2015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Warrants issued in April 2012 private placement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4/25/2012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483,879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5.93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483,879</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4/25/2015</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2/7/2013</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56,145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56,145</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2/7/2018</w:t>
            </w:r>
          </w:p>
        </w:tc>
        <w:tc>
          <w:tcPr>
            <w:tcW w:w="100" w:type="dxa"/>
            <w:vAlign w:val="bottom"/>
            <w:shd w:val="clear" w:color="auto" w:fill="CCEEFF"/>
          </w:tcPr>
          <w:p>
            <w:pPr>
              <w:spacing w:after="0"/>
              <w:rPr>
                <w:sz w:val="18"/>
                <w:szCs w:val="18"/>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7/19/2013</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rPr>
              <w:t>60,000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7/19/2018</w:t>
            </w:r>
          </w:p>
        </w:tc>
        <w:tc>
          <w:tcPr>
            <w:tcW w:w="100" w:type="dxa"/>
            <w:vAlign w:val="bottom"/>
          </w:tcPr>
          <w:p>
            <w:pPr>
              <w:spacing w:after="0"/>
              <w:rPr>
                <w:sz w:val="20"/>
                <w:szCs w:val="20"/>
                <w:color w:val="auto"/>
              </w:rPr>
            </w:pP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648,286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60" w:type="dxa"/>
            <w:vAlign w:val="bottom"/>
          </w:tcPr>
          <w:p>
            <w:pPr>
              <w:jc w:val="center"/>
              <w:ind w:left="176"/>
              <w:spacing w:after="0"/>
              <w:rPr>
                <w:sz w:val="20"/>
                <w:szCs w:val="20"/>
                <w:color w:val="auto"/>
              </w:rPr>
            </w:pPr>
            <w:r>
              <w:rPr>
                <w:rFonts w:ascii="Arial" w:cs="Arial" w:eastAsia="Arial" w:hAnsi="Arial"/>
                <w:sz w:val="18"/>
                <w:szCs w:val="18"/>
                <w:color w:val="auto"/>
                <w:w w:val="91"/>
              </w:rPr>
              <w:t>For the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16"/>
        </w:trPr>
        <w:tc>
          <w:tcPr>
            <w:tcW w:w="5580" w:type="dxa"/>
            <w:vAlign w:val="bottom"/>
          </w:tcPr>
          <w:p>
            <w:pPr>
              <w:spacing w:after="0"/>
              <w:rPr>
                <w:sz w:val="18"/>
                <w:szCs w:val="18"/>
                <w:color w:val="auto"/>
              </w:rPr>
            </w:pPr>
          </w:p>
        </w:tc>
        <w:tc>
          <w:tcPr>
            <w:tcW w:w="1860" w:type="dxa"/>
            <w:vAlign w:val="bottom"/>
          </w:tcPr>
          <w:p>
            <w:pPr>
              <w:jc w:val="center"/>
              <w:ind w:left="176"/>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5580" w:type="dxa"/>
            <w:vAlign w:val="bottom"/>
          </w:tcPr>
          <w:p>
            <w:pPr>
              <w:spacing w:after="0"/>
              <w:rPr>
                <w:sz w:val="20"/>
                <w:szCs w:val="20"/>
                <w:color w:val="auto"/>
              </w:rPr>
            </w:pPr>
          </w:p>
        </w:tc>
        <w:tc>
          <w:tcPr>
            <w:tcW w:w="1860" w:type="dxa"/>
            <w:vAlign w:val="bottom"/>
          </w:tcPr>
          <w:p>
            <w:pPr>
              <w:jc w:val="center"/>
              <w:ind w:left="196"/>
              <w:spacing w:after="0"/>
              <w:rPr>
                <w:sz w:val="20"/>
                <w:szCs w:val="20"/>
                <w:color w:val="auto"/>
              </w:rPr>
            </w:pPr>
            <w:r>
              <w:rPr>
                <w:rFonts w:ascii="Arial" w:cs="Arial" w:eastAsia="Arial" w:hAnsi="Arial"/>
                <w:sz w:val="18"/>
                <w:szCs w:val="18"/>
                <w:color w:val="auto"/>
                <w:w w:val="91"/>
              </w:rPr>
              <w:t>March 31, 2015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 2014</w:t>
            </w:r>
          </w:p>
        </w:tc>
      </w:tr>
      <w:tr>
        <w:trPr>
          <w:trHeight w:val="216"/>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860" w:type="dxa"/>
            <w:vAlign w:val="bottom"/>
            <w:tcBorders>
              <w:top w:val="single" w:sz="8" w:color="auto"/>
            </w:tcBorders>
            <w:shd w:val="clear" w:color="auto" w:fill="CCEEFF"/>
          </w:tcPr>
          <w:p>
            <w:pPr>
              <w:jc w:val="right"/>
              <w:ind w:right="169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Consultants - general and administrative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2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Consultants - research and development</w:t>
            </w:r>
          </w:p>
        </w:tc>
        <w:tc>
          <w:tcPr>
            <w:tcW w:w="1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r>
      <w:tr>
        <w:trPr>
          <w:trHeight w:val="216"/>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169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658</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March 31, 2015, future payments under the Company’s capital leases were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1420" w:type="dxa"/>
            <w:vAlign w:val="bottom"/>
            <w:gridSpan w:val="2"/>
            <w:shd w:val="clear" w:color="auto" w:fill="CCEEFF"/>
          </w:tcPr>
          <w:p>
            <w:pPr>
              <w:jc w:val="right"/>
              <w:ind w:right="104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43"/>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2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leases as of March 31, 2015 was $60, with related accumulated depreciation of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 warehouse and office space in Roxbury, New Jersey. The current lease term expires on July 31, 2022. The monthly rent amount is $10 and includes annual increases of approximately 3.75%, and the lease allows for the first five months of rent amounts to be abated. This facility is currently undergoing construction to serve as an outsourcing facility and pharmacy.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entered into a commercial lease agreement, for the lease of certain premises to Park of approximately 4,500 square feet of lab and office space. The monthly rent amount is $10 and includes annual increases of approximately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 June 2014, the Company entered into a lease agreement for 7,565 square feet of office space that commenced on September 1, 2014 and continues until October 31, 2018. Monthly rent began on September 1, 2014 in the amount of $20 with a 3% increase in the base rent amount on an annual basis. The lease agreement allows for the monthly rent amount to be abated for two months at various times during the lease agreement. This space serves as our corporate headquarters.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2013, the Company entered into a lease agreement for 3,874 square feet of office space that commenced on May 1, 2013 and continues until September 30, 2016. Monthly rent began on May 1, 2013 in the amount of $10 with a 3% increase in the base rent amount on an annual basis. The lease agreement allows for the monthly rent amount to be abated for five months at various times during the lease agreement. In February 2015, the Company entered into a sublease agreement to sublet this space through the remaining term of the lease at a monthly rent amount of $8.</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that commenced on January 1, 2010 and continues until December 31, 2015. Monthly rent began on January 1, 2010 in the amount of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Urigen License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24, 2014, (the “Urigen Effective Date”), the Company entered into a license agreement (the “Urigen License”) with Urigen Pharmaceuticals, Inc. (“Urigen”), pursuant to which Urigen granted to the Company a license under certain U.S. patents and patent applications to develop and sell in the U.S. Urigen’s URG101 product (“HLA”), a heparin and alkalinized lidocaine compounded formulation, for the prevention or treatment of disorders of the lower urinary tract. Such license was non-exclusive until, on April 24, 2015, the Company exercised its option to convert the non-exclusive license to an exclusive license for the remaining term of the Urigen License, subject only to certain specified existing sublicenses (the “Existing Sublicenses”).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consideration for the license granted under the Urigen License, the Company agreed to pay Urigen annual tiered royalties based on sales of HLA, subject to certain minimum annual royalty payments. The annual tiered royalties consist of the greater of (i) $0.50 per dose (dollar amount not presented in thousands), and (ii) 15% - 20% of the Company’s net sales of HLA, with the royalty amount within such range depending on the Company’s aggregate sales of HLA during the period to which the royalty payment applies. The minimum annual royalty payment consists of (a) for the 2015 calendar year, the greater of (i) 110% of the aggregate royalties paid to Urigen under the Existing Sublicenses during the preceding 12 months, on a prorated basis, and (ii) $800, less the aggregate royalties paid to Urigen under the Existing Sublicenses during the 2015 calendar year, and (b) for each calendar year thereafter, 110% of the aggregate amount owed by the Company to Urigen under the Urigen License during the prior calendar year. The Company is obligated to pay such royalties beginning with its first commercial sale of HLA and continuing until the expiration of the patents subject to the license granted under the Urigen License. The Company has also agreed to use commercially reasonable efforts to develop and commercialize HLA according to the terms of a diligence plan agreed to by the parties, which efforts will include, without limitation, the Company’s investment of $2,000 in commercialization efforts of HLA, which investment and timeline can be adjusted dependent on market circumstances, and is expected to be incurred over 18-24 months following the Urigen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terminates upon the first commercial sale of HLA by Urigen, its affiliates, or a third party after the U.S. Food and Drug Administration (the “FDA”) grants Urigen approval to market HLA in the U.S., if market approval is granted. The Company shall have the option, at its discretion, to become a non-exclusive distributor of HLA following the FDA granting Urigen such market approval. $2 in royalty amounts have been accrued under the Urigen License during the three months ended March 31, 2015 and such amounts are included in cost of sales in the accompanying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30, 2012, the Company entered into a license agreement with Professional Compounding Centers of America (“PCCA”), pursuant to which PCCA has granted to the Company and its affiliates certain exclusive rights under PCCA’s proprietary formulations, other technologies and data, and the Company has agreed to pay to PCCA certain royalties on net sales relating to the sale of certain future products that the Company may produce, which royalties will range from 4.5% to 9% for each product, subject to certain minimum royalty payments. PCCA may terminate the license agreement if the Company fails to commence efforts to research and develop any such products within certain time periods, as set forth in the license agreement. No royalty amounts have been paid or accrued under this agreement during the three months ended March 31,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further provide certain key technical assistance with respect to any potential development project the Company may pursue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2015. No royalty amounts have been paid or accrued under this agreement during the three months ended March 31, 2015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No royalty amounts have been paid or accrued under these agreements during the three months ended March 31, 2015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United States; therefore, total revenues for 2015 and 2014 are attributed to the United States. All long-lived assets at March 31, 2015 are located in the United States.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months ended March 31,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67% of drug and chemical purchases during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2015 through the filing date of this Quarterly Report. Based on its evaluation, nothing other than the events described below needs to be disclosed.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April 1, 2015 through the filing date of this Quarterly Report, the Company issued a total of 197,322 shares of common stock as a result of warrant exercises. The Company received gross cash proceeds of $1,169 for the issuance of such shares upon the exercise of warrants to purchase the same number of shares of common stock with an exercise price of $5.925.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warrants to purchase 334,819 shares of the Company’s common stock with an exercise price of $5.925 were cancelled following the expiration of their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2015, the Company entered into a loan and security agreement (the “Loan Agreement”) with IMMY Funding LLC, an affiliate of Life Sciences Alternative Funding LLC (the “Lender”), as lender and collateral agent. Pursuant to the terms of the Loan Agreement, the Lender made available to the Company term loans in the aggregate principal amount of up to $15,000,000, $10,000,000 of which was drawn on May 11, 2015 and the remaining $5,000,000 of which will be available to be drawn, at the Company’s option, upon the Company’s achievement of at least $15,000,000 in trailing 12-month revenue during any consecutive 12-month period through May 11, 2016. The Company intends to use the proceeds from the loans for working capital and general corporate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The term loans bear interest at a fixed per-annum rate equal to 12.5%. The Loan Agreement permits the Company to pay interest only on the principal amount loaned thereunder for the first three years, which interest-only period may be reduced to 20 months if the Company does not meet certain minimum revenue or cash balance requirements. After the end of the interest-only period, the Company will be required to pay interest, plus repayments of the principal amounts under the Loan Agreement, in 24 equal monthly installments. All amounts owed under the Loan Agreement, including a final fee equal to 5% of the aggregate principal amount loaned thereunder, will be due on the earlier of May 11, 2021 or 24 months after the end of the interest-only period. The Company may elect to prepay all, but not less than all, of the amounts owed under the Loan Agreement prior to the maturity date, provided that on exit fee equal to 5% of the principal amount of the loans funded at such time is also paid. The Company is also obligated under the Loan Agreement to pay for certain expenses incurred by the Lender through and after the date of the Loan Agreement, including certain fees and expenses relating to the preparation and administration of the Loan Agreement.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PC and Park.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Loan Agreement, the Company has issued to the Lender a warrant to purchase up to 125,000 shares of the Company’s common stock, which is exercisable immediately, has an exercise price of $7.85 per share and has a term of 10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2014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Quarterly Report refer to Imprimis Pharmaceuticals, Inc., a Delaware corporation, and its consolidated subsidiaries. Unless otherwise stated, all information regarding share amounts of common stock and prices per share of common stock described in this discussion and analysis and elsewhere in this Quarterly Report reflect the reverse stock splits of our authorized, issued and outstanding common stock effected on February 28, 2012 and February 7, 2013.</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and South Coast Specialty Compounding, Inc. D/B/A Park Compounding (“Park”)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pharmaceutical company focused on developing and commercializing innovative and high quality proprietary compounded drug therapies and making these therapies available to physicians and patients at accessible prices. We own, market and sell a portfolio of proprietary combination formulations in ophthalmology and urology that we believe may offer competitive advantages and serve unmet needs in the marketplace. Our ophthalmology formulation portfolio, led by our Dropless Therapy™ and LessDrops™ formulations, serves the multi-billion dollar eye drop market and is designed to address patient compliance issues and provide other medical and economic benefits to physicians and patients. Our recently launched urology business, headed by our Defeat IC™ campaign, currently includes a patented compounded formulation for patients suffering from interstitial cystitis. We are also developing additional complementary proprietary compounded formulations to add to our ophthalmology and urology formulation portfolios. We make, dispense and sell our proprietary compounded formulations, as well as other non-proprietary products, through our compounding pharmacies Pharmacy Creations and Park.</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investing in commercialization activities. We believe our model allows us to meet the realities of the current health care economy by offering quality pharmaceutical innovation at accessible prices.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$45.0 million at March 31, 2015. Beginning on April 1, 2014, the date of our acquisition of Pharmacy Creations, we began generating revenue from sales by our pharmacies of certain of our proprietary ophthalmic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Proprietary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currently commercially available ophthalmic formulations include the following, marketed under our Dropless Therapy and LessDrops campaigns:</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Tri-Moxi, a compounded formulation that is a combination of triamcinolone acetonide and moxifloxacin hydrochloride, used as an injection during ocular surgery and as an eye drop pre- and post-ocular surgery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Tri-Moxi-Vanc, a compounded formulation that is a combination of triamcinolone acetonide, moxifloxacin hydrochloride and vancomycin, used as an injection during ocular surgery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Pred-Moxi, a compounded formulation that is a combination of prednisolone and moxifloxacin hydrochloride, used as an eye drop pre- and post-ocular surgery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Dropless Therapy compounded formulations include Tri-Moxi and Tri-Moxi-Vanc used as an injectable during ocular surgery, which ophthalmologists have reported has substantially reduced or, in many cases, eliminated the need for patient-administered eye drops following ocular surgeries they have performed. Since the launch of our associated Go Dropless™ educational campaign in April 2014, more than 300 ophthalmologists have started to use our Dropless Therapy compounded formulations, and since its launch our Dropless Therapy compounded formulations have been used in over 45,000 ocular surgeries, primarily cataract surgeries. In the future, we aim for our Dropless Therapy to be initiated at additional high volume cataract surgery practices, hospitals and large ambulatory surgery centers throughout the U.S.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Pred-Moxi and Tri-Moxi topical compounded formulations, branded as LessDrops, were introduced during the first quarter of 2015 as combination compounded eye drops for patients following laser refractive surgery, including LASIK and photorefractive keratectomy (PRK), cataract and other ocular surgeries. We estimate that our LessDrops compounded formulations can require up to 50% fewer drops to be administered by patients post-surgery and may cost up to 75% less than other currently available post-surgery drops regimens. We plan to continue to add to our portfolio of LessDrops topical compounded formulations and deliver additional eye drop choices for our customers.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acquired intellectual property related to lyophilized (or freeze-dried), preservative-free, sulfite-free epinephrine, phenylephrine and lidocaine, commonly used as mydriatic (pupil dilation) compounded formulations that use various combinations of these ingredients. We have made and expect to increase sales of multiple ophthalmic compounded formulations per patient or case in one or more kits. For example, we may sell a compounded formulation of injectable Tri-Moxi along with a mydriatic compounded formulation for the same individually identified patient, and also include additional non-proprietary ophthalmic compounded formulations, all as a part of a kit.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currently commercially available urologic compounded formulation consists of a patented formulation of heparin and alkalinized lidocaine (“HLA”), to which we acquired development and commercialization rights in 2014. HLA is delivered directly to the bladder for the treatment of interstitial cystitis (“IC”), also known as painful bladder syndrome. Since the HLA formulation first became available as a compounded drug in 2011, there have been an estimated 140,000 HLA instillation procedures completed in the U.S. During the first quarter of 2015, we commercially launched our HLA compounded formulation and introduced Defeat IC, our national education campaign designed to increase awareness among medical practitioners about IC and our HLA treatment option.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other commercially available urologic compounded formulation consists of lyophilized Tri-Mix (phentolamine papaverine and prostaglandin) formulations for the treatment of erectile dysfunction (ED). Our Tri-Mix compounded formulations are dispensed in single-dose vials that can be conveniently transported and stored prior to reconstitution and self-administration. According to the American Urological Association, intracavernous vasoactive injections are considered the most effective treatment for erectile dysfunction.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acquired intellectual property related to an injectable compounded formulation comprised of pentoxifylline for the treatment of certain fibrotic conditions, including Peyronie’s Disease (“PD”). A researcher-initiated study using our patent-pending pentoxifylline compounded formulation for the treatment of PD was initiated in 2014, and we may commercially launch this compounded formulation following the completion of the research and release of its results, which is expected in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Compounding Pharmacies and Outsourcing Facilities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Compounding pharmacies work with physicians to develop customized medications for individually identified patients, and the compounding pharmacy prepares these customized formulations upon receipt of a physician prescription for an individual patient. Pharmacy Creations and Park, our wholly owned pharmacies accredited by the Pharmacy Compounding Accreditation Board (“PCAB”), make, dispense and sell our proprietary ophthalmology and urology compounded formulations, complementary compounded formulations within the ophthalmology and urology therapeutic areas, and other non-proprietary compounded formulations in other therapeutic areas. Our pharmacies are collectively licensed to distribute compounded formulations in 42 states. In February 2015, we entered into a lease agreement for space in New Jersey and began construction efforts to build this space into an outsourcing facility, which will be required to comply with certain additional requirements, including adherence to current good manufacturing practices (“cGMP”), and will be permitted to compound large quantities of certain drug formulations without a prescription and distribute these formulations out of state without limitation. We expect construction efforts for our New Jersey-based outsourcing facility to be completed in the fourth quarter of 2015. We are also in the process of developing “ImprimisRx” as a uniform brand for our drug fulfillment facilities, pharmacies and operations, which we intend to launch in 2015. We operate our pharmacy business under the regulatory framework described in the U.S. Drug Quality and Security Act (“DQSA”) of 2013, the Federal Food Drug and Cosmetic Act (“FDCA”) and applicable state pharmacy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Impracor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business focused on developing, obtaining approval from the U.S. Food and Drug Administration (“FDA”) for, and commercializing our former topical pain management product candidate Impracor. After considering the totality of circumstances surrounding the development of and clinical trial requirements for Impracor, including certain manufacturing and formulation issues, in November 2013 we announced our discontinuation of the proposed Phase 3 clinical trial for Impracor. We do not expect to resume a Phase 3 clinical trial for Impracor or otherwise invest in the commercial development of this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operating plan for the next 12 months is focused on increasing sales of our proprietary ophthalmic and urologic compounded formulations and certain non-proprietary products, normalization of pricing for our proprietary compounded formulations, and growing our prescription fulfillment and dispensing capabilities. Additionally, we plan to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have engaged distributors for certain of our proprietary compounded formulations in non-U.S. markets, we expect to continue to focus our efforts on our U.S. commercial opportunities during 2015. For our proprietary ophthalmic and urologic compounded formulations, we have developed and plan to continue to build small internal sales and commercialization teams that are focused on growing sales of these compounded formulations through, among other things, educating doctors, ambulatory surgery centers, hospitals and other users throughout the U.S. about our products. We expect that we may experience growth in the sales of our proprietary compounded formulations in future periods, particularly in light of our recent launches of our ophthalmology and urology formulations and commercialization campaigns. However, we have limited experience developing and commercializing compounded formulations and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7"/>
          <w:szCs w:val="17"/>
          <w:color w:val="auto"/>
        </w:rPr>
        <w:t>We currently make, dispense and sell our commercially available proprietary compounded formulations and certain other non-proprietary products through our pharmacies pursuant to a prescription for an individually identified patient. Additionally, we are in the process of developing an outsourcing facility in New Jersey, which we expect to be completed in the fourth quarter of 2015. We plan to develop our pharmacy operations into a network of pharmacies and other prescription dispensing facilities to deliver our proprietary compounded formulations to patients. Our efforts to establish a widespread compounding pharmacy network may not be successful, whether due to difficulties integrating, managing or otherwise realizing the benefits of our acquisitions of Pharmacy Creations, Park or any additional pharmacy businesses or outsourcing facilities we seek to acquire or build in the future, inability to satisfy applicable federal and state licensing and other requirements for any such pharmacy businesses in a timely manner or at all, changes to state and federal pharmacy regulations that restrict compounding operations or make them more costly, failure to achieve a sufficient physician and patient customer base to sustain our pharmacy operations, or an inability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We plan to devote time and other resources to seek reimbursement opportunities for these and other compounded formulations and normalize the pricing for our currently available proprietary ophthalmic compounded formulations. We believe there is an economic argument that would allow for price optimization of Dropless Therapy compounded formulations, manufactured to cGMP guidelines, to be priced at or near $100 per unit. According to our internally conducted research, we believe this potentially could allow for Medicare, other public payors and their constituents to save approximately $1 billion annually by substantially eliminating the higher costs of currently available eye drops. We have been in communications with third-party public and private payors regarding potential reimbursement options for certain of our proprietary compounded formulations, but we may be unsuccessful in these efforts.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may not be sufficient to allow us to sell the products on a competitive basis and at desirable price points.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plan to pursue the development of additional proprietary compounded formulations in the ophthalmology, urology or other therapeutic areas, which may include continued activities to develop and commercialize current assets or, if and as opportunities arise, potential acquisitions of new intellectual property rights and assets. However,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11, 2015, we entered into a loan agreement with IMMY Funding LLC, an affiliate of Life Sciences Alternative Funding LLC, pursuant to which we have received a term loan in the principal amount of $10 million and we have the opportunity, at our option, to receive an additional term loan in the principal amount of $5 million if we satisfy certain revenue milestones on or before May 11, 2016. The term loans bear interest at a fixed per-annum rate of 12.5%. We are permitted to pay interest only for the first three years, which interest-only period may be reduced to 20 months if we do not meet certain minimum revenue or cash balance requirements. After the end of the interest-only period, we will be required to pay interest, plus repayments of the principal amount of the term loans, in 24 equal monthly installments. All amounts owed under the loan agreement, including a final fee of 5% of the aggregate principal amount of the term loans, will be due on the earlier of May 11, 2021 or 24 months after the end of the interest-only period. We expect our payment obligations under the loan agreement to total approximately $0.7 million for our 2015 fiscal year.</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loans are secured by substantially all of our personal property, rights and assets, including our intellectual property rights. Pursuant to the terms of the loan agreement, we are bound by certain restrictive covenants setting forth actions that we are required to take and actions that we are prohibited from taking during the term of the agreement. The lender could declare all amounts owed under the loan agreement due and payable and/or foreclose on our assets that secure the term loans upon the occurrence of specified events of default, which include, among others, the occurrence of certain bankruptcy events; the failure to make payments under the loan agreement when due; the occurrence of a material adverse change in our business, operations or condition; our breach of certain of our material agreements with third parties; the initiation of certain regulatory enforcement actions against us; and our breach of any covenant (subject to cure periods for certain covenants) made in the loan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Park Acquisition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 2015, we completed the acquisition of all of the outstanding capital stock of Park pursuant to a stock purchase agreement entered in November 2014. At the closing of the Park acquisition, we paid an aggregate cash purchase price of $3,000,000, net of fees and expenses, which is subject to adjustment based on the final calculation of Park’s working capital and certain other financial information, and a $100 payment for cash remaining in a Park bank account, and we issued 63,525 shares of our common stock. In addition, we are obligated to make 12 quarterly cash payments of $53,125 each over the three years following January 1, 2015, totaling $637,500. The sellers of Park have the option to receive the last six of such quarterly payments, totaling up to an aggregate of $318,750, in the form of 6,749 shares of our common stock for each such payment.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 period. In particular, our pharmacy operations activities commenced on April 1, 2014, and this change in the nature of our operations has had and is expected to continue to have a significant impact on our financial results. As a result, our results of operations in the periods after commencement of our pharmacy operations, including aggregate revenue and expense amounts and the apportionment of expenses among categories, have changed and are expected to continue to change as we further develop these operations. Further, as a result of our acquisitions of Pharmacy Creations and Park and any additional pharmacy acquisitions or other such transactions we may pursue, we may experience large expenditures specific to the transactions that are not incident to our operations. All dollar amounts in the below discussion are expressed in thousands.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2015 to the Three Months Ended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which we began to receive following our acquisitions of Pharmacy Creations and Park,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2015 and 2014:</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gridSpan w:val="3"/>
          </w:tcPr>
          <w:p>
            <w:pPr>
              <w:jc w:val="right"/>
              <w:ind w:right="625"/>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1025"/>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19"/>
                <w:szCs w:val="19"/>
                <w:color w:val="auto"/>
              </w:rPr>
            </w:pPr>
          </w:p>
        </w:tc>
        <w:tc>
          <w:tcPr>
            <w:tcW w:w="162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net</w:t>
            </w:r>
          </w:p>
        </w:tc>
        <w:tc>
          <w:tcPr>
            <w:tcW w:w="10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License revenues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gridSpan w:val="2"/>
          </w:tcPr>
          <w:p>
            <w:pPr>
              <w:jc w:val="right"/>
              <w:ind w:right="116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acquisition of Pharmacy Creations on April 1, 2014, we began selling our proprietary compounded formulations and other non-proprietary pharmacy products and formulations and recognizing the associated revenues. As a result, we did not make any such sales or recognize any associated revenues during the three months ended March 31, 2014. On January 1, 2015, we acquired Park, which contributed $1,035 of the total $1,562 in revenues from sales of our proprietary compounded formulations and other non-proprietary formulations and products that we recognized during the three months ended March 31,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cost of sales includes direct and indirect costs to manufacture formulations and sell product, including active pharmaceutical ingredients, personnel costs, packaging, storage, royalties, shipping and handling costs, the write-off of obsolete inventory and other related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2015 and 2014:</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2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right="610"/>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6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4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acquisition of Pharmacy Creations on April 1, 2014, we began selling our proprietary compounded formulations and other non-proprietary pharmacy products and formulations and incurring the associated costs of such sales. As a result, we did not incur any cost of sales during the three months ended March 31, 2014. On January 1, 2015, we acquired Park, which contributed $525 of the total $1,007 in cost of sales we incurred during the three months ended March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months ended March 31, 2015 and 2014: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9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began implementing commercialization efforts in the fourth quarter of 2013 and, following the acquisition of Pharmacy Creations on April 1, 2014, we began selling our proprietary compounded formulations and other non-proprietary pharmacy products and formulations. During the three months ended March 31, 2015, there was an increase of $630 in sales and marketing expenses as compared to the same period in the prior year. This increase is attributed to the hiring of additional commercialization personnel, the launch of our urology based marketing efforts, attendance at trade conferences and implementation of other various marketing activities, all related to our commercialization efforts for our proprietary compounded formulations.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months ended March 31, 2015 and 2014: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2015, there was an increase of $585 in general and administrative expenses as compared to the same period in the prior year. The increase in general and administrative expenses is largely attributable to additional expenses related to the acquisitions of Pharmacy Creations and Park and the general increase of our operations, including hiring additional personnel, obtaining and maintaining state pharmacy licenses, incurring increased professional fees and other related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2015 and 2014:</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6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181</w:t>
            </w:r>
          </w:p>
        </w:tc>
        <w:tc>
          <w:tcPr>
            <w:tcW w:w="15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2015, there was an increase of $121 in research and development expenses as compared to the same period in the prior year. The increase was primarily related to our sponsorship of investigator-initiated evaluations related to certain of our proprietary compounded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Expense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was $2 for the three months ended March 31, 2015, compared to $10 for the same period in the prior year. The decrease was due to a lower average cash balance during the three months ended March 31, 2015 as compared to the same period in the prior year. Interest expense was $9 for the three months ended March 31, 2015, compared to $0 for the same period in the prior year. The increase is due to interest expense recognition related to capital leases entered into during 2014 and deferred acquisition obligations related to the acquisition of Park.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for the three months ended March 31, 2015 was $(3,093), or $(0.33), basic and diluted net loss per share, compared to a net loss for the same period in the prior year of $(2,325), or $(0.26), basic and diluted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dollar amounts in the below discussion are expressed in thousands.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March 31, 2015 was $2,898, compared to $14,201 at March 31, 2014. The decrease in cash on hand is primarily attributable to use of cash to support our operations and acquire Pharmacy Creations and Park. Since inception through March 31, 2015, we have incurred aggregate losses to common stockholders of $(44,958). These losses are primarily due to selling, general and administrative and research and development expenses incurred in connection with developing and seeking regulatory approval for our former drug candidate, Impracor, which activities we have now discontinued. Historically, our operations have been financed through capital contributions and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months ended March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jc w:val="center"/>
              <w:ind w:left="376"/>
              <w:spacing w:after="0"/>
              <w:rPr>
                <w:sz w:val="20"/>
                <w:szCs w:val="20"/>
                <w:color w:val="auto"/>
              </w:rPr>
            </w:pPr>
            <w:r>
              <w:rPr>
                <w:rFonts w:ascii="Arial" w:cs="Arial" w:eastAsia="Arial" w:hAnsi="Arial"/>
                <w:sz w:val="18"/>
                <w:szCs w:val="18"/>
                <w:b w:val="1"/>
                <w:bCs w:val="1"/>
                <w:color w:val="auto"/>
                <w:w w:val="92"/>
              </w:rPr>
              <w:t>For the Three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For the Three</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80" w:type="dxa"/>
            <w:vAlign w:val="bottom"/>
          </w:tcPr>
          <w:p>
            <w:pPr>
              <w:jc w:val="center"/>
              <w:ind w:left="376"/>
              <w:spacing w:after="0"/>
              <w:rPr>
                <w:sz w:val="20"/>
                <w:szCs w:val="20"/>
                <w:color w:val="auto"/>
              </w:rPr>
            </w:pPr>
            <w:r>
              <w:rPr>
                <w:rFonts w:ascii="Arial" w:cs="Arial" w:eastAsia="Arial" w:hAnsi="Arial"/>
                <w:sz w:val="18"/>
                <w:szCs w:val="18"/>
                <w:b w:val="1"/>
                <w:bCs w:val="1"/>
                <w:color w:val="auto"/>
                <w:w w:val="91"/>
              </w:rPr>
              <w:t>Months Ended</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Months Ended</w:t>
            </w:r>
          </w:p>
        </w:tc>
        <w:tc>
          <w:tcPr>
            <w:tcW w:w="56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tcPr>
          <w:p>
            <w:pPr>
              <w:jc w:val="center"/>
              <w:ind w:left="376"/>
              <w:spacing w:after="0"/>
              <w:rPr>
                <w:sz w:val="20"/>
                <w:szCs w:val="20"/>
                <w:color w:val="auto"/>
              </w:rPr>
            </w:pPr>
            <w:r>
              <w:rPr>
                <w:rFonts w:ascii="Arial" w:cs="Arial" w:eastAsia="Arial" w:hAnsi="Arial"/>
                <w:sz w:val="18"/>
                <w:szCs w:val="18"/>
                <w:b w:val="1"/>
                <w:bCs w:val="1"/>
                <w:color w:val="auto"/>
                <w:w w:val="92"/>
              </w:rPr>
              <w:t>March 31, 2015</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 2014</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51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(2,275)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(3,033)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03"/>
        </w:trPr>
        <w:tc>
          <w:tcPr>
            <w:tcW w:w="580" w:type="dxa"/>
            <w:vAlign w:val="bottom"/>
          </w:tcPr>
          <w:p>
            <w:pPr>
              <w:spacing w:after="0"/>
              <w:rPr>
                <w:sz w:val="17"/>
                <w:szCs w:val="17"/>
                <w:color w:val="auto"/>
              </w:rPr>
            </w:pPr>
          </w:p>
        </w:tc>
        <w:tc>
          <w:tcPr>
            <w:tcW w:w="4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10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0"/>
              </w:rPr>
              <w:t>(5,313)</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8,211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0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Cash and Cash Equivalents at End of the Period</w:t>
            </w:r>
          </w:p>
        </w:tc>
        <w:tc>
          <w:tcPr>
            <w:tcW w:w="1100" w:type="dxa"/>
            <w:vAlign w:val="bottom"/>
          </w:tcPr>
          <w:p>
            <w:pPr>
              <w:spacing w:after="0"/>
              <w:rPr>
                <w:sz w:val="18"/>
                <w:szCs w:val="18"/>
                <w:color w:val="auto"/>
              </w:rPr>
            </w:pPr>
          </w:p>
        </w:tc>
        <w:tc>
          <w:tcPr>
            <w:tcW w:w="1680" w:type="dxa"/>
            <w:vAlign w:val="bottom"/>
            <w:tcBorders>
              <w:bottom w:val="single" w:sz="8" w:color="auto"/>
            </w:tcBorders>
          </w:tcPr>
          <w:p>
            <w:pPr>
              <w:jc w:val="right"/>
              <w:ind w:right="151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2,898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w:t>
            </w:r>
          </w:p>
        </w:tc>
        <w:tc>
          <w:tcPr>
            <w:tcW w:w="1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$(2,275) for the three months ended March 31, 2015, as compared to $(1,676) used in operating activities during the same period in the prior year. The increase in net cash used in operating activities was mainly due to expanding our operations, including hiring additional personnel, commercialization and marketing activities related to our proprietary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2015 and 2014 was $(3,033) and $(51), respectively. The increase in cash used in investing activities during the three months ended March 31, 2015 was primarily related to the acquisition of Park.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provided by financing activities for the three months ended March 31, 2015 and 2014 was ($5) and $349, respectively. The cash used in financing activities during the three months ended March 31, 2015 is primarily attributable to payments for deferred financing costs in connection with the LSAF loan entered in May 2015, net of proceeds received from cash exercises of warrants. The cash provided by financing activities during the three months ended March 31, 2014 is primarily attributable to cash exercises of stock options and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Sources of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$3,048 at March 31, 2015, together with expected future revenues and expenses and revenues received and expenses incurred since such date, including $10,000, net of expenses, of debt proceeds received in May 2015 under our loan agreement, will be sufficient to sustain our planned level of operations for at least the next 12 months. However,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compounded formulations and technologies and the integration and expansion of our pharmacy operations, to pursue potential future strategic transactions, including the construction of an outsourcing facility and potential pharmacy and outsourcing facilities acquisitions, and to otherwise fund our operations. We expect additional funds would be required if we pursue the acquisition of additional compounding pharmacies or outsourcing facilities, conduct any clinical trials or any other studies that may be required to obtain FDA regulatory approval to market any potential product candidates, pursue additional development programs or explore other development opportunities.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have the option, if we satisfy certain revenue milestones, to obtain in May 2016 an additional $5,000 of debt proceeds under our loan agreement. We also could seek additional financing from a variety of sources, including equity or debt financing, funding from a corporate partnership or licensing arrangement,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in future periods, general economic conditions and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be forced to forego pursuit of potentially valuable development or acquisition opportunities, we may not be able to pursue any or all elements of our business plan and we may be required to cease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2015, there were no material changes to the “Critical Accounting Policies” discussed in Part II, Item 7 (Management’s Discussion and Analysis of Financial Condition and Results of Operations) of our 2014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2015. Based on this evaluation, our principal executive officer and principal financial officer have concluded that our disclosure controls and procedures were effective to achieve their stated purpose as of March 31, 2015,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March 31, 2015,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incurred losses in every year of our operations, including net losses of $(10.1 million) for the year ended December 31, 2014. As of March 31, 2015, our accumulated deficit was $(45.0 million). On June 26, 2011, we suspended our operations and filed a voluntary petition for reorganization relief under Chapter 11 of the U.S. Bankruptcy Code in the U.S.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Although we have been generating revenue from our pharmacy operations following the closing of our acquisitions of Pharmacy Creations, LLC (“Pharmacy Creations”) on April 1, 2014 and South Coast Specialty Compounding, Inc. D/B/A Park Compounding (“Park”) on January 1, 2015, our ability to generate significant revenues and achieve profitability will depend on a number of factors, including our ability, alone or with others, to identify promising development opportunities and implement appropriate commercialization strategies, develop and commercialize our proprietary compounded formulations, interest physicians and health care organizations in our proprietary formulations, successfully market and sell these formulations, integrate and operate Pharmacy Creations, Park and any other pharmacies or outsourcing facilities we may build or acquire in the future, establish a network of pharmacies with a broad geographic footprint, and comply with federal and state laws related to pharmaceutical compounding and, if applicable, U.S. Food and Drug Administration (“FDA”) regulations for any formulations for which we pursue FDA approval, as well as the other risk factors described in this Item 1A, many of which are outside of our direct control. These activities are costly and susceptible to failure, and we may never be able to achieve or sustain market acceptance of any of our proprietary formulations, generate sufficient revenue to support our business from our pharmacy operations, or reach the level of sales and revenues necessary to achieve and sustain profitability.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third-party pharmacies, through which we can market and sell our proprietary formulations and other non-proprietary products in all 50 states. On April 1, 2014, we completed the acquisition of Pharmacy Creations, a New Jersey-based compounding pharmacy, and on January 1, 2015, we completed the acquisition of Park, a California-based compounding pharmacy, through which we have rights to dispense formulations in 42 states. Additionally, in February 2015, we entered into a lease agreement for space in New Jersey and began construction efforts to build this space into an outsourcing facility, which we expect to be completed during the fourth quarter of 2015. We have limited experience acquiring, building or operating compounding pharmacies or other prescription dispensing facilities or commercializing our formulations through ownership of or licensing arrangements with pharmacies. We expect to expand our operations and personnel in the pharmacy operations area in order to further develop this compounding pharmacy network, but we may experience difficulties implementing this strategy, including difficulties that arise as a result of our lack of experience, and we may be unsuccessful. For instance, we may not be successful in our efforts to integrate, manage or otherwise realize the benefits we expect from our acquisitions of Pharmacy Creations, Park or any additional pharmacy businesses or outsourcing facilities we seek to acquire or build in the future, we may not be able to satisfy applicable federal and state licensing and other requirements for any such pharmacy businesses in a timely manner or at all, changes to state and federal pharmacy regulations may restrict compounding operations or make them more costly, we may be unable to achieve a sufficient physician and patient customer base to sustain our pharmacy operations, and we may not be able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 Our business could materially suffer if we are unable to further develop this pharmacy network and, even if we are successful, we may be unable to generate sufficient revenue to recover our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efficacy of our formulations for any particular indication.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these non-FDA approved compounded formulations, particularly when an FDA-approved alternative is available. Other reasons physicians may be unwilling to prescribe or patients may be unwilling to use our proprietary customizable compounded formulations could include the following, among others: we are limited in our ability to discuss the efficacy or safety of our formulations with potential purchasers of our formulations to the extent applicable data is available; our pharmacy operations are primarily operating on a cash-pay basis and reimbursement may or may not be available from third-party payors, including the government Medicare and Medicaid programs; and our formulations are not presently being prepared in a manufacturing facility governed by current good manufacturing practice (“cGMP”) requirements. Any failure by physicians, patients and/or third-party payors to accept and embrace compounded formulations could substantially limit our market and cause our operations to suffer.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sufficient revenue through Pharmacy Creations and Park or other compounding pharmacies we may acquire or develop or with which we may partner to fund our operations and recover our development costs.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involves the preparation and sale of our proprietary formulations through a network of compounding pharmacies and outsourcing facilities. We are in the process of establishing an internal sales force to pursue marketing and sales of our proprietary and other formulations in the states in which Pharmacy Creations and Park are authorized to operate under federal and state pharmacy laws. We are also pursuing additional strategic transactions to broaden our geographic reach, including our plans to open our own outsourcing facility in New Jersey, which is currently under construction that we expect to be completed in the fourth quarter of 2015. We have limited experience operating pharmacies and commercializing compounded formulations and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obtained FDA approval, only limited data will be available, if any, with respect to the safety and efficacy of our formulations for any particular indication, and we will be subject to regulatory limitations with respect to the information we can provide regarding the safety and efficacy of our formulations even if such data is available. As a result, physicians may not be interested in prescribing our formulations to their patients, and we may not generate significant revenue from sales of our proprietary formulations and other products. In addition, we are substantially dependent on Pharmacy Creations, Park, any other pharmacies or prescription dispensing facilities we acquire or develop and any pharmacy partners with which we may contract to compound and sell our formulations in sufficient volumes to accommodate the number of prescriptions they receive. We may be unable to acquire, build or enter into agreements with pharmacies or outsourcing facilities of sufficient size, reputation and quality to implement our business plan, and our pharmacy partners may be unable to compound our formulations successfully. If physicians and healthcare organizations were to request our formulations in quantities our pharmacies or pharmacy partners are unable to fill, our business would suffer.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proprietary formulations are comprised of active pharmaceutical ingredients that are components of drugs that have received marketing approval from the FDA, although our proprietary compounded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prohibitions 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These and other restrictions on the activities of compounding pharmacies may significantly limit the market available for compounded formulations, as compared to the market available for FDA-approved drugs.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89" w:lineRule="auto"/>
        <w:rPr>
          <w:sz w:val="20"/>
          <w:szCs w:val="20"/>
          <w:color w:val="auto"/>
        </w:rPr>
      </w:pPr>
      <w:r>
        <w:rPr>
          <w:rFonts w:ascii="Arial" w:cs="Arial" w:eastAsia="Arial" w:hAnsi="Arial"/>
          <w:sz w:val="16"/>
          <w:szCs w:val="16"/>
          <w:color w:val="auto"/>
        </w:rPr>
        <w:t>Our pharmacy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the Health Insurance Portability and Accountability Act (“HIPAA”) and other state and federal laws related to the use, disclosure and transmission of health information; state and federal controlled substance laws; and statutes and regulations related to FDA approval for the sale and marketing of new drugs and medical devices.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Pharmacy Creations, Park or any other pharmacy or outsourcing facility we acquire or build or with which we partner fails to comply with the Controlled Substances Act, FDCA,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and subject pharmacies to oversight by state boards of pharmacy and other regulators that could impose burdensome requirements or restrictions on operations if a pharmacy is found not to comply with these laws. For example, on May 14, 2014, Pharmacy Creations entered into a voluntary interim consent order with the Office of the Attorney General of the State of New Jersey and New Jersey State Board of Pharmacy related to its sterile compounding activities, pursuant to which Pharmacy Creations has agreed to conduct four additional mandatory third-party inspections by August 2015. Completing these additional third-party inspections will involve significant additional costs to us and will distract management and Pharmacy Creations employees from other aspects of our business. This consent order is not a disciplinary action or sanction or an admission of liability on the part of the pharmacy, and we believe that Pharmacy Creations is in material compliance with applicable regulatory requirements. However, if Pharmacy Creations or Park fails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such noncompliance could also result in complaints or adverse actions by respective state boards of pharmacy, FDA inspection of the facility to determine compliance with the U.S. Food Drug and Cosmetic Act (“FDCA”),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 Although we ultimately expect to distribute our proprietary formulations through a network of compounding pharmacies, we may not be successful in establishing such a network and the loss or limitation of Pharmacy Creation’s or Park’s ability to compound sterile formulations would have an immediate adverse impact on our ability to successfully and timely implement our business plan.</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Many of the states into which Pharmacy Creations and Park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Further, under federal law, Section 503A of the FDCA seeks to limit the amount of compounded products that a pharmacy can dispense interstate. The interpretation and enforcement of that provision is dependent on the FDA entering into a memorandum of understanding (“MOU”) with each state setting forth limits on interstate compounding. In February 2015, the FDA presented a draft MOU that, if adopted and signed by states would limit the amount of interstate units dispensed from a compounding pharmacy to 30% of all compounded and non-compounded units dispensed or distributed by the pharmacy per month. This MOU, if adopted and signed by states, and any other state laws or requirements that may be enacted that prohibit or restrict the interstate operations of pharmacies could involve significant additional costs to us in order to sell compounded formulations in certain states and could limit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a compounding pharmacy business.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United States Pharmacopoeia (“USP”) &lt;795&gt; and USP &lt;797&gt; and applicable state and federal law, our proprietary compounded formulations are not required to be, and have not been, approved for marketing and sale by the FDA and, as a result, some physicians may be unwilling to prescribe, and some patients may be unwilling to use, our formulations. Additionally,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As a result,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if any,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success of our proprietary formulations include the size of the market for such products, which could be smaller than we expect, the timing of market entry relative to competitive products, the availability of alternative compounded formulations or approved drugs, the price of our formulations and services relative to these alternative products, the availability of third-party reimbursement and the success of our sales and marketing efforts.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safety and quality of our products. We could be adversely affected if we,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For instance, to the extent any of the components of approved drugs or other ingredients used by Pharmacy Creations and Park to produce our compounded formulations have quality or other problems that adversely affect the finished compounded preparations, our business could be adversely affected. Also, because of our dependence upon medical and patient perceptions, any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implemented a policy whereby 100% of all sterile compound batches produced by Pharmacy Creations and Park are tested both in-house and externally prior to their delivery to patients and physicians by an independent, FDA 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such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Pharmacy Creations, Park, or any other acquired or developed pharmacy or pharmacy partner, our reputation may suffer, physicians may be unwilling to prescribe our proprietary formulations or order any prescriptions from such pharmacies, we may become subject to product and professional liability lawsuits, or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Currently, Pharmacy Creations and Park operate on mostly a cash-pay basis and do not submit large amounts of claims for reimbursement through Medicare, Medicaid or other third-party payors, although our customers may choose to seek available reimbursement opportunities to the extent that they exist. We are currently in communications with third-party public and private payors regarding potential reimbursement options for certain of our proprietary formulations, but we may be unsuccessful in these efforts. Many third-party payors have imposed significant restrictions on reimbursement for compounded formulations in recent years. Additionally, even if we were to pursue and obtain FDA-approval for a particular product candidate, significant uncertainty exists as to the reimbursement status of newly approved health care products.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it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estimates of our future operating and capital expenditures are based upon our current business plan, the anticipated expenses associated with our Pharmacy Creations and Park operations and our current expectations regarding the commercialization of our proprietary formulations. Our projections have varied significantly in the past as a result of changes to our business model and strategy, including our discontinuation of our historical Impracor program in November 2013 and our acquisitions of Pharmacy Creations, Park and various product development opportunities. We have limited experience operating a pharmacy and commercializing compounded formulations, and we may not accurately estimate expenses and potential revenue associated with these activities. Additionally, our operating expenses may fluctuate significantly as a result of a variety of factors, including those discussed in this Item 1A, some of which are outside of our direct control. If we are unable to correctly estimate the amount of cash necessary to fund our business, we could spend our available financial resources much faster than we currently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our acquisition of Pharmacy Creations and Park to provide us with limited research and development support and access to additional novel compounded formulations. However, we have historically relied, and we expect to continue to rely, primarily upon third parties to provide us with additional opportunities. In 2013, we entered into three asset purchase agreements for development opportunities as a result of referrals from Professional Compounding Centers of America (PCCA) pursuant to our strategic alliance agreement with PCCA. Although the term of the strategic alliance agreement currently extends until February 18, 2016 and automatically extends for successive one year periods unless either party provides notice of non-renewal, we do not expect to obtain additional referrals and development opportunities through PCCA. In October 2014, we entered into a license agreement with Urigen Pharmaceuticals, Inc. that provides us with, in exchange for certain royalty and diligence obligations, development and commercialization rights in the U.S. with respect to our patented formulation of heparin and alkalinized lidocaine for the prevention and treatment of lower urinary tract disorders. We may seek to enter into similar arrangements with other third parties and for other formulations in the future, but only if we are able to identify attractive formulations and negotiate agreements with their owners on terms acceptable to us, which we may not be able to do. If we are unable to utilize Pharmacy Creations, Park and our current and future relationships with pharmacists, physicians and other inventors to provide us with additional development opportunities, our growth opportunities may be limited. Moreover, we have limited resources to acquire additional potential product development assets and integrate them into our business and acquisition opportunities may involve competition among several potential purchasers, which could include large multi-national pharmaceutical companies and other competitors that have access to greater financial resources than we do.</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pharmacist, physician and research consultants and advisors also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existing or any new product candidates. As a result, we face financial and operational risks and uncertainties in connection with any future product or technology acquisitions, and those we do complete may not be beneficial to us in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may acquire rights in the future. Since May 2013, we have entered into three asset purchase agreements for assets related to compoundable formulations and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There are numerous difficulties and risks inherent in acquiring, developing and commercializing new formulations and product candidates, including the risks identified in this Item 1A.</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develop a commercialization strategy for the product candidate. These commercialization strategies could include, among others, marketing and selling the formulation in compounded form through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distract our management.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charges specific to the transaction and not incident to our operations,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As part of our efforts to complete any significant transaction, we would need to expend significant resources to conduct business, legal and financial due diligence, with the goal of identifying and evaluating material risks involved in the transaction. Despite our efforts, we may be unsuccessful in ascertaining or evaluating all such risks and, as a result, we may not realize the expected benefits of any such transaction, whether due to unidentified risks, integration difficulties, regulatory setbacks or other events, and we may incur material liabilities for the past activities of acquired businesses. If any of these events were to occur, we could be subject to significant costs and damage to our reputation and our business, results of operations and financial condition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indebtedness, which will require substantial cash to service and which subjects our business to certain restrictions.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11, 2015, we incurred $10 million of indebtedness under a loan agreement with IMMY Funding LLC, an affiliate of Life Sciences Alternative Funding LLC, with the potential to incur, at our option, an additional $5 million of indebtedness thereunder if we achieve certain revenue milestones on or before May 11, 2016. We are obligated to pay interest on the principal amount of the loans at a fixed per-annum rate of 12.5% and we are permitted to pay interest only for the first three years, which interest-only period may be reduced to 20 months if we do not meet certain minimum revenue or cash balance requirements. After the end of the interest-only period, we will be required to pay interest, plus repayments of the principal amount of the loans, in 24 equal monthly installments. All amounts owed under the loan agreement, including a final fee of 5% of the aggregate principal amount of the loans, will be due on the earlier of May 11, 2021 or 24 months after the end of the interest-only period. We expect our payment obligations under the loan agreement to total approximately $670,000 for our 2015 fiscal year. The loans are secured by substantially all of our personal property, rights and assets, including our intellectual property rights.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capital through equity sales on terms that may be onerous or highly dilutive. If we desire to refinance our indebtedness, our ability to do so will depend on the capital markets and our financial condition at such time. We may not be able to engage in any of these activities or engage in these activities when needed or on desirable terms, which could result in a default on our debt obligations. Additionally, our loan agreement contains various restrictive covenants, including, among others, our obligation to deliver to the lender certain financial and other information, our obligation to comply with certain notice and insurance requirements, and our inability, without the lender’s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loan agreement when due, would cause us to be in default under the loan agreement. In the event of any such default, the lender may be able to foreclose on our assets that secure the loans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only recently started generating cash from operations, but we do not presently receive sufficient revenues to support our operations. Although we believe we have sufficient cash reserves to operate our business for at least the next 12 months, we will need significant additional capital to execute our business plan and fund our proposed business operations. Additionally,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68" w:lineRule="auto"/>
        <w:rPr>
          <w:sz w:val="20"/>
          <w:szCs w:val="20"/>
          <w:color w:val="auto"/>
        </w:rPr>
      </w:pPr>
      <w:r>
        <w:rPr>
          <w:rFonts w:ascii="Arial" w:cs="Arial" w:eastAsia="Arial" w:hAnsi="Arial"/>
          <w:sz w:val="17"/>
          <w:szCs w:val="17"/>
          <w:color w:val="auto"/>
        </w:rPr>
        <w:t>We have raised over $30 million in funds through equity and debt financings since April 2012, including $10 million, net of expenses, of debt proceeds received in May 2015 under our loan agreement. In addition, we may have the option, if we satisfy certain revenue milestones, to obtain in May 2016 an additional $5 million of debt proceeds under our loan agreement. We also may seek to obtain additional capital through additional equity or debt financings, funding from corporate partnerships or licensing arrangements, sales of assets or other financing transactions. If additional capital is not available when necessary and on acceptable terms, we may need to forego pursuit of potentially valuable development or acquisition opportunities, we may not be able to continue to operate our business pursuant to our business plan or we may be forced to discontinue our operations entirely.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be required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started to build an internal sales and marketing infrastructure to implement our business plan by developing internal sales teams and education campaigns to market our proprietary ophthalmology and urology formulations. We will need to expend significant resources to further establish and grow this internal infrastructure and properly train sales personnel with respect to regulatory compliance matters. We may also choose to engage third parties to provide sales and marketing services for us, either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we may be unable to sell our formulations or services or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and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such cybersecurity or system failure, accident or breach to date, if such an event were to occur, it could result in a material disruption of our operations, substantial costs to rectify or correct the failure, if possible, and potentially violation of HIPAA and other privacy laws applicable to our pharmacy operations. If any disruption or security breach resulted in a loss of or damage to our data or applications or inappropriate disclosure of confidential or proprietary information, we could incur liability, further development of our proprietary formulations could be delayed, and our pharmacies could be disrupted, subject to restriction or forced to terminate their operations, any of which could severely harm our business and prospects.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our current business strategy is focused on developing and commercializing product opportunities as compounded formulations, we may choose to seek FDA regulatory approval to market and sell one or more of our assets as a FDA-approved drug.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of our potential product candidates, we would be required to demonstrate through preclinical studies and clinical trials that the product candidate is safe and effective for each intended use. Preclinical and clinical studies may fail to demonstrate the safety and efficacy of our potential product candidates. Even promising results from preclinical and early clinical studies do not accurately predict positive results in later, large-scale trials.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with respect to its distribution, which could reduce revenue potential, and we would be subject to extensive and costly post-approval requirements and oversight with respect to our commercialization of the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or the termination of, any clinical and non-clinical trials for any product candidates for which we seek FDA approval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clinical trial for Impracor.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with clinical research organizations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formulations.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CROs and others to design, conduct, analyze and interpret the results of studies in connection with the research and development of our products. In addition, we have in the past provided and expect to continue to provide grants to physicians and other healthcare organizations to support investigator-initiated studies of our proprietary formulations. We generally have only very limited contractual rights in connection with the conduct of these studies. In addition, if we were to participate in clinical trials conducted under an investigator-sponsored new drug application approved by the FDA, correspondence and communication with the FDA pertaining to these trials would strictly be between the investigator and the FDA. The communication and information provided by the investigator may not be appropriate and accurate, which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we determine to pursue are not in our direct control.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by regulatory agencies. Failure of these third parties to meet their obligations could adversely affect the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Even if we successfully develop any product candidate into an FDA-approved drug, we would be subject to extensive continuing regulatory requirements and review, including review of adverse drug experiences and clinical results from any post-marketing tests or continued actions required as a condition of approval. The manufacturer and manufacturing facilities we would use to produce any such drug preparations would be subject to periodic review and inspection by the FDA, and we would be reliant on these third parties to maintain their manufacturing processes in compliance with FDA and all other applicable regulatory requirements. Any changes to a product that may have achieved approval, including the way it is manufactured or promoted, would often require FDA approval before the product, as modified, could be marketed and sold. In addition, we and our contract manufacturers would be subject to ongoing FDA requirements for submission of safety and other post-market information. If we or our contract manufacturers failed to comply with these or any other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We also would be required to submit information on any open and completed clinical trials to public registries and databases. Failure to comply with these requirements could expose us to negative publicity, fines and penalties that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Historically, our business was focused on developing and commercializing our product candidate Impracor under the regulatory pathway provided by Section 505(b)(2) of the FDCA. In August 2013, our contract manufacturer for the materials to be used in a proposed Phase 3 clinical trial of Impracor notified us that such materials had demonstrated out of specification and decreasing stability test results, which we believe could likely have resulted in the materials being unusable for the duration of the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trial for Impracor and terminated all development programs for Impracor. We do not at this time expect to identify or pursue a successful commercialization pathway for Impracor. Even if we were to pursue commercialization of Impracor or sell compounded formulations utilizing the Impracor technology through our pharmacy operations, we would not expect to achieve sales and revenues necessary to recover our historical costs associated with the Impracor development program.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May 12, 2015, we owned 13 U.S. patent applications, including ten utility and three provisional patent applications, and we owned five international patent applications filed under the Patent Cooperation Treaty. However, the applications we have filed or may file in the future may never yield patents that protect our inventions and intellectual property assets. Failure to obtain patents that cover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to which we have acquired rights. In addition, we cannot be certain that patents issued to us will not be challenged, invalidated, infringed or circumvented, including by our competitors, or that the rights granted thereunder will provide competitive advantages to us.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our contract manufacturing organizations or our other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While we have filed five international patent applications under the Patent Cooperation Treaty,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file international patent applications for any of our current or future proprietary formulations and patents are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Moreover, attempting to enforce our patent rights in foreign jurisdictions could result in substantial costs and divert our efforts and attention from other aspects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affected products. Patent litigation is costly and time consuming and may divert management’s attention and our resources. We may not have sufficient resources to bring any such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CEO, Mark L. Baum, for the continued growth and development of our Company.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CEO,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do not have key man insurance for Mr. Baum.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terminated all of our employees following our filing of the Chapter 11 Case. Since the dismissal of the Chapter 11 Case in December 2011, we have developed a new business model and have focused on rebuilding our management, pharmacy, research and development, sales and marketing and other personnel in order to pursue this business model. However, because of our history, we may have significant difficulty attracting and retaining necessary employees. In addition, because of the specialized nature of our business, our ability to develop products and to compete will remain highly dependent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including our research and development activities. Our agreements with our consultants typically provide that the consultant may terminate the agreement with advanced notice to us. If any of our consultants terminates their engagement with us, or if we are unable to engage highly qualified replacements as needed on commercially reasonable terms,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Patient Protection and Affordable Care Act (“ACA”) and the Health Care and Education Reconciliation Act of 2010, which amended ACA (collectively, the “Health Reform Law”) may have a considerable impact on the existing U.S. system for the delivery and financing of health care and conceivably could have a material effect on our business, although the details for implementation of many of the requirements under the Health Reform Law will depend on the promulgation of regulations by a number of federal government agencies. It is impossible to predict the final requirements of the Health Reform Law, any other changes to laws and regulations affecting the healthcare industry, or the net effect of these requirements or changes on our business, operations or financial performance.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are able to exert control over us and our significant corporate decisions, and sales of common stock by these stockholders from time to time could have an adverse effect on our stock price.</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executive officers and directors own or have the right to acquire within 60 days after May 12, 2015, in the aggregate, approximately 17% of our common stock that would be outstanding following such issuances. In addition, five individual stockholders own, or have the right to acquire within 60 days after May 12, 2015, an additional approximately 39% of our common stock that would be outstanding following such issuances. The sale of even a portion of these shares, or the perception that such sales could occur, would likely have a material adverse effect on our stock price. In addition,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w:t>
      </w:r>
    </w:p>
    <w:p>
      <w:pPr>
        <w:spacing w:after="0" w:line="2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or changes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financial statements could be misstated, our reputation may be harmed and the trading price of our stock could decline. As we discuss in Item 9A of our Annual Report on Form 10-K for the year ended December 31, 2014, our management concluded that our internal controls over financial reporting were effective as of December 31, 2014.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risk factors affecting our business discussed in this Item 1A.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would likely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Following the conversion of our Series A Preferred Stock on June 29, 2012, we have no shares of preferred stock issued and outstanding. Although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will be limited to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May 2015 loan agreement, as well as our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of 1933, as amended (the “Securities Act”),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January and March 2015, we issued a total of 23,427 shares of common stock as a result of warrant exercises. Of these, we received gross cash proceeds of approximately $77,000 for the issuance of 12,658 shares of common stock upon the exercise on a cash basis of warrants to purchase the same number of shares of common stock with exercise prices of $5.925. These warrants were issued in April 2012 as part of a private placement of securities. Neither the warrants nor the common stock issued upon exercise of the warrants have been registered under the Securities Act. The securities were sold and issued in reliance on exemptions from the registration requirements of the Securities Act afforded by Section 4(a)(2) thereof and Regulation D thereunder in reliance upon the following facts: we did not use general solicitation or advertising to market the securities; each warrant holder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during March 2015, we received no cash proceeds for the issuance of 10,769 shares of common stock upon the exercise pursuant to cashless exercise provisions of warrants to purchase 30,000 shares of common stock with an exercise price of $5.25 per share. These warrants were issued in March 2013 to a consultant for services rendered. Neither the warrants nor the common stock issued upon exercise of the warrants have been registered under the Securities Act. The securities were sold and issued in reliance on the exemption from the registration requirements of the Securities Act afforded by Section 4(a)(2) thereof. In determining that the issuance of the securities qualified for exemption under Section 4(a)(2), we relied on the following facts: we did not use general solicitation or advertising to market the securities; the consultant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Amended and Restated Employment Agreement, effective as of February 1, 2015, by and between Imprimis Pharmaceuticals, Inc. and Andrew</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R. Boll (incorporated herein by reference to Exhibit 10.1 to the Current Report on Form 8-K of Imprimis Pharmaceuticals, Inc. filed with the</w:t>
            </w:r>
          </w:p>
        </w:tc>
      </w:tr>
      <w:tr>
        <w:trPr>
          <w:trHeight w:val="230"/>
        </w:trPr>
        <w:tc>
          <w:tcPr>
            <w:tcW w:w="76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76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Performance Stock Units Award Agreement, effective as of February 1, 2015, by and between Imprimis Pharmaceuticals, Inc. and Andrew R.</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Boll (incorporated herein by reference to Exhibit 10.2 to the Current Report on Form 8-K of Imprimis Pharmaceuticals, Inc. filed with the</w:t>
            </w:r>
          </w:p>
        </w:tc>
      </w:tr>
      <w:tr>
        <w:trPr>
          <w:trHeight w:val="230"/>
        </w:trPr>
        <w:tc>
          <w:tcPr>
            <w:tcW w:w="76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76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Employment Agreement, effective as of February 1, 2015, by and between Imprimis Pharmaceuticals, Inc. and John P. Saharek (incorporated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herein by reference to Exhibit 10.3 to the Current Report on Form 8-K of Imprimis Pharmaceuticals, Inc. filed with the Securities and Exchange</w:t>
            </w:r>
          </w:p>
        </w:tc>
      </w:tr>
      <w:tr>
        <w:trPr>
          <w:trHeight w:val="230"/>
        </w:trPr>
        <w:tc>
          <w:tcPr>
            <w:tcW w:w="76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Commission on February 2, 2015)</w:t>
            </w:r>
          </w:p>
        </w:tc>
      </w:tr>
      <w:tr>
        <w:trPr>
          <w:trHeight w:val="418"/>
        </w:trPr>
        <w:tc>
          <w:tcPr>
            <w:tcW w:w="76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Certification of Mark L. Baum, principal executive officer, pursuant to Rule 13a-14(a) or 15d-14(a) of the Securities and Exchange Act of</w:t>
            </w:r>
          </w:p>
        </w:tc>
      </w:tr>
      <w:tr>
        <w:trPr>
          <w:trHeight w:val="230"/>
        </w:trPr>
        <w:tc>
          <w:tcPr>
            <w:tcW w:w="76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418"/>
        </w:trPr>
        <w:tc>
          <w:tcPr>
            <w:tcW w:w="76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Certification of Andrew R. Boll, principal financial and accounting officer, pursuant to Rule 13a-14(a) or 15d-14(a) of the Securities and</w:t>
            </w:r>
          </w:p>
        </w:tc>
      </w:tr>
      <w:tr>
        <w:trPr>
          <w:trHeight w:val="230"/>
        </w:trPr>
        <w:tc>
          <w:tcPr>
            <w:tcW w:w="76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bl>
    <w:p>
      <w:pPr>
        <w:sectPr>
          <w:pgSz w:w="11900" w:h="16838" w:orient="portrait"/>
          <w:cols w:equalWidth="0" w:num="1">
            <w:col w:w="11420"/>
          </w:cols>
          <w:pgMar w:left="240" w:top="692" w:right="239" w:bottom="0" w:gutter="0" w:footer="0" w:header="0"/>
        </w:sectPr>
      </w:pPr>
    </w:p>
    <w:bookmarkStart w:id="47" w:name="page48"/>
    <w:bookmarkEnd w:id="47"/>
    <w:p>
      <w:pPr>
        <w:ind w:left="1040"/>
        <w:spacing w:after="0"/>
        <w:rPr>
          <w:sz w:val="20"/>
          <w:szCs w:val="20"/>
          <w:color w:val="auto"/>
        </w:rPr>
      </w:pPr>
      <w:r>
        <w:rPr>
          <w:rFonts w:ascii="Arial" w:cs="Arial" w:eastAsia="Arial" w:hAnsi="Arial"/>
          <w:sz w:val="16"/>
          <w:szCs w:val="16"/>
          <w:color w:val="auto"/>
        </w:rPr>
        <w:t>Baum, principal executive officer, and Andrew R. Boll, principal financial and accounting officer.</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XBRL Taxonomy Extension Schema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2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13,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4"/>
                <w:szCs w:val="24"/>
                <w:color w:val="auto"/>
              </w:rPr>
            </w:pPr>
          </w:p>
        </w:tc>
        <w:tc>
          <w:tcPr>
            <w:tcW w:w="10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0"/>
              </w:rPr>
              <w:t>Amended and Restated Employment Agreement, effective as of February 1, 2015, by and between Imprimis Pharmaceuticals, Inc. and Andrew</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4"/>
              </w:rPr>
              <w:t>R. Boll (incorporated herein by reference to Exhibit 10.1 to the Current Report on Form 8-K of Imprimis Pharmaceuticals, Inc. filed with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Performance Stock Units Award Agreement, effective as of February 1, 2015, by and between Imprimis Pharmaceuticals, Inc. and Andrew 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6"/>
              </w:rPr>
              <w:t>Boll (incorporated herein by reference to Exhibit 10.2 to the Current Report on Form 8-K of Imprimis Pharmaceuticals, Inc. filed with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Employment Agreement, effective as of February 1, 2015, by and between Imprimis Pharmaceuticals, Inc. and John P. Saharek (incorporated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herein by reference to Exhibit 10.3 to the Current Report on Form 8-K of Imprimis Pharmaceuticals, Inc. filed with the Securities and Exchange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Commission on February 2,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6"/>
              </w:rPr>
              <w:t>Certification of Mark L. Baum, principal executive officer, pursuant to Rule 13a-14(a) or 15d-14(a) of the Securities and Exchange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7"/>
              </w:rPr>
              <w:t>Certification of Andrew R. Boll, principal financial and accounting officer, pursuant to Rule 13a-14(a) or 15d-14(a) of the Securities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13, 2015</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2020-01-23T14:13:44Z</dcterms:created>
  <dcterms:modified xsi:type="dcterms:W3CDTF">2020-01-23T14:13:44Z</dcterms:modified>
</cp:coreProperties>
</file>