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August 10,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40"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40"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223"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26035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10, 2017, Imprimis Pharmaceuticals, Inc. (the “Company”) issued a press release announcing its financial results for the second quarter ended June 30, 2017.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August 10, 2017 issued by 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10, 2017</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99.1  Press release date August 10, 2017 issued by 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226060</wp:posOffset>
            </wp:positionV>
            <wp:extent cx="1749425" cy="788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49425" cy="7886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Imprimis Pharmaceuticals Announces Second Quarter 2017 Financial Results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San Diego, CA – August 10, 2017 — Imprimis Pharmaceuticals, Inc. (NASDAQ: IMMY), an ophthalmology-focused pharmaceutical company, today reported financial results for the second quarter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2017 and Recent Financial Highlights:</w:t>
      </w:r>
    </w:p>
    <w:p>
      <w:pPr>
        <w:spacing w:after="0" w:line="229" w:lineRule="exact"/>
        <w:rPr>
          <w:sz w:val="20"/>
          <w:szCs w:val="20"/>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$6.9 million, up 40% year over year</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of $1.5 million, or $0.07 per share of common stock (basic)</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52%</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loss of $(1.9) million</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ophthalmology-related revenue of $4.7 million, up over 70% year over year</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$5.7 million gain recorded related to spin-off and deconsolidation of Eton Pharmaceuticals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July, closed on a $16 million term loan with SWK Holdings and its partners, and retired previous $13M loan agreement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 L. Baum, CEO of Imprimis stated, “I am pleased to report that this second quarter was our first ever quarter of recorded net income. We made measurable progress in growing revenues, increasing margins and lowering our cash loss. Our expenses have stabilized and we are beginning to see returns from investments made in our production capabilities during prior periods. In our core ophthalmology business, we have continued to expand our market share and after having personally been on the road recently in Ohio, Illinois, Michigan, Wisconsin and Nevada – speaking to more than 50 of our customers – I am more confident than ever in the unique value our products bring to ophthalmologists, optometrists and their patients. Despite the traditionally slower summer months for ophthalmology, I expect positive trends of revenue growth, market share expansion, margin improvement and expense stabilization to continue for the balance of this year.”</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Baum continued, “During the second quarter, we exited businesses that were no longer part of our strategic growth plan, grew our core ophthalmology business, continued to see strong and profitable results from our non-ophthalmology business and began to deliver on putting many of the drug formulation assets we own to their highest and best use. Specifically, we completed the successful spin-out of Eton Pharmaceuticals, including a $20M financing and recruiting a dynamic and experienced management team that has a history of success in the pharmaceutical industry. The success of Eton has laid the groundwork for the second of a series of planned spin-out transactions. Our team is working diligently on preparing Surface Pharmaceuticals for investor diligence, which we expect to occur within the next 12 months. I remain hopeful that the market will begin to appreciate the value that we have in Imprimis, and we believe that the increasing value of our core ophthalmology business and transactions like Eton, Surface and others will demonstrate that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Recent Commercialization and Corporate Developments</w:t>
      </w:r>
    </w:p>
    <w:p>
      <w:pPr>
        <w:spacing w:after="0" w:line="225" w:lineRule="exact"/>
        <w:rPr>
          <w:sz w:val="20"/>
          <w:szCs w:val="20"/>
          <w:color w:val="auto"/>
        </w:rPr>
      </w:pPr>
    </w:p>
    <w:p>
      <w:pPr>
        <w:ind w:left="660" w:hanging="382"/>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milestone of one million patient eyes served since launch of ophthalmic portfolio in April 2014, which includes our Dropless and LessDrops formulations.</w:t>
      </w:r>
    </w:p>
    <w:p>
      <w:pPr>
        <w:spacing w:after="0" w:line="1" w:lineRule="exact"/>
        <w:rPr>
          <w:rFonts w:ascii="Arial" w:cs="Arial" w:eastAsia="Arial" w:hAnsi="Arial"/>
          <w:sz w:val="18"/>
          <w:szCs w:val="18"/>
          <w:color w:val="auto"/>
        </w:rPr>
      </w:pPr>
    </w:p>
    <w:p>
      <w:pPr>
        <w:ind w:left="660" w:hanging="38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Imprimis customer network now stands at 1,700 ophthalmologists, surgery centers, and managed care organizations.</w:t>
      </w:r>
    </w:p>
    <w:p>
      <w:pPr>
        <w:spacing w:after="0" w:line="9" w:lineRule="exact"/>
        <w:rPr>
          <w:rFonts w:ascii="Arial" w:cs="Arial" w:eastAsia="Arial" w:hAnsi="Arial"/>
          <w:sz w:val="18"/>
          <w:szCs w:val="18"/>
          <w:color w:val="auto"/>
        </w:rPr>
      </w:pPr>
    </w:p>
    <w:p>
      <w:pPr>
        <w:ind w:left="660" w:hanging="382"/>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Eton Pharmaceuticals secured $20 million in gross proceeds through a Series A Financing of a private placement of preferred stock, completing the spin-out from Imprimis.</w:t>
      </w:r>
    </w:p>
    <w:p>
      <w:pPr>
        <w:spacing w:after="0" w:line="210"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oImprimis holds a 27% ownership stake and has royalty interest in Eton’s pentoxifylline and synthetic corticotropin drug candidates contributed by Imprimis.</w:t>
      </w:r>
    </w:p>
    <w:p>
      <w:pPr>
        <w:spacing w:after="0" w:line="197" w:lineRule="exact"/>
        <w:rPr>
          <w:rFonts w:ascii="Arial" w:cs="Arial" w:eastAsia="Arial" w:hAnsi="Arial"/>
          <w:sz w:val="18"/>
          <w:szCs w:val="18"/>
          <w:color w:val="auto"/>
        </w:rPr>
      </w:pPr>
    </w:p>
    <w:p>
      <w:pPr>
        <w:ind w:left="660" w:hanging="38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Two significant institutional contract wins, including a top three pharmacy benefit manager (PBM) and a national LASIK surgery provider.</w:t>
      </w:r>
    </w:p>
    <w:p>
      <w:pPr>
        <w:spacing w:after="0" w:line="34" w:lineRule="exact"/>
        <w:rPr>
          <w:rFonts w:ascii="Arial" w:cs="Arial" w:eastAsia="Arial" w:hAnsi="Arial"/>
          <w:sz w:val="17"/>
          <w:szCs w:val="17"/>
          <w:color w:val="auto"/>
        </w:rPr>
      </w:pPr>
    </w:p>
    <w:p>
      <w:pPr>
        <w:ind w:left="660" w:hanging="382"/>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Created a new wholly owned subsidiary, Surface Pharmaceuticals, Inc., structured similar to Eton, which will focus on ocular surface disease treatments that we intend to develop as branded drugs through the FDA’s 505(b)(2) development pathway.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 Pharmacy Operations</w:t>
      </w:r>
    </w:p>
    <w:p>
      <w:pPr>
        <w:spacing w:after="0" w:line="225" w:lineRule="exact"/>
        <w:rPr>
          <w:sz w:val="20"/>
          <w:szCs w:val="20"/>
          <w:color w:val="auto"/>
        </w:rPr>
      </w:pPr>
    </w:p>
    <w:p>
      <w:pPr>
        <w:ind w:left="660" w:hanging="38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Imprimis’ New Jersey outsourcing facility completed its first FDA inspection.</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Added new licenses post-FDA inspection, including Minnesota, Massachusetts and North Carolina.</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add new offerings to our 503B portfolio.</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Sold Imprimis Pennsylvania facility and Sinus assets for $450,000 to allow for focus on the company’s core businesses.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Selected highlights regarding operating results for the three and six months ended June 30, 2017 and for the same periods in 2016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For the three months</w:t>
            </w:r>
          </w:p>
        </w:tc>
        <w:tc>
          <w:tcPr>
            <w:tcW w:w="14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For the three months</w:t>
            </w:r>
          </w:p>
        </w:tc>
      </w:tr>
      <w:tr>
        <w:trPr>
          <w:trHeight w:val="241"/>
        </w:trPr>
        <w:tc>
          <w:tcPr>
            <w:tcW w:w="7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ended June 30, 2017</w:t>
            </w:r>
          </w:p>
        </w:tc>
        <w:tc>
          <w:tcPr>
            <w:tcW w:w="140" w:type="dxa"/>
            <w:vAlign w:val="bottom"/>
          </w:tcPr>
          <w:p>
            <w:pPr>
              <w:spacing w:after="0"/>
              <w:rPr>
                <w:sz w:val="20"/>
                <w:szCs w:val="20"/>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ended June 30, 2016</w:t>
            </w: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(3,288)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(2,172)</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2,735</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Selling &amp; Marketing Expenses</w:t>
            </w:r>
          </w:p>
        </w:tc>
        <w:tc>
          <w:tcPr>
            <w:tcW w:w="1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(2,270)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Expenses</w:t>
            </w: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(4,397)</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Research &amp; Development Expenses</w:t>
            </w:r>
          </w:p>
        </w:tc>
        <w:tc>
          <w:tcPr>
            <w:tcW w:w="1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w:t>
            </w: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1,484</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(4,639)</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Common Share,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(0.35)</w:t>
            </w:r>
          </w:p>
        </w:tc>
      </w:tr>
      <w:tr>
        <w:trPr>
          <w:trHeight w:val="414"/>
        </w:trPr>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For the six months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For the six months</w:t>
            </w:r>
          </w:p>
        </w:tc>
      </w:tr>
      <w:tr>
        <w:trPr>
          <w:trHeight w:val="241"/>
        </w:trPr>
        <w:tc>
          <w:tcPr>
            <w:tcW w:w="7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ended June 30, 2017</w:t>
            </w:r>
          </w:p>
        </w:tc>
        <w:tc>
          <w:tcPr>
            <w:tcW w:w="140" w:type="dxa"/>
            <w:vAlign w:val="bottom"/>
          </w:tcPr>
          <w:p>
            <w:pPr>
              <w:spacing w:after="0"/>
              <w:rPr>
                <w:sz w:val="20"/>
                <w:szCs w:val="20"/>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ended June 30, 2016</w:t>
            </w: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(6,645)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(4,421)</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4,867</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Selling &amp; Marketing Expenses</w:t>
            </w:r>
          </w:p>
        </w:tc>
        <w:tc>
          <w:tcPr>
            <w:tcW w:w="1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(4,439)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(4,170)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Expenses</w:t>
            </w: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(8,337)</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Research &amp; Development Expenses</w:t>
            </w:r>
          </w:p>
        </w:tc>
        <w:tc>
          <w:tcPr>
            <w:tcW w:w="1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w:t>
            </w: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(3,522)</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(9,135)</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(0.77)</w:t>
            </w:r>
          </w:p>
        </w:tc>
      </w:tr>
      <w:tr>
        <w:trPr>
          <w:trHeight w:val="439"/>
        </w:trPr>
        <w:tc>
          <w:tcPr>
            <w:tcW w:w="7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For the three</w:t>
            </w:r>
          </w:p>
        </w:tc>
        <w:tc>
          <w:tcPr>
            <w:tcW w:w="2280" w:type="dxa"/>
            <w:vAlign w:val="bottom"/>
          </w:tcPr>
          <w:p>
            <w:pPr>
              <w:spacing w:after="0"/>
              <w:rPr>
                <w:sz w:val="18"/>
                <w:szCs w:val="18"/>
                <w:color w:val="auto"/>
              </w:rPr>
            </w:pPr>
          </w:p>
        </w:tc>
      </w:tr>
      <w:tr>
        <w:trPr>
          <w:trHeight w:val="216"/>
        </w:trPr>
        <w:tc>
          <w:tcPr>
            <w:tcW w:w="7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months ended</w:t>
            </w:r>
          </w:p>
        </w:tc>
        <w:tc>
          <w:tcPr>
            <w:tcW w:w="2280" w:type="dxa"/>
            <w:vAlign w:val="bottom"/>
          </w:tcPr>
          <w:p>
            <w:pPr>
              <w:spacing w:after="0"/>
              <w:rPr>
                <w:sz w:val="18"/>
                <w:szCs w:val="18"/>
                <w:color w:val="auto"/>
              </w:rPr>
            </w:pPr>
          </w:p>
        </w:tc>
      </w:tr>
      <w:tr>
        <w:trPr>
          <w:trHeight w:val="241"/>
        </w:trPr>
        <w:tc>
          <w:tcPr>
            <w:tcW w:w="7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 2017</w:t>
            </w:r>
          </w:p>
        </w:tc>
        <w:tc>
          <w:tcPr>
            <w:tcW w:w="2280" w:type="dxa"/>
            <w:vAlign w:val="bottom"/>
          </w:tcPr>
          <w:p>
            <w:pPr>
              <w:spacing w:after="0"/>
              <w:rPr>
                <w:sz w:val="20"/>
                <w:szCs w:val="20"/>
                <w:color w:val="auto"/>
              </w:rPr>
            </w:pPr>
          </w:p>
        </w:tc>
      </w:tr>
      <w:tr>
        <w:trPr>
          <w:trHeight w:val="216"/>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1,484</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667</w:t>
            </w:r>
          </w:p>
        </w:tc>
        <w:tc>
          <w:tcPr>
            <w:tcW w:w="2280" w:type="dxa"/>
            <w:vAlign w:val="bottom"/>
          </w:tcPr>
          <w:p>
            <w:pPr>
              <w:spacing w:after="0"/>
              <w:rPr>
                <w:sz w:val="18"/>
                <w:szCs w:val="18"/>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w:t>
            </w:r>
          </w:p>
        </w:tc>
        <w:tc>
          <w:tcPr>
            <w:tcW w:w="2280" w:type="dxa"/>
            <w:vAlign w:val="bottom"/>
          </w:tcPr>
          <w:p>
            <w:pPr>
              <w:spacing w:after="0"/>
              <w:rPr>
                <w:sz w:val="18"/>
                <w:szCs w:val="18"/>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280" w:type="dxa"/>
            <w:vAlign w:val="bottom"/>
          </w:tcPr>
          <w:p>
            <w:pPr>
              <w:spacing w:after="0"/>
              <w:rPr>
                <w:sz w:val="18"/>
                <w:szCs w:val="18"/>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c>
          <w:tcPr>
            <w:tcW w:w="2280" w:type="dxa"/>
            <w:vAlign w:val="bottom"/>
          </w:tcPr>
          <w:p>
            <w:pPr>
              <w:spacing w:after="0"/>
              <w:rPr>
                <w:sz w:val="18"/>
                <w:szCs w:val="18"/>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2280" w:type="dxa"/>
            <w:vAlign w:val="bottom"/>
          </w:tcPr>
          <w:p>
            <w:pPr>
              <w:spacing w:after="0"/>
              <w:rPr>
                <w:sz w:val="18"/>
                <w:szCs w:val="18"/>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(5,240)</w:t>
            </w:r>
          </w:p>
        </w:tc>
        <w:tc>
          <w:tcPr>
            <w:tcW w:w="2280" w:type="dxa"/>
            <w:vAlign w:val="bottom"/>
          </w:tcPr>
          <w:p>
            <w:pPr>
              <w:spacing w:after="0"/>
              <w:rPr>
                <w:sz w:val="18"/>
                <w:szCs w:val="18"/>
                <w:color w:val="auto"/>
              </w:rPr>
            </w:pPr>
          </w:p>
        </w:tc>
      </w:tr>
      <w:tr>
        <w:trPr>
          <w:trHeight w:val="234"/>
        </w:trPr>
        <w:tc>
          <w:tcPr>
            <w:tcW w:w="7700" w:type="dxa"/>
            <w:vAlign w:val="bottom"/>
          </w:tcPr>
          <w:p>
            <w:pPr>
              <w:ind w:left="180"/>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(1,945)</w:t>
            </w:r>
          </w:p>
        </w:tc>
        <w:tc>
          <w:tcPr>
            <w:tcW w:w="2280" w:type="dxa"/>
            <w:vAlign w:val="bottom"/>
          </w:tcPr>
          <w:p>
            <w:pPr>
              <w:spacing w:after="0"/>
              <w:rPr>
                <w:sz w:val="20"/>
                <w:szCs w:val="20"/>
                <w:color w:val="auto"/>
              </w:rPr>
            </w:pPr>
          </w:p>
        </w:tc>
      </w:tr>
      <w:tr>
        <w:trPr>
          <w:trHeight w:val="421"/>
        </w:trPr>
        <w:tc>
          <w:tcPr>
            <w:tcW w:w="7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team will host a conference call and audio-only webcast today at 4:15 p.m. EDT (1:15 p.m. PDT) to discuss the financial results and recent developments. To participate in the call, dial (877)-407-8035 for domestic callers or (201)-689-8035 for international callers. To listen to the webcast, please visit the investor relations section of the Imprimis website at </w:t>
      </w:r>
      <w:r>
        <w:rPr>
          <w:rFonts w:ascii="Arial" w:cs="Arial" w:eastAsia="Arial" w:hAnsi="Arial"/>
          <w:sz w:val="18"/>
          <w:szCs w:val="18"/>
          <w:u w:val="single" w:color="auto"/>
          <w:color w:val="auto"/>
        </w:rPr>
        <w:t>www.ImprimisRx.com</w:t>
      </w:r>
      <w:r>
        <w:rPr>
          <w:rFonts w:ascii="Arial" w:cs="Arial" w:eastAsia="Arial" w:hAnsi="Arial"/>
          <w:sz w:val="18"/>
          <w:szCs w:val="18"/>
          <w:color w:val="auto"/>
        </w:rPr>
        <w:t>. A replay of the call will be available until September 10, 2017. To access the replay, dial (877)-481-4010 domestically or (919)-882-2331 internationally and reference Conference ID: 18435. The webcast replay will be available until November 10,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Imprimis Pharmaceuticals, Inc. (NASDAQ: IMMY) is a pharmaceutical company dedicated to producing and dispensing high quality innovative medications in all 50 states. The company’s unique business model increases patient access and affordability to many critical medicines. Headquartered in San Diego, California, Imprimis owns and operates production and dispensing facilities located in California and New Jersey. For more information about Imprimis, please visit the corporate website at </w:t>
      </w:r>
      <w:r>
        <w:rPr>
          <w:rFonts w:ascii="Arial" w:cs="Arial" w:eastAsia="Arial" w:hAnsi="Arial"/>
          <w:sz w:val="18"/>
          <w:szCs w:val="18"/>
          <w:u w:val="single" w:color="auto"/>
          <w:color w:val="auto"/>
        </w:rPr>
        <w:t>www.ImprimisRx.com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 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i w:val="1"/>
          <w:iCs w:val="1"/>
          <w:color w:val="auto"/>
        </w:rPr>
        <w:t>Other than drugs compounded at a registered outsourcing facility, all Imprimis compounded formulations may only be prescribed pursuant to a physician prescription for an individually identified patient consistent with federal and state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jpatton@imprimispharma.com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deb@pascalecommunications.com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2020-01-18T00:30:15Z</dcterms:created>
  <dcterms:modified xsi:type="dcterms:W3CDTF">2020-01-18T00:30:15Z</dcterms:modified>
</cp:coreProperties>
</file>