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420"/>
        <w:spacing w:after="0"/>
        <w:tabs>
          <w:tab w:leader="none" w:pos="5980" w:val="left"/>
          <w:tab w:leader="none" w:pos="6660" w:val="left"/>
        </w:tabs>
        <w:rPr>
          <w:sz w:val="20"/>
          <w:szCs w:val="20"/>
          <w:color w:val="auto"/>
        </w:rPr>
      </w:pPr>
      <w:r>
        <w:rPr>
          <w:rFonts w:ascii="Times New Roman" w:cs="Times New Roman" w:eastAsia="Times New Roman" w:hAnsi="Times New Roman"/>
          <w:sz w:val="18"/>
          <w:szCs w:val="18"/>
          <w:b w:val="1"/>
          <w:bCs w:val="1"/>
          <w:color w:val="auto"/>
        </w:rPr>
        <w:t>(Amendment No.</w:t>
        <w:tab/>
        <w:t>6</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3670935</wp:posOffset>
            </wp:positionH>
            <wp:positionV relativeFrom="paragraph">
              <wp:posOffset>-19050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Silverman,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12/31/22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2" w:lineRule="exact"/>
        <w:rPr>
          <w:sz w:val="24"/>
          <w:szCs w:val="24"/>
          <w:color w:val="auto"/>
        </w:rPr>
      </w:pPr>
    </w:p>
    <w:p>
      <w:pPr>
        <w:ind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6 Pages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46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right="5620" w:hanging="463"/>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900" w:hanging="244"/>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hanging="46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660" w:right="6920" w:hanging="46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500" w:type="dxa"/>
            <w:vAlign w:val="bottom"/>
            <w:vMerge w:val="restart"/>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6.</w:t>
            </w:r>
          </w:p>
        </w:tc>
        <w:tc>
          <w:tcPr>
            <w:tcW w:w="932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vMerge w:val="continue"/>
          </w:tcPr>
          <w:p>
            <w:pPr>
              <w:spacing w:after="0"/>
              <w:rPr>
                <w:sz w:val="8"/>
                <w:szCs w:val="8"/>
                <w:color w:val="auto"/>
              </w:rPr>
            </w:pPr>
          </w:p>
        </w:tc>
        <w:tc>
          <w:tcPr>
            <w:tcW w:w="9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3,775,000</w:t>
            </w:r>
          </w:p>
        </w:tc>
        <w:tc>
          <w:tcPr>
            <w:tcW w:w="0" w:type="dxa"/>
            <w:vAlign w:val="bottom"/>
          </w:tcPr>
          <w:p>
            <w:pPr>
              <w:spacing w:after="0"/>
              <w:rPr>
                <w:sz w:val="1"/>
                <w:szCs w:val="1"/>
                <w:color w:val="auto"/>
              </w:rPr>
            </w:pPr>
          </w:p>
        </w:tc>
      </w:tr>
      <w:tr>
        <w:trPr>
          <w:trHeight w:val="113"/>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9"/>
                <w:szCs w:val="9"/>
                <w:color w:val="auto"/>
              </w:rPr>
            </w:pPr>
          </w:p>
        </w:tc>
        <w:tc>
          <w:tcPr>
            <w:tcW w:w="9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00" w:type="dxa"/>
            <w:vAlign w:val="bottom"/>
            <w:vMerge w:val="restart"/>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500" w:type="dxa"/>
            <w:vAlign w:val="bottom"/>
            <w:tcBorders>
              <w:bottom w:val="single" w:sz="8" w:color="auto"/>
            </w:tcBorders>
          </w:tcPr>
          <w:p>
            <w:pPr>
              <w:spacing w:after="0"/>
              <w:rPr>
                <w:sz w:val="12"/>
                <w:szCs w:val="12"/>
                <w:color w:val="auto"/>
              </w:rPr>
            </w:pPr>
          </w:p>
        </w:tc>
        <w:tc>
          <w:tcPr>
            <w:tcW w:w="9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20" w:type="dxa"/>
            <w:vAlign w:val="bottom"/>
            <w:vMerge w:val="continue"/>
          </w:tcPr>
          <w:p>
            <w:pPr>
              <w:spacing w:after="0"/>
              <w:rPr>
                <w:sz w:val="5"/>
                <w:szCs w:val="5"/>
                <w:color w:val="auto"/>
              </w:rPr>
            </w:pPr>
          </w:p>
        </w:tc>
        <w:tc>
          <w:tcPr>
            <w:tcW w:w="500" w:type="dxa"/>
            <w:vAlign w:val="bottom"/>
            <w:vMerge w:val="restart"/>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200"/>
        <w:spacing w:after="0"/>
        <w:tabs>
          <w:tab w:leader="none" w:pos="64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660" w:right="3940" w:hanging="559"/>
        <w:spacing w:after="0" w:line="235" w:lineRule="exact"/>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10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Based upon 29,450,733 shares of common stock issued and outstanding on December 16, 2021 as reported by the Issuer in a 424B prospectus filed with the Securities and Exchange Commission on December 13, 2022.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6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Harrow 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40" w:right="4280" w:hanging="4608"/>
        <w:spacing w:after="0" w:line="312" w:lineRule="auto"/>
        <w:tabs>
          <w:tab w:leader="none" w:pos="6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102 Woodmont Blvd., Suite 610 Nashville, Tennessee 37205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This statement is filed by the entities and persons listed below, who are collectively referred to herein as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xml:space="preserve"> with respect to the shares of common stock of the Company: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Fund</w:t>
      </w:r>
    </w:p>
    <w:p>
      <w:pPr>
        <w:spacing w:after="0" w:line="225" w:lineRule="exact"/>
        <w:rPr>
          <w:rFonts w:ascii="Times New Roman" w:cs="Times New Roman" w:eastAsia="Times New Roman" w:hAnsi="Times New Roman"/>
          <w:sz w:val="18"/>
          <w:szCs w:val="18"/>
          <w:color w:val="auto"/>
        </w:rPr>
      </w:pPr>
    </w:p>
    <w:p>
      <w:pPr>
        <w:ind w:left="660" w:right="45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L.P. (the “</w:t>
      </w:r>
      <w:r>
        <w:rPr>
          <w:rFonts w:ascii="Times New Roman" w:cs="Times New Roman" w:eastAsia="Times New Roman" w:hAnsi="Times New Roman"/>
          <w:sz w:val="18"/>
          <w:szCs w:val="18"/>
          <w:u w:val="single" w:color="auto"/>
          <w:color w:val="auto"/>
        </w:rPr>
        <w:t>Opaleye Fund</w:t>
      </w:r>
      <w:r>
        <w:rPr>
          <w:rFonts w:ascii="Times New Roman" w:cs="Times New Roman" w:eastAsia="Times New Roman" w:hAnsi="Times New Roman"/>
          <w:sz w:val="18"/>
          <w:szCs w:val="18"/>
          <w:color w:val="auto"/>
        </w:rPr>
        <w:t xml:space="preserve">”), a private fund formed in the state of Delaware. </w:t>
      </w:r>
      <w:r>
        <w:rPr>
          <w:rFonts w:ascii="Times New Roman" w:cs="Times New Roman" w:eastAsia="Times New Roman" w:hAnsi="Times New Roman"/>
          <w:sz w:val="18"/>
          <w:szCs w:val="18"/>
          <w:u w:val="single" w:color="auto"/>
          <w:color w:val="auto"/>
        </w:rPr>
        <w:t>Investment Manager</w:t>
      </w:r>
    </w:p>
    <w:p>
      <w:pPr>
        <w:spacing w:after="0" w:line="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Management Inc. (the “</w:t>
      </w:r>
      <w:r>
        <w:rPr>
          <w:rFonts w:ascii="Times New Roman" w:cs="Times New Roman" w:eastAsia="Times New Roman" w:hAnsi="Times New Roman"/>
          <w:sz w:val="18"/>
          <w:szCs w:val="18"/>
          <w:u w:val="single" w:color="auto"/>
          <w:color w:val="auto"/>
        </w:rPr>
        <w:t>Investment Manager</w:t>
      </w:r>
      <w:r>
        <w:rPr>
          <w:rFonts w:ascii="Times New Roman" w:cs="Times New Roman" w:eastAsia="Times New Roman" w:hAnsi="Times New Roman"/>
          <w:sz w:val="18"/>
          <w:szCs w:val="18"/>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Times New Roman" w:cs="Times New Roman" w:eastAsia="Times New Roman" w:hAnsi="Times New Roman"/>
          <w:sz w:val="18"/>
          <w:szCs w:val="18"/>
          <w:u w:val="single" w:color="auto"/>
          <w:color w:val="auto"/>
        </w:rPr>
        <w:t>Managed Account</w:t>
      </w:r>
      <w:r>
        <w:rPr>
          <w:rFonts w:ascii="Times New Roman" w:cs="Times New Roman" w:eastAsia="Times New Roman" w:hAnsi="Times New Roman"/>
          <w:sz w:val="18"/>
          <w:szCs w:val="18"/>
          <w:color w:val="auto"/>
        </w:rPr>
        <w:t>”) and may be deemed to indirectly beneficially own securities owned by the Managed Account. The Investment Manager disclaims beneficial ownership of the shares held by the Managed Account.</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Individual</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Silverman (the “</w:t>
      </w:r>
      <w:r>
        <w:rPr>
          <w:rFonts w:ascii="Times New Roman" w:cs="Times New Roman" w:eastAsia="Times New Roman" w:hAnsi="Times New Roman"/>
          <w:sz w:val="18"/>
          <w:szCs w:val="18"/>
          <w:u w:val="single" w:color="auto"/>
          <w:color w:val="auto"/>
        </w:rPr>
        <w:t>Reporting Individual”</w:t>
      </w:r>
      <w:r>
        <w:rPr>
          <w:rFonts w:ascii="Times New Roman" w:cs="Times New Roman" w:eastAsia="Times New Roman" w:hAnsi="Times New Roman"/>
          <w:sz w:val="18"/>
          <w:szCs w:val="18"/>
          <w:color w:val="auto"/>
        </w:rPr>
        <w:t>), with respect to the shares of common stock held by the Opaleye Fund. Mr. Silverman is the President of the Investment Manager.</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Address of the Principal Office or, if none, residence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7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is set forth in Row 4 of the cover page for each Reporting Person and is incorporated herein by reference for each such Reporting Person.</w:t>
      </w:r>
    </w:p>
    <w:p>
      <w:pPr>
        <w:spacing w:after="0" w:line="1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$0.001 par value per share</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415858109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6 Pages</w:t>
      </w:r>
    </w:p>
    <w:p>
      <w:pPr>
        <w:spacing w:after="0" w:line="227" w:lineRule="exact"/>
        <w:rPr>
          <w:sz w:val="20"/>
          <w:szCs w:val="20"/>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80" w:hanging="648"/>
        <w:spacing w:after="0" w:line="239" w:lineRule="exact"/>
        <w:tabs>
          <w:tab w:leader="none" w:pos="656"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3,775,000</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12.82%</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3,775,000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3,775,000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§240.13d-3(d)(1).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6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6 Pages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01/20/2023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James Silverman/Managing Member of Opaleye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GP LLC, the General Partner of</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2023-01-20T16:03:45Z</dcterms:created>
  <dcterms:modified xsi:type="dcterms:W3CDTF">2023-01-20T16:03:45Z</dcterms:modified>
</cp:coreProperties>
</file>