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346075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t>UNITED STATES</w:t>
      </w:r>
    </w:p>
    <w:p>
      <w:pPr>
        <w:spacing w:after="0" w:line="31"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13D</w:t>
      </w:r>
    </w:p>
    <w:p>
      <w:pPr>
        <w:spacing w:after="0" w:line="3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(AMENDMENT NO. 1)</w:t>
      </w:r>
    </w:p>
    <w:p>
      <w:pPr>
        <w:spacing w:after="0" w:line="20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(Rule 13d-101)</w:t>
      </w:r>
    </w:p>
    <w:p>
      <w:pPr>
        <w:spacing w:after="0" w:line="225" w:lineRule="exact"/>
        <w:rPr>
          <w:sz w:val="24"/>
          <w:szCs w:val="24"/>
          <w:color w:val="auto"/>
        </w:rPr>
      </w:pPr>
    </w:p>
    <w:p>
      <w:pPr>
        <w:jc w:val="center"/>
        <w:spacing w:after="0" w:line="266" w:lineRule="auto"/>
        <w:rPr>
          <w:sz w:val="20"/>
          <w:szCs w:val="20"/>
          <w:color w:val="auto"/>
        </w:rPr>
      </w:pPr>
      <w:r>
        <w:rPr>
          <w:rFonts w:ascii="Arial" w:cs="Arial" w:eastAsia="Arial" w:hAnsi="Arial"/>
          <w:sz w:val="18"/>
          <w:szCs w:val="18"/>
          <w:b w:val="1"/>
          <w:bCs w:val="1"/>
          <w:color w:val="auto"/>
        </w:rPr>
        <w:t>INFORMATION TO BE INCLUDED IN STATEMENTS FILED PURSUANT TO § 240.13d-1(a) AND AMENDMENTS THERETO FILED PURSUANT TO § 240.13d-2(a)</w:t>
      </w:r>
    </w:p>
    <w:p>
      <w:pPr>
        <w:spacing w:after="0" w:line="176"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Under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154305</wp:posOffset>
            </wp:positionV>
            <wp:extent cx="356616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HARROW HEALTH, INC.</w:t>
      </w:r>
    </w:p>
    <w:p>
      <w:pPr>
        <w:spacing w:after="0" w:line="3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141605</wp:posOffset>
            </wp:positionV>
            <wp:extent cx="356616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566160" cy="17145"/>
                    </a:xfrm>
                    <a:prstGeom prst="rect">
                      <a:avLst/>
                    </a:prstGeom>
                    <a:noFill/>
                  </pic:spPr>
                </pic:pic>
              </a:graphicData>
            </a:graphic>
          </wp:anchor>
        </w:drawing>
      </w:r>
    </w:p>
    <w:p>
      <w:pPr>
        <w:spacing w:after="0" w:line="200" w:lineRule="exact"/>
        <w:rPr>
          <w:sz w:val="24"/>
          <w:szCs w:val="24"/>
          <w:color w:val="auto"/>
        </w:rPr>
      </w:pPr>
    </w:p>
    <w:p>
      <w:pPr>
        <w:spacing w:after="0" w:line="24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Common Stock, $0.001 par value per share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0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45323A 102</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Mark L. Baum</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 Harrow Health, Inc.</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102 Woodmont Blvd., Suite 610</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Nashville, Tennessee 37205</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(615) 733-4731</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Address and Telephone Number of Person Authorized to Receive Notices and Communications)</w:t>
      </w:r>
    </w:p>
    <w:p>
      <w:pPr>
        <w:spacing w:after="0" w:line="20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April 25, 2021</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11"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If the filing person has previously filed a statement on Schedule 13G to report the acquisition that is the subject of this Schedule 13D, and is filing this schedule because of Rule 13d-1(e), 13d-1(f) or 13d-1(g), check the following box: [ ]</w:t>
      </w:r>
    </w:p>
    <w:p>
      <w:pPr>
        <w:spacing w:after="0" w:line="170" w:lineRule="exact"/>
        <w:rPr>
          <w:sz w:val="24"/>
          <w:szCs w:val="24"/>
          <w:color w:val="auto"/>
        </w:rPr>
      </w:pPr>
    </w:p>
    <w:p>
      <w:pPr>
        <w:jc w:val="both"/>
        <w:ind w:right="20" w:firstLine="648"/>
        <w:spacing w:after="0" w:line="277" w:lineRule="auto"/>
        <w:rPr>
          <w:sz w:val="20"/>
          <w:szCs w:val="20"/>
          <w:color w:val="auto"/>
        </w:rPr>
      </w:pPr>
      <w:r>
        <w:rPr>
          <w:rFonts w:ascii="Arial" w:cs="Arial" w:eastAsia="Arial" w:hAnsi="Arial"/>
          <w:sz w:val="18"/>
          <w:szCs w:val="18"/>
          <w:i w:val="1"/>
          <w:iCs w:val="1"/>
          <w:color w:val="auto"/>
        </w:rPr>
        <w:t xml:space="preserve">Note. </w:t>
      </w:r>
      <w:r>
        <w:rPr>
          <w:rFonts w:ascii="Arial" w:cs="Arial" w:eastAsia="Arial" w:hAnsi="Arial"/>
          <w:sz w:val="18"/>
          <w:szCs w:val="18"/>
          <w:color w:val="auto"/>
        </w:rPr>
        <w:t>Schedules filed in paper format shall include a signed original and five copies of the schedule, including all exhibits.</w:t>
      </w:r>
      <w:r>
        <w:rPr>
          <w:rFonts w:ascii="Arial" w:cs="Arial" w:eastAsia="Arial" w:hAnsi="Arial"/>
          <w:sz w:val="18"/>
          <w:szCs w:val="18"/>
          <w:i w:val="1"/>
          <w:iCs w:val="1"/>
          <w:color w:val="auto"/>
        </w:rPr>
        <w:t xml:space="preserve"> See </w:t>
      </w:r>
      <w:r>
        <w:rPr>
          <w:rFonts w:ascii="Arial" w:cs="Arial" w:eastAsia="Arial" w:hAnsi="Arial"/>
          <w:sz w:val="18"/>
          <w:szCs w:val="18"/>
          <w:color w:val="auto"/>
        </w:rPr>
        <w:t>Rule 13d-7 for other</w:t>
      </w:r>
      <w:r>
        <w:rPr>
          <w:rFonts w:ascii="Arial" w:cs="Arial" w:eastAsia="Arial" w:hAnsi="Arial"/>
          <w:sz w:val="18"/>
          <w:szCs w:val="18"/>
          <w:i w:val="1"/>
          <w:iCs w:val="1"/>
          <w:color w:val="auto"/>
        </w:rPr>
        <w:t xml:space="preserve"> </w:t>
      </w:r>
      <w:r>
        <w:rPr>
          <w:rFonts w:ascii="Arial" w:cs="Arial" w:eastAsia="Arial" w:hAnsi="Arial"/>
          <w:sz w:val="18"/>
          <w:szCs w:val="18"/>
          <w:color w:val="auto"/>
        </w:rPr>
        <w:t>parties to whom copies are to be sent.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117475</wp:posOffset>
            </wp:positionV>
            <wp:extent cx="178308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17145"/>
                    </a:xfrm>
                    <a:prstGeom prst="rect">
                      <a:avLst/>
                    </a:prstGeom>
                    <a:noFill/>
                  </pic:spPr>
                </pic:pic>
              </a:graphicData>
            </a:graphic>
          </wp:anchor>
        </w:drawing>
      </w:r>
    </w:p>
    <w:p>
      <w:pPr>
        <w:spacing w:after="0" w:line="204" w:lineRule="exact"/>
        <w:rPr>
          <w:sz w:val="24"/>
          <w:szCs w:val="24"/>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disclosures provided in a prior cover page.</w:t>
      </w:r>
    </w:p>
    <w:p>
      <w:pPr>
        <w:spacing w:after="0" w:line="170" w:lineRule="exact"/>
        <w:rPr>
          <w:sz w:val="24"/>
          <w:szCs w:val="24"/>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125730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160020</wp:posOffset>
            </wp:positionV>
            <wp:extent cx="7132320" cy="4318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4318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476885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6" w:right="339" w:bottom="1440" w:gutter="0" w:footer="0" w:header="0"/>
        </w:sectPr>
      </w:pPr>
    </w:p>
    <w:bookmarkStart w:id="1" w:name="page2"/>
    <w:bookmarkEnd w:id="1"/>
    <w:p>
      <w:pPr>
        <w:ind w:left="52"/>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208280</wp:posOffset>
            </wp:positionH>
            <wp:positionV relativeFrom="page">
              <wp:posOffset>448945</wp:posOffset>
            </wp:positionV>
            <wp:extent cx="7132320" cy="32232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3223260"/>
                    </a:xfrm>
                    <a:prstGeom prst="rect">
                      <a:avLst/>
                    </a:prstGeom>
                    <a:noFill/>
                  </pic:spPr>
                </pic:pic>
              </a:graphicData>
            </a:graphic>
          </wp:anchor>
        </w:drawing>
        <w:t>CUSIP No. 45323A 102</w:t>
      </w:r>
    </w:p>
    <w:p>
      <w:pPr>
        <w:spacing w:after="0" w:line="333" w:lineRule="exact"/>
        <w:rPr>
          <w:sz w:val="20"/>
          <w:szCs w:val="20"/>
          <w:color w:val="auto"/>
        </w:rPr>
      </w:pPr>
    </w:p>
    <w:p>
      <w:pPr>
        <w:ind w:left="712" w:right="8420" w:hanging="415"/>
        <w:spacing w:after="0" w:line="308" w:lineRule="auto"/>
        <w:tabs>
          <w:tab w:leader="none" w:pos="712" w:val="left"/>
        </w:tabs>
        <w:numPr>
          <w:ilvl w:val="0"/>
          <w:numId w:val="1"/>
        </w:numPr>
        <w:rPr>
          <w:rFonts w:ascii="Arial" w:cs="Arial" w:eastAsia="Arial" w:hAnsi="Arial"/>
          <w:sz w:val="18"/>
          <w:szCs w:val="18"/>
          <w:color w:val="auto"/>
        </w:rPr>
      </w:pPr>
      <w:r>
        <w:rPr>
          <w:rFonts w:ascii="Arial" w:cs="Arial" w:eastAsia="Arial" w:hAnsi="Arial"/>
          <w:sz w:val="18"/>
          <w:szCs w:val="18"/>
          <w:color w:val="auto"/>
        </w:rPr>
        <w:t>Names of Reporting Persons. Mark L. Baum</w:t>
      </w:r>
    </w:p>
    <w:p>
      <w:pPr>
        <w:spacing w:after="0" w:line="224" w:lineRule="exact"/>
        <w:rPr>
          <w:rFonts w:ascii="Arial" w:cs="Arial" w:eastAsia="Arial" w:hAnsi="Arial"/>
          <w:sz w:val="18"/>
          <w:szCs w:val="18"/>
          <w:color w:val="auto"/>
        </w:rPr>
      </w:pPr>
    </w:p>
    <w:p>
      <w:pPr>
        <w:ind w:left="712" w:hanging="415"/>
        <w:spacing w:after="0"/>
        <w:tabs>
          <w:tab w:leader="none" w:pos="71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the Appropriate Box if a Member of a Group</w:t>
      </w:r>
    </w:p>
    <w:p>
      <w:pPr>
        <w:spacing w:after="0" w:line="36" w:lineRule="exact"/>
        <w:rPr>
          <w:rFonts w:ascii="Arial" w:cs="Arial" w:eastAsia="Arial" w:hAnsi="Arial"/>
          <w:sz w:val="18"/>
          <w:szCs w:val="18"/>
          <w:color w:val="auto"/>
        </w:rPr>
      </w:pPr>
    </w:p>
    <w:p>
      <w:pPr>
        <w:ind w:left="972" w:hanging="252"/>
        <w:spacing w:after="0"/>
        <w:tabs>
          <w:tab w:leader="none" w:pos="972"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36" w:lineRule="exact"/>
        <w:rPr>
          <w:rFonts w:ascii="Arial" w:cs="Arial" w:eastAsia="Arial" w:hAnsi="Arial"/>
          <w:sz w:val="18"/>
          <w:szCs w:val="18"/>
          <w:color w:val="auto"/>
        </w:rPr>
      </w:pPr>
    </w:p>
    <w:p>
      <w:pPr>
        <w:ind w:left="972" w:hanging="252"/>
        <w:spacing w:after="0"/>
        <w:tabs>
          <w:tab w:leader="none" w:pos="972" w:val="left"/>
        </w:tabs>
        <w:numPr>
          <w:ilvl w:val="1"/>
          <w:numId w:val="1"/>
        </w:numPr>
        <w:rPr>
          <w:rFonts w:ascii="Arial" w:cs="Arial" w:eastAsia="Arial" w:hAnsi="Arial"/>
          <w:sz w:val="18"/>
          <w:szCs w:val="18"/>
          <w:color w:val="auto"/>
        </w:rPr>
      </w:pPr>
      <w:r>
        <w:rPr>
          <w:rFonts w:ascii="Arial" w:cs="Arial" w:eastAsia="Arial" w:hAnsi="Arial"/>
          <w:sz w:val="18"/>
          <w:szCs w:val="18"/>
          <w:color w:val="auto"/>
        </w:rPr>
        <w:t>[ ]</w:t>
      </w:r>
    </w:p>
    <w:p>
      <w:pPr>
        <w:spacing w:after="0" w:line="306" w:lineRule="exact"/>
        <w:rPr>
          <w:rFonts w:ascii="Arial" w:cs="Arial" w:eastAsia="Arial" w:hAnsi="Arial"/>
          <w:sz w:val="18"/>
          <w:szCs w:val="18"/>
          <w:color w:val="auto"/>
        </w:rPr>
      </w:pPr>
    </w:p>
    <w:p>
      <w:pPr>
        <w:ind w:left="712" w:hanging="415"/>
        <w:spacing w:after="0"/>
        <w:tabs>
          <w:tab w:leader="none" w:pos="712" w:val="left"/>
        </w:tabs>
        <w:numPr>
          <w:ilvl w:val="0"/>
          <w:numId w:val="1"/>
        </w:numPr>
        <w:rPr>
          <w:rFonts w:ascii="Arial" w:cs="Arial" w:eastAsia="Arial" w:hAnsi="Arial"/>
          <w:sz w:val="18"/>
          <w:szCs w:val="18"/>
          <w:color w:val="auto"/>
        </w:rPr>
      </w:pPr>
      <w:r>
        <w:rPr>
          <w:rFonts w:ascii="Arial" w:cs="Arial" w:eastAsia="Arial" w:hAnsi="Arial"/>
          <w:sz w:val="18"/>
          <w:szCs w:val="18"/>
          <w:color w:val="auto"/>
        </w:rPr>
        <w:t>SEC Use Only</w:t>
      </w:r>
    </w:p>
    <w:p>
      <w:pPr>
        <w:spacing w:after="0" w:line="200" w:lineRule="exact"/>
        <w:rPr>
          <w:rFonts w:ascii="Arial" w:cs="Arial" w:eastAsia="Arial" w:hAnsi="Arial"/>
          <w:sz w:val="18"/>
          <w:szCs w:val="18"/>
          <w:color w:val="auto"/>
        </w:rPr>
      </w:pPr>
    </w:p>
    <w:p>
      <w:pPr>
        <w:spacing w:after="0" w:line="349" w:lineRule="exact"/>
        <w:rPr>
          <w:rFonts w:ascii="Arial" w:cs="Arial" w:eastAsia="Arial" w:hAnsi="Arial"/>
          <w:sz w:val="18"/>
          <w:szCs w:val="18"/>
          <w:color w:val="auto"/>
        </w:rPr>
      </w:pPr>
    </w:p>
    <w:p>
      <w:pPr>
        <w:ind w:left="712" w:hanging="415"/>
        <w:spacing w:after="0"/>
        <w:tabs>
          <w:tab w:leader="none" w:pos="712" w:val="left"/>
        </w:tabs>
        <w:numPr>
          <w:ilvl w:val="0"/>
          <w:numId w:val="1"/>
        </w:numPr>
        <w:rPr>
          <w:rFonts w:ascii="Arial" w:cs="Arial" w:eastAsia="Arial" w:hAnsi="Arial"/>
          <w:sz w:val="18"/>
          <w:szCs w:val="18"/>
          <w:color w:val="auto"/>
        </w:rPr>
      </w:pPr>
      <w:r>
        <w:rPr>
          <w:rFonts w:ascii="Arial" w:cs="Arial" w:eastAsia="Arial" w:hAnsi="Arial"/>
          <w:sz w:val="18"/>
          <w:szCs w:val="18"/>
          <w:color w:val="auto"/>
        </w:rPr>
        <w:t>Source of Funds</w:t>
      </w:r>
    </w:p>
    <w:p>
      <w:pPr>
        <w:spacing w:after="0" w:line="36" w:lineRule="exact"/>
        <w:rPr>
          <w:rFonts w:ascii="Arial" w:cs="Arial" w:eastAsia="Arial" w:hAnsi="Arial"/>
          <w:sz w:val="18"/>
          <w:szCs w:val="18"/>
          <w:color w:val="auto"/>
        </w:rPr>
      </w:pPr>
    </w:p>
    <w:p>
      <w:pPr>
        <w:ind w:left="712"/>
        <w:spacing w:after="0"/>
        <w:rPr>
          <w:rFonts w:ascii="Arial" w:cs="Arial" w:eastAsia="Arial" w:hAnsi="Arial"/>
          <w:sz w:val="18"/>
          <w:szCs w:val="18"/>
          <w:color w:val="auto"/>
        </w:rPr>
      </w:pPr>
      <w:r>
        <w:rPr>
          <w:rFonts w:ascii="Arial" w:cs="Arial" w:eastAsia="Arial" w:hAnsi="Arial"/>
          <w:sz w:val="18"/>
          <w:szCs w:val="18"/>
          <w:color w:val="auto"/>
        </w:rPr>
        <w:t>OO</w:t>
      </w:r>
    </w:p>
    <w:p>
      <w:pPr>
        <w:spacing w:after="0" w:line="306" w:lineRule="exact"/>
        <w:rPr>
          <w:rFonts w:ascii="Arial" w:cs="Arial" w:eastAsia="Arial" w:hAnsi="Arial"/>
          <w:sz w:val="18"/>
          <w:szCs w:val="18"/>
          <w:color w:val="auto"/>
        </w:rPr>
      </w:pPr>
    </w:p>
    <w:p>
      <w:pPr>
        <w:ind w:left="712" w:right="4540" w:hanging="415"/>
        <w:spacing w:after="0" w:line="308" w:lineRule="auto"/>
        <w:tabs>
          <w:tab w:leader="none" w:pos="712" w:val="left"/>
        </w:tabs>
        <w:numPr>
          <w:ilvl w:val="0"/>
          <w:numId w:val="1"/>
        </w:numPr>
        <w:rPr>
          <w:rFonts w:ascii="Arial" w:cs="Arial" w:eastAsia="Arial" w:hAnsi="Arial"/>
          <w:sz w:val="18"/>
          <w:szCs w:val="18"/>
          <w:color w:val="auto"/>
        </w:rPr>
      </w:pPr>
      <w:r>
        <w:rPr>
          <w:rFonts w:ascii="Arial" w:cs="Arial" w:eastAsia="Arial" w:hAnsi="Arial"/>
          <w:sz w:val="18"/>
          <w:szCs w:val="18"/>
          <w:color w:val="auto"/>
        </w:rPr>
        <w:t>Check if Disclosure of Legal Proceedings is Required Pursuant to Item 2(d) or 2(e) [ ]</w:t>
      </w:r>
    </w:p>
    <w:p>
      <w:pPr>
        <w:spacing w:after="0" w:line="224" w:lineRule="exact"/>
        <w:rPr>
          <w:rFonts w:ascii="Arial" w:cs="Arial" w:eastAsia="Arial" w:hAnsi="Arial"/>
          <w:sz w:val="18"/>
          <w:szCs w:val="18"/>
          <w:color w:val="auto"/>
        </w:rPr>
      </w:pPr>
    </w:p>
    <w:p>
      <w:pPr>
        <w:ind w:left="712" w:right="7880" w:hanging="415"/>
        <w:spacing w:after="0" w:line="297" w:lineRule="auto"/>
        <w:tabs>
          <w:tab w:leader="none" w:pos="712" w:val="left"/>
        </w:tabs>
        <w:numPr>
          <w:ilvl w:val="0"/>
          <w:numId w:val="1"/>
        </w:numPr>
        <w:rPr>
          <w:rFonts w:ascii="Arial" w:cs="Arial" w:eastAsia="Arial" w:hAnsi="Arial"/>
          <w:sz w:val="18"/>
          <w:szCs w:val="18"/>
          <w:color w:val="auto"/>
        </w:rPr>
      </w:pPr>
      <w:r>
        <w:rPr>
          <w:rFonts w:ascii="Arial" w:cs="Arial" w:eastAsia="Arial" w:hAnsi="Arial"/>
          <w:sz w:val="18"/>
          <w:szCs w:val="18"/>
          <w:color w:val="auto"/>
        </w:rPr>
        <w:t>Citizenship or Place of Organization United States</w:t>
      </w:r>
    </w:p>
    <w:p>
      <w:pPr>
        <w:ind w:left="2332" w:right="7540" w:hanging="402"/>
        <w:spacing w:after="0" w:line="341" w:lineRule="auto"/>
        <w:tabs>
          <w:tab w:leader="none" w:pos="2332" w:val="left"/>
        </w:tabs>
        <w:numPr>
          <w:ilvl w:val="2"/>
          <w:numId w:val="1"/>
        </w:numPr>
        <w:rPr>
          <w:rFonts w:ascii="Arial" w:cs="Arial" w:eastAsia="Arial" w:hAnsi="Arial"/>
          <w:sz w:val="16"/>
          <w:szCs w:val="16"/>
          <w:color w:val="auto"/>
        </w:rPr>
      </w:pPr>
      <w:r>
        <w:rPr>
          <w:rFonts w:ascii="Arial" w:cs="Arial" w:eastAsia="Arial" w:hAnsi="Arial"/>
          <w:sz w:val="16"/>
          <w:szCs w:val="16"/>
          <w:color w:val="auto"/>
        </w:rPr>
        <w:t>Sole Voting Power 2,367,072</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-443230</wp:posOffset>
            </wp:positionV>
            <wp:extent cx="7132320" cy="162877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628775"/>
                    </a:xfrm>
                    <a:prstGeom prst="rect">
                      <a:avLst/>
                    </a:prstGeom>
                    <a:noFill/>
                  </pic:spPr>
                </pic:pic>
              </a:graphicData>
            </a:graphic>
          </wp:anchor>
        </w:drawing>
      </w:r>
    </w:p>
    <w:p>
      <w:pPr>
        <w:spacing w:after="0" w:line="9" w:lineRule="exact"/>
        <w:rPr>
          <w:sz w:val="20"/>
          <w:szCs w:val="20"/>
          <w:color w:val="auto"/>
        </w:rPr>
      </w:pPr>
    </w:p>
    <w:tbl>
      <w:tblPr>
        <w:tblLayout w:type="fixed"/>
        <w:tblInd w:w="192" w:type="dxa"/>
        <w:tblCellMar>
          <w:top w:w="0" w:type="dxa"/>
          <w:left w:w="0" w:type="dxa"/>
          <w:bottom w:w="0" w:type="dxa"/>
          <w:right w:w="0" w:type="dxa"/>
        </w:tblCellMar>
      </w:tblPr>
      <w:tr>
        <w:trPr>
          <w:trHeight w:val="216"/>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88"/>
              </w:rPr>
              <w:t>Number of Shares</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8.</w:t>
            </w:r>
          </w:p>
        </w:tc>
        <w:tc>
          <w:tcPr>
            <w:tcW w:w="9040" w:type="dxa"/>
            <w:vAlign w:val="bottom"/>
          </w:tcPr>
          <w:p>
            <w:pPr>
              <w:ind w:left="140"/>
              <w:spacing w:after="0"/>
              <w:rPr>
                <w:sz w:val="20"/>
                <w:szCs w:val="20"/>
                <w:color w:val="auto"/>
              </w:rPr>
            </w:pPr>
            <w:r>
              <w:rPr>
                <w:rFonts w:ascii="Arial" w:cs="Arial" w:eastAsia="Arial" w:hAnsi="Arial"/>
                <w:sz w:val="18"/>
                <w:szCs w:val="18"/>
                <w:color w:val="auto"/>
              </w:rPr>
              <w:t>Shared Voting Power</w:t>
            </w:r>
          </w:p>
        </w:tc>
      </w:tr>
      <w:tr>
        <w:trPr>
          <w:trHeight w:val="237"/>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6"/>
              </w:rPr>
              <w:t>Beneficially</w:t>
            </w:r>
          </w:p>
        </w:tc>
        <w:tc>
          <w:tcPr>
            <w:tcW w:w="540" w:type="dxa"/>
            <w:vAlign w:val="bottom"/>
            <w:tcBorders>
              <w:bottom w:val="single" w:sz="8" w:color="auto"/>
            </w:tcBorders>
          </w:tcPr>
          <w:p>
            <w:pPr>
              <w:spacing w:after="0"/>
              <w:rPr>
                <w:sz w:val="20"/>
                <w:szCs w:val="20"/>
                <w:color w:val="auto"/>
              </w:rPr>
            </w:pPr>
          </w:p>
        </w:tc>
        <w:tc>
          <w:tcPr>
            <w:tcW w:w="9040" w:type="dxa"/>
            <w:vAlign w:val="bottom"/>
            <w:tcBorders>
              <w:bottom w:val="single" w:sz="8" w:color="auto"/>
            </w:tcBorders>
          </w:tcPr>
          <w:p>
            <w:pPr>
              <w:ind w:left="140"/>
              <w:spacing w:after="0"/>
              <w:rPr>
                <w:sz w:val="20"/>
                <w:szCs w:val="20"/>
                <w:color w:val="auto"/>
              </w:rPr>
            </w:pPr>
            <w:r>
              <w:rPr>
                <w:rFonts w:ascii="Arial" w:cs="Arial" w:eastAsia="Arial" w:hAnsi="Arial"/>
                <w:sz w:val="18"/>
                <w:szCs w:val="18"/>
                <w:color w:val="auto"/>
              </w:rPr>
              <w:t>0</w:t>
            </w:r>
          </w:p>
        </w:tc>
      </w:tr>
      <w:tr>
        <w:trPr>
          <w:trHeight w:val="188"/>
        </w:trPr>
        <w:tc>
          <w:tcPr>
            <w:tcW w:w="1460" w:type="dxa"/>
            <w:vAlign w:val="bottom"/>
          </w:tcPr>
          <w:p>
            <w:pPr>
              <w:jc w:val="center"/>
              <w:ind w:right="70"/>
              <w:spacing w:after="0" w:line="189" w:lineRule="exact"/>
              <w:rPr>
                <w:sz w:val="20"/>
                <w:szCs w:val="20"/>
                <w:color w:val="auto"/>
              </w:rPr>
            </w:pPr>
            <w:r>
              <w:rPr>
                <w:rFonts w:ascii="Arial" w:cs="Arial" w:eastAsia="Arial" w:hAnsi="Arial"/>
                <w:sz w:val="18"/>
                <w:szCs w:val="18"/>
                <w:color w:val="auto"/>
                <w:w w:val="91"/>
              </w:rPr>
              <w:t>Owned by</w:t>
            </w:r>
          </w:p>
        </w:tc>
        <w:tc>
          <w:tcPr>
            <w:tcW w:w="540" w:type="dxa"/>
            <w:vAlign w:val="bottom"/>
          </w:tcPr>
          <w:p>
            <w:pPr>
              <w:spacing w:after="0"/>
              <w:rPr>
                <w:sz w:val="16"/>
                <w:szCs w:val="16"/>
                <w:color w:val="auto"/>
              </w:rPr>
            </w:pPr>
          </w:p>
        </w:tc>
        <w:tc>
          <w:tcPr>
            <w:tcW w:w="9040" w:type="dxa"/>
            <w:vAlign w:val="bottom"/>
          </w:tcPr>
          <w:p>
            <w:pPr>
              <w:spacing w:after="0"/>
              <w:rPr>
                <w:sz w:val="16"/>
                <w:szCs w:val="16"/>
                <w:color w:val="auto"/>
              </w:rPr>
            </w:pPr>
          </w:p>
        </w:tc>
      </w:tr>
      <w:tr>
        <w:trPr>
          <w:trHeight w:val="216"/>
        </w:trPr>
        <w:tc>
          <w:tcPr>
            <w:tcW w:w="1460" w:type="dxa"/>
            <w:vAlign w:val="bottom"/>
          </w:tcPr>
          <w:p>
            <w:pPr>
              <w:jc w:val="center"/>
              <w:ind w:right="90"/>
              <w:spacing w:after="0"/>
              <w:rPr>
                <w:sz w:val="20"/>
                <w:szCs w:val="20"/>
                <w:color w:val="auto"/>
              </w:rPr>
            </w:pPr>
            <w:r>
              <w:rPr>
                <w:rFonts w:ascii="Arial" w:cs="Arial" w:eastAsia="Arial" w:hAnsi="Arial"/>
                <w:sz w:val="18"/>
                <w:szCs w:val="18"/>
                <w:color w:val="auto"/>
                <w:w w:val="90"/>
              </w:rPr>
              <w:t>Each Reporting</w:t>
            </w:r>
          </w:p>
        </w:tc>
        <w:tc>
          <w:tcPr>
            <w:tcW w:w="540" w:type="dxa"/>
            <w:vAlign w:val="bottom"/>
          </w:tcPr>
          <w:p>
            <w:pPr>
              <w:jc w:val="right"/>
              <w:ind w:right="30"/>
              <w:spacing w:after="0"/>
              <w:rPr>
                <w:sz w:val="20"/>
                <w:szCs w:val="20"/>
                <w:color w:val="auto"/>
              </w:rPr>
            </w:pPr>
            <w:r>
              <w:rPr>
                <w:rFonts w:ascii="Arial" w:cs="Arial" w:eastAsia="Arial" w:hAnsi="Arial"/>
                <w:sz w:val="18"/>
                <w:szCs w:val="18"/>
                <w:color w:val="auto"/>
              </w:rPr>
              <w:t>9.</w:t>
            </w:r>
          </w:p>
        </w:tc>
        <w:tc>
          <w:tcPr>
            <w:tcW w:w="9040" w:type="dxa"/>
            <w:vAlign w:val="bottom"/>
          </w:tcPr>
          <w:p>
            <w:pPr>
              <w:ind w:left="140"/>
              <w:spacing w:after="0"/>
              <w:rPr>
                <w:sz w:val="20"/>
                <w:szCs w:val="20"/>
                <w:color w:val="auto"/>
              </w:rPr>
            </w:pPr>
            <w:r>
              <w:rPr>
                <w:rFonts w:ascii="Arial" w:cs="Arial" w:eastAsia="Arial" w:hAnsi="Arial"/>
                <w:sz w:val="18"/>
                <w:szCs w:val="18"/>
                <w:color w:val="auto"/>
              </w:rPr>
              <w:t>Sole Dispositive Power</w:t>
            </w:r>
          </w:p>
        </w:tc>
      </w:tr>
      <w:tr>
        <w:trPr>
          <w:trHeight w:val="407"/>
        </w:trPr>
        <w:tc>
          <w:tcPr>
            <w:tcW w:w="1460" w:type="dxa"/>
            <w:vAlign w:val="bottom"/>
          </w:tcPr>
          <w:p>
            <w:pPr>
              <w:jc w:val="center"/>
              <w:ind w:right="70"/>
              <w:spacing w:after="0"/>
              <w:rPr>
                <w:sz w:val="20"/>
                <w:szCs w:val="20"/>
                <w:color w:val="auto"/>
              </w:rPr>
            </w:pPr>
            <w:r>
              <w:rPr>
                <w:rFonts w:ascii="Arial" w:cs="Arial" w:eastAsia="Arial" w:hAnsi="Arial"/>
                <w:sz w:val="18"/>
                <w:szCs w:val="18"/>
                <w:color w:val="auto"/>
                <w:w w:val="91"/>
              </w:rPr>
              <w:t>Person With:</w:t>
            </w:r>
          </w:p>
        </w:tc>
        <w:tc>
          <w:tcPr>
            <w:tcW w:w="540" w:type="dxa"/>
            <w:vAlign w:val="bottom"/>
          </w:tcPr>
          <w:p>
            <w:pPr>
              <w:spacing w:after="0"/>
              <w:rPr>
                <w:sz w:val="24"/>
                <w:szCs w:val="24"/>
                <w:color w:val="auto"/>
              </w:rPr>
            </w:pPr>
          </w:p>
        </w:tc>
        <w:tc>
          <w:tcPr>
            <w:tcW w:w="9040" w:type="dxa"/>
            <w:vAlign w:val="bottom"/>
          </w:tcPr>
          <w:p>
            <w:pPr>
              <w:ind w:left="140"/>
              <w:spacing w:after="0"/>
              <w:rPr>
                <w:sz w:val="20"/>
                <w:szCs w:val="20"/>
                <w:color w:val="auto"/>
              </w:rPr>
            </w:pPr>
            <w:r>
              <w:rPr>
                <w:rFonts w:ascii="Arial" w:cs="Arial" w:eastAsia="Arial" w:hAnsi="Arial"/>
                <w:sz w:val="18"/>
                <w:szCs w:val="18"/>
                <w:color w:val="auto"/>
              </w:rPr>
              <w:t>2,367,072</w:t>
            </w:r>
            <w:r>
              <w:rPr>
                <w:rFonts w:ascii="Arial" w:cs="Arial" w:eastAsia="Arial" w:hAnsi="Arial"/>
                <w:sz w:val="29"/>
                <w:szCs w:val="29"/>
                <w:color w:val="auto"/>
                <w:vertAlign w:val="superscript"/>
              </w:rPr>
              <w:t>1</w:t>
            </w:r>
          </w:p>
        </w:tc>
      </w:tr>
    </w:tbl>
    <w:p>
      <w:pPr>
        <w:spacing w:after="0" w:line="106" w:lineRule="exact"/>
        <w:rPr>
          <w:sz w:val="20"/>
          <w:szCs w:val="20"/>
          <w:color w:val="auto"/>
        </w:rPr>
      </w:pPr>
    </w:p>
    <w:p>
      <w:pPr>
        <w:ind w:left="2332" w:right="7040" w:hanging="447"/>
        <w:spacing w:after="0" w:line="273" w:lineRule="auto"/>
        <w:tabs>
          <w:tab w:leader="none" w:pos="2332" w:val="left"/>
        </w:tabs>
        <w:numPr>
          <w:ilvl w:val="1"/>
          <w:numId w:val="2"/>
        </w:numPr>
        <w:rPr>
          <w:rFonts w:ascii="Arial" w:cs="Arial" w:eastAsia="Arial" w:hAnsi="Arial"/>
          <w:sz w:val="18"/>
          <w:szCs w:val="18"/>
          <w:color w:val="auto"/>
        </w:rPr>
      </w:pPr>
      <w:r>
        <w:rPr>
          <w:rFonts w:ascii="Arial" w:cs="Arial" w:eastAsia="Arial" w:hAnsi="Arial"/>
          <w:sz w:val="18"/>
          <w:szCs w:val="18"/>
          <w:color w:val="auto"/>
        </w:rPr>
        <w:t>Shared Dispositive Power 0</w:t>
      </w:r>
    </w:p>
    <w:p>
      <w:pPr>
        <w:spacing w:after="0" w:line="1" w:lineRule="exact"/>
        <w:rPr>
          <w:rFonts w:ascii="Arial" w:cs="Arial" w:eastAsia="Arial" w:hAnsi="Arial"/>
          <w:sz w:val="18"/>
          <w:szCs w:val="18"/>
          <w:color w:val="auto"/>
        </w:rPr>
      </w:pPr>
    </w:p>
    <w:p>
      <w:pPr>
        <w:ind w:left="672" w:right="5760" w:hanging="430"/>
        <w:spacing w:after="0" w:line="289" w:lineRule="auto"/>
        <w:tabs>
          <w:tab w:leader="none" w:pos="672" w:val="left"/>
        </w:tabs>
        <w:numPr>
          <w:ilvl w:val="0"/>
          <w:numId w:val="3"/>
        </w:numPr>
        <w:rPr>
          <w:rFonts w:ascii="Arial" w:cs="Arial" w:eastAsia="Arial" w:hAnsi="Arial"/>
          <w:sz w:val="18"/>
          <w:szCs w:val="18"/>
          <w:color w:val="auto"/>
        </w:rPr>
      </w:pPr>
      <w:r>
        <w:rPr>
          <w:rFonts w:ascii="Arial" w:cs="Arial" w:eastAsia="Arial" w:hAnsi="Arial"/>
          <w:sz w:val="18"/>
          <w:szCs w:val="18"/>
          <w:color w:val="auto"/>
        </w:rPr>
        <w:t>Aggregate Amount Beneficially Owned by Each Reporting Person 2,367,072</w:t>
      </w:r>
      <w:r>
        <w:rPr>
          <w:rFonts w:ascii="Arial" w:cs="Arial" w:eastAsia="Arial" w:hAnsi="Arial"/>
          <w:sz w:val="29"/>
          <w:szCs w:val="29"/>
          <w:color w:val="auto"/>
          <w:vertAlign w:val="superscript"/>
        </w:rPr>
        <w:t>1</w:t>
      </w:r>
    </w:p>
    <w:p>
      <w:pPr>
        <w:spacing w:after="0" w:line="64" w:lineRule="exact"/>
        <w:rPr>
          <w:rFonts w:ascii="Arial" w:cs="Arial" w:eastAsia="Arial" w:hAnsi="Arial"/>
          <w:sz w:val="18"/>
          <w:szCs w:val="18"/>
          <w:color w:val="auto"/>
        </w:rPr>
      </w:pPr>
    </w:p>
    <w:p>
      <w:pPr>
        <w:ind w:left="672" w:hanging="433"/>
        <w:spacing w:after="0"/>
        <w:tabs>
          <w:tab w:leader="none" w:pos="672" w:val="left"/>
        </w:tabs>
        <w:numPr>
          <w:ilvl w:val="0"/>
          <w:numId w:val="3"/>
        </w:numPr>
        <w:rPr>
          <w:rFonts w:ascii="Arial" w:cs="Arial" w:eastAsia="Arial" w:hAnsi="Arial"/>
          <w:sz w:val="18"/>
          <w:szCs w:val="18"/>
          <w:color w:val="auto"/>
        </w:rPr>
      </w:pPr>
      <w:r>
        <w:rPr>
          <w:rFonts w:ascii="Arial" w:cs="Arial" w:eastAsia="Arial" w:hAnsi="Arial"/>
          <w:sz w:val="18"/>
          <w:szCs w:val="18"/>
          <w:color w:val="auto"/>
        </w:rPr>
        <w:t>Check if the Aggregate Amount in Row (11) Excludes Certain Shares [ ]</w:t>
      </w:r>
    </w:p>
    <w:p>
      <w:pPr>
        <w:spacing w:after="0" w:line="200" w:lineRule="exact"/>
        <w:rPr>
          <w:rFonts w:ascii="Arial" w:cs="Arial" w:eastAsia="Arial" w:hAnsi="Arial"/>
          <w:sz w:val="18"/>
          <w:szCs w:val="18"/>
          <w:color w:val="auto"/>
        </w:rPr>
      </w:pPr>
    </w:p>
    <w:p>
      <w:pPr>
        <w:spacing w:after="0" w:line="268" w:lineRule="exact"/>
        <w:rPr>
          <w:rFonts w:ascii="Arial" w:cs="Arial" w:eastAsia="Arial" w:hAnsi="Arial"/>
          <w:sz w:val="18"/>
          <w:szCs w:val="18"/>
          <w:color w:val="auto"/>
        </w:rPr>
      </w:pPr>
    </w:p>
    <w:p>
      <w:pPr>
        <w:ind w:left="672" w:right="6680" w:hanging="433"/>
        <w:spacing w:after="0" w:line="289" w:lineRule="auto"/>
        <w:tabs>
          <w:tab w:leader="none" w:pos="672" w:val="left"/>
        </w:tabs>
        <w:numPr>
          <w:ilvl w:val="0"/>
          <w:numId w:val="3"/>
        </w:numPr>
        <w:rPr>
          <w:rFonts w:ascii="Arial" w:cs="Arial" w:eastAsia="Arial" w:hAnsi="Arial"/>
          <w:sz w:val="18"/>
          <w:szCs w:val="18"/>
          <w:color w:val="auto"/>
        </w:rPr>
      </w:pPr>
      <w:r>
        <w:rPr>
          <w:rFonts w:ascii="Arial" w:cs="Arial" w:eastAsia="Arial" w:hAnsi="Arial"/>
          <w:sz w:val="18"/>
          <w:szCs w:val="18"/>
          <w:color w:val="auto"/>
        </w:rPr>
        <w:t>Percent of Class Represented by Amount in Row (11) 8.6%</w:t>
      </w:r>
      <w:r>
        <w:rPr>
          <w:rFonts w:ascii="Arial" w:cs="Arial" w:eastAsia="Arial" w:hAnsi="Arial"/>
          <w:sz w:val="29"/>
          <w:szCs w:val="29"/>
          <w:color w:val="auto"/>
          <w:vertAlign w:val="superscript"/>
        </w:rPr>
        <w:t>2</w:t>
      </w:r>
    </w:p>
    <w:p>
      <w:pPr>
        <w:spacing w:after="0" w:line="64" w:lineRule="exact"/>
        <w:rPr>
          <w:rFonts w:ascii="Arial" w:cs="Arial" w:eastAsia="Arial" w:hAnsi="Arial"/>
          <w:sz w:val="18"/>
          <w:szCs w:val="18"/>
          <w:color w:val="auto"/>
        </w:rPr>
      </w:pPr>
    </w:p>
    <w:p>
      <w:pPr>
        <w:ind w:left="672" w:hanging="433"/>
        <w:spacing w:after="0"/>
        <w:tabs>
          <w:tab w:leader="none" w:pos="672" w:val="left"/>
        </w:tabs>
        <w:numPr>
          <w:ilvl w:val="0"/>
          <w:numId w:val="3"/>
        </w:numPr>
        <w:rPr>
          <w:rFonts w:ascii="Arial" w:cs="Arial" w:eastAsia="Arial" w:hAnsi="Arial"/>
          <w:sz w:val="18"/>
          <w:szCs w:val="18"/>
          <w:color w:val="auto"/>
        </w:rPr>
      </w:pPr>
      <w:r>
        <w:rPr>
          <w:rFonts w:ascii="Arial" w:cs="Arial" w:eastAsia="Arial" w:hAnsi="Arial"/>
          <w:sz w:val="18"/>
          <w:szCs w:val="18"/>
          <w:color w:val="auto"/>
        </w:rPr>
        <w:t>Type of Reporting Person</w:t>
      </w:r>
    </w:p>
    <w:p>
      <w:pPr>
        <w:spacing w:after="0" w:line="23" w:lineRule="exact"/>
        <w:rPr>
          <w:rFonts w:ascii="Arial" w:cs="Arial" w:eastAsia="Arial" w:hAnsi="Arial"/>
          <w:sz w:val="18"/>
          <w:szCs w:val="18"/>
          <w:color w:val="auto"/>
        </w:rPr>
      </w:pPr>
    </w:p>
    <w:p>
      <w:pPr>
        <w:ind w:left="672"/>
        <w:spacing w:after="0"/>
        <w:rPr>
          <w:rFonts w:ascii="Arial" w:cs="Arial" w:eastAsia="Arial" w:hAnsi="Arial"/>
          <w:sz w:val="18"/>
          <w:szCs w:val="18"/>
          <w:color w:val="auto"/>
        </w:rPr>
      </w:pPr>
      <w:r>
        <w:rPr>
          <w:rFonts w:ascii="Arial" w:cs="Arial" w:eastAsia="Arial" w:hAnsi="Arial"/>
          <w:sz w:val="18"/>
          <w:szCs w:val="18"/>
          <w:color w:val="auto"/>
        </w:rPr>
        <w:t>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-1622425</wp:posOffset>
            </wp:positionV>
            <wp:extent cx="7132320" cy="16459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645920"/>
                    </a:xfrm>
                    <a:prstGeom prst="rect">
                      <a:avLst/>
                    </a:prstGeom>
                    <a:noFill/>
                  </pic:spPr>
                </pic:pic>
              </a:graphicData>
            </a:graphic>
          </wp:anchor>
        </w:drawing>
      </w:r>
    </w:p>
    <w:p>
      <w:pPr>
        <w:spacing w:after="0" w:line="258" w:lineRule="exact"/>
        <w:rPr>
          <w:sz w:val="20"/>
          <w:szCs w:val="20"/>
          <w:color w:val="auto"/>
        </w:rPr>
      </w:pPr>
    </w:p>
    <w:p>
      <w:pPr>
        <w:ind w:left="-8" w:firstLine="8"/>
        <w:spacing w:after="0" w:line="207" w:lineRule="auto"/>
        <w:tabs>
          <w:tab w:leader="none" w:pos="104" w:val="left"/>
        </w:tabs>
        <w:numPr>
          <w:ilvl w:val="0"/>
          <w:numId w:val="4"/>
        </w:numPr>
        <w:rPr>
          <w:rFonts w:ascii="Arial" w:cs="Arial" w:eastAsia="Arial" w:hAnsi="Arial"/>
          <w:sz w:val="28"/>
          <w:szCs w:val="28"/>
          <w:color w:val="auto"/>
          <w:vertAlign w:val="superscript"/>
        </w:rPr>
      </w:pPr>
      <w:r>
        <w:rPr>
          <w:rFonts w:ascii="Arial" w:cs="Arial" w:eastAsia="Arial" w:hAnsi="Arial"/>
          <w:sz w:val="17"/>
          <w:szCs w:val="17"/>
          <w:color w:val="auto"/>
        </w:rPr>
        <w:t>Consists of (a) 1,353,547 shares of Common Stock held by Mr. Baum; and (b) options to purchase 1,013,525 shares of Common Stock held by Mr. Baum and exercisable within 60 days after the date of the filing of this Amendment No. 1.</w:t>
      </w:r>
    </w:p>
    <w:p>
      <w:pPr>
        <w:spacing w:after="0" w:line="242" w:lineRule="exact"/>
        <w:rPr>
          <w:sz w:val="20"/>
          <w:szCs w:val="20"/>
          <w:color w:val="auto"/>
        </w:rPr>
      </w:pPr>
    </w:p>
    <w:p>
      <w:pPr>
        <w:jc w:val="both"/>
        <w:ind w:left="-8" w:firstLine="8"/>
        <w:spacing w:after="0" w:line="209" w:lineRule="auto"/>
        <w:tabs>
          <w:tab w:leader="none" w:pos="118" w:val="left"/>
        </w:tabs>
        <w:numPr>
          <w:ilvl w:val="0"/>
          <w:numId w:val="5"/>
        </w:numPr>
        <w:rPr>
          <w:rFonts w:ascii="Arial" w:cs="Arial" w:eastAsia="Arial" w:hAnsi="Arial"/>
          <w:sz w:val="30"/>
          <w:szCs w:val="30"/>
          <w:color w:val="auto"/>
          <w:vertAlign w:val="superscript"/>
        </w:rPr>
      </w:pPr>
      <w:r>
        <w:rPr>
          <w:rFonts w:ascii="Arial" w:cs="Arial" w:eastAsia="Arial" w:hAnsi="Arial"/>
          <w:sz w:val="18"/>
          <w:szCs w:val="18"/>
          <w:color w:val="auto"/>
        </w:rPr>
        <w:t>The percentage was calculated based on 27,595,740 shares of Common Stock, as follows: (a) 26,582,215 shares of Common Stock outstanding as of April 27, 2021; and (b) 1,013,525 shares of Common Stock issuable upon the exercise of options to purchase shares of Common Stock held by Mr. Baum and exercisable within 60 days after the date of the filing of this Amendment No. 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274955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32"/>
          </w:cols>
          <w:pgMar w:left="328" w:top="733" w:right="339" w:bottom="1440" w:gutter="0" w:footer="0" w:header="0"/>
        </w:sectPr>
      </w:pPr>
    </w:p>
    <w:bookmarkStart w:id="2" w:name="page3"/>
    <w:bookmarkEnd w:id="2"/>
    <w:p>
      <w:pPr>
        <w:jc w:val="both"/>
        <w:ind w:firstLine="648"/>
        <w:spacing w:after="0" w:line="311" w:lineRule="auto"/>
        <w:rPr>
          <w:sz w:val="20"/>
          <w:szCs w:val="20"/>
          <w:color w:val="auto"/>
        </w:rPr>
      </w:pPr>
      <w:r>
        <w:rPr>
          <w:rFonts w:ascii="Arial" w:cs="Arial" w:eastAsia="Arial" w:hAnsi="Arial"/>
          <w:sz w:val="16"/>
          <w:szCs w:val="16"/>
          <w:color w:val="auto"/>
        </w:rPr>
        <w:t>This amendment No. 1 (“Amendment No. 1”) amends and supplements the statement on Schedule 13D originally filed with the Securities and Exchange Commission on August 10, 2012 (the “Original Schedule 13D”). Capitalized terms used but not defined in this Amendment No. 1 shall have the meanings set forth in the Original Schedule 13D. Except as specifically amended by this Amendment No. 1, the Original Schedule 13D is unchanged.</w:t>
      </w:r>
    </w:p>
    <w:p>
      <w:pPr>
        <w:spacing w:after="0" w:line="14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Security and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1 of the Original Schedule 13D is hereby amended and restated in its entirety as follows:</w:t>
      </w:r>
    </w:p>
    <w:p>
      <w:pPr>
        <w:spacing w:after="0" w:line="22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“This statement on Schedule 13D relates to the Reporting Persons’ beneficial ownership interest in the common stock, par value $0.001 per share (the “Common Stock”), of Harrow Health, Inc. (the “Company” or the “Issuer”). The Company’s principal executive offices are at 102 Woodmont Blvd., Suite 610, Nashville, Tennessee 37205.”</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Identity and Background.</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2 of the Original Schedule 13D is hereby amended and supplemented by adding the following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 The business address of Mr. Baum is c/o Harrow Health, Inc., 102 Woodmont Blvd., Suite 610, Nashville, Tennessee 37205.”</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Purpose of the Transaction.</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4 of the Original Schedule 13D is hereby amended and supplemented by adding the following information:</w:t>
      </w:r>
    </w:p>
    <w:p>
      <w:pPr>
        <w:spacing w:after="0" w:line="225" w:lineRule="exact"/>
        <w:rPr>
          <w:sz w:val="20"/>
          <w:szCs w:val="20"/>
          <w:color w:val="auto"/>
        </w:rPr>
      </w:pPr>
    </w:p>
    <w:p>
      <w:pPr>
        <w:jc w:val="both"/>
        <w:ind w:right="20"/>
        <w:spacing w:after="0" w:line="277" w:lineRule="auto"/>
        <w:rPr>
          <w:sz w:val="20"/>
          <w:szCs w:val="20"/>
          <w:color w:val="auto"/>
        </w:rPr>
      </w:pPr>
      <w:r>
        <w:rPr>
          <w:rFonts w:ascii="Arial" w:cs="Arial" w:eastAsia="Arial" w:hAnsi="Arial"/>
          <w:sz w:val="18"/>
          <w:szCs w:val="18"/>
          <w:color w:val="auto"/>
        </w:rPr>
        <w:t>“On April 25, 2021, Mr. Baum was issued 515,871 shares of Common Stock upon the vesting of performance-based RSUs granted to Mr. Baum under the Company’s 2007 Stock Incentive and Awards Plan on April 25, 2016.”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5(a) and Item 5(b) of the Original Schedule 13D are hereby amended and restated in their entirety as follows:</w:t>
      </w:r>
    </w:p>
    <w:p>
      <w:pPr>
        <w:spacing w:after="0" w:line="225" w:lineRule="exact"/>
        <w:rPr>
          <w:sz w:val="20"/>
          <w:szCs w:val="20"/>
          <w:color w:val="auto"/>
        </w:rPr>
      </w:pPr>
    </w:p>
    <w:p>
      <w:pPr>
        <w:jc w:val="both"/>
        <w:spacing w:after="0" w:line="263" w:lineRule="auto"/>
        <w:rPr>
          <w:sz w:val="20"/>
          <w:szCs w:val="20"/>
          <w:color w:val="auto"/>
        </w:rPr>
      </w:pPr>
      <w:r>
        <w:rPr>
          <w:rFonts w:ascii="Arial" w:cs="Arial" w:eastAsia="Arial" w:hAnsi="Arial"/>
          <w:sz w:val="18"/>
          <w:szCs w:val="18"/>
          <w:color w:val="auto"/>
        </w:rPr>
        <w:t>“(a) Mr. Baum may be deemed the direct beneficial owner of 2,367,072 shares of Common Stock, representing 8.6% of the Common Stock of the Company and consisting of the following: (i) 1,353,547 shares of Common Stock, and (ii) options to purchase 1,013,525 shares of Common Stock which are exercisable within 60 days after the date of the filing of this Statement.”</w:t>
      </w:r>
    </w:p>
    <w:p>
      <w:pPr>
        <w:spacing w:after="0" w:line="184" w:lineRule="exact"/>
        <w:rPr>
          <w:sz w:val="20"/>
          <w:szCs w:val="20"/>
          <w:color w:val="auto"/>
        </w:rPr>
      </w:pPr>
    </w:p>
    <w:p>
      <w:pPr>
        <w:jc w:val="both"/>
        <w:ind w:firstLine="8"/>
        <w:spacing w:after="0" w:line="263" w:lineRule="auto"/>
        <w:tabs>
          <w:tab w:leader="none" w:pos="276" w:val="left"/>
        </w:tabs>
        <w:numPr>
          <w:ilvl w:val="0"/>
          <w:numId w:val="6"/>
        </w:numPr>
        <w:rPr>
          <w:rFonts w:ascii="Arial" w:cs="Arial" w:eastAsia="Arial" w:hAnsi="Arial"/>
          <w:sz w:val="18"/>
          <w:szCs w:val="18"/>
          <w:color w:val="auto"/>
        </w:rPr>
      </w:pPr>
      <w:r>
        <w:rPr>
          <w:rFonts w:ascii="Arial" w:cs="Arial" w:eastAsia="Arial" w:hAnsi="Arial"/>
          <w:sz w:val="18"/>
          <w:szCs w:val="18"/>
          <w:color w:val="auto"/>
        </w:rPr>
        <w:t>Mr. Baum has the sole power to vote or direct the vote and sole power to dispose or direct the disposition of 2,367,072 shares of Common Stock (including rights to acquire Common Stock). Mr. Baum has shared power to vote or direct the vote and shared power to dispose or direct the disposition of zero shares of Common Stock (including rights to acquire Common Stock).</w:t>
      </w:r>
    </w:p>
    <w:p>
      <w:pPr>
        <w:spacing w:after="0" w:line="183" w:lineRule="exact"/>
        <w:rPr>
          <w:rFonts w:ascii="Arial" w:cs="Arial" w:eastAsia="Arial" w:hAnsi="Arial"/>
          <w:sz w:val="18"/>
          <w:szCs w:val="18"/>
          <w:color w:val="auto"/>
        </w:rPr>
      </w:pPr>
    </w:p>
    <w:p>
      <w:pPr>
        <w:jc w:val="both"/>
        <w:ind w:firstLine="8"/>
        <w:spacing w:after="0" w:line="263" w:lineRule="auto"/>
        <w:tabs>
          <w:tab w:leader="none" w:pos="262" w:val="left"/>
        </w:tabs>
        <w:numPr>
          <w:ilvl w:val="0"/>
          <w:numId w:val="6"/>
        </w:numPr>
        <w:rPr>
          <w:rFonts w:ascii="Arial" w:cs="Arial" w:eastAsia="Arial" w:hAnsi="Arial"/>
          <w:sz w:val="18"/>
          <w:szCs w:val="18"/>
          <w:color w:val="auto"/>
        </w:rPr>
      </w:pPr>
      <w:r>
        <w:rPr>
          <w:rFonts w:ascii="Arial" w:cs="Arial" w:eastAsia="Arial" w:hAnsi="Arial"/>
          <w:sz w:val="18"/>
          <w:szCs w:val="18"/>
          <w:color w:val="auto"/>
        </w:rPr>
        <w:t>On February 25, 2021, Mr. Baum was issued 200,000 shares of Common Stock upon the vesting of performance-based RSUs granted to Mr. Baum under the Company’s 2007 Stock Incentive and Awards Plan on April 25, 2016. Except as reported herein, Mr. Baum has not effected any transactions in the Company’s securities within the past 60 days.</w:t>
      </w:r>
    </w:p>
    <w:p>
      <w:pPr>
        <w:spacing w:after="0" w:line="183" w:lineRule="exact"/>
        <w:rPr>
          <w:rFonts w:ascii="Arial" w:cs="Arial" w:eastAsia="Arial" w:hAnsi="Arial"/>
          <w:sz w:val="18"/>
          <w:szCs w:val="18"/>
          <w:color w:val="auto"/>
        </w:rPr>
      </w:pPr>
    </w:p>
    <w:p>
      <w:pPr>
        <w:ind w:firstLine="8"/>
        <w:spacing w:after="0" w:line="277" w:lineRule="auto"/>
        <w:tabs>
          <w:tab w:leader="none" w:pos="257" w:val="left"/>
        </w:tabs>
        <w:numPr>
          <w:ilvl w:val="0"/>
          <w:numId w:val="6"/>
        </w:numPr>
        <w:rPr>
          <w:rFonts w:ascii="Arial" w:cs="Arial" w:eastAsia="Arial" w:hAnsi="Arial"/>
          <w:sz w:val="18"/>
          <w:szCs w:val="18"/>
          <w:color w:val="auto"/>
        </w:rPr>
      </w:pPr>
      <w:r>
        <w:rPr>
          <w:rFonts w:ascii="Arial" w:cs="Arial" w:eastAsia="Arial" w:hAnsi="Arial"/>
          <w:sz w:val="18"/>
          <w:szCs w:val="18"/>
          <w:color w:val="auto"/>
        </w:rPr>
        <w:t>No other person is known to have the right to receive or the power to direct the receipt of dividends from, or the proceeds from the sale of, shares of the Common Stock beneficially owned by the Reporting Person.</w:t>
      </w:r>
    </w:p>
    <w:p>
      <w:pPr>
        <w:spacing w:after="0" w:line="170" w:lineRule="exact"/>
        <w:rPr>
          <w:rFonts w:ascii="Arial" w:cs="Arial" w:eastAsia="Arial" w:hAnsi="Arial"/>
          <w:sz w:val="18"/>
          <w:szCs w:val="18"/>
          <w:color w:val="auto"/>
        </w:rPr>
      </w:pPr>
    </w:p>
    <w:p>
      <w:pPr>
        <w:ind w:left="260" w:hanging="252"/>
        <w:spacing w:after="0"/>
        <w:tabs>
          <w:tab w:leader="none" w:pos="260" w:val="left"/>
        </w:tabs>
        <w:numPr>
          <w:ilvl w:val="0"/>
          <w:numId w:val="6"/>
        </w:numPr>
        <w:rPr>
          <w:rFonts w:ascii="Arial" w:cs="Arial" w:eastAsia="Arial" w:hAnsi="Arial"/>
          <w:sz w:val="18"/>
          <w:szCs w:val="18"/>
          <w:color w:val="auto"/>
        </w:rPr>
      </w:pPr>
      <w:r>
        <w:rPr>
          <w:rFonts w:ascii="Arial" w:cs="Arial" w:eastAsia="Arial" w:hAnsi="Arial"/>
          <w:sz w:val="18"/>
          <w:szCs w:val="18"/>
          <w:color w:val="auto"/>
        </w:rPr>
        <w:t>Not applicable.”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Item 6 of the Original Schedule 13D is hereby amended and supplemented by adding the following information:</w:t>
      </w:r>
    </w:p>
    <w:p>
      <w:pPr>
        <w:spacing w:after="0" w:line="225" w:lineRule="exact"/>
        <w:rPr>
          <w:sz w:val="20"/>
          <w:szCs w:val="20"/>
          <w:color w:val="auto"/>
        </w:rPr>
      </w:pPr>
    </w:p>
    <w:p>
      <w:pPr>
        <w:jc w:val="both"/>
        <w:spacing w:after="0" w:line="287" w:lineRule="auto"/>
        <w:rPr>
          <w:sz w:val="20"/>
          <w:szCs w:val="20"/>
          <w:color w:val="auto"/>
        </w:rPr>
      </w:pPr>
      <w:r>
        <w:rPr>
          <w:rFonts w:ascii="Arial" w:cs="Arial" w:eastAsia="Arial" w:hAnsi="Arial"/>
          <w:sz w:val="16"/>
          <w:szCs w:val="16"/>
          <w:color w:val="auto"/>
        </w:rPr>
        <w:t>“On April 25, 2016, Mr. Baum entered into an employment agreement with the Issuer with respect to his employment as Chief Executive Officer (the “Employment Agreement”). The Employment Agreement replaced Mr. Baum’s 2012 employment agreement, as amended, with the Company. Pursuant to the Employment Agreement, Mr. Baum received the following equity incentive awards: (i) options to purchase 180,000 shares of our common stock; and</w:t>
      </w:r>
    </w:p>
    <w:p>
      <w:pPr>
        <w:spacing w:after="0" w:line="2" w:lineRule="exact"/>
        <w:rPr>
          <w:sz w:val="20"/>
          <w:szCs w:val="20"/>
          <w:color w:val="auto"/>
        </w:rPr>
      </w:pPr>
    </w:p>
    <w:p>
      <w:pPr>
        <w:jc w:val="both"/>
        <w:ind w:firstLine="8"/>
        <w:spacing w:after="0" w:line="253" w:lineRule="auto"/>
        <w:tabs>
          <w:tab w:leader="none" w:pos="276" w:val="left"/>
        </w:tabs>
        <w:numPr>
          <w:ilvl w:val="0"/>
          <w:numId w:val="7"/>
        </w:numPr>
        <w:rPr>
          <w:rFonts w:ascii="Arial" w:cs="Arial" w:eastAsia="Arial" w:hAnsi="Arial"/>
          <w:sz w:val="18"/>
          <w:szCs w:val="18"/>
          <w:color w:val="auto"/>
        </w:rPr>
      </w:pPr>
      <w:r>
        <w:rPr>
          <w:rFonts w:ascii="Arial" w:cs="Arial" w:eastAsia="Arial" w:hAnsi="Arial"/>
          <w:sz w:val="18"/>
          <w:szCs w:val="18"/>
          <w:color w:val="auto"/>
        </w:rPr>
        <w:t>1,050,000 RSUs that vest on the fifth anniversary of the grant date subject to performance-based accelerated vesting (the “Baum Performance Equity Award”). Concurrent with the issuance of the Baum Performance Equity Award, Mr. Baum forfeited 1,050,000 RSUs subject to performance-based vesting granted to him in May 2013. As described under Item 4 of this Amendment No. 1, Mr. Baum was issued 515,871 shares of Common Stock on April 25, 2021, which represented the remaining portion of the Baum Performance Equity Award less 334,129 shares of Common Stock which were withheld from issuance to Mr. Baum for payroll tax purposes.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267335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3" w:name="page4"/>
    <w:bookmarkEnd w:id="3"/>
    <w:p>
      <w:pPr>
        <w:spacing w:after="0" w:line="277" w:lineRule="auto"/>
        <w:rPr>
          <w:sz w:val="20"/>
          <w:szCs w:val="20"/>
          <w:color w:val="auto"/>
        </w:rPr>
      </w:pPr>
      <w:r>
        <w:rPr>
          <w:rFonts w:ascii="Arial" w:cs="Arial" w:eastAsia="Arial" w:hAnsi="Arial"/>
          <w:sz w:val="18"/>
          <w:szCs w:val="18"/>
          <w:color w:val="auto"/>
        </w:rPr>
        <w:t>Except as set forth above or set forth in the exhibits, there are no contracts, arrangements, understandings or relationships between the Reporting Person and any other person with respect to any securities of the Issuer.”</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7. Materials to be Filed as Exhibits.</w:t>
      </w:r>
    </w:p>
    <w:p>
      <w:pPr>
        <w:spacing w:after="0" w:line="229" w:lineRule="exact"/>
        <w:rPr>
          <w:sz w:val="20"/>
          <w:szCs w:val="20"/>
          <w:color w:val="auto"/>
        </w:rPr>
      </w:pPr>
    </w:p>
    <w:p>
      <w:pPr>
        <w:spacing w:after="0"/>
        <w:tabs>
          <w:tab w:leader="none" w:pos="1460" w:val="left"/>
        </w:tabs>
        <w:rPr>
          <w:sz w:val="20"/>
          <w:szCs w:val="20"/>
          <w:color w:val="auto"/>
        </w:rPr>
      </w:pPr>
      <w:r>
        <w:rPr>
          <w:rFonts w:ascii="Arial" w:cs="Arial" w:eastAsia="Arial" w:hAnsi="Arial"/>
          <w:sz w:val="18"/>
          <w:szCs w:val="18"/>
          <w:color w:val="auto"/>
        </w:rPr>
        <w:t>Exhibit No.</w:t>
      </w:r>
      <w:r>
        <w:rPr>
          <w:sz w:val="20"/>
          <w:szCs w:val="20"/>
          <w:color w:val="auto"/>
        </w:rPr>
        <w:tab/>
      </w:r>
      <w:r>
        <w:rPr>
          <w:rFonts w:ascii="Arial" w:cs="Arial" w:eastAsia="Arial" w:hAnsi="Arial"/>
          <w:sz w:val="16"/>
          <w:szCs w:val="16"/>
          <w:color w:val="auto"/>
        </w:rPr>
        <w:t>Description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23495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30" w:lineRule="exact"/>
        <w:rPr>
          <w:sz w:val="20"/>
          <w:szCs w:val="20"/>
          <w:color w:val="auto"/>
        </w:rPr>
      </w:pPr>
    </w:p>
    <w:p>
      <w:pPr>
        <w:ind w:left="1480" w:hanging="1470"/>
        <w:spacing w:after="0" w:line="342" w:lineRule="auto"/>
        <w:tabs>
          <w:tab w:leader="none" w:pos="1460" w:val="left"/>
        </w:tabs>
        <w:rPr>
          <w:rFonts w:ascii="Arial" w:cs="Arial" w:eastAsia="Arial" w:hAnsi="Arial"/>
          <w:sz w:val="16"/>
          <w:szCs w:val="16"/>
          <w:u w:val="single" w:color="auto"/>
          <w:color w:val="0000EE"/>
        </w:rPr>
      </w:pPr>
      <w:r>
        <w:rPr>
          <w:rFonts w:ascii="Arial" w:cs="Arial" w:eastAsia="Arial" w:hAnsi="Arial"/>
          <w:sz w:val="18"/>
          <w:szCs w:val="18"/>
          <w:color w:val="auto"/>
        </w:rPr>
        <w:t>Exhibit 1:</w:t>
      </w:r>
      <w:r>
        <w:rPr>
          <w:sz w:val="20"/>
          <w:szCs w:val="20"/>
          <w:color w:val="auto"/>
        </w:rPr>
        <w:tab/>
      </w:r>
      <w:hyperlink r:id="rId22">
        <w:r>
          <w:rPr>
            <w:rFonts w:ascii="Arial" w:cs="Arial" w:eastAsia="Arial" w:hAnsi="Arial"/>
            <w:sz w:val="16"/>
            <w:szCs w:val="16"/>
            <w:u w:val="single" w:color="auto"/>
            <w:color w:val="0000EE"/>
          </w:rPr>
          <w:t>Employment Agreement, dated as of April 25, 2016, by and between the Company and Mark L. Baum (incorporated herein by</w:t>
        </w:r>
      </w:hyperlink>
      <w:r>
        <w:rPr>
          <w:rFonts w:ascii="Arial" w:cs="Arial" w:eastAsia="Arial" w:hAnsi="Arial"/>
          <w:sz w:val="16"/>
          <w:szCs w:val="16"/>
          <w:u w:val="single" w:color="auto"/>
          <w:color w:val="0000EE"/>
        </w:rPr>
        <w:t xml:space="preserve"> </w:t>
      </w:r>
      <w:hyperlink r:id="rId22">
        <w:r>
          <w:rPr>
            <w:rFonts w:ascii="Arial" w:cs="Arial" w:eastAsia="Arial" w:hAnsi="Arial"/>
            <w:sz w:val="16"/>
            <w:szCs w:val="16"/>
            <w:u w:val="single" w:color="auto"/>
            <w:color w:val="0000EE"/>
          </w:rPr>
          <w:t>reference to Exhibit 10.1 to the Company’s Current Report on Form 8-K (File No. 001-35814), filed with the SEC on April 26,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224790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692" w:right="33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8"/>
          <w:szCs w:val="18"/>
          <w:color w:val="auto"/>
        </w:rPr>
        <w:t>correct.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April 27, 2021</w:t>
      </w:r>
    </w:p>
    <w:p>
      <w:pPr>
        <w:spacing w:after="0" w:line="225" w:lineRule="exact"/>
        <w:rPr>
          <w:sz w:val="20"/>
          <w:szCs w:val="20"/>
          <w:color w:val="auto"/>
        </w:rPr>
      </w:pPr>
    </w:p>
    <w:p>
      <w:pPr>
        <w:ind w:left="5400"/>
        <w:spacing w:after="0"/>
        <w:rPr>
          <w:sz w:val="20"/>
          <w:szCs w:val="20"/>
          <w:color w:val="auto"/>
        </w:rPr>
      </w:pPr>
      <w:r>
        <w:rPr>
          <w:rFonts w:ascii="Arial" w:cs="Arial" w:eastAsia="Arial" w:hAnsi="Arial"/>
          <w:sz w:val="18"/>
          <w:szCs w:val="18"/>
          <w:i w:val="1"/>
          <w:iCs w:val="1"/>
          <w:color w:val="auto"/>
        </w:rPr>
        <w:t>/s/ 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3434080</wp:posOffset>
            </wp:positionH>
            <wp:positionV relativeFrom="paragraph">
              <wp:posOffset>14605</wp:posOffset>
            </wp:positionV>
            <wp:extent cx="3703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3703320" cy="17145"/>
                    </a:xfrm>
                    <a:prstGeom prst="rect">
                      <a:avLst/>
                    </a:prstGeom>
                    <a:noFill/>
                  </pic:spPr>
                </pic:pic>
              </a:graphicData>
            </a:graphic>
          </wp:anchor>
        </w:drawing>
      </w:r>
    </w:p>
    <w:p>
      <w:pPr>
        <w:spacing w:after="0" w:line="1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Mark L. Baum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288925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68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25558EC"/>
    <w:multiLevelType w:val="hybridMultilevel"/>
    <w:lvl w:ilvl="0">
      <w:lvlJc w:val="left"/>
      <w:lvlText w:val="%1."/>
      <w:numFmt w:val="decimal"/>
      <w:start w:val="1"/>
    </w:lvl>
    <w:lvl w:ilvl="1">
      <w:lvlJc w:val="left"/>
      <w:lvlText w:val="(%2)"/>
      <w:numFmt w:val="lowerLetter"/>
      <w:start w:val="1"/>
    </w:lvl>
    <w:lvl w:ilvl="2">
      <w:lvlJc w:val="left"/>
      <w:lvlText w:val="%3."/>
      <w:numFmt w:val="decimal"/>
      <w:start w:val="7"/>
    </w:lvl>
  </w:abstractNum>
  <w:abstractNum w:abstractNumId="1">
    <w:nsid w:val="238E1F29"/>
    <w:multiLevelType w:val="hybridMultilevel"/>
    <w:lvl w:ilvl="0">
      <w:lvlJc w:val="left"/>
      <w:lvlText w:val="%1"/>
      <w:numFmt w:val="decimal"/>
      <w:start w:val="1"/>
    </w:lvl>
    <w:lvl w:ilvl="1">
      <w:lvlJc w:val="left"/>
      <w:lvlText w:val="%2."/>
      <w:numFmt w:val="decimal"/>
      <w:start w:val="10"/>
    </w:lvl>
  </w:abstractNum>
  <w:abstractNum w:abstractNumId="2">
    <w:nsid w:val="46E87CCD"/>
    <w:multiLevelType w:val="hybridMultilevel"/>
    <w:lvl w:ilvl="0">
      <w:lvlJc w:val="left"/>
      <w:lvlText w:val="%1."/>
      <w:numFmt w:val="decimal"/>
      <w:start w:val="11"/>
    </w:lvl>
    <w:lvl w:ilvl="1">
      <w:lvlJc w:val="left"/>
      <w:lvlText w:val="%2"/>
      <w:numFmt w:val="decimal"/>
      <w:start w:val="1"/>
    </w:lvl>
  </w:abstractNum>
  <w:abstractNum w:abstractNumId="3">
    <w:nsid w:val="3D1B58BA"/>
    <w:multiLevelType w:val="hybridMultilevel"/>
    <w:lvl w:ilvl="0">
      <w:lvlJc w:val="left"/>
      <w:lvlText w:val="1"/>
      <w:numFmt w:val="bullet"/>
      <w:start w:val="1"/>
    </w:lvl>
  </w:abstractNum>
  <w:abstractNum w:abstractNumId="4">
    <w:nsid w:val="507ED7AB"/>
    <w:multiLevelType w:val="hybridMultilevel"/>
    <w:lvl w:ilvl="0">
      <w:lvlJc w:val="left"/>
      <w:lvlText w:val="2"/>
      <w:numFmt w:val="bullet"/>
      <w:start w:val="1"/>
    </w:lvl>
  </w:abstractNum>
  <w:abstractNum w:abstractNumId="5">
    <w:nsid w:val="2EB141F2"/>
    <w:multiLevelType w:val="hybridMultilevel"/>
    <w:lvl w:ilvl="0">
      <w:lvlJc w:val="left"/>
      <w:lvlText w:val="(%1)"/>
      <w:numFmt w:val="lowerLetter"/>
      <w:start w:val="2"/>
    </w:lvl>
  </w:abstractNum>
  <w:abstractNum w:abstractNumId="6">
    <w:nsid w:val="41B71EFB"/>
    <w:multiLevelType w:val="hybridMultilevel"/>
    <w:lvl w:ilvl="0">
      <w:lvlJc w:val="left"/>
      <w:lvlText w:val="(%1)"/>
      <w:numFmt w:val="lowerRoman"/>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25" Type="http://schemas.openxmlformats.org/officeDocument/2006/relationships/image" Target="media/image17.png"/><Relationship Id="rId22" Type="http://schemas.openxmlformats.org/officeDocument/2006/relationships/hyperlink" Target="https://www.sec.gov/Archives/edgar/data/1360214/000149315216009186/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2021-04-27T16:29:42Z</dcterms:created>
  <dcterms:modified xsi:type="dcterms:W3CDTF">2021-04-27T16:29:42Z</dcterms:modified>
</cp:coreProperties>
</file>