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Shojaei Amir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HARROW,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1A BURTON HILLS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HARROW, INC.</w:t>
              </w:r>
            </w:hyperlink>
            <w:r>
              <w:rPr/>
              <w:t xml:space="preserve"> [ </w:t>
            </w:r>
            <w:r>
              <w:rPr>
                <w:rFonts w:ascii="Times;serif" w:hAnsi="Times;serif"/>
                <w:color w:val="0000FF"/>
                <w:sz w:val="24"/>
                <w:shd w:fill="FFFFFF" w:val="clear"/>
              </w:rPr>
              <w:t>HROW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35.96</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35.96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as part of a broker-assisted same-day sale transaction in connection with the option exercise reported herein to fund the aggregate exercise price and related transaction costs. The Reporting Person did not retain any shares acquired upon exercise.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was granted on January 6, 2025. The shares subject to the option vest according to the following schedule: 25% of the shares vested at the one-year anniversary of the date of grant, and the remaining shares vest over the next three years in 12 equal quarterly installments until fully vested and exercisable on January 6,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R. Boll, Attorney-in-Fact for Amir H. Shojaei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1427" TargetMode="External"/><Relationship Id="rId5" Type="http://schemas.openxmlformats.org/officeDocument/2006/relationships/hyperlink" Target="http://www.sec.gov/cgi-bin/browse-edgar?action=getcompany&amp;CIK=00013602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3765</Characters>
  <CharactersWithSpaces>4379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