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11,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7" w:lineRule="exact"/>
        <w:rPr>
          <w:sz w:val="24"/>
          <w:szCs w:val="24"/>
          <w:color w:val="auto"/>
        </w:rPr>
      </w:pPr>
    </w:p>
    <w:p>
      <w:pPr>
        <w:ind w:left="1600"/>
        <w:spacing w:after="0"/>
        <w:rPr>
          <w:sz w:val="20"/>
          <w:szCs w:val="20"/>
          <w:color w:val="auto"/>
        </w:rPr>
      </w:pPr>
      <w:r>
        <w:rPr>
          <w:rFonts w:ascii="Arial" w:cs="Arial" w:eastAsia="Arial" w:hAnsi="Arial"/>
          <w:sz w:val="17"/>
          <w:szCs w:val="17"/>
          <w:b w:val="1"/>
          <w:bCs w:val="1"/>
          <w:color w:val="auto"/>
        </w:rPr>
        <w:t>102 Woodmont Blvd., Suite 610</w:t>
      </w:r>
    </w:p>
    <w:p>
      <w:pPr>
        <w:spacing w:after="0" w:line="39"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17145</wp:posOffset>
            </wp:positionV>
            <wp:extent cx="39878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1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10, 2019, Novel Drug Solutions, LLC and Eye Care Northwest, PA (collectively, “NDS”) issued a press release containing numerous false and misleading statements about Harrow Health, Inc. (the “Company”), including statements made in violation of a federal court order. The Company and NDS are involved in a lawsuit related to a terminated Asset Purchase Agreement (the “Agreement”). The Company believes the remaining claims in the lawsuit, not already withdrawn by NDS, are meritless.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expect the lawsuit with NDS or the termination of the Agreement to affect its ImprimisRx business, including its operations, revenues or the ongoing service of its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December 11,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2019-12-11T06:32:02Z</dcterms:created>
  <dcterms:modified xsi:type="dcterms:W3CDTF">2019-12-11T06:32:02Z</dcterms:modified>
</cp:coreProperties>
</file>