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May 9,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9, 2019, Harrow Health, Inc. (the “Company”) issued a press release announcing its financial results for the quarter ended March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being furnished as Exhibit 99.1 to this Current Report on Form 8-K.</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issued by Harrow Health, Inc. on 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2315210" cy="934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315210" cy="93472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First Quarter 2019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 Diego, CA – May 9, 2019 – Harrow Health, Inc. (NASDAQ: HROW) today reported results for the first quarter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and Other Recent Notable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revenue increased 39% year-over-year to a new record of $12.3 million</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ImprimisRx ophthalmology revenue increased 57% year-over-year to a new record of $11.0 million, driven by record unit volumes delivered and increasing chronic care prescription refills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ImprimisRx launched five new ophthalmic formulations at the recent American Society of Cataract and Refractive Surgery meeting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Margins of 68%, an all-time high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(non-GAAP) of $753 thousand, a new record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(GAAP) was $11.4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Balance Sheet assets of $66.5 million, fourth quarter 2018 ended at $49.5 million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 L. Baum, CEO of Harrow Health, commented, “Our 2019 year is off to an excellent start as revenues, gross margins, and Adjusted EBITDA reached record highs during the first quarter. Strong operational performance returned us to positive Adjusted EBITDA and these numbers are expected improve in the back half of this year. Our asset portfolio produced gains from the deconsolidation of Melt Pharmaceuticals and appreciation of the 3.5 million shares we own in Eton Pharmaceuticals, which drove Net Income for the second consecutive quarter.”</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Mr. Baum concluded, “The ImprimisRx ophthalmology brand and national platform has never been stronger and more valuable. The recent ASCRS meeting in San Diego was a tremendous success, in terms of new product launches, podium recognition by key opinion leaders, and the over 600 RSVPs for our ‘open house social’ where ImprimisRx customers had the opportunity to share with one another how ImprimisRx is helping them deliver fantastic and affordable outcomes for their patients. In the surgery suite and the clinical setting, more and more ophthalmologists and optometrists across the country are experiencing the benefits of integrating the ImprimisRx platform of pharmaceutical solutions in their practices to solve unmet needs. Finally, in my view, the past 90 days have been the most productive and dynamic period of development in the history of ImprimisRx and Harrow Health in general. We are well positioned to continue to produce shareholder value from a host of catalysts we hope to discuss throughout the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team will host a conference call and audio-only webcast today at 4:30 p.m. EDT (1:30 p.m. PDT) to discuss the financial results and other recent developments. To participate in the call, please dial (844) 602-0380 for domestic callers or (862) 298-0970 for international callers. To listen to the webcast, please </w:t>
      </w:r>
      <w:r>
        <w:rPr>
          <w:rFonts w:ascii="Arial" w:cs="Arial" w:eastAsia="Arial" w:hAnsi="Arial"/>
          <w:sz w:val="18"/>
          <w:szCs w:val="18"/>
          <w:u w:val="single" w:color="auto"/>
          <w:color w:val="auto"/>
        </w:rPr>
        <w:t>click here</w:t>
      </w:r>
      <w:r>
        <w:rPr>
          <w:rFonts w:ascii="Arial" w:cs="Arial" w:eastAsia="Arial" w:hAnsi="Arial"/>
          <w:sz w:val="18"/>
          <w:szCs w:val="18"/>
          <w:color w:val="auto"/>
        </w:rPr>
        <w:t xml:space="preserve"> or visit the investor relations section of the Harrow Health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 A dial in replay of the call will be available until June 9, 2019. To access the replay, dial (877) 481-4010 domestically or (919) 882-2331 internationally and reference Replay ID: 48440. The webcast replay will be available until August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Selected highlights regarding operating results for the three months ended March 31, 2019 and for the same period in 2018 are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For the three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For the three</w:t>
            </w:r>
          </w:p>
        </w:tc>
      </w:tr>
      <w:tr>
        <w:trPr>
          <w:trHeight w:val="216"/>
        </w:trPr>
        <w:tc>
          <w:tcPr>
            <w:tcW w:w="5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months 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months ended</w:t>
            </w:r>
          </w:p>
        </w:tc>
      </w:tr>
      <w:tr>
        <w:trPr>
          <w:trHeight w:val="241"/>
        </w:trPr>
        <w:tc>
          <w:tcPr>
            <w:tcW w:w="5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 2019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March 31, 2018</w:t>
            </w:r>
          </w:p>
        </w:tc>
      </w:tr>
      <w:tr>
        <w:trPr>
          <w:trHeight w:val="216"/>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Cost of Sales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(3,898)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(4,071)</w:t>
            </w: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8,392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4,794</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(8,543)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(6,488)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(1,781)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11,889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(1,732)</w:t>
            </w: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162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11,333</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(3,513)</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5720" w:type="dxa"/>
            <w:vAlign w:val="bottom"/>
          </w:tcPr>
          <w:p>
            <w:pPr>
              <w:ind w:left="180"/>
              <w:spacing w:after="0"/>
              <w:rPr>
                <w:sz w:val="20"/>
                <w:szCs w:val="20"/>
                <w:color w:val="auto"/>
              </w:rPr>
            </w:pPr>
            <w:r>
              <w:rPr>
                <w:rFonts w:ascii="Arial" w:cs="Arial" w:eastAsia="Arial" w:hAnsi="Arial"/>
                <w:sz w:val="18"/>
                <w:szCs w:val="18"/>
                <w:b w:val="1"/>
                <w:bCs w:val="1"/>
                <w:color w:val="auto"/>
              </w:rPr>
              <w:t>Net Income (Loss) attributable to Harrow Health, Inc.</w:t>
            </w:r>
          </w:p>
        </w:tc>
        <w:tc>
          <w:tcPr>
            <w:tcW w:w="162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11,358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(3,513)</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E(L)BITDA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for the same period in 2018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For the three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For the three</w:t>
            </w:r>
          </w:p>
        </w:tc>
      </w:tr>
      <w:tr>
        <w:trPr>
          <w:trHeight w:val="216"/>
        </w:trPr>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months 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months ended</w:t>
            </w:r>
          </w:p>
        </w:tc>
      </w:tr>
      <w:tr>
        <w:trPr>
          <w:trHeight w:val="241"/>
        </w:trPr>
        <w:tc>
          <w:tcPr>
            <w:tcW w:w="5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 2019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March 31, 2018</w:t>
            </w: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Net Income (Loss)</w:t>
            </w:r>
          </w:p>
        </w:tc>
        <w:tc>
          <w:tcPr>
            <w:tcW w:w="1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11,358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Stock-based compensation and payments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Taxes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Investment gains/loss from Eton, Surface, Melt, net</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(11,862)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r>
      <w:tr>
        <w:trPr>
          <w:trHeight w:val="257"/>
        </w:trPr>
        <w:tc>
          <w:tcPr>
            <w:tcW w:w="55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Non-recurring expenses, net</w:t>
            </w:r>
            <w:r>
              <w:rPr>
                <w:rFonts w:ascii="Arial" w:cs="Arial" w:eastAsia="Arial" w:hAnsi="Arial"/>
                <w:sz w:val="29"/>
                <w:szCs w:val="29"/>
                <w:color w:val="auto"/>
                <w:vertAlign w:val="superscript"/>
              </w:rPr>
              <w:t>(1)</w:t>
            </w:r>
          </w:p>
        </w:tc>
        <w:tc>
          <w:tcPr>
            <w:tcW w:w="1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Adjusted E(L)BITDA</w:t>
            </w:r>
          </w:p>
        </w:tc>
        <w:tc>
          <w:tcPr>
            <w:tcW w:w="184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753</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(431)</w:t>
            </w:r>
          </w:p>
        </w:tc>
      </w:tr>
    </w:tbl>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Non-recurring expenses includes costs accrued in connection with litigation settlements.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Harrow Health, Inc. (NASDAQ: HROW) owns a portfolio of healthcare businesses, including the nation’s leading ophthalmology pharmaceutical compounding business, </w:t>
      </w:r>
      <w:r>
        <w:rPr>
          <w:rFonts w:ascii="Arial" w:cs="Arial" w:eastAsia="Arial" w:hAnsi="Arial"/>
          <w:sz w:val="18"/>
          <w:szCs w:val="18"/>
          <w:u w:val="single" w:color="auto"/>
          <w:color w:val="auto"/>
        </w:rPr>
        <w:t>ImprimisRx</w:t>
      </w:r>
      <w:r>
        <w:rPr>
          <w:rFonts w:ascii="Arial" w:cs="Arial" w:eastAsia="Arial" w:hAnsi="Arial"/>
          <w:sz w:val="18"/>
          <w:szCs w:val="18"/>
          <w:color w:val="auto"/>
        </w:rPr>
        <w:t xml:space="preserve">. The company holds large equity positions in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Surface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Melt Pharmaceuticals</w:t>
      </w:r>
      <w:r>
        <w:rPr>
          <w:rFonts w:ascii="Arial" w:cs="Arial" w:eastAsia="Arial" w:hAnsi="Arial"/>
          <w:sz w:val="18"/>
          <w:szCs w:val="18"/>
          <w:color w:val="auto"/>
        </w:rPr>
        <w:t xml:space="preserve">, Mayfield Pharmaceuticals and Radley Pharmaceuticals, all companies founded as subsidiaries of Harrow Health. The Company also owns royalty rights in certain 505(b)(2) drug candidates being developed by Surface, Melt, Mayfield and Radley. Harrow intends to create, invest in and grow paradigm shifting health care businesses that put patients first. For more information about Harrow Health, please visit the Investor Relations section of the corporate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jpatton@harrowinc.com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Holliday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deb@hollidaycommunications.net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Harrow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2019-12-02T21:59:26Z</dcterms:created>
  <dcterms:modified xsi:type="dcterms:W3CDTF">2019-12-02T21:59:26Z</dcterms:modified>
</cp:coreProperties>
</file>