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13d-101)</w:t>
      </w:r>
    </w:p>
    <w:p>
      <w:pPr>
        <w:spacing w:after="0" w:line="205" w:lineRule="exact"/>
        <w:rPr>
          <w:sz w:val="24"/>
          <w:szCs w:val="24"/>
          <w:color w:val="auto"/>
        </w:rPr>
      </w:pPr>
    </w:p>
    <w:p>
      <w:pPr>
        <w:jc w:val="center"/>
        <w:ind w:left="260" w:right="240"/>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RULE 13D-1(a) AND AMENDMENTS THERETO FILED PURSUANT TO RULE 13D-2(a)</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Eton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29772L 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D. Hudders,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Golenbock Eiseman Assor Bell &amp; Peskoe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711 Third Avenue, 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(212-907-7300)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15,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13d-1(b)(3) or (4), check the following box. [ ]</w:t>
      </w:r>
    </w:p>
    <w:p>
      <w:pPr>
        <w:spacing w:after="0" w:line="166"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firstLine="8"/>
        <w:spacing w:after="0" w:line="277" w:lineRule="auto"/>
        <w:tabs>
          <w:tab w:leader="none" w:pos="13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Page 2 of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29772L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2)</w:t>
            </w:r>
          </w:p>
        </w:tc>
        <w:tc>
          <w:tcPr>
            <w:tcW w:w="814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 [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3)</w:t>
            </w:r>
          </w:p>
        </w:tc>
        <w:tc>
          <w:tcPr>
            <w:tcW w:w="13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4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Borders>
              <w:bottom w:val="single" w:sz="8" w:color="auto"/>
            </w:tcBorders>
            <w:gridSpan w:val="2"/>
          </w:tcPr>
          <w:p>
            <w:pPr>
              <w:spacing w:after="0"/>
              <w:rPr>
                <w:sz w:val="18"/>
                <w:szCs w:val="18"/>
                <w:color w:val="auto"/>
              </w:rPr>
            </w:pPr>
          </w:p>
        </w:tc>
        <w:tc>
          <w:tcPr>
            <w:tcW w:w="1860" w:type="dxa"/>
            <w:vAlign w:val="bottom"/>
            <w:tcBorders>
              <w:bottom w:val="single" w:sz="8" w:color="auto"/>
            </w:tcBorders>
            <w:gridSpan w:val="2"/>
          </w:tcPr>
          <w:p>
            <w:pPr>
              <w:spacing w:after="0"/>
              <w:rPr>
                <w:sz w:val="18"/>
                <w:szCs w:val="18"/>
                <w:color w:val="auto"/>
              </w:rPr>
            </w:pPr>
          </w:p>
        </w:tc>
        <w:tc>
          <w:tcPr>
            <w:tcW w:w="6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4)</w:t>
            </w:r>
          </w:p>
        </w:tc>
        <w:tc>
          <w:tcPr>
            <w:tcW w:w="1860" w:type="dxa"/>
            <w:vAlign w:val="bottom"/>
            <w:gridSpan w:val="2"/>
          </w:tcPr>
          <w:p>
            <w:pPr>
              <w:ind w:left="80"/>
              <w:spacing w:after="0"/>
              <w:rPr>
                <w:sz w:val="20"/>
                <w:szCs w:val="20"/>
                <w:color w:val="auto"/>
              </w:rPr>
            </w:pPr>
            <w:r>
              <w:rPr>
                <w:rFonts w:ascii="Arial" w:cs="Arial" w:eastAsia="Arial" w:hAnsi="Arial"/>
                <w:sz w:val="18"/>
                <w:szCs w:val="18"/>
                <w:color w:val="auto"/>
              </w:rPr>
              <w:t>SOURCE OF FUNDS</w:t>
            </w:r>
          </w:p>
        </w:tc>
        <w:tc>
          <w:tcPr>
            <w:tcW w:w="628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WC</w:t>
            </w:r>
          </w:p>
        </w:tc>
        <w:tc>
          <w:tcPr>
            <w:tcW w:w="0" w:type="dxa"/>
            <w:vAlign w:val="bottom"/>
          </w:tcPr>
          <w:p>
            <w:pPr>
              <w:spacing w:after="0"/>
              <w:rPr>
                <w:sz w:val="1"/>
                <w:szCs w:val="1"/>
                <w:color w:val="auto"/>
              </w:rPr>
            </w:pPr>
          </w:p>
        </w:tc>
      </w:tr>
      <w:tr>
        <w:trPr>
          <w:trHeight w:val="209"/>
        </w:trPr>
        <w:tc>
          <w:tcPr>
            <w:tcW w:w="580" w:type="dxa"/>
            <w:vAlign w:val="bottom"/>
            <w:tcBorders>
              <w:bottom w:val="single" w:sz="8" w:color="auto"/>
            </w:tcBorders>
            <w:gridSpan w:val="2"/>
          </w:tcPr>
          <w:p>
            <w:pPr>
              <w:spacing w:after="0"/>
              <w:rPr>
                <w:sz w:val="18"/>
                <w:szCs w:val="18"/>
                <w:color w:val="auto"/>
              </w:rPr>
            </w:pPr>
          </w:p>
        </w:tc>
        <w:tc>
          <w:tcPr>
            <w:tcW w:w="8140" w:type="dxa"/>
            <w:vAlign w:val="bottom"/>
            <w:tcBorders>
              <w:bottom w:val="single" w:sz="8" w:color="auto"/>
            </w:tcBorders>
            <w:gridSpan w:val="3"/>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5)</w:t>
            </w:r>
          </w:p>
        </w:tc>
        <w:tc>
          <w:tcPr>
            <w:tcW w:w="814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6"/>
              </w:rPr>
              <w:t>CHECK BOX IF DISCLOSURE OF LEGAL PROCEEDINGS IS REQUIRED PURSUANT TO ITEMS 2(d)</w:t>
            </w: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ind w:left="80"/>
              <w:spacing w:after="0"/>
              <w:rPr>
                <w:sz w:val="20"/>
                <w:szCs w:val="20"/>
                <w:color w:val="auto"/>
              </w:rPr>
            </w:pPr>
            <w:r>
              <w:rPr>
                <w:rFonts w:ascii="Arial" w:cs="Arial" w:eastAsia="Arial" w:hAnsi="Arial"/>
                <w:sz w:val="18"/>
                <w:szCs w:val="18"/>
                <w:color w:val="auto"/>
              </w:rPr>
              <w:t>OR 2(e)</w:t>
            </w:r>
          </w:p>
        </w:tc>
        <w:tc>
          <w:tcPr>
            <w:tcW w:w="4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80" w:type="dxa"/>
            <w:vAlign w:val="bottom"/>
            <w:gridSpan w:val="2"/>
          </w:tcPr>
          <w:p>
            <w:pPr>
              <w:spacing w:after="0"/>
              <w:rPr>
                <w:sz w:val="19"/>
                <w:szCs w:val="19"/>
                <w:color w:val="auto"/>
              </w:rPr>
            </w:pPr>
          </w:p>
        </w:tc>
        <w:tc>
          <w:tcPr>
            <w:tcW w:w="8140" w:type="dxa"/>
            <w:vAlign w:val="bottom"/>
            <w:gridSpan w:val="3"/>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6)</w:t>
            </w:r>
          </w:p>
        </w:tc>
        <w:tc>
          <w:tcPr>
            <w:tcW w:w="814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State of Delaware</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rPr>
              <w:t>NUMBER OF</w:t>
            </w:r>
          </w:p>
        </w:tc>
        <w:tc>
          <w:tcPr>
            <w:tcW w:w="480" w:type="dxa"/>
            <w:vAlign w:val="bottom"/>
          </w:tcPr>
          <w:p>
            <w:pPr>
              <w:spacing w:after="0" w:line="201" w:lineRule="exact"/>
              <w:rPr>
                <w:sz w:val="20"/>
                <w:szCs w:val="20"/>
                <w:color w:val="auto"/>
              </w:rPr>
            </w:pPr>
            <w:r>
              <w:rPr>
                <w:rFonts w:ascii="Arial" w:cs="Arial" w:eastAsia="Arial" w:hAnsi="Arial"/>
                <w:sz w:val="18"/>
                <w:szCs w:val="18"/>
                <w:color w:val="auto"/>
              </w:rPr>
              <w:t>7)</w:t>
            </w:r>
          </w:p>
        </w:tc>
        <w:tc>
          <w:tcPr>
            <w:tcW w:w="6280" w:type="dxa"/>
            <w:vAlign w:val="bottom"/>
          </w:tcPr>
          <w:p>
            <w:pPr>
              <w:ind w:left="160"/>
              <w:spacing w:after="0" w:line="201" w:lineRule="exact"/>
              <w:rPr>
                <w:sz w:val="20"/>
                <w:szCs w:val="20"/>
                <w:color w:val="auto"/>
              </w:rPr>
            </w:pPr>
            <w:r>
              <w:rPr>
                <w:rFonts w:ascii="Arial" w:cs="Arial" w:eastAsia="Arial" w:hAnsi="Arial"/>
                <w:sz w:val="18"/>
                <w:szCs w:val="18"/>
                <w:color w:val="auto"/>
              </w:rPr>
              <w:t>SOLE VOTING POWER</w:t>
            </w:r>
          </w:p>
        </w:tc>
        <w:tc>
          <w:tcPr>
            <w:tcW w:w="2700" w:type="dxa"/>
            <w:vAlign w:val="bottom"/>
          </w:tcPr>
          <w:p>
            <w:pPr>
              <w:ind w:left="100"/>
              <w:spacing w:after="0" w:line="201" w:lineRule="exact"/>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37"/>
        </w:trPr>
        <w:tc>
          <w:tcPr>
            <w:tcW w:w="1960" w:type="dxa"/>
            <w:vAlign w:val="bottom"/>
            <w:gridSpan w:val="3"/>
          </w:tcPr>
          <w:p>
            <w:pPr>
              <w:spacing w:after="0"/>
              <w:rPr>
                <w:sz w:val="20"/>
                <w:szCs w:val="20"/>
                <w:color w:val="auto"/>
              </w:rPr>
            </w:pPr>
            <w:r>
              <w:rPr>
                <w:rFonts w:ascii="Arial" w:cs="Arial" w:eastAsia="Arial" w:hAnsi="Arial"/>
                <w:sz w:val="18"/>
                <w:szCs w:val="18"/>
                <w:color w:val="auto"/>
              </w:rPr>
              <w:t>SHARES</w:t>
            </w:r>
          </w:p>
        </w:tc>
        <w:tc>
          <w:tcPr>
            <w:tcW w:w="480" w:type="dxa"/>
            <w:vAlign w:val="bottom"/>
            <w:tcBorders>
              <w:bottom w:val="single" w:sz="8" w:color="auto"/>
            </w:tcBorders>
          </w:tcPr>
          <w:p>
            <w:pPr>
              <w:spacing w:after="0"/>
              <w:rPr>
                <w:sz w:val="20"/>
                <w:szCs w:val="20"/>
                <w:color w:val="auto"/>
              </w:rPr>
            </w:pPr>
          </w:p>
        </w:tc>
        <w:tc>
          <w:tcPr>
            <w:tcW w:w="6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960" w:type="dxa"/>
            <w:vAlign w:val="bottom"/>
            <w:gridSpan w:val="3"/>
          </w:tcPr>
          <w:p>
            <w:pPr>
              <w:spacing w:after="0" w:line="189" w:lineRule="exact"/>
              <w:rPr>
                <w:sz w:val="20"/>
                <w:szCs w:val="20"/>
                <w:color w:val="auto"/>
              </w:rPr>
            </w:pPr>
            <w:r>
              <w:rPr>
                <w:rFonts w:ascii="Arial" w:cs="Arial" w:eastAsia="Arial" w:hAnsi="Arial"/>
                <w:sz w:val="18"/>
                <w:szCs w:val="18"/>
                <w:color w:val="auto"/>
              </w:rPr>
              <w:t>BENEFICIALLY</w:t>
            </w:r>
          </w:p>
        </w:tc>
        <w:tc>
          <w:tcPr>
            <w:tcW w:w="480" w:type="dxa"/>
            <w:vAlign w:val="bottom"/>
          </w:tcPr>
          <w:p>
            <w:pPr>
              <w:spacing w:after="0" w:line="189" w:lineRule="exact"/>
              <w:rPr>
                <w:sz w:val="20"/>
                <w:szCs w:val="20"/>
                <w:color w:val="auto"/>
              </w:rPr>
            </w:pPr>
            <w:r>
              <w:rPr>
                <w:rFonts w:ascii="Arial" w:cs="Arial" w:eastAsia="Arial" w:hAnsi="Arial"/>
                <w:sz w:val="18"/>
                <w:szCs w:val="18"/>
                <w:color w:val="auto"/>
              </w:rPr>
              <w:t>8)</w:t>
            </w:r>
          </w:p>
        </w:tc>
        <w:tc>
          <w:tcPr>
            <w:tcW w:w="6280" w:type="dxa"/>
            <w:vAlign w:val="bottom"/>
          </w:tcPr>
          <w:p>
            <w:pPr>
              <w:ind w:left="160"/>
              <w:spacing w:after="0" w:line="189" w:lineRule="exact"/>
              <w:rPr>
                <w:sz w:val="20"/>
                <w:szCs w:val="20"/>
                <w:color w:val="auto"/>
              </w:rPr>
            </w:pPr>
            <w:r>
              <w:rPr>
                <w:rFonts w:ascii="Arial" w:cs="Arial" w:eastAsia="Arial" w:hAnsi="Arial"/>
                <w:sz w:val="18"/>
                <w:szCs w:val="18"/>
                <w:color w:val="auto"/>
              </w:rPr>
              <w:t>SHARED VOTING POWER</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960" w:type="dxa"/>
            <w:vAlign w:val="bottom"/>
            <w:gridSpan w:val="3"/>
          </w:tcPr>
          <w:p>
            <w:pPr>
              <w:spacing w:after="0"/>
              <w:rPr>
                <w:sz w:val="20"/>
                <w:szCs w:val="20"/>
                <w:color w:val="auto"/>
              </w:rPr>
            </w:pPr>
            <w:r>
              <w:rPr>
                <w:rFonts w:ascii="Arial" w:cs="Arial" w:eastAsia="Arial" w:hAnsi="Arial"/>
                <w:sz w:val="18"/>
                <w:szCs w:val="18"/>
                <w:color w:val="auto"/>
              </w:rPr>
              <w:t>OWNED BY</w:t>
            </w:r>
          </w:p>
        </w:tc>
        <w:tc>
          <w:tcPr>
            <w:tcW w:w="480" w:type="dxa"/>
            <w:vAlign w:val="bottom"/>
            <w:tcBorders>
              <w:bottom w:val="single" w:sz="8" w:color="auto"/>
            </w:tcBorders>
          </w:tcPr>
          <w:p>
            <w:pPr>
              <w:spacing w:after="0"/>
              <w:rPr>
                <w:sz w:val="21"/>
                <w:szCs w:val="21"/>
                <w:color w:val="auto"/>
              </w:rPr>
            </w:pPr>
          </w:p>
        </w:tc>
        <w:tc>
          <w:tcPr>
            <w:tcW w:w="62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580" w:type="dxa"/>
            <w:vAlign w:val="bottom"/>
            <w:gridSpan w:val="2"/>
          </w:tcPr>
          <w:p>
            <w:pPr>
              <w:spacing w:after="0" w:line="189" w:lineRule="exact"/>
              <w:rPr>
                <w:sz w:val="20"/>
                <w:szCs w:val="20"/>
                <w:color w:val="auto"/>
              </w:rPr>
            </w:pPr>
            <w:r>
              <w:rPr>
                <w:rFonts w:ascii="Arial" w:cs="Arial" w:eastAsia="Arial" w:hAnsi="Arial"/>
                <w:sz w:val="18"/>
                <w:szCs w:val="18"/>
                <w:color w:val="auto"/>
              </w:rPr>
              <w:t>EACH</w:t>
            </w:r>
          </w:p>
        </w:tc>
        <w:tc>
          <w:tcPr>
            <w:tcW w:w="1380" w:type="dxa"/>
            <w:vAlign w:val="bottom"/>
          </w:tcPr>
          <w:p>
            <w:pPr>
              <w:spacing w:after="0"/>
              <w:rPr>
                <w:sz w:val="16"/>
                <w:szCs w:val="16"/>
                <w:color w:val="auto"/>
              </w:rPr>
            </w:pPr>
          </w:p>
        </w:tc>
        <w:tc>
          <w:tcPr>
            <w:tcW w:w="480" w:type="dxa"/>
            <w:vAlign w:val="bottom"/>
          </w:tcPr>
          <w:p>
            <w:pPr>
              <w:spacing w:after="0" w:line="189" w:lineRule="exact"/>
              <w:rPr>
                <w:sz w:val="20"/>
                <w:szCs w:val="20"/>
                <w:color w:val="auto"/>
              </w:rPr>
            </w:pPr>
            <w:r>
              <w:rPr>
                <w:rFonts w:ascii="Arial" w:cs="Arial" w:eastAsia="Arial" w:hAnsi="Arial"/>
                <w:sz w:val="18"/>
                <w:szCs w:val="18"/>
                <w:color w:val="auto"/>
              </w:rPr>
              <w:t>9)</w:t>
            </w:r>
          </w:p>
        </w:tc>
        <w:tc>
          <w:tcPr>
            <w:tcW w:w="6280" w:type="dxa"/>
            <w:vAlign w:val="bottom"/>
          </w:tcPr>
          <w:p>
            <w:pPr>
              <w:ind w:left="160"/>
              <w:spacing w:after="0" w:line="189" w:lineRule="exact"/>
              <w:rPr>
                <w:sz w:val="20"/>
                <w:szCs w:val="20"/>
                <w:color w:val="auto"/>
              </w:rPr>
            </w:pPr>
            <w:r>
              <w:rPr>
                <w:rFonts w:ascii="Arial" w:cs="Arial" w:eastAsia="Arial" w:hAnsi="Arial"/>
                <w:sz w:val="18"/>
                <w:szCs w:val="18"/>
                <w:color w:val="auto"/>
              </w:rPr>
              <w:t>SOLE DISPOSITIVE POWER</w:t>
            </w:r>
          </w:p>
        </w:tc>
        <w:tc>
          <w:tcPr>
            <w:tcW w:w="2700" w:type="dxa"/>
            <w:vAlign w:val="bottom"/>
          </w:tcPr>
          <w:p>
            <w:pPr>
              <w:ind w:left="100"/>
              <w:spacing w:after="0" w:line="189" w:lineRule="exact"/>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51"/>
        </w:trPr>
        <w:tc>
          <w:tcPr>
            <w:tcW w:w="1960" w:type="dxa"/>
            <w:vAlign w:val="bottom"/>
            <w:gridSpan w:val="3"/>
          </w:tcPr>
          <w:p>
            <w:pPr>
              <w:spacing w:after="0"/>
              <w:rPr>
                <w:sz w:val="20"/>
                <w:szCs w:val="20"/>
                <w:color w:val="auto"/>
              </w:rPr>
            </w:pPr>
            <w:r>
              <w:rPr>
                <w:rFonts w:ascii="Arial" w:cs="Arial" w:eastAsia="Arial" w:hAnsi="Arial"/>
                <w:sz w:val="18"/>
                <w:szCs w:val="18"/>
                <w:color w:val="auto"/>
              </w:rPr>
              <w:t>REPORTING</w:t>
            </w:r>
          </w:p>
        </w:tc>
        <w:tc>
          <w:tcPr>
            <w:tcW w:w="480" w:type="dxa"/>
            <w:vAlign w:val="bottom"/>
            <w:tcBorders>
              <w:bottom w:val="single" w:sz="8" w:color="auto"/>
            </w:tcBorders>
          </w:tcPr>
          <w:p>
            <w:pPr>
              <w:spacing w:after="0"/>
              <w:rPr>
                <w:sz w:val="21"/>
                <w:szCs w:val="21"/>
                <w:color w:val="auto"/>
              </w:rPr>
            </w:pPr>
          </w:p>
        </w:tc>
        <w:tc>
          <w:tcPr>
            <w:tcW w:w="62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60" w:type="dxa"/>
            <w:vAlign w:val="bottom"/>
            <w:gridSpan w:val="3"/>
          </w:tcPr>
          <w:p>
            <w:pPr>
              <w:spacing w:after="0" w:line="202" w:lineRule="exact"/>
              <w:rPr>
                <w:sz w:val="20"/>
                <w:szCs w:val="20"/>
                <w:color w:val="auto"/>
              </w:rPr>
            </w:pPr>
            <w:r>
              <w:rPr>
                <w:rFonts w:ascii="Arial" w:cs="Arial" w:eastAsia="Arial" w:hAnsi="Arial"/>
                <w:sz w:val="18"/>
                <w:szCs w:val="18"/>
                <w:color w:val="auto"/>
              </w:rPr>
              <w:t>PERSON WITH</w:t>
            </w:r>
          </w:p>
        </w:tc>
        <w:tc>
          <w:tcPr>
            <w:tcW w:w="480" w:type="dxa"/>
            <w:vAlign w:val="bottom"/>
          </w:tcPr>
          <w:p>
            <w:pPr>
              <w:spacing w:after="0"/>
              <w:rPr>
                <w:sz w:val="20"/>
                <w:szCs w:val="20"/>
                <w:color w:val="auto"/>
              </w:rPr>
            </w:pPr>
            <w:r>
              <w:rPr>
                <w:rFonts w:ascii="Arial" w:cs="Arial" w:eastAsia="Arial" w:hAnsi="Arial"/>
                <w:sz w:val="18"/>
                <w:szCs w:val="18"/>
                <w:color w:val="auto"/>
              </w:rPr>
              <w:t>10)</w:t>
            </w:r>
          </w:p>
        </w:tc>
        <w:tc>
          <w:tcPr>
            <w:tcW w:w="628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gridSpan w:val="2"/>
          </w:tcPr>
          <w:p>
            <w:pPr>
              <w:spacing w:after="0"/>
              <w:rPr>
                <w:sz w:val="18"/>
                <w:szCs w:val="18"/>
                <w:color w:val="auto"/>
              </w:rPr>
            </w:pPr>
          </w:p>
        </w:tc>
        <w:tc>
          <w:tcPr>
            <w:tcW w:w="8140" w:type="dxa"/>
            <w:vAlign w:val="bottom"/>
            <w:gridSpan w:val="3"/>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11)</w:t>
            </w:r>
          </w:p>
        </w:tc>
        <w:tc>
          <w:tcPr>
            <w:tcW w:w="1380" w:type="dxa"/>
            <w:vAlign w:val="bottom"/>
          </w:tcPr>
          <w:p>
            <w:pPr>
              <w:ind w:left="80"/>
              <w:spacing w:after="0"/>
              <w:rPr>
                <w:sz w:val="20"/>
                <w:szCs w:val="20"/>
                <w:color w:val="auto"/>
              </w:rPr>
            </w:pPr>
            <w:r>
              <w:rPr>
                <w:rFonts w:ascii="Arial" w:cs="Arial" w:eastAsia="Arial" w:hAnsi="Arial"/>
                <w:sz w:val="18"/>
                <w:szCs w:val="18"/>
                <w:color w:val="auto"/>
              </w:rPr>
              <w:t>AGGREGATE</w:t>
            </w:r>
          </w:p>
        </w:tc>
        <w:tc>
          <w:tcPr>
            <w:tcW w:w="6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2700" w:type="dxa"/>
            <w:vAlign w:val="bottom"/>
            <w:tcBorders>
              <w:top w:val="single" w:sz="8" w:color="auto"/>
            </w:tcBorders>
            <w:vMerge w:val="restart"/>
          </w:tcPr>
          <w:p>
            <w:pPr>
              <w:ind w:left="10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8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80" w:type="dxa"/>
            <w:vAlign w:val="bottom"/>
            <w:gridSpan w:val="2"/>
          </w:tcPr>
          <w:p>
            <w:pPr>
              <w:spacing w:after="0"/>
              <w:rPr>
                <w:sz w:val="10"/>
                <w:szCs w:val="10"/>
                <w:color w:val="auto"/>
              </w:rPr>
            </w:pPr>
          </w:p>
        </w:tc>
        <w:tc>
          <w:tcPr>
            <w:tcW w:w="8140" w:type="dxa"/>
            <w:vAlign w:val="bottom"/>
            <w:gridSpan w:val="3"/>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12)</w:t>
            </w:r>
          </w:p>
        </w:tc>
        <w:tc>
          <w:tcPr>
            <w:tcW w:w="814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9"/>
        </w:trPr>
        <w:tc>
          <w:tcPr>
            <w:tcW w:w="580" w:type="dxa"/>
            <w:vAlign w:val="bottom"/>
            <w:tcBorders>
              <w:bottom w:val="single" w:sz="8" w:color="auto"/>
            </w:tcBorders>
            <w:gridSpan w:val="2"/>
          </w:tcPr>
          <w:p>
            <w:pPr>
              <w:spacing w:after="0"/>
              <w:rPr>
                <w:sz w:val="18"/>
                <w:szCs w:val="18"/>
                <w:color w:val="auto"/>
              </w:rPr>
            </w:pPr>
          </w:p>
        </w:tc>
        <w:tc>
          <w:tcPr>
            <w:tcW w:w="8140" w:type="dxa"/>
            <w:vAlign w:val="bottom"/>
            <w:tcBorders>
              <w:bottom w:val="single" w:sz="8" w:color="auto"/>
            </w:tcBorders>
            <w:gridSpan w:val="3"/>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13)</w:t>
            </w: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700" w:type="dxa"/>
            <w:vAlign w:val="bottom"/>
          </w:tcPr>
          <w:p>
            <w:pPr>
              <w:ind w:lef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9"/>
        </w:trPr>
        <w:tc>
          <w:tcPr>
            <w:tcW w:w="580" w:type="dxa"/>
            <w:vAlign w:val="bottom"/>
            <w:tcBorders>
              <w:bottom w:val="single" w:sz="8" w:color="auto"/>
            </w:tcBorders>
            <w:gridSpan w:val="2"/>
          </w:tcPr>
          <w:p>
            <w:pPr>
              <w:spacing w:after="0"/>
              <w:rPr>
                <w:sz w:val="18"/>
                <w:szCs w:val="18"/>
                <w:color w:val="auto"/>
              </w:rPr>
            </w:pPr>
          </w:p>
        </w:tc>
        <w:tc>
          <w:tcPr>
            <w:tcW w:w="8140" w:type="dxa"/>
            <w:vAlign w:val="bottom"/>
            <w:tcBorders>
              <w:bottom w:val="single" w:sz="8" w:color="auto"/>
            </w:tcBorders>
            <w:gridSpan w:val="3"/>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14)</w:t>
            </w: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2700" w:type="dxa"/>
            <w:vAlign w:val="bottom"/>
          </w:tcPr>
          <w:p>
            <w:pPr>
              <w:ind w:left="100"/>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Page 3 of 6</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SECURITY AND ISSUER.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class of equity securities to which this Statement of Schedule 13D (this “Schedule 13D”) relates is shares of common stock, $0.001 par value (the “Common Stock”) of Eton Pharmaceuticals, Inc., a Delaware corporation (the “Issuer”). The principal executive office of the Issuer is 21925 W. Field Parkway, Suite 235, Deer Park, Illinois 60010.</w:t>
      </w:r>
    </w:p>
    <w:p>
      <w:pPr>
        <w:spacing w:after="0" w:line="1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IDENTITY AND BACKGROUND.</w:t>
      </w:r>
    </w:p>
    <w:p>
      <w:pPr>
        <w:spacing w:after="0" w:line="225"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Schedule 13D is being filed by Imprimis Pharmaceuticals, Inc. (the “Reporting Person”).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Person’s principal business address is 12264 El Camino Real, Suite 350, San Diego, California 92130.</w:t>
      </w:r>
    </w:p>
    <w:p>
      <w:pPr>
        <w:spacing w:after="0" w:line="225" w:lineRule="exact"/>
        <w:rPr>
          <w:rFonts w:ascii="Arial" w:cs="Arial" w:eastAsia="Arial" w:hAnsi="Arial"/>
          <w:sz w:val="18"/>
          <w:szCs w:val="18"/>
          <w:color w:val="auto"/>
        </w:rPr>
      </w:pPr>
    </w:p>
    <w:p>
      <w:pPr>
        <w:ind w:firstLine="8"/>
        <w:spacing w:after="0" w:line="277" w:lineRule="auto"/>
        <w:tabs>
          <w:tab w:leader="none" w:pos="28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 is an ophthalmology-focused pharmaceutical company specializing in the development, production and sale of innovative medications that offer unique competitive advantages and serve unmet needs in the marketplace.</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past five years, the Reporting Person has not been convicted in a criminal proceeding (excluding traffic violations or similar misdemeanors).</w:t>
      </w:r>
    </w:p>
    <w:p>
      <w:pPr>
        <w:spacing w:after="0" w:line="248" w:lineRule="exact"/>
        <w:rPr>
          <w:rFonts w:ascii="Arial" w:cs="Arial" w:eastAsia="Arial" w:hAnsi="Arial"/>
          <w:sz w:val="16"/>
          <w:szCs w:val="16"/>
          <w:color w:val="auto"/>
        </w:rPr>
      </w:pPr>
    </w:p>
    <w:p>
      <w:pPr>
        <w:jc w:val="both"/>
        <w:ind w:firstLine="8"/>
        <w:spacing w:after="0" w:line="264" w:lineRule="auto"/>
        <w:tabs>
          <w:tab w:leader="none" w:pos="247"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past five years, the Reporting Person has not been a party to a civil proceeding of a judicial or administrative body of competent jurisdiction or as a result of such a proceeding was or is subject to a judgment, decree or final order enjoining future violations of, or prohibiting or mandating activities subject to, federal or state securities laws or finding any violation with respect to such laws.</w:t>
      </w:r>
    </w:p>
    <w:p>
      <w:pPr>
        <w:spacing w:after="0" w:line="181"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 is a corporation, organized under the laws of the State of Delaware.</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SOURCE AND AMOUNT OF FUNDS AND OTHER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were acquired by the Reporting Person for an aggregate $3,500 through its working capital.</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PURPOSE OF TRANSACTION.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securities were initially acquired when the Reporting Person formed the Issuer as a wholly-owned subsidiary of the Reporting Person in April 2017 (in June 2017, in connection with an offering of Series A Preferred stock by the Issuer, the Issuer was no longer a wholly-owned subsidiary of the Reporting Person) and are now being held for investment purposes. The Reporting Person intends to review its investment in the Issuer on a continuing basis and will routinely monitor a wide variety of investment considerations, including, without limitation, current and anticipated future trading prices for the Common Stock, the Issuer’s financial position, operations, assets, prospects, strategic direction and business and other developments affecting the Issuer. The Reporting Person may from time to time take such actions with respect to its investment in the Issuer as it deems appropriate, including, without limitation, (i) acquiring additional shares or disposing of some or all of its shares of Common Stock (or other securities of the Issuer); (ii) changing its current intentions with respect to any or all matters referred to in this Item 4; and/or (iii) engaging in hedging, derivative or similar transactions with respect to any securities of the Issuer. Any acquisition or disposition of the Issuer’s securities may be made by means of open-market purchases or dispositions, privately negotiated transactions, direct acquisitions from or dispositions to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ind w:left="10600"/>
        <w:spacing w:after="0"/>
        <w:rPr>
          <w:sz w:val="20"/>
          <w:szCs w:val="20"/>
          <w:color w:val="auto"/>
        </w:rPr>
      </w:pPr>
      <w:r>
        <w:rPr>
          <w:rFonts w:ascii="Arial" w:cs="Arial" w:eastAsia="Arial" w:hAnsi="Arial"/>
          <w:sz w:val="16"/>
          <w:szCs w:val="16"/>
          <w:color w:val="auto"/>
        </w:rPr>
        <w:t>Page 4 of 6</w:t>
      </w:r>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matter of disclosure, the Chief Executive Officer and one of five directors of the Reporting Person is a director and shareholder of the Issuer, however such person does not possess voting or dispositive power over the shares of Common Stock beneficially owned by the Reporting Person.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At the date of this Schedule 13D, except as set forth in this Schedule 13D, the Reporting Person does not have any plans or proposals which would result in:</w:t>
      </w:r>
    </w:p>
    <w:p>
      <w:pPr>
        <w:spacing w:after="0" w:line="248"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extraordinary corporate transaction, such as a merger, reorganization or liquidation, involving the Issuer or any of its subsidiaries;</w:t>
      </w:r>
    </w:p>
    <w:p>
      <w:pPr>
        <w:spacing w:after="0" w:line="236" w:lineRule="exact"/>
        <w:rPr>
          <w:rFonts w:ascii="Arial" w:cs="Arial" w:eastAsia="Arial" w:hAnsi="Arial"/>
          <w:sz w:val="17"/>
          <w:szCs w:val="17"/>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any of its subsidiaries;</w:t>
      </w:r>
    </w:p>
    <w:p>
      <w:pPr>
        <w:spacing w:after="0" w:line="225" w:lineRule="exact"/>
        <w:rPr>
          <w:rFonts w:ascii="Arial" w:cs="Arial" w:eastAsia="Arial" w:hAnsi="Arial"/>
          <w:sz w:val="18"/>
          <w:szCs w:val="18"/>
          <w:color w:val="auto"/>
        </w:rPr>
      </w:pPr>
    </w:p>
    <w:p>
      <w:pPr>
        <w:ind w:firstLine="656"/>
        <w:spacing w:after="0" w:line="277" w:lineRule="auto"/>
        <w:tabs>
          <w:tab w:leader="none" w:pos="911"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fill any existing vacancies on the board;</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w:t>
      </w:r>
    </w:p>
    <w:p>
      <w:pPr>
        <w:spacing w:after="0" w:line="225" w:lineRule="exact"/>
        <w:rPr>
          <w:rFonts w:ascii="Arial" w:cs="Arial" w:eastAsia="Arial" w:hAnsi="Arial"/>
          <w:sz w:val="18"/>
          <w:szCs w:val="18"/>
          <w:color w:val="auto"/>
        </w:rPr>
      </w:pPr>
    </w:p>
    <w:p>
      <w:pPr>
        <w:ind w:firstLine="656"/>
        <w:spacing w:after="0" w:line="277" w:lineRule="auto"/>
        <w:tabs>
          <w:tab w:leader="none" w:pos="908"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spacing w:after="0" w:line="170" w:lineRule="exact"/>
        <w:rPr>
          <w:rFonts w:ascii="Arial" w:cs="Arial" w:eastAsia="Arial" w:hAnsi="Arial"/>
          <w:sz w:val="18"/>
          <w:szCs w:val="18"/>
          <w:color w:val="auto"/>
        </w:rPr>
      </w:pPr>
    </w:p>
    <w:p>
      <w:pPr>
        <w:ind w:right="20" w:firstLine="656"/>
        <w:spacing w:after="0" w:line="277" w:lineRule="auto"/>
        <w:tabs>
          <w:tab w:leader="none" w:pos="908" w:val="left"/>
        </w:tabs>
        <w:numPr>
          <w:ilvl w:val="0"/>
          <w:numId w:val="4"/>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70" w:lineRule="exact"/>
        <w:rPr>
          <w:rFonts w:ascii="Arial" w:cs="Arial" w:eastAsia="Arial" w:hAnsi="Arial"/>
          <w:sz w:val="18"/>
          <w:szCs w:val="18"/>
          <w:color w:val="auto"/>
        </w:rPr>
      </w:pPr>
    </w:p>
    <w:p>
      <w:pPr>
        <w:ind w:right="20" w:firstLine="656"/>
        <w:spacing w:after="0" w:line="277" w:lineRule="auto"/>
        <w:tabs>
          <w:tab w:leader="none" w:pos="858"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class of equity securities of the Issuer becoming eligible for termination of registration pursuant to Section 12(g)(4) of the Securities Exchange Act of 1940; or</w:t>
      </w:r>
    </w:p>
    <w:p>
      <w:pPr>
        <w:spacing w:after="0" w:line="170" w:lineRule="exact"/>
        <w:rPr>
          <w:rFonts w:ascii="Arial" w:cs="Arial" w:eastAsia="Arial" w:hAnsi="Arial"/>
          <w:sz w:val="18"/>
          <w:szCs w:val="18"/>
          <w:color w:val="auto"/>
        </w:rPr>
      </w:pPr>
    </w:p>
    <w:p>
      <w:pPr>
        <w:ind w:left="860" w:hanging="20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action similar to any of those actions enumerated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Page 5 of 6</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INTERESTS IN SECURITIES OF THE ISSUER.</w:t>
      </w:r>
    </w:p>
    <w:p>
      <w:pPr>
        <w:spacing w:after="0" w:line="225" w:lineRule="exact"/>
        <w:rPr>
          <w:sz w:val="20"/>
          <w:szCs w:val="20"/>
          <w:color w:val="auto"/>
        </w:rPr>
      </w:pPr>
    </w:p>
    <w:p>
      <w:pPr>
        <w:jc w:val="both"/>
        <w:ind w:firstLine="8"/>
        <w:spacing w:after="0" w:line="264" w:lineRule="auto"/>
        <w:tabs>
          <w:tab w:leader="none" w:pos="2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November 15, 2018, the Reporting Person beneficially owned 3,500,000 shares of the Issuer’s Common Stock, representing approximately 20.7% of the shares of the Issuer’s Common Stock issued and outstanding as of such date. The percentage is based on 16,918,354 shares issued and outstanding of the Issuer.</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Person has the sole power to vote and to dispose of 3,500,000 shares of Common Stock.</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CONTRACTS, ARRANGEMENTS UNDERSTANDINGS OR RELATIONSHIPS WITH RESPECT TO SECURITIES OF THE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color w:val="auto"/>
        </w:rPr>
        <w:t>MATERIAL TO BE FILED AS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Page 6 of 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as of: November 23, 2018</w:t>
      </w:r>
      <w:r>
        <w:rPr>
          <w:sz w:val="20"/>
          <w:szCs w:val="20"/>
          <w:color w:val="auto"/>
        </w:rPr>
        <w:tab/>
      </w:r>
      <w:r>
        <w:rPr>
          <w:rFonts w:ascii="Arial" w:cs="Arial" w:eastAsia="Arial" w:hAnsi="Arial"/>
          <w:sz w:val="17"/>
          <w:szCs w:val="17"/>
          <w:color w:val="auto"/>
        </w:rPr>
        <w:t>IMPRIMIS PHARMACEUTICALS,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2019-12-08T15:55:40Z</dcterms:created>
  <dcterms:modified xsi:type="dcterms:W3CDTF">2019-12-08T15:55:40Z</dcterms:modified>
</cp:coreProperties>
</file>