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144145</wp:posOffset>
            </wp:positionH>
            <wp:positionV relativeFrom="page">
              <wp:posOffset>255270</wp:posOffset>
            </wp:positionV>
            <wp:extent cx="7272655" cy="34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page">
              <wp:posOffset>144145</wp:posOffset>
            </wp:positionH>
            <wp:positionV relativeFrom="page">
              <wp:posOffset>297180</wp:posOffset>
            </wp:positionV>
            <wp:extent cx="7272655" cy="13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655" cy="13970"/>
                    </a:xfrm>
                    <a:prstGeom prst="rect">
                      <a:avLst/>
                    </a:prstGeom>
                    <a:noFill/>
                  </pic:spPr>
                </pic:pic>
              </a:graphicData>
            </a:graphic>
          </wp:anchor>
        </w:drawing>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SCHEDULE 14A INFORMATION</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Proxy Statement Pursuant to Section 14(a) of the</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Exchange Act of 1934</w:t>
      </w:r>
    </w:p>
    <w:p>
      <w:pPr>
        <w:spacing w:after="0" w:line="2"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5"/>
          <w:szCs w:val="15"/>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168" w:lineRule="exact"/>
        <w:rPr>
          <w:sz w:val="24"/>
          <w:szCs w:val="24"/>
          <w:color w:val="auto"/>
        </w:rPr>
      </w:pPr>
    </w:p>
    <w:p>
      <w:pPr>
        <w:spacing w:after="0"/>
        <w:tabs>
          <w:tab w:leader="none" w:pos="2760" w:val="left"/>
        </w:tabs>
        <w:rPr>
          <w:sz w:val="20"/>
          <w:szCs w:val="20"/>
          <w:color w:val="auto"/>
        </w:rPr>
      </w:pPr>
      <w:r>
        <w:rPr>
          <w:rFonts w:ascii="Arial" w:cs="Arial" w:eastAsia="Arial" w:hAnsi="Arial"/>
          <w:sz w:val="15"/>
          <w:szCs w:val="15"/>
          <w:color w:val="auto"/>
        </w:rPr>
        <w:t>Filed by the Registrant [X]</w:t>
      </w:r>
      <w:r>
        <w:rPr>
          <w:sz w:val="20"/>
          <w:szCs w:val="20"/>
          <w:color w:val="auto"/>
        </w:rPr>
        <w:tab/>
      </w:r>
      <w:r>
        <w:rPr>
          <w:rFonts w:ascii="Arial" w:cs="Arial" w:eastAsia="Arial" w:hAnsi="Arial"/>
          <w:sz w:val="12"/>
          <w:szCs w:val="12"/>
          <w:color w:val="auto"/>
        </w:rPr>
        <w:t>Filed by a Party other than the Registrant [ ]</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 ]  Preliminary Proxy Statement</w:t>
      </w:r>
    </w:p>
    <w:p>
      <w:pPr>
        <w:spacing w:after="0" w:line="19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 ] Confidential, for Use of the Commission Only (as permitted by Rule 14a-6(e)(2))</w:t>
      </w:r>
    </w:p>
    <w:p>
      <w:pPr>
        <w:spacing w:after="0" w:line="203" w:lineRule="exact"/>
        <w:rPr>
          <w:sz w:val="24"/>
          <w:szCs w:val="24"/>
          <w:color w:val="auto"/>
        </w:rPr>
      </w:pPr>
    </w:p>
    <w:p>
      <w:pPr>
        <w:spacing w:after="0"/>
        <w:rPr>
          <w:sz w:val="20"/>
          <w:szCs w:val="20"/>
          <w:color w:val="auto"/>
        </w:rPr>
      </w:pPr>
      <w:r>
        <w:rPr>
          <w:rFonts w:ascii="Arial" w:cs="Arial" w:eastAsia="Arial" w:hAnsi="Arial"/>
          <w:sz w:val="15"/>
          <w:szCs w:val="15"/>
          <w:color w:val="auto"/>
        </w:rPr>
        <w:t>[X] Definitive Proxy Statement</w:t>
      </w: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 ]  Definitive Additional Materials</w:t>
      </w: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 ]  Soliciting Material Pursuant to §240.14a-12</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26"/>
          <w:szCs w:val="26"/>
          <w:b w:val="1"/>
          <w:bCs w:val="1"/>
          <w:color w:val="auto"/>
        </w:rPr>
        <w:t>IMPRIMIS PHARMACEUTICALS,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of Registrant as Specified In Its Charter)</w:t>
      </w:r>
    </w:p>
    <w:p>
      <w:pPr>
        <w:jc w:val="center"/>
        <w:ind w:right="-19"/>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168"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77" w:lineRule="exact"/>
        <w:rPr>
          <w:sz w:val="24"/>
          <w:szCs w:val="24"/>
          <w:color w:val="auto"/>
        </w:rPr>
      </w:pPr>
    </w:p>
    <w:p>
      <w:pPr>
        <w:spacing w:after="0"/>
        <w:rPr>
          <w:sz w:val="20"/>
          <w:szCs w:val="20"/>
          <w:color w:val="auto"/>
        </w:rPr>
      </w:pPr>
      <w:r>
        <w:rPr>
          <w:rFonts w:ascii="Arial" w:cs="Arial" w:eastAsia="Arial" w:hAnsi="Arial"/>
          <w:sz w:val="15"/>
          <w:szCs w:val="15"/>
          <w:color w:val="auto"/>
        </w:rPr>
        <w:t>[X] No fee required</w:t>
      </w:r>
    </w:p>
    <w:p>
      <w:pPr>
        <w:spacing w:after="0" w:line="177" w:lineRule="exact"/>
        <w:rPr>
          <w:sz w:val="24"/>
          <w:szCs w:val="24"/>
          <w:color w:val="auto"/>
        </w:rPr>
      </w:pPr>
    </w:p>
    <w:p>
      <w:pPr>
        <w:ind w:left="120" w:hanging="113"/>
        <w:spacing w:after="0"/>
        <w:tabs>
          <w:tab w:leader="none" w:pos="120" w:val="left"/>
        </w:tabs>
        <w:numPr>
          <w:ilvl w:val="0"/>
          <w:numId w:val="1"/>
        </w:numPr>
        <w:rPr>
          <w:rFonts w:ascii="Arial" w:cs="Arial" w:eastAsia="Arial" w:hAnsi="Arial"/>
          <w:sz w:val="15"/>
          <w:szCs w:val="15"/>
          <w:color w:val="auto"/>
        </w:rPr>
      </w:pPr>
      <w:r>
        <w:rPr>
          <w:rFonts w:ascii="Arial" w:cs="Arial" w:eastAsia="Arial" w:hAnsi="Arial"/>
          <w:sz w:val="15"/>
          <w:szCs w:val="15"/>
          <w:color w:val="auto"/>
        </w:rPr>
        <w:t>]  Fee computed on table below per Exchange Act Rules 14c-5(g) and 0-11.</w:t>
      </w:r>
    </w:p>
    <w:p>
      <w:pPr>
        <w:spacing w:after="0" w:line="199" w:lineRule="exact"/>
        <w:rPr>
          <w:rFonts w:ascii="Arial" w:cs="Arial" w:eastAsia="Arial" w:hAnsi="Arial"/>
          <w:sz w:val="15"/>
          <w:szCs w:val="15"/>
          <w:color w:val="auto"/>
        </w:rPr>
      </w:pPr>
    </w:p>
    <w:p>
      <w:pPr>
        <w:ind w:left="540" w:hanging="270"/>
        <w:spacing w:after="0"/>
        <w:tabs>
          <w:tab w:leader="none" w:pos="540" w:val="left"/>
        </w:tabs>
        <w:numPr>
          <w:ilvl w:val="1"/>
          <w:numId w:val="1"/>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1"/>
          <w:numId w:val="1"/>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177" w:lineRule="exact"/>
        <w:rPr>
          <w:rFonts w:ascii="Arial" w:cs="Arial" w:eastAsia="Arial" w:hAnsi="Arial"/>
          <w:sz w:val="15"/>
          <w:szCs w:val="15"/>
          <w:color w:val="auto"/>
        </w:rPr>
      </w:pPr>
    </w:p>
    <w:p>
      <w:pPr>
        <w:ind w:left="540" w:hanging="270"/>
        <w:spacing w:after="0" w:line="259" w:lineRule="auto"/>
        <w:tabs>
          <w:tab w:leader="none" w:pos="540" w:val="left"/>
        </w:tabs>
        <w:numPr>
          <w:ilvl w:val="1"/>
          <w:numId w:val="1"/>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is calculated and state how it was determined):</w:t>
      </w:r>
    </w:p>
    <w:p>
      <w:pPr>
        <w:spacing w:after="0" w:line="152" w:lineRule="exact"/>
        <w:rPr>
          <w:rFonts w:ascii="Arial" w:cs="Arial" w:eastAsia="Arial" w:hAnsi="Arial"/>
          <w:sz w:val="15"/>
          <w:szCs w:val="15"/>
          <w:color w:val="auto"/>
        </w:rPr>
      </w:pPr>
    </w:p>
    <w:p>
      <w:pPr>
        <w:ind w:left="540" w:hanging="270"/>
        <w:spacing w:after="0"/>
        <w:tabs>
          <w:tab w:leader="none" w:pos="540" w:val="left"/>
        </w:tabs>
        <w:numPr>
          <w:ilvl w:val="1"/>
          <w:numId w:val="1"/>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1"/>
          <w:numId w:val="1"/>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199" w:lineRule="exact"/>
        <w:rPr>
          <w:sz w:val="24"/>
          <w:szCs w:val="24"/>
          <w:color w:val="auto"/>
        </w:rPr>
      </w:pPr>
    </w:p>
    <w:p>
      <w:pPr>
        <w:spacing w:after="0"/>
        <w:rPr>
          <w:sz w:val="20"/>
          <w:szCs w:val="20"/>
          <w:color w:val="auto"/>
        </w:rPr>
      </w:pPr>
      <w:r>
        <w:rPr>
          <w:rFonts w:ascii="Arial" w:cs="Arial" w:eastAsia="Arial" w:hAnsi="Arial"/>
          <w:sz w:val="15"/>
          <w:szCs w:val="15"/>
          <w:color w:val="auto"/>
        </w:rPr>
        <w:t>[ ]  Fee paid previously with preliminary materials.</w:t>
      </w:r>
    </w:p>
    <w:p>
      <w:pPr>
        <w:spacing w:after="0" w:line="177" w:lineRule="exact"/>
        <w:rPr>
          <w:sz w:val="24"/>
          <w:szCs w:val="24"/>
          <w:color w:val="auto"/>
        </w:rPr>
      </w:pPr>
    </w:p>
    <w:p>
      <w:pPr>
        <w:ind w:left="260" w:hanging="253"/>
        <w:spacing w:after="0" w:line="259" w:lineRule="auto"/>
        <w:tabs>
          <w:tab w:leader="none" w:pos="119" w:val="left"/>
        </w:tabs>
        <w:numPr>
          <w:ilvl w:val="0"/>
          <w:numId w:val="2"/>
        </w:numPr>
        <w:rPr>
          <w:rFonts w:ascii="Arial" w:cs="Arial" w:eastAsia="Arial" w:hAnsi="Arial"/>
          <w:sz w:val="15"/>
          <w:szCs w:val="15"/>
          <w:color w:val="auto"/>
        </w:rPr>
      </w:pPr>
      <w:r>
        <w:rPr>
          <w:rFonts w:ascii="Arial" w:cs="Arial" w:eastAsia="Arial" w:hAnsi="Arial"/>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4" w:lineRule="exact"/>
        <w:rPr>
          <w:rFonts w:ascii="Arial" w:cs="Arial" w:eastAsia="Arial" w:hAnsi="Arial"/>
          <w:sz w:val="15"/>
          <w:szCs w:val="15"/>
          <w:color w:val="auto"/>
        </w:rPr>
      </w:pPr>
    </w:p>
    <w:p>
      <w:pPr>
        <w:ind w:left="540" w:hanging="270"/>
        <w:spacing w:after="0"/>
        <w:tabs>
          <w:tab w:leader="none" w:pos="540" w:val="left"/>
        </w:tabs>
        <w:numPr>
          <w:ilvl w:val="1"/>
          <w:numId w:val="2"/>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177" w:lineRule="exact"/>
        <w:rPr>
          <w:rFonts w:ascii="Arial" w:cs="Arial" w:eastAsia="Arial" w:hAnsi="Arial"/>
          <w:sz w:val="15"/>
          <w:szCs w:val="15"/>
          <w:color w:val="auto"/>
        </w:rPr>
      </w:pPr>
    </w:p>
    <w:p>
      <w:pPr>
        <w:ind w:left="540" w:hanging="270"/>
        <w:spacing w:after="0"/>
        <w:tabs>
          <w:tab w:leader="none" w:pos="540" w:val="left"/>
        </w:tabs>
        <w:numPr>
          <w:ilvl w:val="1"/>
          <w:numId w:val="2"/>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177" w:lineRule="exact"/>
        <w:rPr>
          <w:rFonts w:ascii="Arial" w:cs="Arial" w:eastAsia="Arial" w:hAnsi="Arial"/>
          <w:sz w:val="15"/>
          <w:szCs w:val="15"/>
          <w:color w:val="auto"/>
        </w:rPr>
      </w:pPr>
    </w:p>
    <w:p>
      <w:pPr>
        <w:ind w:left="560" w:hanging="290"/>
        <w:spacing w:after="0"/>
        <w:tabs>
          <w:tab w:leader="none" w:pos="560" w:val="left"/>
        </w:tabs>
        <w:numPr>
          <w:ilvl w:val="1"/>
          <w:numId w:val="2"/>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177" w:lineRule="exact"/>
        <w:rPr>
          <w:rFonts w:ascii="Arial" w:cs="Arial" w:eastAsia="Arial" w:hAnsi="Arial"/>
          <w:sz w:val="15"/>
          <w:szCs w:val="15"/>
          <w:color w:val="auto"/>
        </w:rPr>
      </w:pPr>
    </w:p>
    <w:p>
      <w:pPr>
        <w:ind w:left="560" w:hanging="290"/>
        <w:spacing w:after="0"/>
        <w:tabs>
          <w:tab w:leader="none" w:pos="560" w:val="left"/>
        </w:tabs>
        <w:numPr>
          <w:ilvl w:val="1"/>
          <w:numId w:val="2"/>
        </w:numPr>
        <w:rPr>
          <w:rFonts w:ascii="Arial" w:cs="Arial" w:eastAsia="Arial" w:hAnsi="Arial"/>
          <w:sz w:val="15"/>
          <w:szCs w:val="15"/>
          <w:color w:val="auto"/>
        </w:rPr>
      </w:pPr>
      <w:r>
        <w:rPr>
          <w:rFonts w:ascii="Arial" w:cs="Arial" w:eastAsia="Arial" w:hAnsi="Arial"/>
          <w:sz w:val="15"/>
          <w:szCs w:val="15"/>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133350</wp:posOffset>
            </wp:positionV>
            <wp:extent cx="7272655" cy="13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655" cy="1397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7272655" cy="34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349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431800</wp:posOffset>
            </wp:positionV>
            <wp:extent cx="7272655"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630" w:right="2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2913380</wp:posOffset>
            </wp:positionH>
            <wp:positionV relativeFrom="page">
              <wp:posOffset>366395</wp:posOffset>
            </wp:positionV>
            <wp:extent cx="1762760" cy="777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62760" cy="777240"/>
                    </a:xfrm>
                    <a:prstGeom prst="rect">
                      <a:avLst/>
                    </a:prstGeom>
                    <a:noFill/>
                  </pic:spPr>
                </pic:pic>
              </a:graphicData>
            </a:graphic>
          </wp:anchor>
        </w:drawing>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August 8, 2014</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color w:val="auto"/>
        </w:rPr>
        <w:t>Dear Stockholder:</w:t>
      </w:r>
    </w:p>
    <w:p>
      <w:pPr>
        <w:spacing w:after="0" w:line="177"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You are cordially invited to attend the 2014 Annual Meeting of Stockholders of Imprimis Pharmaceuticals, Inc., which will be held at the offices of Morrison &amp; Foerster, LLP located at 12531 High Bluff Drive, Suite 100, San Diego, CA 92130, on September 4, 2014, at 9:00 a.m. local time. We hope you will be able to attend the meeting in person.</w:t>
      </w:r>
    </w:p>
    <w:p>
      <w:pPr>
        <w:spacing w:after="0" w:line="130"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The attached notice of meeting and proxy statement describe the matters to be acted upon at the annual meeting. If you plan to attend the annual meeting in person, please mark the designated box on the enclosed proxy card. If you are planning to attend the annual meeting and your shares are held in street name (by a broker, for example), you should ask the record owner for a legal proxy or bring your most recent account statement to the annual meeting so that we can verify your ownership of Imprimis Pharmaceuticals, Inc. stock. Please note, however, that if your shares are held in street name and you do not bring a legal proxy from the record owner, although you will be able to attend the annual meeting, you will not be able to vote at the annual meeting.</w:t>
      </w:r>
    </w:p>
    <w:p>
      <w:pPr>
        <w:spacing w:after="0" w:line="115"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the inspector of elections in the postage-prepaid envelope provided, or to promptly use the telephone or Internet voting system. If you do attend the annual meeting and wish to vote in person, you may withdraw your proxy at that time.</w:t>
      </w:r>
    </w:p>
    <w:p>
      <w:pPr>
        <w:spacing w:after="0" w:line="14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Sincerely,</w:t>
      </w:r>
    </w:p>
    <w:p>
      <w:pPr>
        <w:spacing w:after="0" w:line="17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Mark L. Baum</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5"/>
          <w:szCs w:val="15"/>
          <w:i w:val="1"/>
          <w:iCs w:val="1"/>
          <w:color w:val="auto"/>
        </w:rPr>
        <w:t>Chief Executive Officer and Director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2885440</wp:posOffset>
            </wp:positionH>
            <wp:positionV relativeFrom="page">
              <wp:posOffset>366395</wp:posOffset>
            </wp:positionV>
            <wp:extent cx="1762760" cy="777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62760" cy="777240"/>
                    </a:xfrm>
                    <a:prstGeom prst="rect">
                      <a:avLst/>
                    </a:prstGeom>
                    <a:noFill/>
                  </pic:spPr>
                </pic:pic>
              </a:graphicData>
            </a:graphic>
          </wp:anchor>
        </w:drawing>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12626 HIGH BLUFF DRIVE, SUITE 150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SAN DIEGO, CA 92130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NOTICE OF ANNUAL MEETING OF STOCKHOLDERS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To be held on September 4, 2014</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To the Stockholders of Imprimis Pharmaceuticals, Inc.:</w:t>
      </w:r>
    </w:p>
    <w:p>
      <w:pPr>
        <w:spacing w:after="0" w:line="177" w:lineRule="exact"/>
        <w:rPr>
          <w:sz w:val="20"/>
          <w:szCs w:val="20"/>
          <w:color w:val="auto"/>
        </w:rPr>
      </w:pPr>
    </w:p>
    <w:p>
      <w:pPr>
        <w:ind w:firstLine="525"/>
        <w:spacing w:after="0" w:line="259" w:lineRule="auto"/>
        <w:rPr>
          <w:sz w:val="20"/>
          <w:szCs w:val="20"/>
          <w:color w:val="auto"/>
        </w:rPr>
      </w:pPr>
      <w:r>
        <w:rPr>
          <w:rFonts w:ascii="Arial" w:cs="Arial" w:eastAsia="Arial" w:hAnsi="Arial"/>
          <w:sz w:val="15"/>
          <w:szCs w:val="15"/>
          <w:color w:val="auto"/>
        </w:rPr>
        <w:t>NOTICE IS HEREBY GIVEN that the Annual Meeting of Stockholders of Imprimis Pharmaceuticals, Inc. (the “Company”) will be held on September 4, 2014 at 9:00 a.m., at the offices of Morrison &amp; Foerster, LLP located at 12531 High Bluff Drive, Suite 100, San Diego, CA 92130, for the following purposes:</w:t>
      </w:r>
    </w:p>
    <w:p>
      <w:pPr>
        <w:spacing w:after="0" w:line="152" w:lineRule="exact"/>
        <w:rPr>
          <w:sz w:val="20"/>
          <w:szCs w:val="20"/>
          <w:color w:val="auto"/>
        </w:rPr>
      </w:pPr>
    </w:p>
    <w:p>
      <w:pPr>
        <w:ind w:left="800" w:hanging="268"/>
        <w:spacing w:after="0" w:line="259" w:lineRule="auto"/>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elect to the Board of Directors the seven (7) director nominees named in the attached proxy statement to serve until the 2015 annual meeting of stockholders and until their successors are duly elected and qualified.</w:t>
      </w:r>
    </w:p>
    <w:p>
      <w:pPr>
        <w:spacing w:after="0" w:line="152" w:lineRule="exact"/>
        <w:rPr>
          <w:rFonts w:ascii="Arial" w:cs="Arial" w:eastAsia="Arial" w:hAnsi="Arial"/>
          <w:sz w:val="15"/>
          <w:szCs w:val="15"/>
          <w:color w:val="auto"/>
        </w:rPr>
      </w:pPr>
    </w:p>
    <w:p>
      <w:pPr>
        <w:ind w:left="800" w:hanging="268"/>
        <w:spacing w:after="0"/>
        <w:tabs>
          <w:tab w:leader="none" w:pos="8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 ratify the selection of KMJ Corbin and Company, LLP as the Company’s independent registered public accounting firm for the fiscal year ending December 31, 2014.</w:t>
      </w:r>
    </w:p>
    <w:p>
      <w:pPr>
        <w:spacing w:after="0" w:line="188" w:lineRule="exact"/>
        <w:rPr>
          <w:rFonts w:ascii="Arial" w:cs="Arial" w:eastAsia="Arial" w:hAnsi="Arial"/>
          <w:sz w:val="14"/>
          <w:szCs w:val="14"/>
          <w:color w:val="auto"/>
        </w:rPr>
      </w:pPr>
    </w:p>
    <w:p>
      <w:pPr>
        <w:ind w:left="800" w:hanging="268"/>
        <w:spacing w:after="0" w:line="259" w:lineRule="auto"/>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approve an amendment to the Company’s Amended and Restated Certificate of Incorporation to decrease the number of authorized common shares from 395,000,000 to 90,000,000.</w:t>
      </w:r>
    </w:p>
    <w:p>
      <w:pPr>
        <w:spacing w:after="0" w:line="152" w:lineRule="exact"/>
        <w:rPr>
          <w:rFonts w:ascii="Arial" w:cs="Arial" w:eastAsia="Arial" w:hAnsi="Arial"/>
          <w:sz w:val="15"/>
          <w:szCs w:val="15"/>
          <w:color w:val="auto"/>
        </w:rPr>
      </w:pPr>
    </w:p>
    <w:p>
      <w:pPr>
        <w:ind w:left="800" w:hanging="268"/>
        <w:spacing w:after="0"/>
        <w:tabs>
          <w:tab w:leader="none" w:pos="8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transact such other business as may properly come before the meeting or any adjournment or postponement thereof.</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foregoing items of business are more fully described in the proxy statement accompanying this notice.</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The Company’s Board of Directors has fixed the close of business on July 18, 2014 as the record date for the determination of stockholders entitled to notice of and to vote at the annual meeting and at any adjournment or postponement thereof. All stockholders are invited to attend the meeting. You must present your proxy or voting instruction card or meeting notice for admission.</w:t>
      </w: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Order of the Board of Directors,</w:t>
      </w:r>
    </w:p>
    <w:p>
      <w:pPr>
        <w:spacing w:after="0" w:line="17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Mark L. Baum</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5"/>
          <w:szCs w:val="15"/>
          <w:i w:val="1"/>
          <w:iCs w:val="1"/>
          <w:color w:val="auto"/>
        </w:rPr>
        <w:t>Chief Executive Officer and Director</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August 8, 2014</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2913380</wp:posOffset>
            </wp:positionH>
            <wp:positionV relativeFrom="page">
              <wp:posOffset>366395</wp:posOffset>
            </wp:positionV>
            <wp:extent cx="1762760" cy="777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762760" cy="777240"/>
                    </a:xfrm>
                    <a:prstGeom prst="rect">
                      <a:avLst/>
                    </a:prstGeom>
                    <a:noFill/>
                  </pic:spPr>
                </pic:pic>
              </a:graphicData>
            </a:graphic>
          </wp:anchor>
        </w:drawing>
      </w:r>
    </w:p>
    <w:p>
      <w:pPr>
        <w:spacing w:after="0" w:line="369"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12626 High Bluff Drive, Suite 150</w:t>
      </w:r>
    </w:p>
    <w:p>
      <w:pPr>
        <w:spacing w:after="0" w:line="11"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113665</wp:posOffset>
            </wp:positionV>
            <wp:extent cx="181800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1397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PROXY STATEMENT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 Annual Meeting of Stockholders to be held on September 4, 2014</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81"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The enclosed proxy is solicited on behalf of our Board of Directors (the “Board” or “Board of Directors”) for use at the Annual Meeting of Stockholders (the “Annual Meeting”), of Imprimis Pharmaceuticals, Inc. to be held on September 4, 2014, at 9:00 a.m. local time at the offices of Morrison &amp; Foerster, LLP located at 12531 High Bluff Drive, Suite 100, San Diego, CA 92130, or at any adjournment or postponement thereof, for the purposes set forth herein and in the accompanying Notice of Annual Meeting of Stockholders. We expect to mail this proxy statement and the accompanying materials, including our Annual Report on Form 10-K for the fiscal year ended December 31, 2013, the Notice and proxy card, to our stockholders on or about August 8, 2014.</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All references to “us”, “we”, “our”, and “the Company” refer to Imprimis Pharmaceuticals, Inc.</w:t>
      </w:r>
    </w:p>
    <w:p>
      <w:pPr>
        <w:spacing w:after="0" w:line="173" w:lineRule="exact"/>
        <w:rPr>
          <w:sz w:val="20"/>
          <w:szCs w:val="20"/>
          <w:color w:val="auto"/>
        </w:rPr>
      </w:pPr>
    </w:p>
    <w:p>
      <w:pPr>
        <w:jc w:val="center"/>
        <w:spacing w:after="0" w:line="264" w:lineRule="auto"/>
        <w:rPr>
          <w:sz w:val="20"/>
          <w:szCs w:val="20"/>
          <w:color w:val="auto"/>
        </w:rPr>
      </w:pPr>
      <w:r>
        <w:rPr>
          <w:rFonts w:ascii="Arial" w:cs="Arial" w:eastAsia="Arial" w:hAnsi="Arial"/>
          <w:sz w:val="15"/>
          <w:szCs w:val="15"/>
          <w:b w:val="1"/>
          <w:bCs w:val="1"/>
          <w:color w:val="auto"/>
        </w:rPr>
        <w:t>IMPORTANT NOTICE REGARDING THE AVAILABILITY OF PROXY MATERIALS FOR THE 2014 ANNUAL MEETING OF STOCKHOLDERS TO BE HELD ON SEPTEMBER 4, 2014</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Copies  of  this  Proxy  Statement,  the  Notice  and  our  Annual  Report  on  Form  10-K  for  the  fiscal  year  ended  December  31,  2013  can  be  accessed  electronically  at:</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www.iproxydirect.com/IMMY</w:t>
      </w:r>
      <w:r>
        <w:rPr>
          <w:rFonts w:ascii="Arial" w:cs="Arial" w:eastAsia="Arial" w:hAnsi="Arial"/>
          <w:sz w:val="15"/>
          <w:szCs w:val="15"/>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Solicitation of Proxies</w:t>
      </w:r>
    </w:p>
    <w:p>
      <w:pPr>
        <w:spacing w:after="0" w:line="181"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Stockholders of Record</w:t>
      </w:r>
    </w:p>
    <w:p>
      <w:pPr>
        <w:spacing w:after="0" w:line="181"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Only holders of record of shares of our common stock at the close of business on the record date, July 18, 2014, will be entitled to notice of and to vote at the Annual Meeting and any adjournment thereof. At the close of business on July 18, 2014, the Company had 9,130,376 shares of common stock outstanding and entitled to vote held by 149 stockholders of record. Each holder of record of shares of our common stock on the record date will be entitled to one vote for each share held on all matters to be voted upon at the Annual Meeting.</w:t>
      </w:r>
    </w:p>
    <w:p>
      <w:pPr>
        <w:spacing w:after="0" w:line="142"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A quorum of stockholders is necessary to hold a valid meeting. A quorum will be present if at least a majority of our outstanding shares of common stock entitled to vote are represented at the Annual Meeting, either in person or by proxy.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 and Method of Counting Votes</w:t>
      </w:r>
    </w:p>
    <w:p>
      <w:pPr>
        <w:spacing w:after="0" w:line="181"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All votes will be tabulated by the inspector of elections appointed for the Annual Meeting, who will tabulate affirmative and negative votes, abstentions and broker non-votes. Abstentions and shares that are voted by brokers as to any matter at the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matters, the broker does not have discretionary voting power with respect to such matters and has so notified us on a proxy form in accordance with industry practice or has otherwise advised us that the broker lacks voting authority with respect to such matters. The effects of broker non-votes and abstentions on the specific items to be brought before the Annual Meeting are discussed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175"/>
        </w:trPr>
        <w:tc>
          <w:tcPr>
            <w:tcW w:w="6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jc w:val="right"/>
              <w:ind w:right="427"/>
              <w:spacing w:after="0"/>
              <w:rPr>
                <w:sz w:val="20"/>
                <w:szCs w:val="20"/>
                <w:color w:val="auto"/>
              </w:rPr>
            </w:pPr>
            <w:r>
              <w:rPr>
                <w:rFonts w:ascii="Arial" w:cs="Arial" w:eastAsia="Arial" w:hAnsi="Arial"/>
                <w:sz w:val="15"/>
                <w:szCs w:val="15"/>
                <w:b w:val="1"/>
                <w:bCs w:val="1"/>
                <w:color w:val="auto"/>
              </w:rPr>
              <w:t>Broker Discretionary</w:t>
            </w:r>
          </w:p>
        </w:tc>
      </w:t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6"/>
              </w:rPr>
              <w:t>Proposal</w:t>
            </w:r>
          </w:p>
        </w:tc>
        <w:tc>
          <w:tcPr>
            <w:tcW w:w="4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Vote Required</w:t>
            </w:r>
          </w:p>
        </w:tc>
        <w:tc>
          <w:tcPr>
            <w:tcW w:w="200" w:type="dxa"/>
            <w:vAlign w:val="bottom"/>
          </w:tcPr>
          <w:p>
            <w:pPr>
              <w:spacing w:after="0"/>
              <w:rPr>
                <w:sz w:val="16"/>
                <w:szCs w:val="16"/>
                <w:color w:val="auto"/>
              </w:rPr>
            </w:pPr>
          </w:p>
        </w:tc>
        <w:tc>
          <w:tcPr>
            <w:tcW w:w="226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b w:val="1"/>
                <w:bCs w:val="1"/>
                <w:color w:val="auto"/>
              </w:rPr>
              <w:t>Voting Allowed</w:t>
            </w:r>
          </w:p>
        </w:tc>
      </w:tr>
      <w:tr>
        <w:trPr>
          <w:trHeight w:val="348"/>
        </w:trPr>
        <w:tc>
          <w:tcPr>
            <w:tcW w:w="640" w:type="dxa"/>
            <w:vAlign w:val="bottom"/>
          </w:tcPr>
          <w:p>
            <w:pPr>
              <w:spacing w:after="0"/>
              <w:rPr>
                <w:sz w:val="20"/>
                <w:szCs w:val="20"/>
                <w:color w:val="auto"/>
              </w:rPr>
            </w:pPr>
            <w:r>
              <w:rPr>
                <w:rFonts w:ascii="Arial" w:cs="Arial" w:eastAsia="Arial" w:hAnsi="Arial"/>
                <w:sz w:val="15"/>
                <w:szCs w:val="15"/>
                <w:color w:val="auto"/>
                <w:w w:val="86"/>
              </w:rPr>
              <w:t>Proposal 1</w:t>
            </w:r>
          </w:p>
        </w:tc>
        <w:tc>
          <w:tcPr>
            <w:tcW w:w="4740" w:type="dxa"/>
            <w:vAlign w:val="bottom"/>
          </w:tcPr>
          <w:p>
            <w:pPr>
              <w:ind w:left="20"/>
              <w:spacing w:after="0"/>
              <w:rPr>
                <w:sz w:val="20"/>
                <w:szCs w:val="20"/>
                <w:color w:val="auto"/>
              </w:rPr>
            </w:pPr>
            <w:r>
              <w:rPr>
                <w:rFonts w:ascii="Arial" w:cs="Arial" w:eastAsia="Arial" w:hAnsi="Arial"/>
                <w:sz w:val="15"/>
                <w:szCs w:val="15"/>
                <w:color w:val="auto"/>
              </w:rPr>
              <w:t>– Election of seven directors</w:t>
            </w:r>
          </w:p>
        </w:tc>
        <w:tc>
          <w:tcPr>
            <w:tcW w:w="2680" w:type="dxa"/>
            <w:vAlign w:val="bottom"/>
            <w:gridSpan w:val="3"/>
          </w:tcPr>
          <w:p>
            <w:pPr>
              <w:ind w:left="200"/>
              <w:spacing w:after="0"/>
              <w:rPr>
                <w:sz w:val="20"/>
                <w:szCs w:val="20"/>
                <w:color w:val="auto"/>
              </w:rPr>
            </w:pPr>
            <w:r>
              <w:rPr>
                <w:rFonts w:ascii="Arial" w:cs="Arial" w:eastAsia="Arial" w:hAnsi="Arial"/>
                <w:sz w:val="15"/>
                <w:szCs w:val="15"/>
                <w:color w:val="auto"/>
              </w:rPr>
              <w:t>Plurality of Votes Cast</w:t>
            </w:r>
          </w:p>
        </w:tc>
        <w:tc>
          <w:tcPr>
            <w:tcW w:w="2260" w:type="dxa"/>
            <w:vAlign w:val="bottom"/>
          </w:tcPr>
          <w:p>
            <w:pPr>
              <w:jc w:val="right"/>
              <w:spacing w:after="0"/>
              <w:rPr>
                <w:sz w:val="20"/>
                <w:szCs w:val="20"/>
                <w:color w:val="auto"/>
              </w:rPr>
            </w:pPr>
            <w:r>
              <w:rPr>
                <w:rFonts w:ascii="Arial" w:cs="Arial" w:eastAsia="Arial" w:hAnsi="Arial"/>
                <w:sz w:val="15"/>
                <w:szCs w:val="15"/>
                <w:color w:val="auto"/>
              </w:rPr>
              <w:t>No</w:t>
            </w:r>
          </w:p>
        </w:tc>
      </w:tr>
      <w:tr>
        <w:trPr>
          <w:trHeight w:val="350"/>
        </w:trPr>
        <w:tc>
          <w:tcPr>
            <w:tcW w:w="640" w:type="dxa"/>
            <w:vAlign w:val="bottom"/>
          </w:tcPr>
          <w:p>
            <w:pPr>
              <w:spacing w:after="0"/>
              <w:rPr>
                <w:sz w:val="20"/>
                <w:szCs w:val="20"/>
                <w:color w:val="auto"/>
              </w:rPr>
            </w:pPr>
            <w:r>
              <w:rPr>
                <w:rFonts w:ascii="Arial" w:cs="Arial" w:eastAsia="Arial" w:hAnsi="Arial"/>
                <w:sz w:val="15"/>
                <w:szCs w:val="15"/>
                <w:color w:val="auto"/>
                <w:w w:val="86"/>
              </w:rPr>
              <w:t>Proposal 2</w:t>
            </w:r>
          </w:p>
        </w:tc>
        <w:tc>
          <w:tcPr>
            <w:tcW w:w="4740" w:type="dxa"/>
            <w:vAlign w:val="bottom"/>
          </w:tcPr>
          <w:p>
            <w:pPr>
              <w:ind w:left="20"/>
              <w:spacing w:after="0"/>
              <w:rPr>
                <w:sz w:val="20"/>
                <w:szCs w:val="20"/>
                <w:color w:val="auto"/>
              </w:rPr>
            </w:pPr>
            <w:r>
              <w:rPr>
                <w:rFonts w:ascii="Arial" w:cs="Arial" w:eastAsia="Arial" w:hAnsi="Arial"/>
                <w:sz w:val="15"/>
                <w:szCs w:val="15"/>
                <w:color w:val="auto"/>
              </w:rPr>
              <w:t>– Ratification of auditors for Fiscal Year 2014</w:t>
            </w:r>
          </w:p>
        </w:tc>
        <w:tc>
          <w:tcPr>
            <w:tcW w:w="2680" w:type="dxa"/>
            <w:vAlign w:val="bottom"/>
            <w:gridSpan w:val="3"/>
          </w:tcPr>
          <w:p>
            <w:pPr>
              <w:ind w:left="200"/>
              <w:spacing w:after="0"/>
              <w:rPr>
                <w:sz w:val="20"/>
                <w:szCs w:val="20"/>
                <w:color w:val="auto"/>
              </w:rPr>
            </w:pPr>
            <w:r>
              <w:rPr>
                <w:rFonts w:ascii="Arial" w:cs="Arial" w:eastAsia="Arial" w:hAnsi="Arial"/>
                <w:sz w:val="15"/>
                <w:szCs w:val="15"/>
                <w:color w:val="auto"/>
              </w:rPr>
              <w:t>Majority of Votes Cast</w:t>
            </w:r>
          </w:p>
        </w:tc>
        <w:tc>
          <w:tcPr>
            <w:tcW w:w="2260" w:type="dxa"/>
            <w:vAlign w:val="bottom"/>
          </w:tcPr>
          <w:p>
            <w:pPr>
              <w:jc w:val="right"/>
              <w:spacing w:after="0"/>
              <w:rPr>
                <w:sz w:val="20"/>
                <w:szCs w:val="20"/>
                <w:color w:val="auto"/>
              </w:rPr>
            </w:pPr>
            <w:r>
              <w:rPr>
                <w:rFonts w:ascii="Arial" w:cs="Arial" w:eastAsia="Arial" w:hAnsi="Arial"/>
                <w:sz w:val="15"/>
                <w:szCs w:val="15"/>
                <w:color w:val="auto"/>
              </w:rPr>
              <w:t>Yes</w:t>
            </w:r>
          </w:p>
        </w:tc>
      </w:tr>
      <w:tr>
        <w:trPr>
          <w:trHeight w:val="350"/>
        </w:trPr>
        <w:tc>
          <w:tcPr>
            <w:tcW w:w="640" w:type="dxa"/>
            <w:vAlign w:val="bottom"/>
          </w:tcPr>
          <w:p>
            <w:pPr>
              <w:spacing w:after="0"/>
              <w:rPr>
                <w:sz w:val="20"/>
                <w:szCs w:val="20"/>
                <w:color w:val="auto"/>
              </w:rPr>
            </w:pPr>
            <w:r>
              <w:rPr>
                <w:rFonts w:ascii="Arial" w:cs="Arial" w:eastAsia="Arial" w:hAnsi="Arial"/>
                <w:sz w:val="15"/>
                <w:szCs w:val="15"/>
                <w:color w:val="auto"/>
                <w:w w:val="86"/>
              </w:rPr>
              <w:t>Proposal 3</w:t>
            </w:r>
          </w:p>
        </w:tc>
        <w:tc>
          <w:tcPr>
            <w:tcW w:w="4740" w:type="dxa"/>
            <w:vAlign w:val="bottom"/>
          </w:tcPr>
          <w:p>
            <w:pPr>
              <w:ind w:left="20"/>
              <w:spacing w:after="0"/>
              <w:rPr>
                <w:sz w:val="20"/>
                <w:szCs w:val="20"/>
                <w:color w:val="auto"/>
              </w:rPr>
            </w:pPr>
            <w:r>
              <w:rPr>
                <w:rFonts w:ascii="Arial" w:cs="Arial" w:eastAsia="Arial" w:hAnsi="Arial"/>
                <w:sz w:val="15"/>
                <w:szCs w:val="15"/>
                <w:color w:val="auto"/>
              </w:rPr>
              <w:t>– Amendment of Certificate of Incorporation to decrease the number of</w:t>
            </w:r>
          </w:p>
        </w:tc>
        <w:tc>
          <w:tcPr>
            <w:tcW w:w="2680" w:type="dxa"/>
            <w:vAlign w:val="bottom"/>
            <w:gridSpan w:val="3"/>
          </w:tcPr>
          <w:p>
            <w:pPr>
              <w:ind w:left="200"/>
              <w:spacing w:after="0"/>
              <w:rPr>
                <w:sz w:val="20"/>
                <w:szCs w:val="20"/>
                <w:color w:val="auto"/>
              </w:rPr>
            </w:pPr>
            <w:r>
              <w:rPr>
                <w:rFonts w:ascii="Arial" w:cs="Arial" w:eastAsia="Arial" w:hAnsi="Arial"/>
                <w:sz w:val="15"/>
                <w:szCs w:val="15"/>
                <w:color w:val="auto"/>
              </w:rPr>
              <w:t>Majority of Shares Outstanding</w:t>
            </w:r>
          </w:p>
        </w:tc>
        <w:tc>
          <w:tcPr>
            <w:tcW w:w="2260" w:type="dxa"/>
            <w:vAlign w:val="bottom"/>
          </w:tcPr>
          <w:p>
            <w:pPr>
              <w:jc w:val="right"/>
              <w:spacing w:after="0"/>
              <w:rPr>
                <w:sz w:val="20"/>
                <w:szCs w:val="20"/>
                <w:color w:val="auto"/>
              </w:rPr>
            </w:pPr>
            <w:r>
              <w:rPr>
                <w:rFonts w:ascii="Arial" w:cs="Arial" w:eastAsia="Arial" w:hAnsi="Arial"/>
                <w:sz w:val="15"/>
                <w:szCs w:val="15"/>
                <w:color w:val="auto"/>
              </w:rPr>
              <w:t>No</w:t>
            </w:r>
          </w:p>
        </w:tc>
      </w:tr>
    </w:tbl>
    <w:p>
      <w:pPr>
        <w:ind w:left="580"/>
        <w:spacing w:after="0"/>
        <w:rPr>
          <w:sz w:val="20"/>
          <w:szCs w:val="20"/>
          <w:color w:val="auto"/>
        </w:rPr>
      </w:pPr>
      <w:r>
        <w:rPr>
          <w:rFonts w:ascii="Arial" w:cs="Arial" w:eastAsia="Arial" w:hAnsi="Arial"/>
          <w:sz w:val="15"/>
          <w:szCs w:val="15"/>
          <w:color w:val="auto"/>
        </w:rPr>
        <w:t>authorized common shares from 395,000,000 to 90,000,000</w:t>
      </w:r>
    </w:p>
    <w:p>
      <w:pPr>
        <w:spacing w:after="0" w:line="16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With respect to Proposals 2 and 3, you may vote FOR, AGAINST or ABSTAIN. If you ABSTAIN from voting on any of these Proposals, the abstention will have the same effect as an AGAINST vote. Broker non-votes will have no effect on the outcome of Proposal 1. Broker non-votes are not expected to result from Proposal 2 and will have the same effect as a vote against Proposal 3.</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How to Vote</w:t>
      </w:r>
    </w:p>
    <w:p>
      <w:pPr>
        <w:spacing w:after="0" w:line="181"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You may vote by attending the Annual Meeting and voting in person or you may vote by submitting a proxy.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58"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Revocation of Proxies</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You are a stockholder of record if, at the close of business on the record date, your shares were registered directly in your name with Action Stock Transfer Corp., our transfer agent. If you are a stockholder of record and give a proxy, you may revoke it at any time before its use, either by:</w:t>
      </w:r>
    </w:p>
    <w:p>
      <w:pPr>
        <w:spacing w:after="0" w:line="152" w:lineRule="exact"/>
        <w:rPr>
          <w:sz w:val="20"/>
          <w:szCs w:val="20"/>
          <w:color w:val="auto"/>
        </w:rPr>
      </w:pPr>
    </w:p>
    <w:p>
      <w:pPr>
        <w:ind w:left="740" w:hanging="208"/>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revoking it in person at the Annual Meeting;</w:t>
      </w:r>
    </w:p>
    <w:p>
      <w:pPr>
        <w:spacing w:after="0" w:line="177" w:lineRule="exact"/>
        <w:rPr>
          <w:rFonts w:ascii="Arial" w:cs="Arial" w:eastAsia="Arial" w:hAnsi="Arial"/>
          <w:sz w:val="15"/>
          <w:szCs w:val="15"/>
          <w:color w:val="auto"/>
        </w:rPr>
      </w:pPr>
    </w:p>
    <w:p>
      <w:pPr>
        <w:ind w:left="740" w:hanging="208"/>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delivering a written notice to our Corporate Secretary at 12626 High Bluff Drive, Suite 150, San Diego, CA 92130 before the proxy is used; or</w:t>
      </w:r>
    </w:p>
    <w:p>
      <w:pPr>
        <w:spacing w:after="0" w:line="177" w:lineRule="exact"/>
        <w:rPr>
          <w:rFonts w:ascii="Arial" w:cs="Arial" w:eastAsia="Arial" w:hAnsi="Arial"/>
          <w:sz w:val="15"/>
          <w:szCs w:val="15"/>
          <w:color w:val="auto"/>
        </w:rPr>
      </w:pPr>
    </w:p>
    <w:p>
      <w:pPr>
        <w:ind w:left="740" w:hanging="208"/>
        <w:spacing w:after="0"/>
        <w:tabs>
          <w:tab w:leader="none" w:pos="740" w:val="left"/>
        </w:tabs>
        <w:numPr>
          <w:ilvl w:val="0"/>
          <w:numId w:val="4"/>
        </w:numPr>
        <w:rPr>
          <w:rFonts w:ascii="Arial" w:cs="Arial" w:eastAsia="Arial" w:hAnsi="Arial"/>
          <w:sz w:val="15"/>
          <w:szCs w:val="15"/>
          <w:color w:val="auto"/>
        </w:rPr>
      </w:pPr>
      <w:r>
        <w:rPr>
          <w:rFonts w:ascii="Arial" w:cs="Arial" w:eastAsia="Arial" w:hAnsi="Arial"/>
          <w:sz w:val="15"/>
          <w:szCs w:val="15"/>
          <w:color w:val="auto"/>
        </w:rPr>
        <w:t>delivering a later dated proxy card to us at the address noted above before the proxy is used.</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2"/>
          <w:szCs w:val="12"/>
          <w:color w:val="auto"/>
        </w:rPr>
        <w:t>Your presence at the Annual Meeting will not revoke your proxy, but if you attend the meeting and cast a ballot, your proxy will be revoked as to the matters on which the ballot is cast.</w:t>
      </w:r>
    </w:p>
    <w:p>
      <w:pPr>
        <w:spacing w:after="0" w:line="21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If you hold your shares through a broker, bank, trustee or other nominee, please follow the instructions provided by your broker or other nominee as to how you may change your vote or obtain a legal proxy to vote your shares if you wish to cast your vote in person at the Annual Meeting.</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and Method of Solicitation</w:t>
      </w:r>
    </w:p>
    <w:p>
      <w:pPr>
        <w:spacing w:after="0" w:line="181"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Stockholder List</w:t>
      </w:r>
    </w:p>
    <w:p>
      <w:pPr>
        <w:spacing w:after="0" w:line="181" w:lineRule="exact"/>
        <w:rPr>
          <w:sz w:val="20"/>
          <w:szCs w:val="20"/>
          <w:color w:val="auto"/>
        </w:rPr>
      </w:pPr>
    </w:p>
    <w:p>
      <w:pPr>
        <w:jc w:val="both"/>
        <w:ind w:right="20" w:firstLine="525"/>
        <w:spacing w:after="0" w:line="259" w:lineRule="auto"/>
        <w:rPr>
          <w:sz w:val="20"/>
          <w:szCs w:val="20"/>
          <w:color w:val="auto"/>
        </w:rPr>
      </w:pPr>
      <w:r>
        <w:rPr>
          <w:rFonts w:ascii="Arial" w:cs="Arial" w:eastAsia="Arial" w:hAnsi="Arial"/>
          <w:sz w:val="15"/>
          <w:szCs w:val="15"/>
          <w:color w:val="auto"/>
        </w:rPr>
        <w:t>A complete list of registered stockholders entitled to vote at the Annual Meeting will be available for examination by any stockholder, for any purpose related to the meeting, for ten days prior to the meeting during ordinary business hours at our principal offices located at 12626 High Bluff Drive, Suite 150, San Diego, CA 92130.</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Governance Guidelines</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81"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Our Board of Directors currently consists of the following five members: Dr. Robert Kammer (Chairman); Stephen G. Austin; August S. Bassani; Mark L, Baum and Peter C. Kenny. During part of our 2013 fiscal year Dr. Paul Finnegan and Dr. Jeffrey J. Abrams (each of whom resigned during fiscal year 2013), also served on our Board. Our Board has selected two director nominees, William A. Koefoed, Jr. and William H. Nelson, to stand for election at the Annual Meeting, neither of whom currently serves on our Board. The Board has determined that (i) Mr. Austin, Mr. Kenny and Mr. Bassani, comprising a majority of our current Board, are, (ii) Dr. Abrams and Dr. Finnegan were, and (iii) Mr. Koefoed and Mr. Nelson will be, “independent” directors, as that term is defined by Nasdaq Marketplace Rule 5605(a)(2). Mr. Baum is not independent because he currently serves as our Chief Executive Officer, and Dr. Kammer is not independent because of previous advisory relationships with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Nominations for Directors</w:t>
      </w:r>
    </w:p>
    <w:p>
      <w:pPr>
        <w:spacing w:after="0" w:line="181" w:lineRule="exact"/>
        <w:rPr>
          <w:sz w:val="20"/>
          <w:szCs w:val="20"/>
          <w:color w:val="auto"/>
        </w:rPr>
      </w:pPr>
    </w:p>
    <w:p>
      <w:pPr>
        <w:jc w:val="both"/>
        <w:ind w:firstLine="525"/>
        <w:spacing w:after="0" w:line="263" w:lineRule="auto"/>
        <w:rPr>
          <w:sz w:val="20"/>
          <w:szCs w:val="20"/>
          <w:color w:val="auto"/>
        </w:rPr>
      </w:pPr>
      <w:r>
        <w:rPr>
          <w:rFonts w:ascii="Arial" w:cs="Arial" w:eastAsia="Arial" w:hAnsi="Arial"/>
          <w:sz w:val="14"/>
          <w:szCs w:val="14"/>
          <w:color w:val="auto"/>
        </w:rPr>
        <w:t>Our Nomination and Corporate Governance Committee evaluates and recommends to the Board of Directors director nominees for each election of directors. There are no stated minimum criteria for director nominees; rather, in considering potential new directors, the Nomination and Corporate Governance Committee considers a variety of factors and may review individuals from various disciplines and backgrounds. Among the qualifications to be considered in the selection of candidates are broad experience in business, finance or administration; familiarity with the Company’s industry; and prominence and reputation. Since prominence and reputation in a particular profession or field of endeavor are what brings most persons to the Board’s attention, there is the further consideration of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 foregoing factors, the committee may also consider such other factors as it may deem are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56"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The Nomination and Corporate Governance Committee identifies nominees by first evaluating the current members of the Board of Directors willing to continue in service. Current members of the Board of Directors with skills and experience that are relevant to the Company’s business and who are willing to continue in service are considered for re-nomination, balancing the value of continuity of service by existing members of the Board of Directors with that of obtaining a new perspective. If any member of the Board of Directors up for re-election at an upcoming annual meeting of stockholders does not wish to continue in service, the Nomination Corporate Governance Committee identifies the desired skills and experience of a new nominee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6" w:name="page7"/>
    <w:bookmarkEnd w:id="6"/>
    <w:p>
      <w:pPr>
        <w:jc w:val="both"/>
        <w:ind w:firstLine="525"/>
        <w:spacing w:after="0" w:line="263" w:lineRule="auto"/>
        <w:rPr>
          <w:sz w:val="20"/>
          <w:szCs w:val="20"/>
          <w:color w:val="auto"/>
        </w:rPr>
      </w:pPr>
      <w:r>
        <w:rPr>
          <w:rFonts w:ascii="Arial" w:cs="Arial" w:eastAsia="Arial" w:hAnsi="Arial"/>
          <w:sz w:val="14"/>
          <w:szCs w:val="14"/>
          <w:color w:val="auto"/>
        </w:rPr>
        <w:t>The Nomination and Corporate Governance Committee reviews all nominees, including those recommended by stockholders, for nomination to the Board in accordance with the above factors and qualifications to determine whether they possess attributes the committee believes would be most beneficial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election of directors pursuant to Regulation 14A under the Securities Exchange Act of 1934, as amended (the “Exchange Act”). Stockholders may obtain a copy of our Bylaws by writing to our Corporate Secretary at Imprimis Pharmaceuticals, Inc., c/o Corporate Secretary, 12626 High Bluff Drive, Suite 150, San Diego, CA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Stockholder Communications with Directors</w:t>
      </w:r>
    </w:p>
    <w:p>
      <w:pPr>
        <w:spacing w:after="0" w:line="181" w:lineRule="exact"/>
        <w:rPr>
          <w:sz w:val="20"/>
          <w:szCs w:val="20"/>
          <w:color w:val="auto"/>
        </w:rPr>
      </w:pPr>
    </w:p>
    <w:p>
      <w:pPr>
        <w:jc w:val="both"/>
        <w:ind w:firstLine="525"/>
        <w:spacing w:after="0" w:line="245" w:lineRule="auto"/>
        <w:rPr>
          <w:sz w:val="20"/>
          <w:szCs w:val="20"/>
          <w:color w:val="auto"/>
        </w:rPr>
      </w:pPr>
      <w:r>
        <w:rPr>
          <w:rFonts w:ascii="Arial" w:cs="Arial" w:eastAsia="Arial" w:hAnsi="Arial"/>
          <w:sz w:val="15"/>
          <w:szCs w:val="15"/>
          <w:color w:val="auto"/>
        </w:rPr>
        <w:t>Stockholders may communicate with the Board of Directors by sending a letter to the Corporate Secretary, Stockholder Communications of Imprimis Pharmaceuticals, Inc., 12626 High Bluff Drive, Suite 150, San Diego, CA 92130. Each communication must set forth the name and address of the stockholder on whose behalf the communication is sent and should indicate in the address whether the communication is intended for the entire Board, the non-management directors as a group or an individual director. Each communication will be screened by the Corporate Secretary or his or her designee to determine whether it is appropriate for presentation to the Board or such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it is addressed will be submitted to the Board or such director on a periodic basis. Any communications that concern complaints regarding accounting, internal controls or auditing matters will be handled in accordance with procedures adopted by the Audit Committee.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Code of Business Conduct and Ethics</w:t>
      </w:r>
    </w:p>
    <w:p>
      <w:pPr>
        <w:spacing w:after="0" w:line="181"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12626 High Bluff Drive, Suite 150, San Diego, CA 92130, Attention: Investor Relations. Each of our directors, employees and officers, including our Chief Executive Officer, Chief Accounting and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Meetings and Committees of the Board</w:t>
      </w:r>
    </w:p>
    <w:p>
      <w:pPr>
        <w:spacing w:after="0" w:line="181"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meetings of the Board and committees of the Board.</w:t>
      </w:r>
    </w:p>
    <w:p>
      <w:pPr>
        <w:spacing w:after="0" w:line="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Meeting Attendance</w:t>
      </w:r>
    </w:p>
    <w:p>
      <w:pPr>
        <w:spacing w:after="0" w:line="181"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Our Board generally holds meetings on a quarterly basis, but may hold additional meetings as required. During fiscal year 2013, the Board held twelve meetings. Each of our directors attended 100% of the Board meetings he was eligible to attend and 100% of the aggregate of the total number of Board meetings and meetings of each committee of the Board on which he was serving. We do not have a policy requiring that directors attend our annual meeting of stockholders. All of our directors attended our 2013 Annual Meeting of Stockholders.</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7" w:name="page8"/>
    <w:bookmarkEnd w:id="7"/>
    <w:p>
      <w:pPr>
        <w:spacing w:after="0"/>
        <w:rPr>
          <w:sz w:val="20"/>
          <w:szCs w:val="20"/>
          <w:color w:val="auto"/>
        </w:rPr>
      </w:pPr>
      <w:r>
        <w:rPr>
          <w:rFonts w:ascii="Arial" w:cs="Arial" w:eastAsia="Arial" w:hAnsi="Arial"/>
          <w:sz w:val="15"/>
          <w:szCs w:val="15"/>
          <w:i w:val="1"/>
          <w:iCs w:val="1"/>
          <w:color w:val="auto"/>
        </w:rPr>
        <w:t>Audit Committee</w:t>
      </w:r>
    </w:p>
    <w:p>
      <w:pPr>
        <w:spacing w:after="0" w:line="177"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color w:val="auto"/>
        </w:rPr>
        <w:t>Our Audit Committee is currently composed of Messrs. Stephen Austin (Chairperson), August Bassani and Peter Kenny. Former directors Paul Finnegan and Jeffrey Abrams served on our Audit Committee during fiscal year 2013 until their resignations from the Board effective October 1, 2013 and September 29, 2013, respectively, and Messrs. Bassani and Kenny were subsequently nominated to replace them on the committee. Our Board has affirmatively determined that (i) each member of the Audit Committee during fiscal 2013 was independent under Nasdaq Marketplace Rule 5605(a)(2), and satisfied all other qualifications under Nasdaq Marketplace Rule 5065(e) and the applicable rules of the SEC and (ii) each current member of the Audit Committee is independent under Nasdaq Marketplace Rule 5605(a)(2), and meets all other qualifications under Nasdaq Marketplace Rule 5605(e) and the applicable rules of the SEC. Our Board has also affirmatively determined that Stephen Austin and Peter Kenny each qualify as an “audit committee financial expert” as such term is defined in Regulation S-K under the Securities Act of 1933. During 2013, the Audit Committee held four meetings.</w:t>
      </w:r>
    </w:p>
    <w:p>
      <w:pPr>
        <w:spacing w:after="0" w:line="150"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The Audit Committee acts pursuant to a written charter,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auditors.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Compensation Committee</w:t>
      </w:r>
    </w:p>
    <w:p>
      <w:pPr>
        <w:spacing w:after="0" w:line="177"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Our Compensation Committee is currently composed of Messrs. August Bassani (Chairperson), Stephen Austin and Peter Kenny. During 2013, former directors Paul Finnegan and Jeffrey Abrams also served on our Compensation Committee. Our Board has affirmatively determined that each member of the Compensation Committee during 2013 was independent, and each current member of the Compensation Committee is independent, as such term is defined under Nasdaq Marketplace Rule 5605(a)(2). During 2013, the Compensation Committee met nine times.</w:t>
      </w:r>
    </w:p>
    <w:p>
      <w:pPr>
        <w:spacing w:after="0" w:line="108"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Our Board has adopted a charter for the Compensation Committee which is available for review on our website at http://imprimispharma.investorroom.com. The Compensation Committee reviews and makes recommendations to our Board concerning the compensation and benefits of our executive officers, including the Chief Executive Officer, and directors, oversees the administration of our stock option and employee benefits plans, and reviews general policy relating to compensation and benefits.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Nomination and Corporate Governance Committee</w:t>
      </w:r>
    </w:p>
    <w:p>
      <w:pPr>
        <w:spacing w:after="0" w:line="177"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Our Nomination and Corporate Governance Committee is currently composed of Messrs. Peter Kenny (Chairperson), Stephen Austin and August Bassani. During 2013, former director Jeffrey Abrams also served on this committee. Our Board has determined that each member of the Nomination and Corporate Governance Committee during 2013 was independent, and each current member is independent, under Nasdaq Marketplace Rule 5605(a)(2). The committee evaluates and recommends to the Board nominees for each election of directors. The Nomination and Corporate Governance Committee met two times in 2013.</w:t>
      </w:r>
    </w:p>
    <w:p>
      <w:pPr>
        <w:spacing w:after="0" w:line="161"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Our Board has adopted a charter for the Nomination and Corporate Governance Committee which is available for review on our website at http://imprimispharma.investorroom.com. The responsibilities of the Nomination and Corporate Governance Committee include evaluating and making recommendations to the Board with respect to the nominations or elections of directors and providing oversight of our corporate governance policies and practices.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Board Leadership Structure</w:t>
      </w:r>
    </w:p>
    <w:p>
      <w:pPr>
        <w:spacing w:after="0" w:line="181"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The Board may, but is not required to, select a Chairman of the Board on an annual basis. The positions of Chairman of the Board and Chief Executive Officer may be filled by one individual or two different individuals. Currently the positions of Chairman and Chief Executive Officer are separated. Our Board believes that this structure allows Mark Baum, Chief Executive Officer, to focus on our day-to-day business, while allowing Dr. Kammer, our Chairman, to lead the Board in its fundamental role of providing advice to and independent oversight of management and better enables active participation of the independent directors in setting agendas and establishing priorities and procedures for the work of our Board.</w:t>
      </w:r>
    </w:p>
    <w:p>
      <w:pPr>
        <w:spacing w:after="0" w:line="147"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Our separated Chairman and Chief Executive Officer positions are augmented by our independent directors, who comprise all of our Board committees and meet regularly in executive session without Dr. Kammer, Mr. Baum or other members of our management present to ensure that our Board maintains an appropriate level of independent oversight of management.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8" w:name="page9"/>
    <w:bookmarkEnd w:id="8"/>
    <w:p>
      <w:pPr>
        <w:spacing w:after="0"/>
        <w:rPr>
          <w:sz w:val="20"/>
          <w:szCs w:val="20"/>
          <w:color w:val="auto"/>
        </w:rPr>
      </w:pPr>
      <w:r>
        <w:rPr>
          <w:rFonts w:ascii="Arial" w:cs="Arial" w:eastAsia="Arial" w:hAnsi="Arial"/>
          <w:sz w:val="15"/>
          <w:szCs w:val="15"/>
          <w:b w:val="1"/>
          <w:bCs w:val="1"/>
          <w:color w:val="auto"/>
        </w:rPr>
        <w:t>Board Role in Risk Management</w:t>
      </w:r>
    </w:p>
    <w:p>
      <w:pPr>
        <w:spacing w:after="0" w:line="181" w:lineRule="exact"/>
        <w:rPr>
          <w:sz w:val="20"/>
          <w:szCs w:val="20"/>
          <w:color w:val="auto"/>
        </w:rPr>
      </w:pPr>
    </w:p>
    <w:p>
      <w:pPr>
        <w:jc w:val="both"/>
        <w:ind w:firstLine="336"/>
        <w:spacing w:after="0" w:line="247" w:lineRule="auto"/>
        <w:rPr>
          <w:sz w:val="20"/>
          <w:szCs w:val="20"/>
          <w:color w:val="auto"/>
        </w:rPr>
      </w:pPr>
      <w:r>
        <w:rPr>
          <w:rFonts w:ascii="Arial" w:cs="Arial" w:eastAsia="Arial" w:hAnsi="Arial"/>
          <w:sz w:val="15"/>
          <w:szCs w:val="15"/>
          <w:color w:val="auto"/>
        </w:rPr>
        <w:t>The Board as a whole has responsibility for risk oversight, with Board committees having responsibility for reviewing certain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risks. The Board and its committees oversee risks associated with their respective areas of responsibility, as summarized below. Each committee meets with key management personnel and representatives of outside advisors as required.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8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Board/Committee</w:t>
            </w:r>
          </w:p>
        </w:tc>
        <w:tc>
          <w:tcPr>
            <w:tcW w:w="220" w:type="dxa"/>
            <w:vAlign w:val="bottom"/>
          </w:tcPr>
          <w:p>
            <w:pPr>
              <w:spacing w:after="0"/>
              <w:rPr>
                <w:sz w:val="16"/>
                <w:szCs w:val="16"/>
                <w:color w:val="auto"/>
              </w:rPr>
            </w:pPr>
          </w:p>
        </w:tc>
        <w:tc>
          <w:tcPr>
            <w:tcW w:w="83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Primary Areas of Risk Oversight</w:t>
            </w:r>
          </w:p>
        </w:tc>
      </w:tr>
      <w:tr>
        <w:trPr>
          <w:trHeight w:val="339"/>
        </w:trPr>
        <w:tc>
          <w:tcPr>
            <w:tcW w:w="3100" w:type="dxa"/>
            <w:vAlign w:val="bottom"/>
            <w:gridSpan w:val="2"/>
          </w:tcPr>
          <w:p>
            <w:pPr>
              <w:spacing w:after="0"/>
              <w:rPr>
                <w:sz w:val="20"/>
                <w:szCs w:val="20"/>
                <w:color w:val="auto"/>
              </w:rPr>
            </w:pPr>
            <w:r>
              <w:rPr>
                <w:rFonts w:ascii="Arial" w:cs="Arial" w:eastAsia="Arial" w:hAnsi="Arial"/>
                <w:sz w:val="15"/>
                <w:szCs w:val="15"/>
                <w:color w:val="auto"/>
              </w:rPr>
              <w:t>Full Board</w:t>
            </w:r>
          </w:p>
        </w:tc>
        <w:tc>
          <w:tcPr>
            <w:tcW w:w="8360" w:type="dxa"/>
            <w:vAlign w:val="bottom"/>
          </w:tcPr>
          <w:p>
            <w:pPr>
              <w:spacing w:after="0"/>
              <w:rPr>
                <w:sz w:val="20"/>
                <w:szCs w:val="20"/>
                <w:color w:val="auto"/>
              </w:rPr>
            </w:pPr>
            <w:r>
              <w:rPr>
                <w:rFonts w:ascii="Arial" w:cs="Arial" w:eastAsia="Arial" w:hAnsi="Arial"/>
                <w:sz w:val="15"/>
                <w:szCs w:val="15"/>
                <w:color w:val="auto"/>
                <w:w w:val="96"/>
              </w:rPr>
              <w:t>Risks and exposures associated with our business strategy and other current matters that may present material risk to our financial</w:t>
            </w:r>
          </w:p>
        </w:tc>
      </w:tr>
      <w:tr>
        <w:trPr>
          <w:trHeight w:val="184"/>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spacing w:after="0"/>
              <w:rPr>
                <w:sz w:val="20"/>
                <w:szCs w:val="20"/>
                <w:color w:val="auto"/>
              </w:rPr>
            </w:pPr>
            <w:r>
              <w:rPr>
                <w:rFonts w:ascii="Arial" w:cs="Arial" w:eastAsia="Arial" w:hAnsi="Arial"/>
                <w:sz w:val="15"/>
                <w:szCs w:val="15"/>
                <w:color w:val="auto"/>
              </w:rPr>
              <w:t>performance, operations, prospects or reputation.</w:t>
            </w:r>
          </w:p>
        </w:tc>
      </w:tr>
      <w:tr>
        <w:trPr>
          <w:trHeight w:val="341"/>
        </w:trPr>
        <w:tc>
          <w:tcPr>
            <w:tcW w:w="3100" w:type="dxa"/>
            <w:vAlign w:val="bottom"/>
            <w:gridSpan w:val="2"/>
          </w:tcPr>
          <w:p>
            <w:pPr>
              <w:spacing w:after="0"/>
              <w:rPr>
                <w:sz w:val="20"/>
                <w:szCs w:val="20"/>
                <w:color w:val="auto"/>
              </w:rPr>
            </w:pPr>
            <w:r>
              <w:rPr>
                <w:rFonts w:ascii="Arial" w:cs="Arial" w:eastAsia="Arial" w:hAnsi="Arial"/>
                <w:sz w:val="15"/>
                <w:szCs w:val="15"/>
                <w:color w:val="auto"/>
              </w:rPr>
              <w:t>Audit Committee</w:t>
            </w:r>
          </w:p>
        </w:tc>
        <w:tc>
          <w:tcPr>
            <w:tcW w:w="8360" w:type="dxa"/>
            <w:vAlign w:val="bottom"/>
          </w:tcPr>
          <w:p>
            <w:pPr>
              <w:spacing w:after="0"/>
              <w:rPr>
                <w:sz w:val="20"/>
                <w:szCs w:val="20"/>
                <w:color w:val="auto"/>
              </w:rPr>
            </w:pPr>
            <w:r>
              <w:rPr>
                <w:rFonts w:ascii="Arial" w:cs="Arial" w:eastAsia="Arial" w:hAnsi="Arial"/>
                <w:sz w:val="15"/>
                <w:szCs w:val="15"/>
                <w:color w:val="auto"/>
                <w:w w:val="92"/>
              </w:rPr>
              <w:t>Overall policies with respect to risk assessment and risk management, material pending legal proceedings involving the Company, other</w:t>
            </w:r>
          </w:p>
        </w:tc>
      </w:tr>
      <w:tr>
        <w:trPr>
          <w:trHeight w:val="184"/>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spacing w:after="0"/>
              <w:rPr>
                <w:sz w:val="20"/>
                <w:szCs w:val="20"/>
                <w:color w:val="auto"/>
              </w:rPr>
            </w:pPr>
            <w:r>
              <w:rPr>
                <w:rFonts w:ascii="Arial" w:cs="Arial" w:eastAsia="Arial" w:hAnsi="Arial"/>
                <w:sz w:val="15"/>
                <w:szCs w:val="15"/>
                <w:color w:val="auto"/>
              </w:rPr>
              <w:t>contingent liabilities, as well as other risks and exposures that may have a material impact on our financial statements.</w:t>
            </w:r>
          </w:p>
        </w:tc>
      </w:tr>
      <w:tr>
        <w:trPr>
          <w:trHeight w:val="341"/>
        </w:trPr>
        <w:tc>
          <w:tcPr>
            <w:tcW w:w="3100" w:type="dxa"/>
            <w:vAlign w:val="bottom"/>
            <w:gridSpan w:val="2"/>
          </w:tcPr>
          <w:p>
            <w:pPr>
              <w:spacing w:after="0"/>
              <w:rPr>
                <w:sz w:val="20"/>
                <w:szCs w:val="20"/>
                <w:color w:val="auto"/>
              </w:rPr>
            </w:pPr>
            <w:r>
              <w:rPr>
                <w:rFonts w:ascii="Arial" w:cs="Arial" w:eastAsia="Arial" w:hAnsi="Arial"/>
                <w:sz w:val="15"/>
                <w:szCs w:val="15"/>
                <w:color w:val="auto"/>
              </w:rPr>
              <w:t>Compensation Committee</w:t>
            </w:r>
          </w:p>
        </w:tc>
        <w:tc>
          <w:tcPr>
            <w:tcW w:w="8360" w:type="dxa"/>
            <w:vAlign w:val="bottom"/>
          </w:tcPr>
          <w:p>
            <w:pPr>
              <w:spacing w:after="0"/>
              <w:rPr>
                <w:sz w:val="20"/>
                <w:szCs w:val="20"/>
                <w:color w:val="auto"/>
              </w:rPr>
            </w:pPr>
            <w:r>
              <w:rPr>
                <w:rFonts w:ascii="Arial" w:cs="Arial" w:eastAsia="Arial" w:hAnsi="Arial"/>
                <w:sz w:val="15"/>
                <w:szCs w:val="15"/>
                <w:color w:val="auto"/>
                <w:w w:val="89"/>
              </w:rPr>
              <w:t>Risks and exposures associated with management succession planning and executive compensation programs and arrangements, including</w:t>
            </w:r>
          </w:p>
        </w:tc>
      </w:tr>
      <w:tr>
        <w:trPr>
          <w:trHeight w:val="184"/>
        </w:trPr>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360" w:type="dxa"/>
            <w:vAlign w:val="bottom"/>
          </w:tcPr>
          <w:p>
            <w:pPr>
              <w:spacing w:after="0"/>
              <w:rPr>
                <w:sz w:val="20"/>
                <w:szCs w:val="20"/>
                <w:color w:val="auto"/>
              </w:rPr>
            </w:pPr>
            <w:r>
              <w:rPr>
                <w:rFonts w:ascii="Arial" w:cs="Arial" w:eastAsia="Arial" w:hAnsi="Arial"/>
                <w:sz w:val="15"/>
                <w:szCs w:val="15"/>
                <w:color w:val="auto"/>
              </w:rPr>
              <w:t>incentive plans.</w:t>
            </w:r>
          </w:p>
        </w:tc>
      </w:tr>
      <w:tr>
        <w:trPr>
          <w:trHeight w:val="341"/>
        </w:trPr>
        <w:tc>
          <w:tcPr>
            <w:tcW w:w="3100" w:type="dxa"/>
            <w:vAlign w:val="bottom"/>
            <w:gridSpan w:val="2"/>
          </w:tcPr>
          <w:p>
            <w:pPr>
              <w:spacing w:after="0"/>
              <w:rPr>
                <w:sz w:val="20"/>
                <w:szCs w:val="20"/>
                <w:color w:val="auto"/>
              </w:rPr>
            </w:pPr>
            <w:r>
              <w:rPr>
                <w:rFonts w:ascii="Arial" w:cs="Arial" w:eastAsia="Arial" w:hAnsi="Arial"/>
                <w:sz w:val="15"/>
                <w:szCs w:val="15"/>
                <w:color w:val="auto"/>
              </w:rPr>
              <w:t>Nomination and Corporate Governance</w:t>
            </w:r>
          </w:p>
        </w:tc>
        <w:tc>
          <w:tcPr>
            <w:tcW w:w="8360" w:type="dxa"/>
            <w:vAlign w:val="bottom"/>
          </w:tcPr>
          <w:p>
            <w:pPr>
              <w:spacing w:after="0"/>
              <w:rPr>
                <w:sz w:val="20"/>
                <w:szCs w:val="20"/>
                <w:color w:val="auto"/>
              </w:rPr>
            </w:pPr>
            <w:r>
              <w:rPr>
                <w:rFonts w:ascii="Arial" w:cs="Arial" w:eastAsia="Arial" w:hAnsi="Arial"/>
                <w:sz w:val="15"/>
                <w:szCs w:val="15"/>
                <w:color w:val="auto"/>
              </w:rPr>
              <w:t>Risks and exposures associated with director succession planning, corporate governance, and overall board effectiveness.</w:t>
            </w:r>
          </w:p>
        </w:tc>
      </w:tr>
      <w:tr>
        <w:trPr>
          <w:trHeight w:val="184"/>
        </w:trPr>
        <w:tc>
          <w:tcPr>
            <w:tcW w:w="3100" w:type="dxa"/>
            <w:vAlign w:val="bottom"/>
            <w:gridSpan w:val="2"/>
          </w:tcPr>
          <w:p>
            <w:pPr>
              <w:spacing w:after="0"/>
              <w:rPr>
                <w:sz w:val="20"/>
                <w:szCs w:val="20"/>
                <w:color w:val="auto"/>
              </w:rPr>
            </w:pPr>
            <w:r>
              <w:rPr>
                <w:rFonts w:ascii="Arial" w:cs="Arial" w:eastAsia="Arial" w:hAnsi="Arial"/>
                <w:sz w:val="15"/>
                <w:szCs w:val="15"/>
                <w:color w:val="auto"/>
              </w:rPr>
              <w:t>Committee</w:t>
            </w:r>
          </w:p>
        </w:tc>
        <w:tc>
          <w:tcPr>
            <w:tcW w:w="8360" w:type="dxa"/>
            <w:vAlign w:val="bottom"/>
          </w:tcPr>
          <w:p>
            <w:pPr>
              <w:spacing w:after="0"/>
              <w:rPr>
                <w:sz w:val="15"/>
                <w:szCs w:val="15"/>
                <w:color w:val="auto"/>
              </w:rPr>
            </w:pPr>
          </w:p>
        </w:tc>
      </w:tr>
      <w:tr>
        <w:trPr>
          <w:trHeight w:val="350"/>
        </w:trPr>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Transactions with Related Persons</w:t>
            </w:r>
          </w:p>
        </w:tc>
        <w:tc>
          <w:tcPr>
            <w:tcW w:w="8360" w:type="dxa"/>
            <w:vAlign w:val="bottom"/>
          </w:tcPr>
          <w:p>
            <w:pPr>
              <w:spacing w:after="0"/>
              <w:rPr>
                <w:sz w:val="24"/>
                <w:szCs w:val="24"/>
                <w:color w:val="auto"/>
              </w:rPr>
            </w:pPr>
          </w:p>
        </w:tc>
      </w:tr>
    </w:tbl>
    <w:p>
      <w:pPr>
        <w:spacing w:after="0" w:line="166"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Other than as described below, since the beginning of fiscal year 2012, there were no transactions to which the Company was or is a participant or currently proposed transactions which the Company is to be a participant in which the amount involved exceeds the lesser of $120,000 or one percent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Relationships with DermaStar</w:t>
      </w:r>
    </w:p>
    <w:p>
      <w:pPr>
        <w:spacing w:after="0" w:line="177"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DermaStar International, LLC (“DermaStar”) is a former holder of various of our securities, including previously outstanding shares of our Series A Convertible Preferred Stock (“Series A Preferred Stock”), warrants and convertible notes, and was our lender under our former Secured Line of Credit Letter Agreement (the “Line of Credit Agreement”). Our Chief Executive Officer and director, Mark L. Baum, and the Chairman of our Board of Directors, Dr. Kammer, served as Managing Members of DermaStar prior to DermaStar’s conversion of all of the outstanding shares of Series A Preferred Stock into common stock and the distribution of all shares of capital stock and warrants held by it to its members in July 2012 and the subsequent dissolution of DermaStar in July 2012. Mr. Baum and Dr. Kammer were appointed to our Board on December 16, 2011, following the effectiveness of the Line of Credit Agreement and the purchase of the Series A Preferred Stock by DermaStar described below.</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Secured Line of Credit</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On April 25, 2012, the entire outstanding principal balance and all accrued and unpaid interest under our Line of Credit with DermaStar, an aggregate of $762,534, was converted into 193,046 shares of common stock and warrants to purchase 48,262 shares of common stock, pursuant to the terms of a conversion agreement we entered into with DermaStar on April 20, 2012. The Line of Credit Agreement was terminated upon the completion of the conversion.</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Series A Preferred Stock Purchase</w:t>
      </w:r>
    </w:p>
    <w:p>
      <w:pPr>
        <w:spacing w:after="0" w:line="17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In partial consideration for and in connection with the Line of Credit Agreement, on December 9, 2011, we issued 10 shares of newly-designated Series A Preferred Stock to DermaStar for an aggregate purchase price of $100,000.On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and cancelled. The conversion agreement was unanimously approved by the Company’s disinterested directors, with Mr. Baum and Dr. Kammer abstaining.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9" w:name="page10"/>
    <w:bookmarkEnd w:id="9"/>
    <w:p>
      <w:pPr>
        <w:spacing w:after="0"/>
        <w:rPr>
          <w:sz w:val="20"/>
          <w:szCs w:val="20"/>
          <w:color w:val="auto"/>
        </w:rPr>
      </w:pPr>
      <w:r>
        <w:rPr>
          <w:rFonts w:ascii="Arial" w:cs="Arial" w:eastAsia="Arial" w:hAnsi="Arial"/>
          <w:sz w:val="15"/>
          <w:szCs w:val="15"/>
          <w:i w:val="1"/>
          <w:iCs w:val="1"/>
          <w:color w:val="auto"/>
        </w:rPr>
        <w:t>7.5% Convertible Promissory Note</w:t>
      </w:r>
    </w:p>
    <w:p>
      <w:pPr>
        <w:spacing w:after="0" w:line="177"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color w:val="auto"/>
        </w:rPr>
        <w:t>On April 5, 2010, we issued a $1,000,000 7.5% Convertible Promissory Note (the “Convertible Note”) to Alexej Ladonnikov, a then-existing stockholder of the Company. The Convertible Note had an annual interest rate of 7.5% and all principal and interest were due and payable on its maturity date, April 5, 2012. During January 2012, Mr. Ladonnikov sold 80% of the Convertible Note to DermaStar in a private transaction. Effective as of January 25, 2012, we entered into separate waiver and settlement agreements with DermaStar and Mr. Ladonnikov. Under the waiver and settlement agreements, the holders of the Convertible Note agreed to forever waive certain acceleration, conversion and other rights related to the Convertible Note. Under the terms of the waiver and settlement agreement with DermaStar, we and DermaStar agreed to the mandatory conversion of the 80% of the principal and accrued and unpaid interest of the Convertible Note and $56,087 in current accounts payable of the Company held by DermaStar, at such time as we had a sufficient number of shares of authorized common stock to effect such conversion, into our common stock at a conversion price of approximately $0.6668 per share.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shares of authorized common stock to effect such a conversion, into our common stock at a conversion price of $0.60. Mr. Ladonnikov also agreed to make a one-time payment of $50,000 to us at such time as his interest in the Convertible Note was converted into common stock.</w:t>
      </w:r>
    </w:p>
    <w:p>
      <w:pPr>
        <w:spacing w:after="0" w:line="152"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approximately $142,603 of accrued but unpaid interest owing under the Convertible Note and the accounts payable held by DermaStar were converted into an aggregate of 1,835,830 shares of common stock and the Convertible Note was terminated. Mr. Ladonnikov made the required one-time payment of $50,000 to us at the time of the conversion.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Policy Regarding Related Party Transactions</w:t>
      </w:r>
    </w:p>
    <w:p>
      <w:pPr>
        <w:spacing w:after="0" w:line="181"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The charter of the Audit Committee of our Board tasks the Audit Committee with review of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Audit Committee and the full Board of Directors on a regular basis of any such transaction that is proposed to be entered into or continued and seeks approval.</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Section 16(a) Beneficial Ownership Reporting Compliance</w:t>
      </w:r>
    </w:p>
    <w:p>
      <w:pPr>
        <w:spacing w:after="0" w:line="181"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30"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Based solely on our review of the copies of such reports furnished to us, we believe that during the fiscal year ended December 31, 2013, all executive officers, directors and greater than ten-percent beneficial owners complied with the reporting requirements of Section 16(a), except that director Dr. Kammer filed a late Form 5 on April 22, 2014 with respect to one transaction that occurred on September 30, 2013 and that was not reported on a Form 4 during the 2013 fiscal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8"/>
        </w:trPr>
        <w:tc>
          <w:tcPr>
            <w:tcW w:w="1160" w:type="dxa"/>
            <w:vAlign w:val="bottom"/>
          </w:tcPr>
          <w:p>
            <w:pPr>
              <w:spacing w:after="0"/>
              <w:rPr>
                <w:sz w:val="16"/>
                <w:szCs w:val="16"/>
                <w:color w:val="auto"/>
              </w:rPr>
            </w:pPr>
          </w:p>
        </w:tc>
        <w:tc>
          <w:tcPr>
            <w:tcW w:w="6600" w:type="dxa"/>
            <w:vAlign w:val="bottom"/>
          </w:tcPr>
          <w:p>
            <w:pPr>
              <w:ind w:left="3560"/>
              <w:spacing w:after="0"/>
              <w:rPr>
                <w:sz w:val="20"/>
                <w:szCs w:val="20"/>
                <w:color w:val="auto"/>
              </w:rPr>
            </w:pPr>
            <w:r>
              <w:rPr>
                <w:rFonts w:ascii="Arial" w:cs="Arial" w:eastAsia="Arial" w:hAnsi="Arial"/>
                <w:sz w:val="15"/>
                <w:szCs w:val="15"/>
                <w:b w:val="1"/>
                <w:bCs w:val="1"/>
                <w:color w:val="auto"/>
              </w:rPr>
              <w:t>DIRECTOR COMPENSATION</w:t>
            </w:r>
          </w:p>
        </w:tc>
        <w:tc>
          <w:tcPr>
            <w:tcW w:w="1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50"/>
        </w:trPr>
        <w:tc>
          <w:tcPr>
            <w:tcW w:w="7760" w:type="dxa"/>
            <w:vAlign w:val="bottom"/>
            <w:gridSpan w:val="2"/>
          </w:tcPr>
          <w:p>
            <w:pPr>
              <w:spacing w:after="0"/>
              <w:rPr>
                <w:sz w:val="20"/>
                <w:szCs w:val="20"/>
                <w:color w:val="auto"/>
              </w:rPr>
            </w:pPr>
            <w:r>
              <w:rPr>
                <w:rFonts w:ascii="Arial" w:cs="Arial" w:eastAsia="Arial" w:hAnsi="Arial"/>
                <w:sz w:val="15"/>
                <w:szCs w:val="15"/>
                <w:b w:val="1"/>
                <w:bCs w:val="1"/>
                <w:color w:val="auto"/>
              </w:rPr>
              <w:t>Director Compensation Program for Fiscal Year Ended December 31, 2013</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50"/>
        </w:trPr>
        <w:tc>
          <w:tcPr>
            <w:tcW w:w="7760" w:type="dxa"/>
            <w:vAlign w:val="bottom"/>
            <w:gridSpan w:val="2"/>
          </w:tcPr>
          <w:p>
            <w:pPr>
              <w:ind w:left="540"/>
              <w:spacing w:after="0"/>
              <w:rPr>
                <w:sz w:val="20"/>
                <w:szCs w:val="20"/>
                <w:color w:val="auto"/>
              </w:rPr>
            </w:pPr>
            <w:r>
              <w:rPr>
                <w:rFonts w:ascii="Arial" w:cs="Arial" w:eastAsia="Arial" w:hAnsi="Arial"/>
                <w:sz w:val="15"/>
                <w:szCs w:val="15"/>
                <w:color w:val="auto"/>
              </w:rPr>
              <w:t>A summary of the non-employee director compensation program for fiscal year 2013 is set forth below:</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11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Annual Board Retainer Fee:</w:t>
            </w:r>
          </w:p>
        </w:tc>
        <w:tc>
          <w:tcPr>
            <w:tcW w:w="1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28,000</w:t>
            </w:r>
          </w:p>
        </w:tc>
      </w:tr>
      <w:tr>
        <w:trPr>
          <w:trHeight w:val="175"/>
        </w:trPr>
        <w:tc>
          <w:tcPr>
            <w:tcW w:w="116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5"/>
                <w:szCs w:val="15"/>
                <w:b w:val="1"/>
                <w:bCs w:val="1"/>
                <w:color w:val="auto"/>
              </w:rPr>
              <w:t>Annual Chairman Retainer Fees*:</w:t>
            </w:r>
          </w:p>
        </w:tc>
        <w:tc>
          <w:tcPr>
            <w:tcW w:w="1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Chairman of the Board</w:t>
            </w:r>
          </w:p>
        </w:tc>
        <w:tc>
          <w:tcPr>
            <w:tcW w:w="1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16,000</w:t>
            </w:r>
          </w:p>
        </w:tc>
      </w:tr>
      <w:tr>
        <w:trPr>
          <w:trHeight w:val="175"/>
        </w:trPr>
        <w:tc>
          <w:tcPr>
            <w:tcW w:w="116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Audit Committee Chairman</w:t>
            </w:r>
          </w:p>
        </w:tc>
        <w:tc>
          <w:tcPr>
            <w:tcW w:w="156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10,000</w:t>
            </w:r>
          </w:p>
        </w:tc>
      </w:tr>
      <w:tr>
        <w:trPr>
          <w:trHeight w:val="175"/>
        </w:trPr>
        <w:tc>
          <w:tcPr>
            <w:tcW w:w="116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Compensation Committee Chairman</w:t>
            </w:r>
          </w:p>
        </w:tc>
        <w:tc>
          <w:tcPr>
            <w:tcW w:w="1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8,800</w:t>
            </w:r>
          </w:p>
        </w:tc>
      </w:tr>
      <w:tr>
        <w:trPr>
          <w:trHeight w:val="175"/>
        </w:trPr>
        <w:tc>
          <w:tcPr>
            <w:tcW w:w="116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Nominations &amp; Corporate Governance Committee Chairman</w:t>
            </w:r>
          </w:p>
        </w:tc>
        <w:tc>
          <w:tcPr>
            <w:tcW w:w="156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4,800</w:t>
            </w:r>
          </w:p>
        </w:tc>
      </w:tr>
      <w:tr>
        <w:trPr>
          <w:trHeight w:val="175"/>
        </w:trPr>
        <w:tc>
          <w:tcPr>
            <w:tcW w:w="116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Annual Committee Member Retainer Fees*:</w:t>
            </w:r>
          </w:p>
        </w:tc>
        <w:tc>
          <w:tcPr>
            <w:tcW w:w="1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5"/>
        </w:trPr>
        <w:tc>
          <w:tcPr>
            <w:tcW w:w="116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Audit Committee</w:t>
            </w:r>
          </w:p>
        </w:tc>
        <w:tc>
          <w:tcPr>
            <w:tcW w:w="156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7,200</w:t>
            </w:r>
          </w:p>
        </w:tc>
      </w:tr>
      <w:tr>
        <w:trPr>
          <w:trHeight w:val="175"/>
        </w:trPr>
        <w:tc>
          <w:tcPr>
            <w:tcW w:w="1160" w:type="dxa"/>
            <w:vAlign w:val="bottom"/>
          </w:tcPr>
          <w:p>
            <w:pPr>
              <w:spacing w:after="0"/>
              <w:rPr>
                <w:sz w:val="15"/>
                <w:szCs w:val="15"/>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5"/>
                <w:szCs w:val="15"/>
                <w:color w:val="auto"/>
              </w:rPr>
              <w:t>Compensation Committee</w:t>
            </w:r>
          </w:p>
        </w:tc>
        <w:tc>
          <w:tcPr>
            <w:tcW w:w="1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rPr>
              <w:t>6,000</w:t>
            </w:r>
          </w:p>
        </w:tc>
      </w:tr>
      <w:tr>
        <w:trPr>
          <w:trHeight w:val="184"/>
        </w:trPr>
        <w:tc>
          <w:tcPr>
            <w:tcW w:w="1160" w:type="dxa"/>
            <w:vAlign w:val="bottom"/>
          </w:tcPr>
          <w:p>
            <w:pPr>
              <w:spacing w:after="0"/>
              <w:rPr>
                <w:sz w:val="15"/>
                <w:szCs w:val="15"/>
                <w:color w:val="auto"/>
              </w:rPr>
            </w:pPr>
          </w:p>
        </w:tc>
        <w:tc>
          <w:tcPr>
            <w:tcW w:w="6600" w:type="dxa"/>
            <w:vAlign w:val="bottom"/>
          </w:tcPr>
          <w:p>
            <w:pPr>
              <w:spacing w:after="0"/>
              <w:rPr>
                <w:sz w:val="20"/>
                <w:szCs w:val="20"/>
                <w:color w:val="auto"/>
              </w:rPr>
            </w:pPr>
            <w:r>
              <w:rPr>
                <w:rFonts w:ascii="Arial" w:cs="Arial" w:eastAsia="Arial" w:hAnsi="Arial"/>
                <w:sz w:val="15"/>
                <w:szCs w:val="15"/>
                <w:color w:val="auto"/>
              </w:rPr>
              <w:t>Nominations &amp; Corporate Governance Committee</w:t>
            </w:r>
          </w:p>
        </w:tc>
        <w:tc>
          <w:tcPr>
            <w:tcW w:w="1560" w:type="dxa"/>
            <w:vAlign w:val="bottom"/>
          </w:tcPr>
          <w:p>
            <w:pPr>
              <w:jc w:val="right"/>
              <w:ind w:right="4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3,200</w:t>
            </w:r>
          </w:p>
        </w:tc>
      </w:tr>
    </w:tbl>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*These fees are in addition to the Annual Board Retainer Fee, as applicable.</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Non-employee directors are also reimbursed for their reasonable out-of-pocket expenses incurred in connection with attending Board and committee meetings.</w:t>
      </w:r>
    </w:p>
    <w:p>
      <w:pPr>
        <w:spacing w:after="0" w:line="177"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In June 2013, the Board of Directors approved a one-time grant of 6,865 restricted stock units (“RSUs”) to non-employee directors under our Amended and Restated 2007 Stock Incentive and Awards Plan (as amended, the “Plan”) serving as directors on the date of grant. The RSUs vest in full 13 months from the date of grant. In October 2013, the Board of Directors approved a one-time grant of 8,947 RSUs to Peter C. Kenny in connection with his appointment to the Board. The RSUs vest in full 13 months from the date of grant.</w:t>
      </w:r>
    </w:p>
    <w:p>
      <w:pPr>
        <w:spacing w:after="0" w:line="14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In March 2014, the Board of Directors modified the Board cash compensation program for fiscal 2014 to provide for a single board retainer fee of $50,000 per year for all non-employee directors, with no additional payments for serving on committees or in leadership positions, effective January 1, 2014.</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 Table</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following table shows the compensation paid in fiscal year 2013 to our non-employee directors. All compensation received by Mr. Baum, including compensation received by him for services as a director, is disclosed in the Summary Compensation Table.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5"/>
              </w:rPr>
              <w:t>Fees Earned</w:t>
            </w:r>
          </w:p>
        </w:tc>
        <w:tc>
          <w:tcPr>
            <w:tcW w:w="200" w:type="dxa"/>
            <w:vAlign w:val="bottom"/>
          </w:tcPr>
          <w:p>
            <w:pPr>
              <w:spacing w:after="0"/>
              <w:rPr>
                <w:sz w:val="15"/>
                <w:szCs w:val="15"/>
                <w:color w:val="auto"/>
              </w:rPr>
            </w:pPr>
          </w:p>
        </w:tc>
        <w:tc>
          <w:tcPr>
            <w:tcW w:w="1600" w:type="dxa"/>
            <w:vAlign w:val="bottom"/>
            <w:gridSpan w:val="2"/>
          </w:tcPr>
          <w:p>
            <w:pPr>
              <w:jc w:val="center"/>
              <w:ind w:right="800"/>
              <w:spacing w:after="0"/>
              <w:rPr>
                <w:sz w:val="20"/>
                <w:szCs w:val="20"/>
                <w:color w:val="auto"/>
              </w:rPr>
            </w:pPr>
            <w:r>
              <w:rPr>
                <w:rFonts w:ascii="Arial" w:cs="Arial" w:eastAsia="Arial" w:hAnsi="Arial"/>
                <w:sz w:val="15"/>
                <w:szCs w:val="15"/>
                <w:b w:val="1"/>
                <w:bCs w:val="1"/>
                <w:color w:val="auto"/>
                <w:w w:val="88"/>
              </w:rPr>
              <w:t>Stock</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w w:val="86"/>
              </w:rPr>
              <w:t>Option</w:t>
            </w:r>
          </w:p>
        </w:tc>
        <w:tc>
          <w:tcPr>
            <w:tcW w:w="12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1"/>
              </w:rPr>
              <w:t>All Other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5"/>
                <w:szCs w:val="15"/>
                <w:b w:val="1"/>
                <w:bCs w:val="1"/>
                <w:color w:val="auto"/>
                <w:w w:val="90"/>
              </w:rPr>
              <w:t>or Paid in</w:t>
            </w:r>
          </w:p>
        </w:tc>
        <w:tc>
          <w:tcPr>
            <w:tcW w:w="200" w:type="dxa"/>
            <w:vAlign w:val="bottom"/>
          </w:tcPr>
          <w:p>
            <w:pPr>
              <w:spacing w:after="0"/>
              <w:rPr>
                <w:sz w:val="15"/>
                <w:szCs w:val="15"/>
                <w:color w:val="auto"/>
              </w:rPr>
            </w:pPr>
          </w:p>
        </w:tc>
        <w:tc>
          <w:tcPr>
            <w:tcW w:w="1600" w:type="dxa"/>
            <w:vAlign w:val="bottom"/>
            <w:gridSpan w:val="2"/>
          </w:tcPr>
          <w:p>
            <w:pPr>
              <w:jc w:val="center"/>
              <w:ind w:right="760"/>
              <w:spacing w:after="0"/>
              <w:rPr>
                <w:sz w:val="20"/>
                <w:szCs w:val="20"/>
                <w:color w:val="auto"/>
              </w:rPr>
            </w:pPr>
            <w:r>
              <w:rPr>
                <w:rFonts w:ascii="Arial" w:cs="Arial" w:eastAsia="Arial" w:hAnsi="Arial"/>
                <w:sz w:val="15"/>
                <w:szCs w:val="15"/>
                <w:b w:val="1"/>
                <w:bCs w:val="1"/>
                <w:color w:val="auto"/>
                <w:w w:val="88"/>
              </w:rPr>
              <w:t>Awards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5"/>
                <w:szCs w:val="15"/>
                <w:b w:val="1"/>
                <w:bCs w:val="1"/>
                <w:color w:val="auto"/>
                <w:w w:val="91"/>
              </w:rPr>
              <w:t>Awards ($)</w:t>
            </w:r>
          </w:p>
        </w:tc>
        <w:tc>
          <w:tcPr>
            <w:tcW w:w="12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6"/>
              </w:rPr>
              <w:t>Compensation</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3000" w:type="dxa"/>
            <w:vAlign w:val="bottom"/>
          </w:tcPr>
          <w:p>
            <w:pPr>
              <w:ind w:left="1320"/>
              <w:spacing w:after="0"/>
              <w:rPr>
                <w:sz w:val="20"/>
                <w:szCs w:val="20"/>
                <w:color w:val="auto"/>
              </w:rPr>
            </w:pPr>
            <w:r>
              <w:rPr>
                <w:rFonts w:ascii="Arial" w:cs="Arial" w:eastAsia="Arial" w:hAnsi="Arial"/>
                <w:sz w:val="15"/>
                <w:szCs w:val="15"/>
                <w:b w:val="1"/>
                <w:bCs w:val="1"/>
                <w:color w:val="auto"/>
              </w:rPr>
              <w:t>Name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5"/>
                <w:szCs w:val="15"/>
                <w:b w:val="1"/>
                <w:bCs w:val="1"/>
                <w:color w:val="auto"/>
                <w:w w:val="87"/>
              </w:rPr>
              <w:t>Cash ($)</w:t>
            </w:r>
          </w:p>
        </w:tc>
        <w:tc>
          <w:tcPr>
            <w:tcW w:w="200" w:type="dxa"/>
            <w:vAlign w:val="bottom"/>
          </w:tcPr>
          <w:p>
            <w:pPr>
              <w:spacing w:after="0"/>
              <w:rPr>
                <w:sz w:val="15"/>
                <w:szCs w:val="15"/>
                <w:color w:val="auto"/>
              </w:rPr>
            </w:pPr>
          </w:p>
        </w:tc>
        <w:tc>
          <w:tcPr>
            <w:tcW w:w="1040" w:type="dxa"/>
            <w:vAlign w:val="bottom"/>
          </w:tcPr>
          <w:p>
            <w:pPr>
              <w:jc w:val="center"/>
              <w:ind w:right="127"/>
              <w:spacing w:after="0"/>
              <w:rPr>
                <w:sz w:val="20"/>
                <w:szCs w:val="20"/>
                <w:color w:val="auto"/>
              </w:rPr>
            </w:pPr>
            <w:r>
              <w:rPr>
                <w:rFonts w:ascii="Arial" w:cs="Arial" w:eastAsia="Arial" w:hAnsi="Arial"/>
                <w:sz w:val="15"/>
                <w:szCs w:val="15"/>
                <w:b w:val="1"/>
                <w:bCs w:val="1"/>
                <w:color w:val="auto"/>
                <w:w w:val="94"/>
              </w:rPr>
              <w:t>($) (1)(3)</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07"/>
              <w:spacing w:after="0"/>
              <w:rPr>
                <w:sz w:val="20"/>
                <w:szCs w:val="20"/>
                <w:color w:val="auto"/>
              </w:rPr>
            </w:pPr>
            <w:r>
              <w:rPr>
                <w:rFonts w:ascii="Arial" w:cs="Arial" w:eastAsia="Arial" w:hAnsi="Arial"/>
                <w:sz w:val="15"/>
                <w:szCs w:val="15"/>
                <w:b w:val="1"/>
                <w:bCs w:val="1"/>
                <w:color w:val="auto"/>
                <w:w w:val="92"/>
              </w:rPr>
              <w:t>(2)(3)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47"/>
              <w:spacing w:after="0"/>
              <w:rPr>
                <w:sz w:val="20"/>
                <w:szCs w:val="20"/>
                <w:color w:val="auto"/>
              </w:rPr>
            </w:pPr>
            <w:r>
              <w:rPr>
                <w:rFonts w:ascii="Arial" w:cs="Arial" w:eastAsia="Arial" w:hAnsi="Arial"/>
                <w:sz w:val="15"/>
                <w:szCs w:val="15"/>
                <w:b w:val="1"/>
                <w:bCs w:val="1"/>
                <w:color w:val="auto"/>
                <w:w w:val="97"/>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40"/>
              <w:spacing w:after="0"/>
              <w:rPr>
                <w:sz w:val="20"/>
                <w:szCs w:val="20"/>
                <w:color w:val="auto"/>
              </w:rPr>
            </w:pPr>
            <w:r>
              <w:rPr>
                <w:rFonts w:ascii="Arial" w:cs="Arial" w:eastAsia="Arial" w:hAnsi="Arial"/>
                <w:sz w:val="15"/>
                <w:szCs w:val="15"/>
                <w:b w:val="1"/>
                <w:bCs w:val="1"/>
                <w:color w:val="auto"/>
              </w:rPr>
              <w:t>Total ($)</w:t>
            </w:r>
          </w:p>
        </w:tc>
      </w:tr>
      <w:tr>
        <w:trPr>
          <w:trHeight w:val="187"/>
        </w:trPr>
        <w:tc>
          <w:tcPr>
            <w:tcW w:w="3000" w:type="dxa"/>
            <w:vAlign w:val="bottom"/>
            <w:tcBorders>
              <w:bottom w:val="single" w:sz="8" w:color="auto"/>
            </w:tcBorders>
          </w:tcPr>
          <w:p>
            <w:pPr>
              <w:ind w:left="1420"/>
              <w:spacing w:after="0"/>
              <w:rPr>
                <w:sz w:val="20"/>
                <w:szCs w:val="20"/>
                <w:color w:val="auto"/>
              </w:rPr>
            </w:pPr>
            <w:r>
              <w:rPr>
                <w:rFonts w:ascii="Arial" w:cs="Arial" w:eastAsia="Arial" w:hAnsi="Arial"/>
                <w:sz w:val="15"/>
                <w:szCs w:val="15"/>
                <w:color w:val="auto"/>
              </w:rPr>
              <w:t>(a)</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7"/>
              <w:spacing w:after="0"/>
              <w:rPr>
                <w:sz w:val="20"/>
                <w:szCs w:val="20"/>
                <w:color w:val="auto"/>
              </w:rPr>
            </w:pPr>
            <w:r>
              <w:rPr>
                <w:rFonts w:ascii="Arial" w:cs="Arial" w:eastAsia="Arial" w:hAnsi="Arial"/>
                <w:sz w:val="15"/>
                <w:szCs w:val="15"/>
                <w:color w:val="auto"/>
                <w:w w:val="87"/>
              </w:rPr>
              <w:t>(b)</w:t>
            </w:r>
          </w:p>
        </w:tc>
        <w:tc>
          <w:tcPr>
            <w:tcW w:w="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7"/>
              <w:spacing w:after="0"/>
              <w:rPr>
                <w:sz w:val="20"/>
                <w:szCs w:val="20"/>
                <w:color w:val="auto"/>
              </w:rPr>
            </w:pPr>
            <w:r>
              <w:rPr>
                <w:rFonts w:ascii="Arial" w:cs="Arial" w:eastAsia="Arial" w:hAnsi="Arial"/>
                <w:sz w:val="15"/>
                <w:szCs w:val="15"/>
                <w:color w:val="auto"/>
                <w:w w:val="91"/>
              </w:rPr>
              <w:t>(c)</w:t>
            </w:r>
          </w:p>
        </w:tc>
        <w:tc>
          <w:tcPr>
            <w:tcW w:w="5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7"/>
              <w:spacing w:after="0"/>
              <w:rPr>
                <w:sz w:val="20"/>
                <w:szCs w:val="20"/>
                <w:color w:val="auto"/>
              </w:rPr>
            </w:pPr>
            <w:r>
              <w:rPr>
                <w:rFonts w:ascii="Arial" w:cs="Arial" w:eastAsia="Arial" w:hAnsi="Arial"/>
                <w:sz w:val="15"/>
                <w:szCs w:val="15"/>
                <w:color w:val="auto"/>
                <w:w w:val="97"/>
              </w:rPr>
              <w:t>(d)</w:t>
            </w: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7"/>
              <w:spacing w:after="0"/>
              <w:rPr>
                <w:sz w:val="20"/>
                <w:szCs w:val="20"/>
                <w:color w:val="auto"/>
              </w:rPr>
            </w:pPr>
            <w:r>
              <w:rPr>
                <w:rFonts w:ascii="Arial" w:cs="Arial" w:eastAsia="Arial" w:hAnsi="Arial"/>
                <w:sz w:val="15"/>
                <w:szCs w:val="15"/>
                <w:color w:val="auto"/>
                <w:w w:val="97"/>
              </w:rPr>
              <w:t>(g)</w:t>
            </w: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7"/>
              <w:spacing w:after="0"/>
              <w:rPr>
                <w:sz w:val="20"/>
                <w:szCs w:val="20"/>
                <w:color w:val="auto"/>
              </w:rPr>
            </w:pPr>
            <w:r>
              <w:rPr>
                <w:rFonts w:ascii="Arial" w:cs="Arial" w:eastAsia="Arial" w:hAnsi="Arial"/>
                <w:sz w:val="15"/>
                <w:szCs w:val="15"/>
                <w:color w:val="auto"/>
              </w:rPr>
              <w:t>(h)</w:t>
            </w:r>
          </w:p>
        </w:tc>
        <w:tc>
          <w:tcPr>
            <w:tcW w:w="100" w:type="dxa"/>
            <w:vAlign w:val="bottom"/>
            <w:tcBorders>
              <w:bottom w:val="single" w:sz="8" w:color="CCEEFF"/>
            </w:tcBorders>
          </w:tcPr>
          <w:p>
            <w:pPr>
              <w:spacing w:after="0"/>
              <w:rPr>
                <w:sz w:val="16"/>
                <w:szCs w:val="16"/>
                <w:color w:val="auto"/>
              </w:rPr>
            </w:pPr>
          </w:p>
        </w:tc>
      </w:tr>
      <w:tr>
        <w:trPr>
          <w:trHeight w:val="175"/>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Robert J. Kammer, D.D.S.</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44,000</w:t>
            </w: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197,904(4)(5)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40,140(6)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282,044</w:t>
            </w:r>
          </w:p>
        </w:tc>
        <w:tc>
          <w:tcPr>
            <w:tcW w:w="100" w:type="dxa"/>
            <w:vAlign w:val="bottom"/>
            <w:shd w:val="clear" w:color="auto" w:fill="CCEEFF"/>
          </w:tcPr>
          <w:p>
            <w:pPr>
              <w:spacing w:after="0"/>
              <w:rPr>
                <w:sz w:val="15"/>
                <w:szCs w:val="15"/>
                <w:color w:val="auto"/>
              </w:rPr>
            </w:pPr>
          </w:p>
        </w:tc>
      </w:tr>
      <w:tr>
        <w:trPr>
          <w:trHeight w:val="175"/>
        </w:trPr>
        <w:tc>
          <w:tcPr>
            <w:tcW w:w="3000" w:type="dxa"/>
            <w:vAlign w:val="bottom"/>
          </w:tcPr>
          <w:p>
            <w:pPr>
              <w:spacing w:after="0"/>
              <w:rPr>
                <w:sz w:val="20"/>
                <w:szCs w:val="20"/>
                <w:color w:val="auto"/>
              </w:rPr>
            </w:pPr>
            <w:r>
              <w:rPr>
                <w:rFonts w:ascii="Arial" w:cs="Arial" w:eastAsia="Arial" w:hAnsi="Arial"/>
                <w:sz w:val="15"/>
                <w:szCs w:val="15"/>
                <w:color w:val="auto"/>
              </w:rPr>
              <w:t>Stephen G. Austin, CPA</w:t>
            </w:r>
          </w:p>
        </w:tc>
        <w:tc>
          <w:tcPr>
            <w:tcW w:w="38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5"/>
                <w:szCs w:val="15"/>
                <w:color w:val="auto"/>
              </w:rPr>
              <w:t>47,275</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00"/>
              <w:spacing w:after="0"/>
              <w:rPr>
                <w:sz w:val="20"/>
                <w:szCs w:val="20"/>
                <w:color w:val="auto"/>
              </w:rPr>
            </w:pPr>
            <w:r>
              <w:rPr>
                <w:rFonts w:ascii="Arial" w:cs="Arial" w:eastAsia="Arial" w:hAnsi="Arial"/>
                <w:sz w:val="15"/>
                <w:szCs w:val="15"/>
                <w:color w:val="auto"/>
              </w:rPr>
              <w:t>54,371(5)</w:t>
            </w:r>
          </w:p>
        </w:tc>
        <w:tc>
          <w:tcPr>
            <w:tcW w:w="400" w:type="dxa"/>
            <w:vAlign w:val="bottom"/>
            <w:gridSpan w:val="2"/>
          </w:tcPr>
          <w:p>
            <w:pPr>
              <w:jc w:val="right"/>
              <w:ind w:right="27"/>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101,646</w:t>
            </w:r>
          </w:p>
        </w:tc>
      </w:tr>
      <w:tr>
        <w:trPr>
          <w:trHeight w:val="175"/>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August S. Bassani, Pharm.D.</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33,700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400"/>
              <w:spacing w:after="0"/>
              <w:rPr>
                <w:sz w:val="20"/>
                <w:szCs w:val="20"/>
                <w:color w:val="auto"/>
              </w:rPr>
            </w:pPr>
            <w:r>
              <w:rPr>
                <w:rFonts w:ascii="Arial" w:cs="Arial" w:eastAsia="Arial" w:hAnsi="Arial"/>
                <w:sz w:val="15"/>
                <w:szCs w:val="15"/>
                <w:color w:val="auto"/>
              </w:rPr>
              <w:t>54,371(5)</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88,071</w:t>
            </w:r>
          </w:p>
        </w:tc>
      </w:tr>
      <w:tr>
        <w:trPr>
          <w:trHeight w:val="175"/>
        </w:trPr>
        <w:tc>
          <w:tcPr>
            <w:tcW w:w="3000" w:type="dxa"/>
            <w:vAlign w:val="bottom"/>
          </w:tcPr>
          <w:p>
            <w:pPr>
              <w:spacing w:after="0"/>
              <w:rPr>
                <w:sz w:val="20"/>
                <w:szCs w:val="20"/>
                <w:color w:val="auto"/>
              </w:rPr>
            </w:pPr>
            <w:r>
              <w:rPr>
                <w:rFonts w:ascii="Arial" w:cs="Arial" w:eastAsia="Arial" w:hAnsi="Arial"/>
                <w:sz w:val="15"/>
                <w:szCs w:val="15"/>
                <w:color w:val="auto"/>
              </w:rPr>
              <w:t>Peter C. Kenny</w:t>
            </w:r>
          </w:p>
        </w:tc>
        <w:tc>
          <w:tcPr>
            <w:tcW w:w="38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5"/>
                <w:szCs w:val="15"/>
                <w:color w:val="auto"/>
              </w:rPr>
              <w:t>11,800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400"/>
              <w:spacing w:after="0"/>
              <w:rPr>
                <w:sz w:val="20"/>
                <w:szCs w:val="20"/>
                <w:color w:val="auto"/>
              </w:rPr>
            </w:pPr>
            <w:r>
              <w:rPr>
                <w:rFonts w:ascii="Arial" w:cs="Arial" w:eastAsia="Arial" w:hAnsi="Arial"/>
                <w:sz w:val="15"/>
                <w:szCs w:val="15"/>
                <w:color w:val="auto"/>
              </w:rPr>
              <w:t>39,814(7)</w:t>
            </w:r>
          </w:p>
        </w:tc>
        <w:tc>
          <w:tcPr>
            <w:tcW w:w="400" w:type="dxa"/>
            <w:vAlign w:val="bottom"/>
            <w:gridSpan w:val="2"/>
          </w:tcPr>
          <w:p>
            <w:pPr>
              <w:jc w:val="right"/>
              <w:ind w:right="27"/>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51,614</w:t>
            </w:r>
          </w:p>
        </w:tc>
      </w:tr>
      <w:tr>
        <w:trPr>
          <w:trHeight w:val="175"/>
        </w:trPr>
        <w:tc>
          <w:tcPr>
            <w:tcW w:w="3000" w:type="dxa"/>
            <w:vAlign w:val="bottom"/>
            <w:shd w:val="clear" w:color="auto" w:fill="CCEEFF"/>
          </w:tcPr>
          <w:p>
            <w:pPr>
              <w:spacing w:after="0"/>
              <w:rPr>
                <w:sz w:val="20"/>
                <w:szCs w:val="20"/>
                <w:color w:val="auto"/>
              </w:rPr>
            </w:pPr>
            <w:r>
              <w:rPr>
                <w:rFonts w:ascii="Arial" w:cs="Arial" w:eastAsia="Arial" w:hAnsi="Arial"/>
                <w:sz w:val="15"/>
                <w:szCs w:val="15"/>
                <w:color w:val="auto"/>
              </w:rPr>
              <w:t>Paul Finnegan, M.D. (10)</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35,400</w:t>
            </w: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-(12)</w:t>
            </w:r>
          </w:p>
        </w:tc>
        <w:tc>
          <w:tcPr>
            <w:tcW w:w="40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34,935(8)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67"/>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70,335</w:t>
            </w:r>
          </w:p>
        </w:tc>
      </w:tr>
      <w:tr>
        <w:trPr>
          <w:trHeight w:val="184"/>
        </w:trPr>
        <w:tc>
          <w:tcPr>
            <w:tcW w:w="3000" w:type="dxa"/>
            <w:vAlign w:val="bottom"/>
          </w:tcPr>
          <w:p>
            <w:pPr>
              <w:spacing w:after="0"/>
              <w:rPr>
                <w:sz w:val="20"/>
                <w:szCs w:val="20"/>
                <w:color w:val="auto"/>
              </w:rPr>
            </w:pPr>
            <w:r>
              <w:rPr>
                <w:rFonts w:ascii="Arial" w:cs="Arial" w:eastAsia="Arial" w:hAnsi="Arial"/>
                <w:sz w:val="15"/>
                <w:szCs w:val="15"/>
                <w:color w:val="auto"/>
              </w:rPr>
              <w:t>Jeffrey J. Abrams, M.D. (11)</w:t>
            </w:r>
          </w:p>
        </w:tc>
        <w:tc>
          <w:tcPr>
            <w:tcW w:w="380" w:type="dxa"/>
            <w:vAlign w:val="bottom"/>
            <w:gridSpan w:val="2"/>
          </w:tcPr>
          <w:p>
            <w:pPr>
              <w:jc w:val="right"/>
              <w:ind w:right="7"/>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340"/>
              <w:spacing w:after="0"/>
              <w:rPr>
                <w:sz w:val="20"/>
                <w:szCs w:val="20"/>
                <w:color w:val="auto"/>
              </w:rPr>
            </w:pPr>
            <w:r>
              <w:rPr>
                <w:rFonts w:ascii="Arial" w:cs="Arial" w:eastAsia="Arial" w:hAnsi="Arial"/>
                <w:sz w:val="15"/>
                <w:szCs w:val="15"/>
                <w:color w:val="auto"/>
              </w:rPr>
              <w:t>33,300</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320"/>
              <w:spacing w:after="0"/>
              <w:rPr>
                <w:sz w:val="20"/>
                <w:szCs w:val="20"/>
                <w:color w:val="auto"/>
              </w:rPr>
            </w:pPr>
            <w:r>
              <w:rPr>
                <w:rFonts w:ascii="Arial" w:cs="Arial" w:eastAsia="Arial" w:hAnsi="Arial"/>
                <w:sz w:val="15"/>
                <w:szCs w:val="15"/>
                <w:color w:val="auto"/>
              </w:rPr>
              <w:t>-(12)</w:t>
            </w:r>
          </w:p>
        </w:tc>
        <w:tc>
          <w:tcPr>
            <w:tcW w:w="400" w:type="dxa"/>
            <w:vAlign w:val="bottom"/>
            <w:gridSpan w:val="2"/>
          </w:tcPr>
          <w:p>
            <w:pPr>
              <w:jc w:val="right"/>
              <w:ind w:right="27"/>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5"/>
                <w:szCs w:val="15"/>
                <w:color w:val="auto"/>
              </w:rPr>
              <w:t>34,882(9)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5"/>
                <w:szCs w:val="15"/>
                <w:color w:val="auto"/>
              </w:rPr>
              <w:t>68,182</w:t>
            </w:r>
          </w:p>
        </w:tc>
      </w:tr>
    </w:tbl>
    <w:p>
      <w:pPr>
        <w:spacing w:after="0" w:line="155" w:lineRule="exact"/>
        <w:rPr>
          <w:sz w:val="20"/>
          <w:szCs w:val="20"/>
          <w:color w:val="auto"/>
        </w:rPr>
      </w:pPr>
    </w:p>
    <w:p>
      <w:pPr>
        <w:jc w:val="both"/>
        <w:ind w:left="540" w:hanging="533"/>
        <w:spacing w:after="0" w:line="246"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Reflects the dollar value of the stock awards calculated on the basis of the fair value of the underlying shares of our common stock on the respective grant dates in accordance with Financial Accounting Standards Board (“FASB”) Accounting Standards Codification (“ASC”) Topic 718 (“Topic 718”) and without any adjustment for estimated forfeitures. The actual value that a director will realize on each restricted stock award will depend on the price per share of our common stock at the time shares underlying the stock awards are sold. The actual value realized by a director may not be at or near the grant date fair value of the stock awarded. For a discussion of the assumptions used to calculate the value of option awards, refer to Note 6 to our Consolidated Financial Statements for the fiscal year ended December 31, 2013 included in the Company’s Annual Report on Form 10-K for the fiscal year ended December 31, 2013.</w:t>
      </w:r>
    </w:p>
    <w:p>
      <w:pPr>
        <w:spacing w:after="0" w:line="163" w:lineRule="exact"/>
        <w:rPr>
          <w:rFonts w:ascii="Arial" w:cs="Arial" w:eastAsia="Arial" w:hAnsi="Arial"/>
          <w:sz w:val="15"/>
          <w:szCs w:val="15"/>
          <w:color w:val="auto"/>
        </w:rPr>
      </w:pPr>
    </w:p>
    <w:p>
      <w:pPr>
        <w:jc w:val="both"/>
        <w:ind w:left="540" w:hanging="533"/>
        <w:spacing w:after="0" w:line="251"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Reflects the dollar amount of the grant date fair value of awards granted during the 2013 fiscal year, measured in accordance with Topic 718 and without adjustment for estimated forfeitures. For a discussion of the assumptions used to calculate the value of option awards, see Note 6 to our Consolidated Financial Statements for the fiscal year ended December 31, 2013 included in the Company’s Annual Report on Form 10-K for the fiscal year ended December 31, 2013.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11" w:name="page12"/>
    <w:bookmarkEnd w:id="11"/>
    <w:p>
      <w:pPr>
        <w:ind w:left="540" w:hanging="533"/>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aggregate number of stock and option awards outstanding as of December 31, 2013 for each non-employee director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3"/>
              </w:rPr>
              <w:t>Shares</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Underlying</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79"/>
              </w:rPr>
              <w:t>Shares</w:t>
            </w: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Restricted</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1"/>
              </w:rPr>
              <w:t>Underlying</w:t>
            </w:r>
          </w:p>
        </w:tc>
        <w:tc>
          <w:tcPr>
            <w:tcW w:w="17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7"/>
              </w:rPr>
              <w:t>Restricted</w:t>
            </w:r>
          </w:p>
        </w:tc>
        <w:tc>
          <w:tcPr>
            <w:tcW w:w="16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Stock Unit</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48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17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6"/>
              </w:rPr>
              <w:t>Stock Options</w:t>
            </w:r>
          </w:p>
        </w:tc>
        <w:tc>
          <w:tcPr>
            <w:tcW w:w="174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8"/>
              </w:rPr>
              <w:t>Stock</w:t>
            </w:r>
          </w:p>
        </w:tc>
        <w:tc>
          <w:tcPr>
            <w:tcW w:w="16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8"/>
              </w:rPr>
              <w:t>Awards</w:t>
            </w:r>
          </w:p>
        </w:tc>
        <w:tc>
          <w:tcPr>
            <w:tcW w:w="1480" w:type="dxa"/>
            <w:vAlign w:val="bottom"/>
            <w:gridSpan w:val="2"/>
          </w:tcPr>
          <w:p>
            <w:pPr>
              <w:ind w:left="520"/>
              <w:spacing w:after="0"/>
              <w:rPr>
                <w:sz w:val="20"/>
                <w:szCs w:val="20"/>
                <w:color w:val="auto"/>
              </w:rPr>
            </w:pPr>
            <w:r>
              <w:rPr>
                <w:rFonts w:ascii="Arial" w:cs="Arial" w:eastAsia="Arial" w:hAnsi="Arial"/>
                <w:sz w:val="15"/>
                <w:szCs w:val="15"/>
                <w:b w:val="1"/>
                <w:bCs w:val="1"/>
                <w:color w:val="auto"/>
              </w:rPr>
              <w:t>Total</w:t>
            </w:r>
          </w:p>
        </w:tc>
      </w:tr>
      <w:tr>
        <w:trPr>
          <w:trHeight w:val="175"/>
        </w:trPr>
        <w:tc>
          <w:tcPr>
            <w:tcW w:w="4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Robert J. Kammer, D.D.S.</w:t>
            </w:r>
          </w:p>
        </w:tc>
        <w:tc>
          <w:tcPr>
            <w:tcW w:w="22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71,875</w:t>
            </w:r>
          </w:p>
        </w:tc>
        <w:tc>
          <w:tcPr>
            <w:tcW w:w="34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34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6,865</w:t>
            </w:r>
          </w:p>
        </w:tc>
        <w:tc>
          <w:tcPr>
            <w:tcW w:w="32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98,740</w:t>
            </w:r>
          </w:p>
        </w:tc>
        <w:tc>
          <w:tcPr>
            <w:tcW w:w="100" w:type="dxa"/>
            <w:vAlign w:val="bottom"/>
            <w:tcBorders>
              <w:top w:val="single" w:sz="8" w:color="CCEEFF"/>
            </w:tcBorders>
            <w:shd w:val="clear" w:color="auto" w:fill="CCEEFF"/>
          </w:tcPr>
          <w:p>
            <w:pPr>
              <w:spacing w:after="0"/>
              <w:rPr>
                <w:sz w:val="15"/>
                <w:szCs w:val="15"/>
                <w:color w:val="auto"/>
              </w:rPr>
            </w:pPr>
          </w:p>
        </w:tc>
      </w:tr>
      <w:tr>
        <w:trPr>
          <w:trHeight w:val="175"/>
        </w:trPr>
        <w:tc>
          <w:tcPr>
            <w:tcW w:w="4820" w:type="dxa"/>
            <w:vAlign w:val="bottom"/>
            <w:gridSpan w:val="2"/>
          </w:tcPr>
          <w:p>
            <w:pPr>
              <w:spacing w:after="0"/>
              <w:rPr>
                <w:sz w:val="20"/>
                <w:szCs w:val="20"/>
                <w:color w:val="auto"/>
              </w:rPr>
            </w:pPr>
            <w:r>
              <w:rPr>
                <w:rFonts w:ascii="Arial" w:cs="Arial" w:eastAsia="Arial" w:hAnsi="Arial"/>
                <w:sz w:val="15"/>
                <w:szCs w:val="15"/>
                <w:color w:val="auto"/>
              </w:rPr>
              <w:t>Stephen G. Austin, CPA</w:t>
            </w:r>
          </w:p>
        </w:tc>
        <w:tc>
          <w:tcPr>
            <w:tcW w:w="1740" w:type="dxa"/>
            <w:vAlign w:val="bottom"/>
            <w:gridSpan w:val="2"/>
          </w:tcPr>
          <w:p>
            <w:pPr>
              <w:jc w:val="right"/>
              <w:ind w:right="340"/>
              <w:spacing w:after="0"/>
              <w:rPr>
                <w:sz w:val="20"/>
                <w:szCs w:val="20"/>
                <w:color w:val="auto"/>
              </w:rPr>
            </w:pPr>
            <w:r>
              <w:rPr>
                <w:rFonts w:ascii="Arial" w:cs="Arial" w:eastAsia="Arial" w:hAnsi="Arial"/>
                <w:sz w:val="15"/>
                <w:szCs w:val="15"/>
                <w:color w:val="auto"/>
              </w:rPr>
              <w:t>17,123</w:t>
            </w:r>
          </w:p>
        </w:tc>
        <w:tc>
          <w:tcPr>
            <w:tcW w:w="17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5"/>
                <w:szCs w:val="15"/>
                <w:color w:val="auto"/>
              </w:rPr>
              <w:t>6,865</w:t>
            </w: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23,988</w:t>
            </w:r>
          </w:p>
        </w:tc>
      </w:tr>
      <w:tr>
        <w:trPr>
          <w:trHeight w:val="175"/>
        </w:trPr>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August S. Bassani, Pharm.D.</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7,603</w:t>
            </w:r>
          </w:p>
        </w:tc>
        <w:tc>
          <w:tcPr>
            <w:tcW w:w="17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6,865</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14,468</w:t>
            </w:r>
          </w:p>
        </w:tc>
      </w:tr>
      <w:tr>
        <w:trPr>
          <w:trHeight w:val="184"/>
        </w:trPr>
        <w:tc>
          <w:tcPr>
            <w:tcW w:w="4820" w:type="dxa"/>
            <w:vAlign w:val="bottom"/>
            <w:gridSpan w:val="2"/>
          </w:tcPr>
          <w:p>
            <w:pPr>
              <w:spacing w:after="0"/>
              <w:rPr>
                <w:sz w:val="20"/>
                <w:szCs w:val="20"/>
                <w:color w:val="auto"/>
              </w:rPr>
            </w:pPr>
            <w:r>
              <w:rPr>
                <w:rFonts w:ascii="Arial" w:cs="Arial" w:eastAsia="Arial" w:hAnsi="Arial"/>
                <w:sz w:val="15"/>
                <w:szCs w:val="15"/>
                <w:color w:val="auto"/>
              </w:rPr>
              <w:t>Peter C. Kenny</w:t>
            </w:r>
          </w:p>
        </w:tc>
        <w:tc>
          <w:tcPr>
            <w:tcW w:w="140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74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5"/>
                <w:szCs w:val="15"/>
                <w:color w:val="auto"/>
              </w:rPr>
              <w:t>8,947</w:t>
            </w: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8,947</w:t>
            </w:r>
          </w:p>
        </w:tc>
      </w:tr>
    </w:tbl>
    <w:p>
      <w:pPr>
        <w:spacing w:after="0" w:line="177" w:lineRule="exact"/>
        <w:rPr>
          <w:sz w:val="20"/>
          <w:szCs w:val="20"/>
          <w:color w:val="auto"/>
        </w:rPr>
      </w:pPr>
    </w:p>
    <w:p>
      <w:pPr>
        <w:ind w:left="540" w:hanging="533"/>
        <w:spacing w:after="0" w:line="25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Includes 20,000 shares of common stock earned and issued to Dr. Kammer during fiscal 2013 under his advisory agreement with us, pursuant to which Dr. Kammer earned 2,222.22 shares per month for certain advisory services. The advisory agreement was terminated on September 30, 2013.</w:t>
      </w:r>
    </w:p>
    <w:p>
      <w:pPr>
        <w:spacing w:after="0" w:line="152" w:lineRule="exact"/>
        <w:rPr>
          <w:rFonts w:ascii="Arial" w:cs="Arial" w:eastAsia="Arial" w:hAnsi="Arial"/>
          <w:sz w:val="15"/>
          <w:szCs w:val="15"/>
          <w:color w:val="auto"/>
        </w:rPr>
      </w:pPr>
    </w:p>
    <w:p>
      <w:pPr>
        <w:ind w:left="540" w:hanging="533"/>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June 2013, the Board of Directors approved a one-time grant of 6,865 restricted stock units to non-employee directors. The RSUs vest in full 13 months from the date of grant.</w:t>
      </w:r>
    </w:p>
    <w:p>
      <w:pPr>
        <w:spacing w:after="0" w:line="211" w:lineRule="exact"/>
        <w:rPr>
          <w:rFonts w:ascii="Arial" w:cs="Arial" w:eastAsia="Arial" w:hAnsi="Arial"/>
          <w:sz w:val="12"/>
          <w:szCs w:val="12"/>
          <w:color w:val="auto"/>
        </w:rPr>
      </w:pPr>
    </w:p>
    <w:p>
      <w:pPr>
        <w:ind w:left="540" w:hanging="533"/>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Reflects the total amount paid for rent related to an apartment located in Del Mar, California utilized by Dr. Kammer while providing services as a consultant and director of the Company.</w:t>
      </w:r>
    </w:p>
    <w:p>
      <w:pPr>
        <w:spacing w:after="0" w:line="211" w:lineRule="exact"/>
        <w:rPr>
          <w:rFonts w:ascii="Arial" w:cs="Arial" w:eastAsia="Arial" w:hAnsi="Arial"/>
          <w:sz w:val="12"/>
          <w:szCs w:val="12"/>
          <w:color w:val="auto"/>
        </w:rPr>
      </w:pPr>
    </w:p>
    <w:p>
      <w:pPr>
        <w:ind w:left="540" w:hanging="533"/>
        <w:spacing w:after="0"/>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October 2013, the Board of Directors approved a one-time grant of 8,947 restricted stock units to Peter C. Kenny. The RSUs vest in full 13 months from the date of grant.</w:t>
      </w:r>
    </w:p>
    <w:p>
      <w:pPr>
        <w:spacing w:after="0" w:line="188" w:lineRule="exact"/>
        <w:rPr>
          <w:rFonts w:ascii="Arial" w:cs="Arial" w:eastAsia="Arial" w:hAnsi="Arial"/>
          <w:sz w:val="14"/>
          <w:szCs w:val="14"/>
          <w:color w:val="auto"/>
        </w:rPr>
      </w:pPr>
    </w:p>
    <w:p>
      <w:pPr>
        <w:ind w:left="540" w:hanging="533"/>
        <w:spacing w:after="0" w:line="383" w:lineRule="auto"/>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an option to purchase up to 10,300 shares of common stock granted to Dr. Finnegan on October 1, 2013 under the Plan in connection with a consulting agreement entered into with the Company on the October 1, 2013, following Dr. Finnegan’s resignation as a director. The option vests in quarterly installments of 2,575 shares over one year.</w:t>
      </w:r>
    </w:p>
    <w:p>
      <w:pPr>
        <w:spacing w:after="0" w:line="84" w:lineRule="exact"/>
        <w:rPr>
          <w:rFonts w:ascii="Arial" w:cs="Arial" w:eastAsia="Arial" w:hAnsi="Arial"/>
          <w:sz w:val="12"/>
          <w:szCs w:val="12"/>
          <w:color w:val="auto"/>
        </w:rPr>
      </w:pPr>
    </w:p>
    <w:p>
      <w:pPr>
        <w:ind w:left="540" w:hanging="533"/>
        <w:spacing w:after="0" w:line="383" w:lineRule="auto"/>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an option to purchase up to 10,300 shares of common stock granted to Dr. Abrams on September 30, 2013 under the Plan in connection with a consulting agreement entered into with the Company on the September 30, 2013, following Dr. Abram’s resignation as a director. The option vests in quarterly installments of 2,575 shares over one year.</w:t>
      </w:r>
    </w:p>
    <w:p>
      <w:pPr>
        <w:spacing w:after="0" w:line="84" w:lineRule="exact"/>
        <w:rPr>
          <w:rFonts w:ascii="Arial" w:cs="Arial" w:eastAsia="Arial" w:hAnsi="Arial"/>
          <w:sz w:val="12"/>
          <w:szCs w:val="12"/>
          <w:color w:val="auto"/>
        </w:rPr>
      </w:pPr>
    </w:p>
    <w:p>
      <w:pPr>
        <w:ind w:left="540" w:hanging="533"/>
        <w:spacing w:after="0"/>
        <w:tabs>
          <w:tab w:leader="none" w:pos="540"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September 26, 2013, director Dr. Finnegan provided notice of his resignation from the Board of Directors of the Company for personal reasons, effective as of October 1, 2013.</w:t>
      </w:r>
    </w:p>
    <w:p>
      <w:pPr>
        <w:spacing w:after="0" w:line="211" w:lineRule="exact"/>
        <w:rPr>
          <w:rFonts w:ascii="Arial" w:cs="Arial" w:eastAsia="Arial" w:hAnsi="Arial"/>
          <w:sz w:val="12"/>
          <w:szCs w:val="12"/>
          <w:color w:val="auto"/>
        </w:rPr>
      </w:pPr>
    </w:p>
    <w:p>
      <w:pPr>
        <w:ind w:left="540" w:hanging="533"/>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On September 29, 2013, director Dr. Abrams resigned from the Board of Directors of the Company for personal reasons, effective as of that date.</w:t>
      </w:r>
    </w:p>
    <w:p>
      <w:pPr>
        <w:spacing w:after="0" w:line="177" w:lineRule="exact"/>
        <w:rPr>
          <w:rFonts w:ascii="Arial" w:cs="Arial" w:eastAsia="Arial" w:hAnsi="Arial"/>
          <w:sz w:val="15"/>
          <w:szCs w:val="15"/>
          <w:color w:val="auto"/>
        </w:rPr>
      </w:pPr>
    </w:p>
    <w:p>
      <w:pPr>
        <w:ind w:left="540" w:hanging="533"/>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Upon Dr. Finnegan and Dr. Abrams respective resignations from the Board, their respective RSUs were forfeited.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Executive Officers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Executive officers are elected by our Board and serve at its discretion. Set forth below is information regarding our executive officers as of July 18, 2014.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20" w:type="dxa"/>
            <w:vAlign w:val="bottom"/>
            <w:gridSpan w:val="2"/>
          </w:tcPr>
          <w:p>
            <w:pPr>
              <w:spacing w:after="0"/>
              <w:rPr>
                <w:sz w:val="20"/>
                <w:szCs w:val="20"/>
                <w:color w:val="auto"/>
              </w:rPr>
            </w:pPr>
            <w:r>
              <w:rPr>
                <w:rFonts w:ascii="Arial" w:cs="Arial" w:eastAsia="Arial" w:hAnsi="Arial"/>
                <w:sz w:val="15"/>
                <w:szCs w:val="15"/>
                <w:b w:val="1"/>
                <w:bCs w:val="1"/>
                <w:color w:val="auto"/>
              </w:rPr>
              <w:t>Name</w:t>
            </w:r>
          </w:p>
        </w:tc>
        <w:tc>
          <w:tcPr>
            <w:tcW w:w="5060" w:type="dxa"/>
            <w:vAlign w:val="bottom"/>
            <w:gridSpan w:val="3"/>
          </w:tcPr>
          <w:p>
            <w:pPr>
              <w:ind w:left="220"/>
              <w:spacing w:after="0"/>
              <w:rPr>
                <w:sz w:val="20"/>
                <w:szCs w:val="20"/>
                <w:color w:val="auto"/>
              </w:rPr>
            </w:pPr>
            <w:r>
              <w:rPr>
                <w:rFonts w:ascii="Arial" w:cs="Arial" w:eastAsia="Arial" w:hAnsi="Arial"/>
                <w:sz w:val="15"/>
                <w:szCs w:val="15"/>
                <w:b w:val="1"/>
                <w:bCs w:val="1"/>
                <w:color w:val="auto"/>
              </w:rPr>
              <w:t>Position</w:t>
            </w:r>
          </w:p>
        </w:tc>
        <w:tc>
          <w:tcPr>
            <w:tcW w:w="1640" w:type="dxa"/>
            <w:vAlign w:val="bottom"/>
          </w:tcPr>
          <w:p>
            <w:pPr>
              <w:jc w:val="center"/>
              <w:spacing w:after="0"/>
              <w:rPr>
                <w:sz w:val="20"/>
                <w:szCs w:val="20"/>
                <w:color w:val="auto"/>
              </w:rPr>
            </w:pPr>
            <w:r>
              <w:rPr>
                <w:rFonts w:ascii="Arial" w:cs="Arial" w:eastAsia="Arial" w:hAnsi="Arial"/>
                <w:sz w:val="15"/>
                <w:szCs w:val="15"/>
                <w:b w:val="1"/>
                <w:bCs w:val="1"/>
                <w:color w:val="auto"/>
                <w:w w:val="84"/>
              </w:rPr>
              <w:t>Age</w:t>
            </w:r>
          </w:p>
        </w:tc>
      </w:tr>
      <w:tr>
        <w:trPr>
          <w:trHeight w:val="164"/>
        </w:trPr>
        <w:tc>
          <w:tcPr>
            <w:tcW w:w="20" w:type="dxa"/>
            <w:vAlign w:val="bottom"/>
          </w:tcPr>
          <w:p>
            <w:pPr>
              <w:spacing w:after="0"/>
              <w:rPr>
                <w:sz w:val="14"/>
                <w:szCs w:val="14"/>
                <w:color w:val="auto"/>
              </w:rPr>
            </w:pPr>
          </w:p>
        </w:tc>
        <w:tc>
          <w:tcPr>
            <w:tcW w:w="360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Mark L. Baum, J.D.</w:t>
            </w:r>
          </w:p>
        </w:tc>
        <w:tc>
          <w:tcPr>
            <w:tcW w:w="220" w:type="dxa"/>
            <w:vAlign w:val="bottom"/>
          </w:tcPr>
          <w:p>
            <w:pPr>
              <w:spacing w:after="0"/>
              <w:rPr>
                <w:sz w:val="14"/>
                <w:szCs w:val="14"/>
                <w:color w:val="auto"/>
              </w:rPr>
            </w:pPr>
          </w:p>
        </w:tc>
        <w:tc>
          <w:tcPr>
            <w:tcW w:w="464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Chief Executive Officer and Director</w:t>
            </w:r>
          </w:p>
        </w:tc>
        <w:tc>
          <w:tcPr>
            <w:tcW w:w="200" w:type="dxa"/>
            <w:vAlign w:val="bottom"/>
          </w:tcPr>
          <w:p>
            <w:pPr>
              <w:spacing w:after="0"/>
              <w:rPr>
                <w:sz w:val="14"/>
                <w:szCs w:val="14"/>
                <w:color w:val="auto"/>
              </w:rPr>
            </w:pPr>
          </w:p>
        </w:tc>
        <w:tc>
          <w:tcPr>
            <w:tcW w:w="164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5"/>
                <w:szCs w:val="15"/>
                <w:color w:val="auto"/>
                <w:w w:val="83"/>
              </w:rPr>
              <w:t>41</w:t>
            </w:r>
          </w:p>
        </w:tc>
      </w:tr>
      <w:tr>
        <w:trPr>
          <w:trHeight w:val="184"/>
        </w:trPr>
        <w:tc>
          <w:tcPr>
            <w:tcW w:w="3620" w:type="dxa"/>
            <w:vAlign w:val="bottom"/>
            <w:gridSpan w:val="2"/>
          </w:tcPr>
          <w:p>
            <w:pPr>
              <w:spacing w:after="0"/>
              <w:rPr>
                <w:sz w:val="20"/>
                <w:szCs w:val="20"/>
                <w:color w:val="auto"/>
              </w:rPr>
            </w:pPr>
            <w:r>
              <w:rPr>
                <w:rFonts w:ascii="Arial" w:cs="Arial" w:eastAsia="Arial" w:hAnsi="Arial"/>
                <w:sz w:val="15"/>
                <w:szCs w:val="15"/>
                <w:color w:val="auto"/>
              </w:rPr>
              <w:t>Andrew R. Boll, CMA</w:t>
            </w:r>
          </w:p>
        </w:tc>
        <w:tc>
          <w:tcPr>
            <w:tcW w:w="5060" w:type="dxa"/>
            <w:vAlign w:val="bottom"/>
            <w:gridSpan w:val="3"/>
          </w:tcPr>
          <w:p>
            <w:pPr>
              <w:ind w:left="220"/>
              <w:spacing w:after="0"/>
              <w:rPr>
                <w:sz w:val="20"/>
                <w:szCs w:val="20"/>
                <w:color w:val="auto"/>
              </w:rPr>
            </w:pPr>
            <w:r>
              <w:rPr>
                <w:rFonts w:ascii="Arial" w:cs="Arial" w:eastAsia="Arial" w:hAnsi="Arial"/>
                <w:sz w:val="15"/>
                <w:szCs w:val="15"/>
                <w:color w:val="auto"/>
              </w:rPr>
              <w:t>Vice-President, Accounting and Public Reporting</w:t>
            </w:r>
          </w:p>
        </w:tc>
        <w:tc>
          <w:tcPr>
            <w:tcW w:w="1640" w:type="dxa"/>
            <w:vAlign w:val="bottom"/>
          </w:tcPr>
          <w:p>
            <w:pPr>
              <w:jc w:val="center"/>
              <w:spacing w:after="0"/>
              <w:rPr>
                <w:sz w:val="20"/>
                <w:szCs w:val="20"/>
                <w:color w:val="auto"/>
              </w:rPr>
            </w:pPr>
            <w:r>
              <w:rPr>
                <w:rFonts w:ascii="Arial" w:cs="Arial" w:eastAsia="Arial" w:hAnsi="Arial"/>
                <w:sz w:val="15"/>
                <w:szCs w:val="15"/>
                <w:color w:val="auto"/>
                <w:w w:val="83"/>
              </w:rPr>
              <w:t>31</w:t>
            </w:r>
          </w:p>
        </w:tc>
      </w:tr>
    </w:tbl>
    <w:p>
      <w:pPr>
        <w:spacing w:after="0" w:line="16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Mr. Baum’s biographical information is included with those of the other members of our Board.</w:t>
      </w:r>
    </w:p>
    <w:p>
      <w:pPr>
        <w:spacing w:after="0" w:line="173" w:lineRule="exact"/>
        <w:rPr>
          <w:sz w:val="20"/>
          <w:szCs w:val="20"/>
          <w:color w:val="auto"/>
        </w:rPr>
      </w:pPr>
    </w:p>
    <w:p>
      <w:pPr>
        <w:jc w:val="both"/>
        <w:ind w:firstLine="525"/>
        <w:spacing w:after="0" w:line="321" w:lineRule="auto"/>
        <w:rPr>
          <w:sz w:val="20"/>
          <w:szCs w:val="20"/>
          <w:color w:val="auto"/>
        </w:rPr>
      </w:pPr>
      <w:r>
        <w:rPr>
          <w:rFonts w:ascii="Arial" w:cs="Arial" w:eastAsia="Arial" w:hAnsi="Arial"/>
          <w:sz w:val="12"/>
          <w:szCs w:val="12"/>
          <w:b w:val="1"/>
          <w:bCs w:val="1"/>
          <w:color w:val="auto"/>
        </w:rPr>
        <w:t xml:space="preserve">Andrew R. Boll, CMA, </w:t>
      </w:r>
      <w:r>
        <w:rPr>
          <w:rFonts w:ascii="Arial" w:cs="Arial" w:eastAsia="Arial" w:hAnsi="Arial"/>
          <w:sz w:val="12"/>
          <w:szCs w:val="12"/>
          <w:color w:val="auto"/>
        </w:rPr>
        <w:t>has been our Vice President of Accounting and Financial Reporting since February 2012 and was a consultant to the Company from December 2011 to February</w:t>
      </w:r>
      <w:r>
        <w:rPr>
          <w:rFonts w:ascii="Arial" w:cs="Arial" w:eastAsia="Arial" w:hAnsi="Arial"/>
          <w:sz w:val="12"/>
          <w:szCs w:val="12"/>
          <w:b w:val="1"/>
          <w:bCs w:val="1"/>
          <w:color w:val="auto"/>
        </w:rPr>
        <w:t xml:space="preserve"> </w:t>
      </w:r>
      <w:r>
        <w:rPr>
          <w:rFonts w:ascii="Arial" w:cs="Arial" w:eastAsia="Arial" w:hAnsi="Arial"/>
          <w:sz w:val="12"/>
          <w:szCs w:val="12"/>
          <w:color w:val="auto"/>
        </w:rPr>
        <w:t>2012. He has over ten years of experience in finance and accounting roles, including significant experience working with small capitalization companies, focusing on restructured and reorganized businesses. From 2007 to 2011, Mr. Boll was an accountant for BCGU, LLC, a privately held fund manager, and its related entities, that specialized in capital venture investment opportunities. There he provided financial and accounting consulting services to public company clients. From 2004 to 2007, Mr. Boll held various accounting roles at Welsh Companies, LLC, a privately held commercial real estate company, its fund and its other subsidiaries. Mr. Boll is a Certified Management Accountant and received his B.S. degree in Corporate and Public Finance, summa cum laude, from Huron University. He is a member of the Institute of Management Accountants, a CFA Institute member, and a member of the CFA Society of San Diego.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88"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color w:val="auto"/>
        </w:rPr>
        <w:t>Summary Compensation Table</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summarizes compensation earned by or awarded or paid to our named executive officers during fiscal year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Non-Equity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320"/>
              <w:spacing w:after="0" w:line="121" w:lineRule="exact"/>
              <w:rPr>
                <w:sz w:val="20"/>
                <w:szCs w:val="20"/>
                <w:color w:val="auto"/>
              </w:rPr>
            </w:pPr>
            <w:r>
              <w:rPr>
                <w:rFonts w:ascii="Arial" w:cs="Arial" w:eastAsia="Arial" w:hAnsi="Arial"/>
                <w:sz w:val="12"/>
                <w:szCs w:val="12"/>
                <w:b w:val="1"/>
                <w:bCs w:val="1"/>
                <w:color w:val="auto"/>
                <w:w w:val="85"/>
              </w:rPr>
              <w:t>Stock</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92"/>
              </w:rPr>
              <w:t>Option</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center"/>
              <w:ind w:right="160"/>
              <w:spacing w:after="0" w:line="121" w:lineRule="exact"/>
              <w:rPr>
                <w:sz w:val="20"/>
                <w:szCs w:val="20"/>
                <w:color w:val="auto"/>
              </w:rPr>
            </w:pPr>
            <w:r>
              <w:rPr>
                <w:rFonts w:ascii="Arial" w:cs="Arial" w:eastAsia="Arial" w:hAnsi="Arial"/>
                <w:sz w:val="12"/>
                <w:szCs w:val="12"/>
                <w:b w:val="1"/>
                <w:bCs w:val="1"/>
                <w:color w:val="auto"/>
                <w:w w:val="86"/>
              </w:rPr>
              <w:t>Incentive Plan</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300"/>
              <w:spacing w:after="0" w:line="121" w:lineRule="exact"/>
              <w:rPr>
                <w:sz w:val="20"/>
                <w:szCs w:val="20"/>
                <w:color w:val="auto"/>
              </w:rPr>
            </w:pPr>
            <w:r>
              <w:rPr>
                <w:rFonts w:ascii="Arial" w:cs="Arial" w:eastAsia="Arial" w:hAnsi="Arial"/>
                <w:sz w:val="12"/>
                <w:szCs w:val="12"/>
                <w:b w:val="1"/>
                <w:bCs w:val="1"/>
                <w:color w:val="auto"/>
              </w:rPr>
              <w:t>All 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200" w:type="dxa"/>
            <w:vAlign w:val="bottom"/>
          </w:tcPr>
          <w:p>
            <w:pPr>
              <w:ind w:left="1380"/>
              <w:spacing w:after="0" w:line="121" w:lineRule="exact"/>
              <w:rPr>
                <w:sz w:val="20"/>
                <w:szCs w:val="20"/>
                <w:color w:val="auto"/>
              </w:rPr>
            </w:pPr>
            <w:r>
              <w:rPr>
                <w:rFonts w:ascii="Arial" w:cs="Arial" w:eastAsia="Arial" w:hAnsi="Arial"/>
                <w:sz w:val="12"/>
                <w:szCs w:val="12"/>
                <w:b w:val="1"/>
                <w:bCs w:val="1"/>
                <w:color w:val="auto"/>
              </w:rPr>
              <w:t>Name and principal position</w:t>
            </w:r>
          </w:p>
        </w:tc>
        <w:tc>
          <w:tcPr>
            <w:tcW w:w="120" w:type="dxa"/>
            <w:vAlign w:val="bottom"/>
          </w:tcPr>
          <w:p>
            <w:pPr>
              <w:spacing w:after="0"/>
              <w:rPr>
                <w:sz w:val="10"/>
                <w:szCs w:val="10"/>
                <w:color w:val="auto"/>
              </w:rPr>
            </w:pPr>
          </w:p>
        </w:tc>
        <w:tc>
          <w:tcPr>
            <w:tcW w:w="1000" w:type="dxa"/>
            <w:vAlign w:val="bottom"/>
            <w:gridSpan w:val="2"/>
          </w:tcPr>
          <w:p>
            <w:pPr>
              <w:ind w:left="280"/>
              <w:spacing w:after="0" w:line="121" w:lineRule="exact"/>
              <w:rPr>
                <w:sz w:val="20"/>
                <w:szCs w:val="20"/>
                <w:color w:val="auto"/>
              </w:rPr>
            </w:pPr>
            <w:r>
              <w:rPr>
                <w:rFonts w:ascii="Arial" w:cs="Arial" w:eastAsia="Arial" w:hAnsi="Arial"/>
                <w:sz w:val="12"/>
                <w:szCs w:val="12"/>
                <w:b w:val="1"/>
                <w:bCs w:val="1"/>
                <w:color w:val="auto"/>
              </w:rPr>
              <w:t>Year</w:t>
            </w:r>
          </w:p>
        </w:tc>
        <w:tc>
          <w:tcPr>
            <w:tcW w:w="140" w:type="dxa"/>
            <w:vAlign w:val="bottom"/>
          </w:tcPr>
          <w:p>
            <w:pPr>
              <w:spacing w:after="0"/>
              <w:rPr>
                <w:sz w:val="10"/>
                <w:szCs w:val="10"/>
                <w:color w:val="auto"/>
              </w:rPr>
            </w:pPr>
          </w:p>
        </w:tc>
        <w:tc>
          <w:tcPr>
            <w:tcW w:w="860" w:type="dxa"/>
            <w:vAlign w:val="bottom"/>
            <w:gridSpan w:val="2"/>
          </w:tcPr>
          <w:p>
            <w:pPr>
              <w:jc w:val="right"/>
              <w:ind w:right="440"/>
              <w:spacing w:after="0" w:line="121" w:lineRule="exact"/>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0"/>
                <w:szCs w:val="10"/>
                <w:color w:val="auto"/>
              </w:rPr>
            </w:pPr>
          </w:p>
        </w:tc>
        <w:tc>
          <w:tcPr>
            <w:tcW w:w="840" w:type="dxa"/>
            <w:vAlign w:val="bottom"/>
            <w:gridSpan w:val="2"/>
          </w:tcPr>
          <w:p>
            <w:pPr>
              <w:jc w:val="center"/>
              <w:ind w:right="340"/>
              <w:spacing w:after="0" w:line="121" w:lineRule="exact"/>
              <w:rPr>
                <w:sz w:val="20"/>
                <w:szCs w:val="20"/>
                <w:color w:val="auto"/>
              </w:rPr>
            </w:pPr>
            <w:r>
              <w:rPr>
                <w:rFonts w:ascii="Arial" w:cs="Arial" w:eastAsia="Arial" w:hAnsi="Arial"/>
                <w:sz w:val="12"/>
                <w:szCs w:val="12"/>
                <w:b w:val="1"/>
                <w:bCs w:val="1"/>
                <w:color w:val="auto"/>
                <w:w w:val="87"/>
              </w:rPr>
              <w:t>Awards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89"/>
              </w:rPr>
              <w:t>Awards(1)</w:t>
            </w:r>
          </w:p>
        </w:tc>
        <w:tc>
          <w:tcPr>
            <w:tcW w:w="1020" w:type="dxa"/>
            <w:vAlign w:val="bottom"/>
            <w:gridSpan w:val="4"/>
          </w:tcPr>
          <w:p>
            <w:pPr>
              <w:jc w:val="right"/>
              <w:ind w:right="100"/>
              <w:spacing w:after="0" w:line="121" w:lineRule="exact"/>
              <w:rPr>
                <w:sz w:val="20"/>
                <w:szCs w:val="20"/>
                <w:color w:val="auto"/>
              </w:rPr>
            </w:pPr>
            <w:r>
              <w:rPr>
                <w:rFonts w:ascii="Arial" w:cs="Arial" w:eastAsia="Arial" w:hAnsi="Arial"/>
                <w:sz w:val="12"/>
                <w:szCs w:val="12"/>
                <w:b w:val="1"/>
                <w:bCs w:val="1"/>
                <w:color w:val="auto"/>
                <w:w w:val="91"/>
              </w:rPr>
              <w:t>Compensation(2)</w:t>
            </w:r>
          </w:p>
        </w:tc>
        <w:tc>
          <w:tcPr>
            <w:tcW w:w="1080" w:type="dxa"/>
            <w:vAlign w:val="bottom"/>
            <w:gridSpan w:val="4"/>
          </w:tcPr>
          <w:p>
            <w:pPr>
              <w:jc w:val="right"/>
              <w:ind w:right="120"/>
              <w:spacing w:after="0" w:line="121" w:lineRule="exact"/>
              <w:rPr>
                <w:sz w:val="20"/>
                <w:szCs w:val="20"/>
                <w:color w:val="auto"/>
              </w:rPr>
            </w:pPr>
            <w:r>
              <w:rPr>
                <w:rFonts w:ascii="Arial" w:cs="Arial" w:eastAsia="Arial" w:hAnsi="Arial"/>
                <w:sz w:val="12"/>
                <w:szCs w:val="12"/>
                <w:b w:val="1"/>
                <w:bCs w:val="1"/>
                <w:color w:val="auto"/>
                <w:w w:val="95"/>
              </w:rPr>
              <w:t>Compensation(3)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83"/>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00" w:type="dxa"/>
            <w:vAlign w:val="bottom"/>
          </w:tcPr>
          <w:p>
            <w:pPr>
              <w:ind w:left="2020"/>
              <w:spacing w:after="0"/>
              <w:rPr>
                <w:sz w:val="20"/>
                <w:szCs w:val="20"/>
                <w:color w:val="auto"/>
              </w:rPr>
            </w:pPr>
            <w:r>
              <w:rPr>
                <w:rFonts w:ascii="Arial" w:cs="Arial" w:eastAsia="Arial" w:hAnsi="Arial"/>
                <w:sz w:val="12"/>
                <w:szCs w:val="12"/>
                <w:b w:val="1"/>
                <w:bCs w:val="1"/>
                <w:color w:val="auto"/>
              </w:rPr>
              <w:t>(a)</w:t>
            </w:r>
          </w:p>
        </w:tc>
        <w:tc>
          <w:tcPr>
            <w:tcW w:w="120" w:type="dxa"/>
            <w:vAlign w:val="bottom"/>
          </w:tcPr>
          <w:p>
            <w:pPr>
              <w:spacing w:after="0"/>
              <w:rPr>
                <w:sz w:val="12"/>
                <w:szCs w:val="12"/>
                <w:color w:val="auto"/>
              </w:rPr>
            </w:pPr>
          </w:p>
        </w:tc>
        <w:tc>
          <w:tcPr>
            <w:tcW w:w="1000" w:type="dxa"/>
            <w:vAlign w:val="bottom"/>
            <w:gridSpan w:val="2"/>
          </w:tcPr>
          <w:p>
            <w:pPr>
              <w:ind w:left="320"/>
              <w:spacing w:after="0"/>
              <w:rPr>
                <w:sz w:val="20"/>
                <w:szCs w:val="20"/>
                <w:color w:val="auto"/>
              </w:rPr>
            </w:pPr>
            <w:r>
              <w:rPr>
                <w:rFonts w:ascii="Arial" w:cs="Arial" w:eastAsia="Arial" w:hAnsi="Arial"/>
                <w:sz w:val="12"/>
                <w:szCs w:val="12"/>
                <w:b w:val="1"/>
                <w:bCs w:val="1"/>
                <w:color w:val="auto"/>
              </w:rPr>
              <w:t>(b)</w:t>
            </w:r>
          </w:p>
        </w:tc>
        <w:tc>
          <w:tcPr>
            <w:tcW w:w="140" w:type="dxa"/>
            <w:vAlign w:val="bottom"/>
          </w:tcPr>
          <w:p>
            <w:pPr>
              <w:spacing w:after="0"/>
              <w:rPr>
                <w:sz w:val="12"/>
                <w:szCs w:val="12"/>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(c)</w:t>
            </w:r>
          </w:p>
        </w:tc>
        <w:tc>
          <w:tcPr>
            <w:tcW w:w="140" w:type="dxa"/>
            <w:vAlign w:val="bottom"/>
          </w:tcPr>
          <w:p>
            <w:pPr>
              <w:spacing w:after="0"/>
              <w:rPr>
                <w:sz w:val="12"/>
                <w:szCs w:val="12"/>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1"/>
              </w:rPr>
              <w:t>(e)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(f)</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1"/>
              </w:rPr>
              <w:t>(g)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(i)</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(j)</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2"/>
                <w:szCs w:val="12"/>
                <w:color w:val="auto"/>
              </w:rPr>
              <w:t>Mark L. Baum , J.D.</w:t>
            </w:r>
          </w:p>
        </w:tc>
        <w:tc>
          <w:tcPr>
            <w:tcW w:w="12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ind w:left="320"/>
              <w:spacing w:after="0" w:line="105" w:lineRule="exact"/>
              <w:rPr>
                <w:sz w:val="20"/>
                <w:szCs w:val="20"/>
                <w:color w:val="auto"/>
              </w:rPr>
            </w:pPr>
            <w:r>
              <w:rPr>
                <w:rFonts w:ascii="Arial" w:cs="Arial" w:eastAsia="Arial" w:hAnsi="Arial"/>
                <w:sz w:val="12"/>
                <w:szCs w:val="12"/>
                <w:color w:val="auto"/>
              </w:rPr>
              <w:t>2013</w:t>
            </w: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296,850</w:t>
            </w: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w w:val="93"/>
              </w:rPr>
              <w:t>3,688,257(4)</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1,401,624</w:t>
            </w:r>
          </w:p>
        </w:tc>
        <w:tc>
          <w:tcPr>
            <w:tcW w:w="1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125,000</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8"/>
              <w:spacing w:after="0" w:line="105"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ind w:right="48"/>
              <w:spacing w:after="0" w:line="105" w:lineRule="exact"/>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2"/>
                <w:szCs w:val="12"/>
                <w:color w:val="auto"/>
              </w:rPr>
              <w:t>5,511,731</w:t>
            </w: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00" w:type="dxa"/>
            <w:vAlign w:val="bottom"/>
            <w:shd w:val="clear" w:color="auto" w:fill="CCEEFF"/>
          </w:tcPr>
          <w:p>
            <w:pPr>
              <w:ind w:left="140"/>
              <w:spacing w:after="0" w:line="136" w:lineRule="exact"/>
              <w:rPr>
                <w:sz w:val="20"/>
                <w:szCs w:val="20"/>
                <w:color w:val="auto"/>
              </w:rPr>
            </w:pPr>
            <w:r>
              <w:rPr>
                <w:rFonts w:ascii="Arial" w:cs="Arial" w:eastAsia="Arial" w:hAnsi="Arial"/>
                <w:sz w:val="12"/>
                <w:szCs w:val="12"/>
                <w:color w:val="auto"/>
              </w:rPr>
              <w:t>Chief Executive Officer</w:t>
            </w:r>
          </w:p>
        </w:tc>
        <w:tc>
          <w:tcPr>
            <w:tcW w:w="90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2012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150,300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520,000(5)</w:t>
            </w:r>
          </w:p>
        </w:tc>
        <w:tc>
          <w:tcPr>
            <w:tcW w:w="1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655,773(6)</w:t>
            </w: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8"/>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1,326,073</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420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Andrew R. Boll, CMA</w:t>
            </w:r>
          </w:p>
        </w:tc>
        <w:tc>
          <w:tcPr>
            <w:tcW w:w="900" w:type="dxa"/>
            <w:vAlign w:val="bottom"/>
            <w:gridSpan w:val="2"/>
            <w:shd w:val="clear" w:color="auto" w:fill="CCEEFF"/>
          </w:tcPr>
          <w:p>
            <w:pPr>
              <w:ind w:left="440"/>
              <w:spacing w:after="0" w:line="105" w:lineRule="exact"/>
              <w:rPr>
                <w:sz w:val="20"/>
                <w:szCs w:val="20"/>
                <w:color w:val="auto"/>
              </w:rPr>
            </w:pPr>
            <w:r>
              <w:rPr>
                <w:rFonts w:ascii="Arial" w:cs="Arial" w:eastAsia="Arial" w:hAnsi="Arial"/>
                <w:sz w:val="12"/>
                <w:szCs w:val="12"/>
                <w:color w:val="auto"/>
              </w:rPr>
              <w:t>2013</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05" w:lineRule="exact"/>
              <w:rPr>
                <w:sz w:val="20"/>
                <w:szCs w:val="20"/>
                <w:color w:val="auto"/>
              </w:rPr>
            </w:pPr>
            <w:r>
              <w:rPr>
                <w:rFonts w:ascii="Arial" w:cs="Arial" w:eastAsia="Arial" w:hAnsi="Arial"/>
                <w:sz w:val="12"/>
                <w:szCs w:val="12"/>
                <w:color w:val="auto"/>
              </w:rPr>
              <w:t>138,750</w:t>
            </w:r>
          </w:p>
        </w:tc>
        <w:tc>
          <w:tcPr>
            <w:tcW w:w="140" w:type="dxa"/>
            <w:vAlign w:val="bottom"/>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2"/>
                <w:szCs w:val="12"/>
                <w:color w:val="auto"/>
              </w:rPr>
              <w:t>467,298</w:t>
            </w:r>
          </w:p>
        </w:tc>
        <w:tc>
          <w:tcPr>
            <w:tcW w:w="1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46,500</w:t>
            </w:r>
          </w:p>
        </w:tc>
        <w:tc>
          <w:tcPr>
            <w:tcW w:w="240" w:type="dxa"/>
            <w:vAlign w:val="bottom"/>
            <w:gridSpan w:val="2"/>
            <w:shd w:val="clear" w:color="auto" w:fill="CCEEFF"/>
          </w:tcPr>
          <w:p>
            <w:pPr>
              <w:jc w:val="right"/>
              <w:ind w:right="8"/>
              <w:spacing w:after="0" w:line="10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48"/>
              <w:spacing w:after="0" w:line="10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652,548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00" w:type="dxa"/>
            <w:vAlign w:val="bottom"/>
            <w:shd w:val="clear" w:color="auto" w:fill="CCEEFF"/>
          </w:tcPr>
          <w:p>
            <w:pPr>
              <w:ind w:left="140"/>
              <w:spacing w:after="0" w:line="136" w:lineRule="exact"/>
              <w:rPr>
                <w:sz w:val="20"/>
                <w:szCs w:val="20"/>
                <w:color w:val="auto"/>
              </w:rPr>
            </w:pPr>
            <w:r>
              <w:rPr>
                <w:rFonts w:ascii="Arial" w:cs="Arial" w:eastAsia="Arial" w:hAnsi="Arial"/>
                <w:sz w:val="12"/>
                <w:szCs w:val="12"/>
                <w:color w:val="auto"/>
              </w:rPr>
              <w:t>Vice-President, Accounting and Public Reporting</w:t>
            </w:r>
          </w:p>
        </w:tc>
        <w:tc>
          <w:tcPr>
            <w:tcW w:w="90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2012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64,500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51,780</w:t>
            </w: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5,000</w:t>
            </w:r>
          </w:p>
        </w:tc>
        <w:tc>
          <w:tcPr>
            <w:tcW w:w="260" w:type="dxa"/>
            <w:vAlign w:val="bottom"/>
            <w:gridSpan w:val="2"/>
            <w:shd w:val="clear" w:color="auto" w:fill="CCEEFF"/>
          </w:tcPr>
          <w:p>
            <w:pPr>
              <w:jc w:val="right"/>
              <w:ind w:right="48"/>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121,280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420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Joachim P.H. Schupp, M.D.</w:t>
            </w:r>
          </w:p>
        </w:tc>
        <w:tc>
          <w:tcPr>
            <w:tcW w:w="900" w:type="dxa"/>
            <w:vAlign w:val="bottom"/>
            <w:gridSpan w:val="2"/>
            <w:shd w:val="clear" w:color="auto" w:fill="CCEEFF"/>
          </w:tcPr>
          <w:p>
            <w:pPr>
              <w:ind w:left="440"/>
              <w:spacing w:after="0" w:line="105" w:lineRule="exact"/>
              <w:rPr>
                <w:sz w:val="20"/>
                <w:szCs w:val="20"/>
                <w:color w:val="auto"/>
              </w:rPr>
            </w:pPr>
            <w:r>
              <w:rPr>
                <w:rFonts w:ascii="Arial" w:cs="Arial" w:eastAsia="Arial" w:hAnsi="Arial"/>
                <w:sz w:val="12"/>
                <w:szCs w:val="12"/>
                <w:color w:val="auto"/>
              </w:rPr>
              <w:t>2013</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05" w:lineRule="exact"/>
              <w:rPr>
                <w:sz w:val="20"/>
                <w:szCs w:val="20"/>
                <w:color w:val="auto"/>
              </w:rPr>
            </w:pPr>
            <w:r>
              <w:rPr>
                <w:rFonts w:ascii="Arial" w:cs="Arial" w:eastAsia="Arial" w:hAnsi="Arial"/>
                <w:sz w:val="12"/>
                <w:szCs w:val="12"/>
                <w:color w:val="auto"/>
              </w:rPr>
              <w:t>204,125</w:t>
            </w:r>
          </w:p>
        </w:tc>
        <w:tc>
          <w:tcPr>
            <w:tcW w:w="140" w:type="dxa"/>
            <w:vAlign w:val="bottom"/>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2"/>
                <w:szCs w:val="12"/>
                <w:color w:val="auto"/>
              </w:rPr>
              <w:t>129,805</w:t>
            </w:r>
          </w:p>
        </w:tc>
        <w:tc>
          <w:tcPr>
            <w:tcW w:w="1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8"/>
              <w:spacing w:after="0" w:line="10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48"/>
              <w:spacing w:after="0" w:line="10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333,930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00" w:type="dxa"/>
            <w:vAlign w:val="bottom"/>
            <w:shd w:val="clear" w:color="auto" w:fill="CCEEFF"/>
          </w:tcPr>
          <w:p>
            <w:pPr>
              <w:ind w:left="140"/>
              <w:spacing w:after="0" w:line="136" w:lineRule="exact"/>
              <w:rPr>
                <w:sz w:val="20"/>
                <w:szCs w:val="20"/>
                <w:color w:val="auto"/>
              </w:rPr>
            </w:pPr>
            <w:r>
              <w:rPr>
                <w:rFonts w:ascii="Arial" w:cs="Arial" w:eastAsia="Arial" w:hAnsi="Arial"/>
                <w:sz w:val="12"/>
                <w:szCs w:val="12"/>
                <w:color w:val="auto"/>
              </w:rPr>
              <w:t>Former Chief Medical Officer(8)</w:t>
            </w:r>
          </w:p>
        </w:tc>
        <w:tc>
          <w:tcPr>
            <w:tcW w:w="90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2012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78,500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260,100</w:t>
            </w: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23,500</w:t>
            </w:r>
          </w:p>
        </w:tc>
        <w:tc>
          <w:tcPr>
            <w:tcW w:w="260" w:type="dxa"/>
            <w:vAlign w:val="bottom"/>
            <w:gridSpan w:val="2"/>
            <w:shd w:val="clear" w:color="auto" w:fill="CCEEFF"/>
          </w:tcPr>
          <w:p>
            <w:pPr>
              <w:jc w:val="right"/>
              <w:ind w:right="48"/>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462,100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continue"/>
          </w:tcPr>
          <w:p>
            <w:pPr>
              <w:spacing w:after="0"/>
              <w:rPr>
                <w:sz w:val="9"/>
                <w:szCs w:val="9"/>
                <w:color w:val="auto"/>
              </w:rPr>
            </w:pPr>
          </w:p>
        </w:tc>
        <w:tc>
          <w:tcPr>
            <w:tcW w:w="4200" w:type="dxa"/>
            <w:vAlign w:val="bottom"/>
            <w:shd w:val="clear" w:color="auto" w:fill="CCEEFF"/>
          </w:tcPr>
          <w:p>
            <w:pPr>
              <w:spacing w:after="0" w:line="105" w:lineRule="exact"/>
              <w:rPr>
                <w:sz w:val="20"/>
                <w:szCs w:val="20"/>
                <w:color w:val="auto"/>
              </w:rPr>
            </w:pPr>
            <w:r>
              <w:rPr>
                <w:rFonts w:ascii="Arial" w:cs="Arial" w:eastAsia="Arial" w:hAnsi="Arial"/>
                <w:sz w:val="12"/>
                <w:szCs w:val="12"/>
                <w:color w:val="auto"/>
              </w:rPr>
              <w:t>Balbir Brar, D.V.M., Ph.D.</w:t>
            </w:r>
          </w:p>
        </w:tc>
        <w:tc>
          <w:tcPr>
            <w:tcW w:w="900" w:type="dxa"/>
            <w:vAlign w:val="bottom"/>
            <w:gridSpan w:val="2"/>
            <w:shd w:val="clear" w:color="auto" w:fill="CCEEFF"/>
          </w:tcPr>
          <w:p>
            <w:pPr>
              <w:ind w:left="440"/>
              <w:spacing w:after="0" w:line="105" w:lineRule="exact"/>
              <w:rPr>
                <w:sz w:val="20"/>
                <w:szCs w:val="20"/>
                <w:color w:val="auto"/>
              </w:rPr>
            </w:pPr>
            <w:r>
              <w:rPr>
                <w:rFonts w:ascii="Arial" w:cs="Arial" w:eastAsia="Arial" w:hAnsi="Arial"/>
                <w:sz w:val="12"/>
                <w:szCs w:val="12"/>
                <w:color w:val="auto"/>
              </w:rPr>
              <w:t>2013</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05" w:lineRule="exact"/>
              <w:rPr>
                <w:sz w:val="20"/>
                <w:szCs w:val="20"/>
                <w:color w:val="auto"/>
              </w:rPr>
            </w:pPr>
            <w:r>
              <w:rPr>
                <w:rFonts w:ascii="Arial" w:cs="Arial" w:eastAsia="Arial" w:hAnsi="Arial"/>
                <w:sz w:val="12"/>
                <w:szCs w:val="12"/>
                <w:color w:val="auto"/>
              </w:rPr>
              <w:t>28,000</w:t>
            </w:r>
          </w:p>
        </w:tc>
        <w:tc>
          <w:tcPr>
            <w:tcW w:w="140" w:type="dxa"/>
            <w:vAlign w:val="bottom"/>
            <w:shd w:val="clear" w:color="auto" w:fill="CCEEFF"/>
          </w:tcPr>
          <w:p>
            <w:pPr>
              <w:jc w:val="right"/>
              <w:ind w:right="28"/>
              <w:spacing w:after="0" w:line="105" w:lineRule="exact"/>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line="105"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8"/>
              <w:spacing w:after="0" w:line="105"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9"/>
                <w:szCs w:val="9"/>
                <w:color w:val="auto"/>
              </w:rPr>
            </w:pPr>
          </w:p>
        </w:tc>
        <w:tc>
          <w:tcPr>
            <w:tcW w:w="260" w:type="dxa"/>
            <w:vAlign w:val="bottom"/>
            <w:gridSpan w:val="2"/>
            <w:shd w:val="clear" w:color="auto" w:fill="CCEEFF"/>
          </w:tcPr>
          <w:p>
            <w:pPr>
              <w:jc w:val="right"/>
              <w:ind w:right="48"/>
              <w:spacing w:after="0" w:line="105"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05" w:lineRule="exact"/>
              <w:rPr>
                <w:sz w:val="20"/>
                <w:szCs w:val="20"/>
                <w:color w:val="auto"/>
              </w:rPr>
            </w:pPr>
            <w:r>
              <w:rPr>
                <w:rFonts w:ascii="Arial" w:cs="Arial" w:eastAsia="Arial" w:hAnsi="Arial"/>
                <w:sz w:val="12"/>
                <w:szCs w:val="12"/>
                <w:color w:val="auto"/>
              </w:rPr>
              <w:t>28,000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200" w:type="dxa"/>
            <w:vAlign w:val="bottom"/>
            <w:shd w:val="clear" w:color="auto" w:fill="CCEEFF"/>
          </w:tcPr>
          <w:p>
            <w:pPr>
              <w:ind w:left="140"/>
              <w:spacing w:after="0" w:line="136" w:lineRule="exact"/>
              <w:rPr>
                <w:sz w:val="20"/>
                <w:szCs w:val="20"/>
                <w:color w:val="auto"/>
              </w:rPr>
            </w:pPr>
            <w:r>
              <w:rPr>
                <w:rFonts w:ascii="Arial" w:cs="Arial" w:eastAsia="Arial" w:hAnsi="Arial"/>
                <w:sz w:val="12"/>
                <w:szCs w:val="12"/>
                <w:color w:val="auto"/>
              </w:rPr>
              <w:t>Former President(9)</w:t>
            </w:r>
          </w:p>
        </w:tc>
        <w:tc>
          <w:tcPr>
            <w:tcW w:w="900" w:type="dxa"/>
            <w:vAlign w:val="bottom"/>
            <w:gridSpan w:val="2"/>
            <w:shd w:val="clear" w:color="auto" w:fill="CCEEFF"/>
          </w:tcPr>
          <w:p>
            <w:pPr>
              <w:ind w:left="440"/>
              <w:spacing w:after="0" w:line="136" w:lineRule="exact"/>
              <w:rPr>
                <w:sz w:val="20"/>
                <w:szCs w:val="20"/>
                <w:color w:val="auto"/>
              </w:rPr>
            </w:pPr>
            <w:r>
              <w:rPr>
                <w:rFonts w:ascii="Arial" w:cs="Arial" w:eastAsia="Arial" w:hAnsi="Arial"/>
                <w:sz w:val="12"/>
                <w:szCs w:val="12"/>
                <w:color w:val="auto"/>
              </w:rPr>
              <w:t>2012</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20"/>
              <w:spacing w:after="0" w:line="136" w:lineRule="exact"/>
              <w:rPr>
                <w:sz w:val="20"/>
                <w:szCs w:val="20"/>
                <w:color w:val="auto"/>
              </w:rPr>
            </w:pPr>
            <w:r>
              <w:rPr>
                <w:rFonts w:ascii="Arial" w:cs="Arial" w:eastAsia="Arial" w:hAnsi="Arial"/>
                <w:sz w:val="12"/>
                <w:szCs w:val="12"/>
                <w:color w:val="auto"/>
              </w:rPr>
              <w:t>84,000</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2"/>
                <w:szCs w:val="12"/>
                <w:color w:val="auto"/>
              </w:rPr>
              <w:t>669,300(7)</w:t>
            </w: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8"/>
              <w:spacing w:after="0" w:line="136"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48"/>
              <w:spacing w:after="0" w:line="136" w:lineRule="exact"/>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753,300</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left="540" w:hanging="533"/>
        <w:spacing w:after="0" w:line="248"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option awards, refer to Note 6 to our Consolidated Financial Statements for the fiscal year ended December 31, 2013 included in our Annual Report on Form 10-K for the year ended December 31, 2013. For a discussion of the material terms of each stock option award, see the table entitled “Outstanding Equity Awards at Fiscal Year End.”</w:t>
      </w:r>
    </w:p>
    <w:p>
      <w:pPr>
        <w:spacing w:after="0" w:line="161" w:lineRule="exact"/>
        <w:rPr>
          <w:rFonts w:ascii="Arial" w:cs="Arial" w:eastAsia="Arial" w:hAnsi="Arial"/>
          <w:sz w:val="15"/>
          <w:szCs w:val="15"/>
          <w:color w:val="auto"/>
        </w:rPr>
      </w:pPr>
    </w:p>
    <w:p>
      <w:pPr>
        <w:jc w:val="both"/>
        <w:ind w:left="540" w:hanging="533"/>
        <w:spacing w:after="0" w:line="251"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Amounts represent cash awards earned under the Company’s annual incentive plan based on the Company’s performance measured against the corporate objectives established for the named executive officer and actual individual executive officer performance against his individual goals. Such amounts are determined and paid after the end of each fiscal year, but reflect individual and Company performance for the respective fiscal years reflected above.</w:t>
      </w:r>
    </w:p>
    <w:p>
      <w:pPr>
        <w:spacing w:after="0" w:line="158"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Amounts reflected for Mr. Boll consist of fees paid to Mr. Boll for consulting services performed during the fiscal year 2012 prior to his appointment as our Vice President, Accounting and Public Reporting.</w:t>
      </w:r>
    </w:p>
    <w:p>
      <w:pPr>
        <w:spacing w:after="0" w:line="152" w:lineRule="exact"/>
        <w:rPr>
          <w:rFonts w:ascii="Arial" w:cs="Arial" w:eastAsia="Arial" w:hAnsi="Arial"/>
          <w:sz w:val="15"/>
          <w:szCs w:val="15"/>
          <w:color w:val="auto"/>
        </w:rPr>
      </w:pPr>
    </w:p>
    <w:p>
      <w:pPr>
        <w:ind w:left="540"/>
        <w:spacing w:after="0" w:line="259" w:lineRule="auto"/>
        <w:rPr>
          <w:rFonts w:ascii="Arial" w:cs="Arial" w:eastAsia="Arial" w:hAnsi="Arial"/>
          <w:sz w:val="15"/>
          <w:szCs w:val="15"/>
          <w:color w:val="auto"/>
        </w:rPr>
      </w:pPr>
      <w:r>
        <w:rPr>
          <w:rFonts w:ascii="Arial" w:cs="Arial" w:eastAsia="Arial" w:hAnsi="Arial"/>
          <w:sz w:val="15"/>
          <w:szCs w:val="15"/>
          <w:color w:val="auto"/>
        </w:rPr>
        <w:t>Amounts reflected for Mr. Schupp consist of fees paid to an entity beneficially owned by Mr. Schupp for consulting services performed during the fiscal year 2012 prior to his appointment as our Chief Medical Officer.</w:t>
      </w:r>
    </w:p>
    <w:p>
      <w:pPr>
        <w:spacing w:after="0" w:line="152" w:lineRule="exact"/>
        <w:rPr>
          <w:rFonts w:ascii="Arial" w:cs="Arial" w:eastAsia="Arial" w:hAnsi="Arial"/>
          <w:sz w:val="15"/>
          <w:szCs w:val="15"/>
          <w:color w:val="auto"/>
        </w:rPr>
      </w:pPr>
    </w:p>
    <w:p>
      <w:pPr>
        <w:jc w:val="both"/>
        <w:ind w:left="540" w:hanging="533"/>
        <w:spacing w:after="0" w:line="263"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the fair market value on the date of grant RSUs awarded to Mr. Baum during 2013 under the Plan and pursuant to the terms of his Employment Agreement with us. Of these RSUs, 200,000 vest on the third anniversary of the grant date contingent on continuous service to the Company through such date, and 1,050,000 RSUs vest three years after the date of grant contingent upon the satisfaction of certain market-based vesting criteria during the three year period. The market-based vesting criteria are separated into five equal tranches and require that the Company achieve and maintain certain stock price targets ranging from $10 per share to $30 per share during the three year period following the grant date. See the discussion under “</w:t>
      </w:r>
      <w:r>
        <w:rPr>
          <w:rFonts w:ascii="Arial" w:cs="Arial" w:eastAsia="Arial" w:hAnsi="Arial"/>
          <w:sz w:val="14"/>
          <w:szCs w:val="14"/>
          <w:i w:val="1"/>
          <w:iCs w:val="1"/>
          <w:color w:val="auto"/>
        </w:rPr>
        <w:t>Compensation Arrangements with Mark L. Baum – Performance Equity Award</w:t>
      </w:r>
      <w:r>
        <w:rPr>
          <w:rFonts w:ascii="Arial" w:cs="Arial" w:eastAsia="Arial" w:hAnsi="Arial"/>
          <w:sz w:val="14"/>
          <w:szCs w:val="14"/>
          <w:color w:val="auto"/>
        </w:rPr>
        <w:t>” below for a more detailed description of these vesting provisions. At the time of the entry into the employment agreement in May 2013, the per person grant limit under the Plan for grants of performance-based restricted stock units was 600,000 shares. As a result, Mr. Baum received 600,000 of the RSUs called for by the employment agreement at that time, and the remaining 450,000 RSUs called for by the employment agreement were deferred until an amendment to the Plan to increase to the number of shares available for grant and the applicable annual per person grant limit became effective on September 27, 2013. Upon receipt of stockholder approval, the remaining 450,000 RSUs were granted. Concurrent with the issuance of the 450,000 RSUs, 120,000 unvested RSUs previously granted to Mr. Baum in July 2012 were cancelled. As a result, the issuance of the 450,000 RSUs has been treated as a modification of the RSU grant made to Mr. Baum in July 2012 for accounting purposes. The amounts represent the aggregate grant date fair value of the awards granted to Mr. Baum computed in accordance with Topic 718. A discussion of the assumptions used in calculating the grant date fair value of the RSUs is set forth in Note 6 to our Consolidated Financial Statements included in our Annual Report on Form 10-K for the fiscal year ended December 31, 2013. For a discussion of the material terms of Mr. Baum’s outstanding equity awards, see the description of Mr. Baum’s employment agreement and the table entitled “Outstanding Equity Awards at Fiscal Year End.”</w:t>
      </w:r>
    </w:p>
    <w:p>
      <w:pPr>
        <w:spacing w:after="0" w:line="152" w:lineRule="exact"/>
        <w:rPr>
          <w:rFonts w:ascii="Arial" w:cs="Arial" w:eastAsia="Arial" w:hAnsi="Arial"/>
          <w:sz w:val="14"/>
          <w:szCs w:val="14"/>
          <w:color w:val="auto"/>
        </w:rPr>
      </w:pPr>
    </w:p>
    <w:p>
      <w:pPr>
        <w:jc w:val="both"/>
        <w:ind w:left="540" w:hanging="533"/>
        <w:spacing w:after="0" w:line="248"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the aggregate grant date fair value of the RSUs granted to Mr. Baum during 2012 computed in accordance with Topic 718 based upon the probable outcome of such conditions. A discussion of the assumptions used in calculating the grant date fair value of the RSUs is set forth in Note 6 to our Consolidated Financial Statements included in our Annual Report on Form 10-K for the fiscal year ended December 31, 2013. As described in (4) above, in September 2013 120,000 unvested RSUs granted in 20112 were forfeited and replaced by a portion of the subsequent RSU grant to Mr. Baum.</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13" w:name="page14"/>
    <w:bookmarkEnd w:id="13"/>
    <w:p>
      <w:pPr>
        <w:jc w:val="both"/>
        <w:ind w:left="540" w:hanging="533"/>
        <w:spacing w:after="0" w:line="267"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compensation for services as a director during the period. Represents the fair value of (i) an option to purchase up to 125,000 shares of common stock under the Plan granted on January 25, 2012 for, among other things, his services as Chairman of the Board of Directors which vested monthly over twelve months following the grant date, (ii) an option to purchase up to 25,000 shares of common stock under the Plan, which was granted to each of the Company’s directors on April 1, 2012 for their services as directors and which vested in equal installments of 6,250 shares on each of June 30, 2012, September 30, 2012, December 31, 2012 and March 31, 2013 subject to continued service as a director on each such date, and (iii) an option to purchase up to 60,000 shares of common stock under the Plan granted on April 1, 2012 in connection with his appointment as our Chief Executive Officer. These options vested monthly over twenty four months following the grant date.</w:t>
      </w:r>
    </w:p>
    <w:p>
      <w:pPr>
        <w:spacing w:after="0" w:line="149" w:lineRule="exact"/>
        <w:rPr>
          <w:rFonts w:ascii="Arial" w:cs="Arial" w:eastAsia="Arial" w:hAnsi="Arial"/>
          <w:sz w:val="14"/>
          <w:szCs w:val="14"/>
          <w:color w:val="auto"/>
        </w:rPr>
      </w:pPr>
    </w:p>
    <w:p>
      <w:pPr>
        <w:jc w:val="both"/>
        <w:ind w:left="540" w:hanging="533"/>
        <w:spacing w:after="0" w:line="269"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compensation for services as a director during the period. Represents the fair value of (i) an option to purchase up to 225,000 shares of common stock under the Plan granted on January 25, 2012 in connection with his appointment as our President, which options vested monthly over thirty six months following the grant date, and (ii) an option to purchase up to 25,000 shares of common stock under the Plan, which was granted to each of the Company’s directors on April 1, 2012 for their services as directors and which vested in equal installments of 6,250 shares on each of June 30, 2012, September 30, 2012, December 31, 2012 and March 31, 2013 subject to continued service as a director on each such date. On July 25, 2012, Dr. Brar resigned as a director, and as a result of such resignation, the 25,000 unexercised options expired.</w:t>
      </w:r>
    </w:p>
    <w:p>
      <w:pPr>
        <w:spacing w:after="0" w:line="146" w:lineRule="exact"/>
        <w:rPr>
          <w:rFonts w:ascii="Arial" w:cs="Arial" w:eastAsia="Arial" w:hAnsi="Arial"/>
          <w:sz w:val="14"/>
          <w:szCs w:val="14"/>
          <w:color w:val="auto"/>
        </w:rPr>
      </w:pPr>
    </w:p>
    <w:p>
      <w:pPr>
        <w:ind w:left="560" w:hanging="553"/>
        <w:spacing w:after="0"/>
        <w:tabs>
          <w:tab w:leader="none" w:pos="560" w:val="left"/>
        </w:tabs>
        <w:numPr>
          <w:ilvl w:val="0"/>
          <w:numId w:val="9"/>
        </w:numPr>
        <w:rPr>
          <w:rFonts w:ascii="Arial" w:cs="Arial" w:eastAsia="Arial" w:hAnsi="Arial"/>
          <w:sz w:val="12"/>
          <w:szCs w:val="12"/>
          <w:color w:val="auto"/>
        </w:rPr>
      </w:pPr>
      <w:r>
        <w:rPr>
          <w:rFonts w:ascii="Arial" w:cs="Arial" w:eastAsia="Arial" w:hAnsi="Arial"/>
          <w:sz w:val="12"/>
          <w:szCs w:val="12"/>
          <w:color w:val="auto"/>
        </w:rPr>
        <w:t>Effective November 15, 2013, Dr. Joachim Schupp resigned from his position as Chief Medical Officer with the Company and no longer serves as an executive officer of the Company.</w:t>
      </w:r>
    </w:p>
    <w:p>
      <w:pPr>
        <w:spacing w:after="0" w:line="211" w:lineRule="exact"/>
        <w:rPr>
          <w:rFonts w:ascii="Arial" w:cs="Arial" w:eastAsia="Arial" w:hAnsi="Arial"/>
          <w:sz w:val="12"/>
          <w:szCs w:val="12"/>
          <w:color w:val="auto"/>
        </w:rPr>
      </w:pPr>
    </w:p>
    <w:p>
      <w:pPr>
        <w:ind w:left="540" w:hanging="533"/>
        <w:spacing w:after="0"/>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Effective May 7, 2013, Dr. Balbir Brar resigned from his position with the Company and no longer serves as an executive officer of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Outstanding Equity Awards at Fiscal Year-End</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certain information concerning outstanding stock awards held by our named executive officers serving as of December 31,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440"/>
              <w:spacing w:after="0"/>
              <w:rPr>
                <w:sz w:val="20"/>
                <w:szCs w:val="20"/>
                <w:color w:val="auto"/>
              </w:rPr>
            </w:pPr>
            <w:r>
              <w:rPr>
                <w:rFonts w:ascii="Arial" w:cs="Arial" w:eastAsia="Arial" w:hAnsi="Arial"/>
                <w:sz w:val="15"/>
                <w:szCs w:val="15"/>
                <w:b w:val="1"/>
                <w:bCs w:val="1"/>
                <w:color w:val="auto"/>
              </w:rPr>
              <w:t>Option Awards</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5"/>
                <w:szCs w:val="15"/>
                <w:b w:val="1"/>
                <w:bCs w:val="1"/>
                <w:color w:val="auto"/>
              </w:rPr>
              <w:t>Stock Awards</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4"/>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07"/>
              <w:spacing w:after="0" w:line="164" w:lineRule="exact"/>
              <w:rPr>
                <w:sz w:val="20"/>
                <w:szCs w:val="20"/>
                <w:color w:val="auto"/>
              </w:rPr>
            </w:pPr>
            <w:r>
              <w:rPr>
                <w:rFonts w:ascii="Arial" w:cs="Arial" w:eastAsia="Arial" w:hAnsi="Arial"/>
                <w:sz w:val="15"/>
                <w:szCs w:val="15"/>
                <w:color w:val="auto"/>
                <w:w w:val="91"/>
              </w:rPr>
              <w:t>Equity</w:t>
            </w:r>
          </w:p>
        </w:tc>
        <w:tc>
          <w:tcPr>
            <w:tcW w:w="100" w:type="dxa"/>
            <w:vAlign w:val="bottom"/>
          </w:tcPr>
          <w:p>
            <w:pPr>
              <w:spacing w:after="0"/>
              <w:rPr>
                <w:sz w:val="14"/>
                <w:szCs w:val="14"/>
                <w:color w:val="auto"/>
              </w:rPr>
            </w:pP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89"/>
              </w:rPr>
              <w:t>Incentive</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color w:val="auto"/>
                <w:w w:val="91"/>
              </w:rPr>
              <w:t>Equity</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Plan</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color w:val="auto"/>
                <w:w w:val="89"/>
              </w:rPr>
              <w:t>Incentive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color w:val="auto"/>
                <w:w w:val="88"/>
              </w:rPr>
              <w:t>Awards:</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color w:val="auto"/>
                <w:w w:val="91"/>
              </w:rPr>
              <w:t>Market</w:t>
            </w: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color w:val="auto"/>
                <w:w w:val="86"/>
              </w:rPr>
              <w:t>Plan</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Market</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color w:val="auto"/>
                <w:w w:val="90"/>
              </w:rPr>
              <w:t>Value of</w:t>
            </w: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color w:val="auto"/>
                <w:w w:val="88"/>
              </w:rPr>
              <w:t>Awards:</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90"/>
              </w:rPr>
              <w:t>Value of</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w w:val="91"/>
              </w:rPr>
              <w:t>Number of</w:t>
            </w:r>
          </w:p>
        </w:tc>
        <w:tc>
          <w:tcPr>
            <w:tcW w:w="38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5"/>
                <w:szCs w:val="15"/>
                <w:color w:val="auto"/>
                <w:w w:val="91"/>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5"/>
                <w:szCs w:val="15"/>
                <w:color w:val="auto"/>
                <w:w w:val="89"/>
              </w:rPr>
              <w:t>Number</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color w:val="auto"/>
                <w:w w:val="82"/>
              </w:rPr>
              <w:t>Shares or</w:t>
            </w: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color w:val="auto"/>
                <w:w w:val="91"/>
              </w:rPr>
              <w:t>Number of</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82"/>
              </w:rPr>
              <w:t>Shares or</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5"/>
                <w:szCs w:val="15"/>
                <w:color w:val="auto"/>
                <w:w w:val="88"/>
              </w:rPr>
              <w:t>Securities</w:t>
            </w:r>
          </w:p>
        </w:tc>
        <w:tc>
          <w:tcPr>
            <w:tcW w:w="3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Securities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5"/>
                <w:szCs w:val="15"/>
                <w:color w:val="auto"/>
                <w:w w:val="85"/>
              </w:rPr>
              <w:t>of Shares or</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color w:val="auto"/>
                <w:w w:val="90"/>
              </w:rPr>
              <w:t>Units of</w:t>
            </w: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color w:val="auto"/>
                <w:w w:val="82"/>
              </w:rPr>
              <w:t>Shares or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90"/>
              </w:rPr>
              <w:t>Units of</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5"/>
                <w:szCs w:val="15"/>
                <w:color w:val="auto"/>
                <w:w w:val="91"/>
              </w:rPr>
              <w:t>Underlying</w:t>
            </w:r>
          </w:p>
        </w:tc>
        <w:tc>
          <w:tcPr>
            <w:tcW w:w="3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Underlying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5"/>
                <w:szCs w:val="15"/>
                <w:color w:val="auto"/>
                <w:w w:val="93"/>
              </w:rPr>
              <w:t>Units</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color w:val="auto"/>
                <w:w w:val="86"/>
              </w:rPr>
              <w:t>Stock that</w:t>
            </w: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color w:val="auto"/>
                <w:w w:val="94"/>
              </w:rPr>
              <w:t>Units of</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Stock that</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5"/>
                <w:szCs w:val="15"/>
                <w:color w:val="auto"/>
                <w:w w:val="86"/>
              </w:rPr>
              <w:t>Unexercised</w:t>
            </w:r>
          </w:p>
        </w:tc>
        <w:tc>
          <w:tcPr>
            <w:tcW w:w="3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Unexercised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5"/>
                <w:szCs w:val="15"/>
                <w:color w:val="auto"/>
                <w:w w:val="90"/>
              </w:rPr>
              <w:t>Option</w:t>
            </w:r>
          </w:p>
        </w:tc>
        <w:tc>
          <w:tcPr>
            <w:tcW w:w="1000" w:type="dxa"/>
            <w:vAlign w:val="bottom"/>
            <w:gridSpan w:val="3"/>
          </w:tcPr>
          <w:p>
            <w:pPr>
              <w:jc w:val="center"/>
              <w:ind w:right="240"/>
              <w:spacing w:after="0"/>
              <w:rPr>
                <w:sz w:val="20"/>
                <w:szCs w:val="20"/>
                <w:color w:val="auto"/>
              </w:rPr>
            </w:pPr>
            <w:r>
              <w:rPr>
                <w:rFonts w:ascii="Arial" w:cs="Arial" w:eastAsia="Arial" w:hAnsi="Arial"/>
                <w:sz w:val="15"/>
                <w:szCs w:val="15"/>
                <w:color w:val="auto"/>
                <w:w w:val="90"/>
              </w:rPr>
              <w:t>Option</w:t>
            </w:r>
          </w:p>
        </w:tc>
        <w:tc>
          <w:tcPr>
            <w:tcW w:w="1140" w:type="dxa"/>
            <w:vAlign w:val="bottom"/>
            <w:gridSpan w:val="2"/>
          </w:tcPr>
          <w:p>
            <w:pPr>
              <w:jc w:val="center"/>
              <w:ind w:right="80"/>
              <w:spacing w:after="0"/>
              <w:rPr>
                <w:sz w:val="20"/>
                <w:szCs w:val="20"/>
                <w:color w:val="auto"/>
              </w:rPr>
            </w:pPr>
            <w:r>
              <w:rPr>
                <w:rFonts w:ascii="Arial" w:cs="Arial" w:eastAsia="Arial" w:hAnsi="Arial"/>
                <w:sz w:val="15"/>
                <w:szCs w:val="15"/>
                <w:color w:val="auto"/>
                <w:w w:val="88"/>
              </w:rPr>
              <w:t>of Stock that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Have Not</w:t>
            </w: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color w:val="auto"/>
                <w:w w:val="86"/>
              </w:rPr>
              <w:t>Stock that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Have Not</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5"/>
                <w:szCs w:val="15"/>
                <w:color w:val="auto"/>
                <w:w w:val="88"/>
              </w:rPr>
              <w:t>Options (#)</w:t>
            </w:r>
          </w:p>
        </w:tc>
        <w:tc>
          <w:tcPr>
            <w:tcW w:w="38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5"/>
                <w:szCs w:val="15"/>
                <w:color w:val="auto"/>
                <w:w w:val="88"/>
              </w:rPr>
              <w:t>Options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5"/>
                <w:szCs w:val="15"/>
                <w:color w:val="auto"/>
                <w:w w:val="86"/>
              </w:rPr>
              <w:t>Exercise</w:t>
            </w:r>
          </w:p>
        </w:tc>
        <w:tc>
          <w:tcPr>
            <w:tcW w:w="1000" w:type="dxa"/>
            <w:vAlign w:val="bottom"/>
            <w:gridSpan w:val="3"/>
          </w:tcPr>
          <w:p>
            <w:pPr>
              <w:jc w:val="center"/>
              <w:ind w:right="220"/>
              <w:spacing w:after="0"/>
              <w:rPr>
                <w:sz w:val="20"/>
                <w:szCs w:val="20"/>
                <w:color w:val="auto"/>
              </w:rPr>
            </w:pPr>
            <w:r>
              <w:rPr>
                <w:rFonts w:ascii="Arial" w:cs="Arial" w:eastAsia="Arial" w:hAnsi="Arial"/>
                <w:sz w:val="15"/>
                <w:szCs w:val="15"/>
                <w:color w:val="auto"/>
                <w:w w:val="92"/>
              </w:rPr>
              <w:t>Expiration</w:t>
            </w:r>
          </w:p>
        </w:tc>
        <w:tc>
          <w:tcPr>
            <w:tcW w:w="1140" w:type="dxa"/>
            <w:vAlign w:val="bottom"/>
            <w:gridSpan w:val="2"/>
          </w:tcPr>
          <w:p>
            <w:pPr>
              <w:jc w:val="center"/>
              <w:ind w:right="20"/>
              <w:spacing w:after="0"/>
              <w:rPr>
                <w:sz w:val="20"/>
                <w:szCs w:val="20"/>
                <w:color w:val="auto"/>
              </w:rPr>
            </w:pPr>
            <w:r>
              <w:rPr>
                <w:rFonts w:ascii="Arial" w:cs="Arial" w:eastAsia="Arial" w:hAnsi="Arial"/>
                <w:sz w:val="15"/>
                <w:szCs w:val="15"/>
                <w:color w:val="auto"/>
                <w:w w:val="89"/>
              </w:rPr>
              <w:t>Have Not</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5"/>
                <w:szCs w:val="15"/>
                <w:color w:val="auto"/>
                <w:w w:val="81"/>
              </w:rPr>
              <w:t>Vested</w:t>
            </w: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color w:val="auto"/>
                <w:w w:val="89"/>
              </w:rPr>
              <w:t>Have Not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w w:val="81"/>
              </w:rPr>
              <w:t>Vested</w:t>
            </w:r>
          </w:p>
        </w:tc>
      </w:tr>
      <w:tr>
        <w:trPr>
          <w:trHeight w:val="175"/>
        </w:trPr>
        <w:tc>
          <w:tcPr>
            <w:tcW w:w="1720" w:type="dxa"/>
            <w:vAlign w:val="bottom"/>
            <w:gridSpan w:val="2"/>
          </w:tcPr>
          <w:p>
            <w:pPr>
              <w:ind w:left="640"/>
              <w:spacing w:after="0"/>
              <w:rPr>
                <w:sz w:val="20"/>
                <w:szCs w:val="20"/>
                <w:color w:val="auto"/>
              </w:rPr>
            </w:pPr>
            <w:r>
              <w:rPr>
                <w:rFonts w:ascii="Arial" w:cs="Arial" w:eastAsia="Arial" w:hAnsi="Arial"/>
                <w:sz w:val="15"/>
                <w:szCs w:val="15"/>
                <w:color w:val="auto"/>
              </w:rPr>
              <w:t>Name</w:t>
            </w:r>
          </w:p>
        </w:tc>
        <w:tc>
          <w:tcPr>
            <w:tcW w:w="800" w:type="dxa"/>
            <w:vAlign w:val="bottom"/>
            <w:gridSpan w:val="2"/>
          </w:tcPr>
          <w:p>
            <w:pPr>
              <w:jc w:val="center"/>
              <w:ind w:right="80"/>
              <w:spacing w:after="0"/>
              <w:rPr>
                <w:sz w:val="20"/>
                <w:szCs w:val="20"/>
                <w:color w:val="auto"/>
              </w:rPr>
            </w:pPr>
            <w:r>
              <w:rPr>
                <w:rFonts w:ascii="Arial" w:cs="Arial" w:eastAsia="Arial" w:hAnsi="Arial"/>
                <w:sz w:val="15"/>
                <w:szCs w:val="15"/>
                <w:color w:val="auto"/>
                <w:w w:val="87"/>
              </w:rPr>
              <w:t>Exercisable</w:t>
            </w:r>
          </w:p>
        </w:tc>
        <w:tc>
          <w:tcPr>
            <w:tcW w:w="38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5"/>
                <w:szCs w:val="15"/>
                <w:color w:val="auto"/>
                <w:w w:val="86"/>
              </w:rPr>
              <w:t>Unexercisable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5"/>
                <w:szCs w:val="15"/>
                <w:color w:val="auto"/>
                <w:w w:val="88"/>
              </w:rPr>
              <w:t>Price ($)</w:t>
            </w:r>
          </w:p>
        </w:tc>
        <w:tc>
          <w:tcPr>
            <w:tcW w:w="1000" w:type="dxa"/>
            <w:vAlign w:val="bottom"/>
            <w:gridSpan w:val="3"/>
          </w:tcPr>
          <w:p>
            <w:pPr>
              <w:jc w:val="center"/>
              <w:ind w:right="260"/>
              <w:spacing w:after="0"/>
              <w:rPr>
                <w:sz w:val="20"/>
                <w:szCs w:val="20"/>
                <w:color w:val="auto"/>
              </w:rPr>
            </w:pPr>
            <w:r>
              <w:rPr>
                <w:rFonts w:ascii="Arial" w:cs="Arial" w:eastAsia="Arial" w:hAnsi="Arial"/>
                <w:sz w:val="15"/>
                <w:szCs w:val="15"/>
                <w:color w:val="auto"/>
                <w:w w:val="81"/>
              </w:rPr>
              <w:t>Date</w:t>
            </w:r>
          </w:p>
        </w:tc>
        <w:tc>
          <w:tcPr>
            <w:tcW w:w="1140" w:type="dxa"/>
            <w:vAlign w:val="bottom"/>
            <w:gridSpan w:val="2"/>
          </w:tcPr>
          <w:p>
            <w:pPr>
              <w:jc w:val="center"/>
              <w:ind w:right="60"/>
              <w:spacing w:after="0"/>
              <w:rPr>
                <w:sz w:val="20"/>
                <w:szCs w:val="20"/>
                <w:color w:val="auto"/>
              </w:rPr>
            </w:pPr>
            <w:r>
              <w:rPr>
                <w:rFonts w:ascii="Arial" w:cs="Arial" w:eastAsia="Arial" w:hAnsi="Arial"/>
                <w:sz w:val="15"/>
                <w:szCs w:val="15"/>
                <w:color w:val="auto"/>
                <w:w w:val="86"/>
              </w:rPr>
              <w:t>Vested (#)</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center"/>
              <w:ind w:right="127"/>
              <w:spacing w:after="0"/>
              <w:rPr>
                <w:sz w:val="20"/>
                <w:szCs w:val="20"/>
                <w:color w:val="auto"/>
              </w:rPr>
            </w:pPr>
            <w:r>
              <w:rPr>
                <w:rFonts w:ascii="Arial" w:cs="Arial" w:eastAsia="Arial" w:hAnsi="Arial"/>
                <w:sz w:val="15"/>
                <w:szCs w:val="15"/>
                <w:color w:val="auto"/>
                <w:w w:val="92"/>
              </w:rPr>
              <w:t>($)(1)</w:t>
            </w:r>
          </w:p>
        </w:tc>
        <w:tc>
          <w:tcPr>
            <w:tcW w:w="22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Vested (#)</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107"/>
              <w:spacing w:after="0"/>
              <w:rPr>
                <w:sz w:val="20"/>
                <w:szCs w:val="20"/>
                <w:color w:val="auto"/>
              </w:rPr>
            </w:pPr>
            <w:r>
              <w:rPr>
                <w:rFonts w:ascii="Arial" w:cs="Arial" w:eastAsia="Arial" w:hAnsi="Arial"/>
                <w:sz w:val="15"/>
                <w:szCs w:val="15"/>
                <w:color w:val="auto"/>
                <w:w w:val="92"/>
              </w:rPr>
              <w:t>($)(1)</w:t>
            </w:r>
          </w:p>
        </w:tc>
        <w:tc>
          <w:tcPr>
            <w:tcW w:w="100" w:type="dxa"/>
            <w:vAlign w:val="bottom"/>
          </w:tcPr>
          <w:p>
            <w:pPr>
              <w:spacing w:after="0"/>
              <w:rPr>
                <w:sz w:val="15"/>
                <w:szCs w:val="15"/>
                <w:color w:val="auto"/>
              </w:rPr>
            </w:pPr>
          </w:p>
        </w:tc>
      </w:tr>
      <w:tr>
        <w:trPr>
          <w:trHeight w:val="187"/>
        </w:trPr>
        <w:tc>
          <w:tcPr>
            <w:tcW w:w="1720" w:type="dxa"/>
            <w:vAlign w:val="bottom"/>
            <w:gridSpan w:val="2"/>
          </w:tcPr>
          <w:p>
            <w:pPr>
              <w:ind w:left="720"/>
              <w:spacing w:after="0"/>
              <w:rPr>
                <w:sz w:val="20"/>
                <w:szCs w:val="20"/>
                <w:color w:val="auto"/>
              </w:rPr>
            </w:pPr>
            <w:r>
              <w:rPr>
                <w:rFonts w:ascii="Arial" w:cs="Arial" w:eastAsia="Arial" w:hAnsi="Arial"/>
                <w:sz w:val="15"/>
                <w:szCs w:val="15"/>
                <w:color w:val="auto"/>
              </w:rPr>
              <w:t>(a)</w:t>
            </w:r>
          </w:p>
        </w:tc>
        <w:tc>
          <w:tcPr>
            <w:tcW w:w="800" w:type="dxa"/>
            <w:vAlign w:val="bottom"/>
            <w:gridSpan w:val="2"/>
          </w:tcPr>
          <w:p>
            <w:pPr>
              <w:jc w:val="center"/>
              <w:spacing w:after="0"/>
              <w:rPr>
                <w:sz w:val="20"/>
                <w:szCs w:val="20"/>
                <w:color w:val="auto"/>
              </w:rPr>
            </w:pPr>
            <w:r>
              <w:rPr>
                <w:rFonts w:ascii="Arial" w:cs="Arial" w:eastAsia="Arial" w:hAnsi="Arial"/>
                <w:sz w:val="15"/>
                <w:szCs w:val="15"/>
                <w:color w:val="auto"/>
                <w:w w:val="87"/>
              </w:rPr>
              <w:t>(b)</w:t>
            </w:r>
          </w:p>
        </w:tc>
        <w:tc>
          <w:tcPr>
            <w:tcW w:w="3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5"/>
                <w:szCs w:val="15"/>
                <w:color w:val="auto"/>
                <w:w w:val="91"/>
              </w:rPr>
              <w:t>(c)</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5"/>
                <w:szCs w:val="15"/>
                <w:color w:val="auto"/>
              </w:rPr>
              <w:t>(e)</w:t>
            </w:r>
          </w:p>
        </w:tc>
        <w:tc>
          <w:tcPr>
            <w:tcW w:w="1000" w:type="dxa"/>
            <w:vAlign w:val="bottom"/>
            <w:gridSpan w:val="3"/>
          </w:tcPr>
          <w:p>
            <w:pPr>
              <w:jc w:val="center"/>
              <w:ind w:right="180"/>
              <w:spacing w:after="0"/>
              <w:rPr>
                <w:sz w:val="20"/>
                <w:szCs w:val="20"/>
                <w:color w:val="auto"/>
              </w:rPr>
            </w:pPr>
            <w:r>
              <w:rPr>
                <w:rFonts w:ascii="Arial" w:cs="Arial" w:eastAsia="Arial" w:hAnsi="Arial"/>
                <w:sz w:val="15"/>
                <w:szCs w:val="15"/>
                <w:color w:val="auto"/>
                <w:w w:val="98"/>
              </w:rPr>
              <w:t>(f)</w:t>
            </w:r>
          </w:p>
        </w:tc>
        <w:tc>
          <w:tcPr>
            <w:tcW w:w="1140" w:type="dxa"/>
            <w:vAlign w:val="bottom"/>
            <w:gridSpan w:val="2"/>
          </w:tcPr>
          <w:p>
            <w:pPr>
              <w:ind w:left="480"/>
              <w:spacing w:after="0"/>
              <w:rPr>
                <w:sz w:val="20"/>
                <w:szCs w:val="20"/>
                <w:color w:val="auto"/>
              </w:rPr>
            </w:pPr>
            <w:r>
              <w:rPr>
                <w:rFonts w:ascii="Arial" w:cs="Arial" w:eastAsia="Arial" w:hAnsi="Arial"/>
                <w:sz w:val="15"/>
                <w:szCs w:val="15"/>
                <w:color w:val="auto"/>
              </w:rPr>
              <w:t>(g)</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5"/>
                <w:szCs w:val="15"/>
                <w:color w:val="auto"/>
                <w:w w:val="97"/>
              </w:rPr>
              <w:t>(h)</w:t>
            </w:r>
          </w:p>
        </w:tc>
        <w:tc>
          <w:tcPr>
            <w:tcW w:w="1400" w:type="dxa"/>
            <w:vAlign w:val="bottom"/>
            <w:gridSpan w:val="2"/>
          </w:tcPr>
          <w:p>
            <w:pPr>
              <w:jc w:val="center"/>
              <w:ind w:right="260"/>
              <w:spacing w:after="0"/>
              <w:rPr>
                <w:sz w:val="20"/>
                <w:szCs w:val="20"/>
                <w:color w:val="auto"/>
              </w:rPr>
            </w:pPr>
            <w:r>
              <w:rPr>
                <w:rFonts w:ascii="Arial" w:cs="Arial" w:eastAsia="Arial" w:hAnsi="Arial"/>
                <w:sz w:val="15"/>
                <w:szCs w:val="15"/>
                <w:color w:val="auto"/>
              </w:rPr>
              <w:t>(i)</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color w:val="auto"/>
              </w:rPr>
              <w:t>(j)</w:t>
            </w:r>
          </w:p>
        </w:tc>
      </w:tr>
      <w:tr>
        <w:trPr>
          <w:trHeight w:val="175"/>
        </w:trPr>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Mark L. Baum</w:t>
            </w: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125,000</w:t>
            </w: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(2)</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2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1/25/2022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52,500</w:t>
            </w:r>
          </w:p>
        </w:tc>
        <w:tc>
          <w:tcPr>
            <w:tcW w:w="380" w:type="dxa"/>
            <w:vAlign w:val="bottom"/>
          </w:tcPr>
          <w:p>
            <w:pPr>
              <w:ind w:left="20"/>
              <w:spacing w:after="0"/>
              <w:rPr>
                <w:sz w:val="20"/>
                <w:szCs w:val="20"/>
                <w:color w:val="auto"/>
              </w:rPr>
            </w:pPr>
            <w:r>
              <w:rPr>
                <w:rFonts w:ascii="Arial" w:cs="Arial" w:eastAsia="Arial" w:hAnsi="Arial"/>
                <w:sz w:val="15"/>
                <w:szCs w:val="15"/>
                <w:color w:val="auto"/>
              </w:rPr>
              <w:t>(3)</w:t>
            </w:r>
          </w:p>
        </w:tc>
        <w:tc>
          <w:tcPr>
            <w:tcW w:w="900" w:type="dxa"/>
            <w:vAlign w:val="bottom"/>
          </w:tcPr>
          <w:p>
            <w:pPr>
              <w:jc w:val="right"/>
              <w:spacing w:after="0"/>
              <w:rPr>
                <w:sz w:val="20"/>
                <w:szCs w:val="20"/>
                <w:color w:val="auto"/>
              </w:rPr>
            </w:pPr>
            <w:r>
              <w:rPr>
                <w:rFonts w:ascii="Arial" w:cs="Arial" w:eastAsia="Arial" w:hAnsi="Arial"/>
                <w:sz w:val="15"/>
                <w:szCs w:val="15"/>
                <w:color w:val="auto"/>
              </w:rPr>
              <w:t>7,500</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4.50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3/31/2017</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25,000</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(4)</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4.50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3/31/2017</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30,000</w:t>
            </w:r>
          </w:p>
        </w:tc>
        <w:tc>
          <w:tcPr>
            <w:tcW w:w="380" w:type="dxa"/>
            <w:vAlign w:val="bottom"/>
          </w:tcPr>
          <w:p>
            <w:pPr>
              <w:ind w:left="20"/>
              <w:spacing w:after="0"/>
              <w:rPr>
                <w:sz w:val="20"/>
                <w:szCs w:val="20"/>
                <w:color w:val="auto"/>
              </w:rPr>
            </w:pPr>
            <w:r>
              <w:rPr>
                <w:rFonts w:ascii="Arial" w:cs="Arial" w:eastAsia="Arial" w:hAnsi="Arial"/>
                <w:sz w:val="15"/>
                <w:szCs w:val="15"/>
                <w:color w:val="auto"/>
              </w:rPr>
              <w:t>(5)</w:t>
            </w:r>
          </w:p>
        </w:tc>
        <w:tc>
          <w:tcPr>
            <w:tcW w:w="900" w:type="dxa"/>
            <w:vAlign w:val="bottom"/>
          </w:tcPr>
          <w:p>
            <w:pPr>
              <w:jc w:val="right"/>
              <w:spacing w:after="0"/>
              <w:rPr>
                <w:sz w:val="20"/>
                <w:szCs w:val="20"/>
                <w:color w:val="auto"/>
              </w:rPr>
            </w:pPr>
            <w:r>
              <w:rPr>
                <w:rFonts w:ascii="Arial" w:cs="Arial" w:eastAsia="Arial" w:hAnsi="Arial"/>
                <w:sz w:val="15"/>
                <w:szCs w:val="15"/>
                <w:color w:val="auto"/>
              </w:rPr>
              <w:t>150,000</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8.99</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5/2/2023</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200,000</w:t>
            </w:r>
          </w:p>
        </w:tc>
        <w:tc>
          <w:tcPr>
            <w:tcW w:w="2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87"/>
              </w:rPr>
              <w:t>(6)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672,000</w:t>
            </w:r>
          </w:p>
        </w:tc>
        <w:tc>
          <w:tcPr>
            <w:tcW w:w="1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5"/>
                <w:szCs w:val="15"/>
                <w:color w:val="auto"/>
              </w:rPr>
              <w:t>1,050,000 (7)</w:t>
            </w:r>
          </w:p>
        </w:tc>
        <w:tc>
          <w:tcPr>
            <w:tcW w:w="2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3,528,000</w:t>
            </w:r>
          </w:p>
        </w:tc>
        <w:tc>
          <w:tcPr>
            <w:tcW w:w="100" w:type="dxa"/>
            <w:vAlign w:val="bottom"/>
          </w:tcPr>
          <w:p>
            <w:pPr>
              <w:spacing w:after="0"/>
              <w:rPr>
                <w:sz w:val="15"/>
                <w:szCs w:val="15"/>
                <w:color w:val="auto"/>
              </w:rPr>
            </w:pPr>
          </w:p>
        </w:tc>
      </w:tr>
      <w:tr>
        <w:trPr>
          <w:trHeight w:val="175"/>
        </w:trPr>
        <w:tc>
          <w:tcPr>
            <w:tcW w:w="1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Andrew R. Boll</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9,169</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5,831</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1/25/2016</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15,000</w:t>
            </w:r>
          </w:p>
        </w:tc>
        <w:tc>
          <w:tcPr>
            <w:tcW w:w="380" w:type="dxa"/>
            <w:vAlign w:val="bottom"/>
          </w:tcPr>
          <w:p>
            <w:pPr>
              <w:ind w:left="20"/>
              <w:spacing w:after="0"/>
              <w:rPr>
                <w:sz w:val="20"/>
                <w:szCs w:val="20"/>
                <w:color w:val="auto"/>
              </w:rPr>
            </w:pPr>
            <w:r>
              <w:rPr>
                <w:rFonts w:ascii="Arial" w:cs="Arial" w:eastAsia="Arial" w:hAnsi="Arial"/>
                <w:sz w:val="15"/>
                <w:szCs w:val="15"/>
                <w:color w:val="auto"/>
              </w:rPr>
              <w:t>(9)</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75,000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6.00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4/1/2023</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7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Balbir Brar</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175,000</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3.68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9/26/2014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720" w:type="dxa"/>
            <w:vAlign w:val="bottom"/>
            <w:gridSpan w:val="2"/>
          </w:tcPr>
          <w:p>
            <w:pPr>
              <w:spacing w:after="0"/>
              <w:rPr>
                <w:sz w:val="20"/>
                <w:szCs w:val="20"/>
                <w:color w:val="auto"/>
              </w:rPr>
            </w:pPr>
            <w:r>
              <w:rPr>
                <w:rFonts w:ascii="Arial" w:cs="Arial" w:eastAsia="Arial" w:hAnsi="Arial"/>
                <w:sz w:val="15"/>
                <w:szCs w:val="15"/>
                <w:color w:val="auto"/>
              </w:rPr>
              <w:t>Joachim P.H. Schupp</w:t>
            </w: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43,748</w:t>
            </w:r>
          </w:p>
        </w:tc>
        <w:tc>
          <w:tcPr>
            <w:tcW w:w="380" w:type="dxa"/>
            <w:vAlign w:val="bottom"/>
          </w:tcPr>
          <w:p>
            <w:pPr>
              <w:ind w:left="20"/>
              <w:spacing w:after="0"/>
              <w:rPr>
                <w:sz w:val="20"/>
                <w:szCs w:val="20"/>
                <w:color w:val="auto"/>
              </w:rPr>
            </w:pPr>
            <w:r>
              <w:rPr>
                <w:rFonts w:ascii="Arial" w:cs="Arial" w:eastAsia="Arial" w:hAnsi="Arial"/>
                <w:sz w:val="15"/>
                <w:szCs w:val="15"/>
                <w:color w:val="auto"/>
              </w:rPr>
              <w:t>(11)</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3.60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11/15/2014</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75"/>
        </w:trPr>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4,168</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(12)</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6.00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11/15/2014</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r>
      <w:tr>
        <w:trPr>
          <w:trHeight w:val="184"/>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5"/>
                <w:szCs w:val="15"/>
                <w:color w:val="auto"/>
              </w:rPr>
              <w:t>493</w:t>
            </w:r>
          </w:p>
        </w:tc>
        <w:tc>
          <w:tcPr>
            <w:tcW w:w="380" w:type="dxa"/>
            <w:vAlign w:val="bottom"/>
          </w:tcPr>
          <w:p>
            <w:pPr>
              <w:ind w:left="20"/>
              <w:spacing w:after="0"/>
              <w:rPr>
                <w:sz w:val="20"/>
                <w:szCs w:val="20"/>
                <w:color w:val="auto"/>
              </w:rPr>
            </w:pPr>
            <w:r>
              <w:rPr>
                <w:rFonts w:ascii="Arial" w:cs="Arial" w:eastAsia="Arial" w:hAnsi="Arial"/>
                <w:sz w:val="15"/>
                <w:szCs w:val="15"/>
                <w:color w:val="auto"/>
              </w:rPr>
              <w:t>(13)</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5"/>
                <w:szCs w:val="15"/>
                <w:color w:val="auto"/>
              </w:rPr>
              <w:t>4.00</w:t>
            </w:r>
          </w:p>
        </w:tc>
        <w:tc>
          <w:tcPr>
            <w:tcW w:w="880" w:type="dxa"/>
            <w:vAlign w:val="bottom"/>
            <w:gridSpan w:val="2"/>
          </w:tcPr>
          <w:p>
            <w:pPr>
              <w:jc w:val="right"/>
              <w:ind w:right="100"/>
              <w:spacing w:after="0"/>
              <w:rPr>
                <w:sz w:val="20"/>
                <w:szCs w:val="20"/>
                <w:color w:val="auto"/>
              </w:rPr>
            </w:pPr>
            <w:r>
              <w:rPr>
                <w:rFonts w:ascii="Arial" w:cs="Arial" w:eastAsia="Arial" w:hAnsi="Arial"/>
                <w:sz w:val="15"/>
                <w:szCs w:val="15"/>
                <w:color w:val="auto"/>
              </w:rPr>
              <w:t>10/5/2014</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bl>
    <w:p>
      <w:pPr>
        <w:spacing w:after="0" w:line="155" w:lineRule="exact"/>
        <w:rPr>
          <w:sz w:val="20"/>
          <w:szCs w:val="20"/>
          <w:color w:val="auto"/>
        </w:rPr>
      </w:pPr>
    </w:p>
    <w:p>
      <w:pPr>
        <w:ind w:left="540" w:hanging="533"/>
        <w:spacing w:after="0" w:line="259"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Calculated by multiplying the number of unvested shares by $3.36, the closing price per share of our common stock on The NASDAQ Capital Markets on December 31, 2013 (which was the last business day of the 2013 fiscal year).</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an option granted to Mr. Baum on April 1, 2012 under the Plan as compensation for his services, including his service as Chairman of the Board of Directors. The option vested in 12 equal monthly installments of 10,417 shares from January 25, 2012 to January 25, 2013.</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an option granted to Mr. Baum an April 1, 2012 under the Plan in connection with his appointment as our Chief Executive Officer. The option vests over a two-year period, with 15,000 shares vesting immediately upon issuance and an additional 1,875 shares vesting monthly for the 24 months thereafter.</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an option granted to Mr. Baum an April 1, 2012 under the Plan in connection with his services as a director. The option vested in four equal quarterly installments of 6,250 shares commencing on June 30, 2012.</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an option granted to Mr. Baum on May 2, 2013 under the Plan in connection with his services as a Chief Executive Officer. The option vests in quarterly installments of 15,000 shares over three years.</w:t>
      </w:r>
    </w:p>
    <w:p>
      <w:pPr>
        <w:spacing w:after="0" w:line="152" w:lineRule="exact"/>
        <w:rPr>
          <w:rFonts w:ascii="Arial" w:cs="Arial" w:eastAsia="Arial" w:hAnsi="Arial"/>
          <w:sz w:val="15"/>
          <w:szCs w:val="15"/>
          <w:color w:val="auto"/>
        </w:rPr>
      </w:pPr>
    </w:p>
    <w:p>
      <w:pPr>
        <w:ind w:left="540" w:hanging="533"/>
        <w:spacing w:after="0"/>
        <w:tabs>
          <w:tab w:leader="none" w:pos="5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Represents an award of RSUs granted to Mr. Baum on May 2, 2013. The RSUs vest in full on May 2, 2016 contingent on continuous service to the Company.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88" w:right="219" w:bottom="1440" w:gutter="0" w:footer="0" w:header="0"/>
        </w:sectPr>
      </w:pPr>
    </w:p>
    <w:bookmarkStart w:id="14" w:name="page15"/>
    <w:bookmarkEnd w:id="14"/>
    <w:p>
      <w:pPr>
        <w:ind w:left="540" w:hanging="533"/>
        <w:spacing w:after="0" w:line="259"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the Performance Equity Award described in more detail under “</w:t>
      </w:r>
      <w:r>
        <w:rPr>
          <w:rFonts w:ascii="Arial" w:cs="Arial" w:eastAsia="Arial" w:hAnsi="Arial"/>
          <w:sz w:val="15"/>
          <w:szCs w:val="15"/>
          <w:i w:val="1"/>
          <w:iCs w:val="1"/>
          <w:color w:val="auto"/>
        </w:rPr>
        <w:t>Compensation Arrangements with Mark L. Baum – Performance Equity Award</w:t>
      </w:r>
      <w:r>
        <w:rPr>
          <w:rFonts w:ascii="Arial" w:cs="Arial" w:eastAsia="Arial" w:hAnsi="Arial"/>
          <w:sz w:val="15"/>
          <w:szCs w:val="15"/>
          <w:color w:val="auto"/>
        </w:rPr>
        <w:t>” below. As described below, the Performance Equity Award vests upon achieving and maintaining certain stock price targets over a three year period.</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an option granted to Mr. Boll on February 1, 2012 under the Plan in connection with his appointment as our Vice President, Accounting and Public Reporting. The option vests in equal monthly installments over the 36 month period following the date of grant.</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an option granted to Mr. Boll on April 1, 2013 under the Plan in connection with his appointment as our Vice President, Accounting and Public Reporting. The option vests in quarterly installments of 7,500 shares over three years.</w:t>
      </w:r>
    </w:p>
    <w:p>
      <w:pPr>
        <w:spacing w:after="0" w:line="152" w:lineRule="exact"/>
        <w:rPr>
          <w:rFonts w:ascii="Arial" w:cs="Arial" w:eastAsia="Arial" w:hAnsi="Arial"/>
          <w:sz w:val="15"/>
          <w:szCs w:val="15"/>
          <w:color w:val="auto"/>
        </w:rPr>
      </w:pPr>
    </w:p>
    <w:p>
      <w:pPr>
        <w:jc w:val="both"/>
        <w:ind w:left="540" w:hanging="533"/>
        <w:spacing w:after="0" w:line="330" w:lineRule="auto"/>
        <w:tabs>
          <w:tab w:leader="none" w:pos="5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an option granted to Dr. Brar on January 25, 2012 under the Plan in connection with his appointment as our President. The option vests in equal monthly installments over the 36 month period following the date of grant. Following Dr. Brar’s resignation as President of the Company, in May 2013, we entered into a consulting agreement that allowed for these options to continue vesting in accordance with their original vesting schedule. On September 26, 2013, Dr. Brar’s consulting agreement was terminated and the vesting accelerated for 50,000 shares. All unvested stock options related to this grant were then forfeited. The remaining vested stock options are exercisable until September 30, 2014.</w:t>
      </w:r>
    </w:p>
    <w:p>
      <w:pPr>
        <w:spacing w:after="0" w:line="115" w:lineRule="exact"/>
        <w:rPr>
          <w:rFonts w:ascii="Arial" w:cs="Arial" w:eastAsia="Arial" w:hAnsi="Arial"/>
          <w:sz w:val="12"/>
          <w:szCs w:val="12"/>
          <w:color w:val="auto"/>
        </w:rPr>
      </w:pPr>
    </w:p>
    <w:p>
      <w:pPr>
        <w:jc w:val="both"/>
        <w:ind w:left="540" w:hanging="533"/>
        <w:spacing w:after="0" w:line="251"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an option granted to Dr. Schupp on February 15, 2012 under the Plan in connection with his appointment as our Chief Medical Officer. The option vests in equal monthly installments over the 36 month period following the date of grant. Following Dr. Schupp’s resignation as Chief Medical Officer of the Company in November 2013, all unvested stock options related to this grant were forfeited and the remaining vested stock options are exercisable until November 15, 2014.</w:t>
      </w:r>
    </w:p>
    <w:p>
      <w:pPr>
        <w:spacing w:after="0" w:line="158" w:lineRule="exact"/>
        <w:rPr>
          <w:rFonts w:ascii="Arial" w:cs="Arial" w:eastAsia="Arial" w:hAnsi="Arial"/>
          <w:sz w:val="15"/>
          <w:szCs w:val="15"/>
          <w:color w:val="auto"/>
        </w:rPr>
      </w:pPr>
    </w:p>
    <w:p>
      <w:pPr>
        <w:jc w:val="both"/>
        <w:ind w:left="540" w:hanging="533"/>
        <w:spacing w:after="0" w:line="251"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an option granted to Dr. Schupp on April 1, 2013 under the Plan in connection with his appointment as our Chief Medical Officer. The option vests in quarterly installments of 2,083 shares over three years. Following Dr. Schupp’s resignation as Chief Medical Officer of the Company in November 2013, all unvested stock options related to this grant were forfeited and the remaining vested stock options are exercisable until November 15, 2014.</w:t>
      </w:r>
    </w:p>
    <w:p>
      <w:pPr>
        <w:spacing w:after="0" w:line="158"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an option granted to Dr. Schupp on December 15, 2011 under the Plan in connection with a release given by Dr. Schupp upon DermaStar’s investment in the Company. The option was 100% vested upon its grant.</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Named Executive Officer Compensation Considerations and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Compensation Committee in Compensation Decisions</w:t>
      </w:r>
    </w:p>
    <w:p>
      <w:pPr>
        <w:spacing w:after="0" w:line="177" w:lineRule="exact"/>
        <w:rPr>
          <w:sz w:val="20"/>
          <w:szCs w:val="20"/>
          <w:color w:val="auto"/>
        </w:rPr>
      </w:pPr>
    </w:p>
    <w:p>
      <w:pPr>
        <w:jc w:val="both"/>
        <w:ind w:firstLine="525"/>
        <w:spacing w:after="0" w:line="309" w:lineRule="auto"/>
        <w:rPr>
          <w:sz w:val="20"/>
          <w:szCs w:val="20"/>
          <w:color w:val="auto"/>
        </w:rPr>
      </w:pPr>
      <w:r>
        <w:rPr>
          <w:rFonts w:ascii="Arial" w:cs="Arial" w:eastAsia="Arial" w:hAnsi="Arial"/>
          <w:sz w:val="12"/>
          <w:szCs w:val="12"/>
          <w:color w:val="auto"/>
        </w:rPr>
        <w:t>In accordance with its charter, the Compensation Committee is responsible for, among other things, reviewing and evaluating the executive officer compensation program to align the interests of the executive officers with the business and financial goals of the Company, including, among other things: (i) evaluating the elements of the executive officer compensation program and recommending modifications within the elements and the program to the Board as necessary to be consistent with the applicable corporate goals and objectives and intended rewards;</w:t>
      </w:r>
    </w:p>
    <w:p>
      <w:pPr>
        <w:spacing w:after="0" w:line="1" w:lineRule="exact"/>
        <w:rPr>
          <w:sz w:val="20"/>
          <w:szCs w:val="20"/>
          <w:color w:val="auto"/>
        </w:rPr>
      </w:pPr>
    </w:p>
    <w:p>
      <w:pPr>
        <w:jc w:val="both"/>
        <w:ind w:firstLine="7"/>
        <w:spacing w:after="0" w:line="244" w:lineRule="auto"/>
        <w:tabs>
          <w:tab w:leader="none" w:pos="228" w:val="left"/>
        </w:tabs>
        <w:numPr>
          <w:ilvl w:val="0"/>
          <w:numId w:val="12"/>
        </w:numPr>
        <w:rPr>
          <w:rFonts w:ascii="Arial" w:cs="Arial" w:eastAsia="Arial" w:hAnsi="Arial"/>
          <w:sz w:val="15"/>
          <w:szCs w:val="15"/>
          <w:color w:val="auto"/>
        </w:rPr>
      </w:pPr>
      <w:r>
        <w:rPr>
          <w:rFonts w:ascii="Arial" w:cs="Arial" w:eastAsia="Arial" w:hAnsi="Arial"/>
          <w:sz w:val="15"/>
          <w:szCs w:val="15"/>
          <w:color w:val="auto"/>
        </w:rPr>
        <w:t>evaluating the performance of the Chief Executive Officer, and in consultation with the Chief Executive Officer, the performance of our other executive officer, in light of these goals and objectives, and the level of achievement of such corporate goals and objectives; and (iii) approving and/or recommending to the Board for approval, by a majority of independent directors,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163"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Chief Executive Officer in Compensation Decisions</w:t>
      </w:r>
    </w:p>
    <w:p>
      <w:pPr>
        <w:spacing w:after="0" w:line="177"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Compensation for the Chief Executive Officer is reviewed, evaluated and approved by the Compensation Committee without the presence or participation of the Chief Executive Officer. The Compensation Committee’s decision with respect to awards of, or changes in, compensation to be paid to the Chief Executive Officer may, in certain cases, also be submitted to the independent members of the Board for approval or ratification.</w:t>
      </w:r>
    </w:p>
    <w:p>
      <w:pPr>
        <w:spacing w:after="0" w:line="158"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The Chief Executive Officer reviews and makes recommendations to the Compensation Committee with respect to the compensation of our other executive officer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giving its approval to such compensation. The Compensation Committee’s compensation determinations with respect to awards of, or changes in, compensation for each executive officer may, in certain cases, also be submitted to the independent members of the Board for approval or ratification.</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Role of Compensation Consultants in Compensation Decisions</w:t>
      </w:r>
    </w:p>
    <w:p>
      <w:pPr>
        <w:spacing w:after="0" w:line="177"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The Compensation Committee has authority to engage the services of independent compensation consultants to assist with executive compensation review and analysis, to provide both an independent review and to validate the methods and scope of internal review being conducted. In 2013, the Compensation Committee engaged Barney and Barney, LLC to assist it in its review of executive and director compensation, including the competitiveness of pay levels, executive compensation design, benchmarking with the Company’s peers in the industry and other technical considerations including tax- and accounting-related matters. Based on the information provided by Barney and Barney and input from our Chief Executive Officer, the Compensation Committee exercised its business judgment as to setting base salaries, incentive compensation levels and equity grants for executive officers. The Compensation Committee has assessed the independence of Barney and Barney pursuant to SEC rules and concluded that no conflict of interest exists that would prevent Barney and Barney from independently representing the Compensation Committee.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88" w:right="219" w:bottom="1440" w:gutter="0" w:footer="0" w:header="0"/>
        </w:sectPr>
      </w:pPr>
    </w:p>
    <w:bookmarkStart w:id="15" w:name="page16"/>
    <w:bookmarkEnd w:id="15"/>
    <w:p>
      <w:pPr>
        <w:spacing w:after="0"/>
        <w:rPr>
          <w:sz w:val="20"/>
          <w:szCs w:val="20"/>
          <w:color w:val="auto"/>
        </w:rPr>
      </w:pPr>
      <w:r>
        <w:rPr>
          <w:rFonts w:ascii="Arial" w:cs="Arial" w:eastAsia="Arial" w:hAnsi="Arial"/>
          <w:sz w:val="15"/>
          <w:szCs w:val="15"/>
          <w:b w:val="1"/>
          <w:bCs w:val="1"/>
          <w:i w:val="1"/>
          <w:iCs w:val="1"/>
          <w:color w:val="auto"/>
        </w:rPr>
        <w:t>Compensation Arrangements with Mark L. Baum</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Amended and Restated Employment Agreement</w:t>
      </w:r>
    </w:p>
    <w:p>
      <w:pPr>
        <w:spacing w:after="0" w:line="177"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On May 2, 2013, we entered into an amended and restated employment agreement with Mark L. Baum, our Chief Executive Officer. The employment agreement has an initial term of three years and will automatically renew thereafter for consecutive one year terms unless earlier terminated by either party. The agreement provides for an initial annual base salary of $329,000 and a target annual incentive bonus of 45% of his annual base salary. In addition, as described more fully below, puesuant to the employment agreement, Mr. Baum received the following equity incentive awards: (i) 180,000 options to purchase our common stock; (ii) 200,000 restricted stock units subject to time-based vesting; and (iii) 1,050,000 restricted stock units subject to performance-based vesting.</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2013 Performance Equity Award</w:t>
      </w:r>
    </w:p>
    <w:p>
      <w:pPr>
        <w:spacing w:after="0" w:line="177"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Under his employment agreement, Mr. Baum was granted a performance-based restricted stock unit award (the “Performance Equity Award”) of 1,050,000 performance-based restricted stock units. The Performance Equity Award vests three years from the date of grant contingent upon the satisfaction of certain performance-based vesting criteria during the three year period. The performance-based vesting criteria are broken into five equal tranches and require that the Company achieves and maintains certain stock price targets ranging from $10 per share to $30 per share during the three year period following the grant date. With certain limited exceptions, Mr. Baum must be employed with the Company on the third anniversary of the grant date in order for the Performance Equity Award to vest. These market-based vesting conditions are set forth below:</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580" w:type="dxa"/>
            <w:vAlign w:val="bottom"/>
          </w:tcPr>
          <w:p>
            <w:pPr>
              <w:spacing w:after="0"/>
              <w:rPr>
                <w:sz w:val="20"/>
                <w:szCs w:val="20"/>
                <w:color w:val="auto"/>
              </w:rPr>
            </w:pPr>
            <w:r>
              <w:rPr>
                <w:rFonts w:ascii="Arial" w:cs="Arial" w:eastAsia="Arial" w:hAnsi="Arial"/>
                <w:sz w:val="15"/>
                <w:szCs w:val="15"/>
                <w:color w:val="auto"/>
              </w:rPr>
              <w:t>Tranche</w:t>
            </w:r>
          </w:p>
        </w:tc>
        <w:tc>
          <w:tcPr>
            <w:tcW w:w="4960" w:type="dxa"/>
            <w:vAlign w:val="bottom"/>
            <w:gridSpan w:val="2"/>
          </w:tcPr>
          <w:p>
            <w:pPr>
              <w:ind w:left="200"/>
              <w:spacing w:after="0"/>
              <w:rPr>
                <w:sz w:val="20"/>
                <w:szCs w:val="20"/>
                <w:color w:val="auto"/>
              </w:rPr>
            </w:pPr>
            <w:r>
              <w:rPr>
                <w:rFonts w:ascii="Arial" w:cs="Arial" w:eastAsia="Arial" w:hAnsi="Arial"/>
                <w:sz w:val="15"/>
                <w:szCs w:val="15"/>
                <w:color w:val="auto"/>
              </w:rPr>
              <w:t>Number of Shares</w:t>
            </w:r>
          </w:p>
        </w:tc>
        <w:tc>
          <w:tcPr>
            <w:tcW w:w="2780" w:type="dxa"/>
            <w:vAlign w:val="bottom"/>
            <w:gridSpan w:val="2"/>
          </w:tcPr>
          <w:p>
            <w:pPr>
              <w:ind w:left="200"/>
              <w:spacing w:after="0"/>
              <w:rPr>
                <w:sz w:val="20"/>
                <w:szCs w:val="20"/>
                <w:color w:val="auto"/>
              </w:rPr>
            </w:pPr>
            <w:r>
              <w:rPr>
                <w:rFonts w:ascii="Arial" w:cs="Arial" w:eastAsia="Arial" w:hAnsi="Arial"/>
                <w:sz w:val="15"/>
                <w:szCs w:val="15"/>
                <w:color w:val="auto"/>
              </w:rPr>
              <w:t>Target Share Price</w:t>
            </w:r>
          </w:p>
        </w:tc>
      </w:tr>
      <w:tr>
        <w:trPr>
          <w:trHeight w:val="175"/>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Tranche 1</w:t>
            </w:r>
          </w:p>
        </w:tc>
        <w:tc>
          <w:tcPr>
            <w:tcW w:w="220" w:type="dxa"/>
            <w:vAlign w:val="bottom"/>
            <w:tcBorders>
              <w:top w:val="single" w:sz="8" w:color="CCEEFF"/>
            </w:tcBorders>
            <w:shd w:val="clear" w:color="auto" w:fill="CCEEFF"/>
          </w:tcPr>
          <w:p>
            <w:pPr>
              <w:spacing w:after="0"/>
              <w:rPr>
                <w:sz w:val="15"/>
                <w:szCs w:val="15"/>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19.05% of the Performance Equity Award granted</w:t>
            </w:r>
          </w:p>
        </w:tc>
        <w:tc>
          <w:tcPr>
            <w:tcW w:w="20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$10.00 or greater</w:t>
            </w:r>
          </w:p>
        </w:tc>
      </w:tr>
      <w:tr>
        <w:trPr>
          <w:trHeight w:val="175"/>
        </w:trPr>
        <w:tc>
          <w:tcPr>
            <w:tcW w:w="2580" w:type="dxa"/>
            <w:vAlign w:val="bottom"/>
          </w:tcPr>
          <w:p>
            <w:pPr>
              <w:spacing w:after="0"/>
              <w:rPr>
                <w:sz w:val="20"/>
                <w:szCs w:val="20"/>
                <w:color w:val="auto"/>
              </w:rPr>
            </w:pPr>
            <w:r>
              <w:rPr>
                <w:rFonts w:ascii="Arial" w:cs="Arial" w:eastAsia="Arial" w:hAnsi="Arial"/>
                <w:sz w:val="15"/>
                <w:szCs w:val="15"/>
                <w:color w:val="auto"/>
              </w:rPr>
              <w:t>Tranche 2</w:t>
            </w:r>
          </w:p>
        </w:tc>
        <w:tc>
          <w:tcPr>
            <w:tcW w:w="4960" w:type="dxa"/>
            <w:vAlign w:val="bottom"/>
            <w:gridSpan w:val="2"/>
          </w:tcPr>
          <w:p>
            <w:pPr>
              <w:ind w:left="200"/>
              <w:spacing w:after="0"/>
              <w:rPr>
                <w:sz w:val="20"/>
                <w:szCs w:val="20"/>
                <w:color w:val="auto"/>
              </w:rPr>
            </w:pPr>
            <w:r>
              <w:rPr>
                <w:rFonts w:ascii="Arial" w:cs="Arial" w:eastAsia="Arial" w:hAnsi="Arial"/>
                <w:sz w:val="15"/>
                <w:szCs w:val="15"/>
                <w:color w:val="auto"/>
              </w:rPr>
              <w:t>19.05% of the Performance Equity Award granted</w:t>
            </w:r>
          </w:p>
        </w:tc>
        <w:tc>
          <w:tcPr>
            <w:tcW w:w="2780" w:type="dxa"/>
            <w:vAlign w:val="bottom"/>
            <w:gridSpan w:val="2"/>
          </w:tcPr>
          <w:p>
            <w:pPr>
              <w:ind w:left="200"/>
              <w:spacing w:after="0"/>
              <w:rPr>
                <w:sz w:val="20"/>
                <w:szCs w:val="20"/>
                <w:color w:val="auto"/>
              </w:rPr>
            </w:pPr>
            <w:r>
              <w:rPr>
                <w:rFonts w:ascii="Arial" w:cs="Arial" w:eastAsia="Arial" w:hAnsi="Arial"/>
                <w:sz w:val="15"/>
                <w:szCs w:val="15"/>
                <w:color w:val="auto"/>
              </w:rPr>
              <w:t>$15.00 or greater</w:t>
            </w:r>
          </w:p>
        </w:tc>
      </w:tr>
      <w:tr>
        <w:trPr>
          <w:trHeight w:val="175"/>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Tranche 3</w:t>
            </w: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19.05% of the Performance Equity Award granted</w:t>
            </w: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$20.00 or greater</w:t>
            </w:r>
          </w:p>
        </w:tc>
      </w:tr>
      <w:tr>
        <w:trPr>
          <w:trHeight w:val="175"/>
        </w:trPr>
        <w:tc>
          <w:tcPr>
            <w:tcW w:w="2580" w:type="dxa"/>
            <w:vAlign w:val="bottom"/>
          </w:tcPr>
          <w:p>
            <w:pPr>
              <w:spacing w:after="0"/>
              <w:rPr>
                <w:sz w:val="20"/>
                <w:szCs w:val="20"/>
                <w:color w:val="auto"/>
              </w:rPr>
            </w:pPr>
            <w:r>
              <w:rPr>
                <w:rFonts w:ascii="Arial" w:cs="Arial" w:eastAsia="Arial" w:hAnsi="Arial"/>
                <w:sz w:val="15"/>
                <w:szCs w:val="15"/>
                <w:color w:val="auto"/>
              </w:rPr>
              <w:t>Tranche 4</w:t>
            </w:r>
          </w:p>
        </w:tc>
        <w:tc>
          <w:tcPr>
            <w:tcW w:w="4960" w:type="dxa"/>
            <w:vAlign w:val="bottom"/>
            <w:gridSpan w:val="2"/>
          </w:tcPr>
          <w:p>
            <w:pPr>
              <w:ind w:left="200"/>
              <w:spacing w:after="0"/>
              <w:rPr>
                <w:sz w:val="20"/>
                <w:szCs w:val="20"/>
                <w:color w:val="auto"/>
              </w:rPr>
            </w:pPr>
            <w:r>
              <w:rPr>
                <w:rFonts w:ascii="Arial" w:cs="Arial" w:eastAsia="Arial" w:hAnsi="Arial"/>
                <w:sz w:val="15"/>
                <w:szCs w:val="15"/>
                <w:color w:val="auto"/>
              </w:rPr>
              <w:t>19.05% of the Performance Equity Award granted</w:t>
            </w:r>
          </w:p>
        </w:tc>
        <w:tc>
          <w:tcPr>
            <w:tcW w:w="2780" w:type="dxa"/>
            <w:vAlign w:val="bottom"/>
            <w:gridSpan w:val="2"/>
          </w:tcPr>
          <w:p>
            <w:pPr>
              <w:ind w:left="200"/>
              <w:spacing w:after="0"/>
              <w:rPr>
                <w:sz w:val="20"/>
                <w:szCs w:val="20"/>
                <w:color w:val="auto"/>
              </w:rPr>
            </w:pPr>
            <w:r>
              <w:rPr>
                <w:rFonts w:ascii="Arial" w:cs="Arial" w:eastAsia="Arial" w:hAnsi="Arial"/>
                <w:sz w:val="15"/>
                <w:szCs w:val="15"/>
                <w:color w:val="auto"/>
              </w:rPr>
              <w:t>$25.00 or greater</w:t>
            </w:r>
          </w:p>
        </w:tc>
      </w:tr>
      <w:tr>
        <w:trPr>
          <w:trHeight w:val="175"/>
        </w:trPr>
        <w:tc>
          <w:tcPr>
            <w:tcW w:w="2580" w:type="dxa"/>
            <w:vAlign w:val="bottom"/>
            <w:shd w:val="clear" w:color="auto" w:fill="CCEEFF"/>
          </w:tcPr>
          <w:p>
            <w:pPr>
              <w:spacing w:after="0"/>
              <w:rPr>
                <w:sz w:val="20"/>
                <w:szCs w:val="20"/>
                <w:color w:val="auto"/>
              </w:rPr>
            </w:pPr>
            <w:r>
              <w:rPr>
                <w:rFonts w:ascii="Arial" w:cs="Arial" w:eastAsia="Arial" w:hAnsi="Arial"/>
                <w:sz w:val="15"/>
                <w:szCs w:val="15"/>
                <w:color w:val="auto"/>
              </w:rPr>
              <w:t>Tranche 5</w:t>
            </w:r>
          </w:p>
        </w:tc>
        <w:tc>
          <w:tcPr>
            <w:tcW w:w="49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23.80% of the Performance Equity Award granted</w:t>
            </w: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$30.00 or greater</w:t>
            </w:r>
          </w:p>
        </w:tc>
      </w:tr>
    </w:tbl>
    <w:p>
      <w:pPr>
        <w:spacing w:after="0" w:line="164" w:lineRule="exact"/>
        <w:rPr>
          <w:sz w:val="20"/>
          <w:szCs w:val="20"/>
          <w:color w:val="auto"/>
        </w:rPr>
      </w:pPr>
    </w:p>
    <w:p>
      <w:pPr>
        <w:jc w:val="both"/>
        <w:ind w:firstLine="525"/>
        <w:spacing w:after="0" w:line="315" w:lineRule="auto"/>
        <w:rPr>
          <w:sz w:val="20"/>
          <w:szCs w:val="20"/>
          <w:color w:val="auto"/>
        </w:rPr>
      </w:pPr>
      <w:r>
        <w:rPr>
          <w:rFonts w:ascii="Arial" w:cs="Arial" w:eastAsia="Arial" w:hAnsi="Arial"/>
          <w:sz w:val="12"/>
          <w:szCs w:val="12"/>
          <w:color w:val="auto"/>
        </w:rPr>
        <w:t>The closing sale price of our Common Stock on May 2, 2013, the date the performance equity award was approved, was $8.99. Accordingly, Tranche 1 vesting requires a stock price appreciation of 11% Tranche 2 vesting requires a stock price appreciation of 67% Tranche 3 vesting requires a stock price appreciation of 122% Tranche 4 vesting requires a stock price appreciation of 178% and Tranche 5 vesting requires a stock price appreciation of 234%. 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restricted stock units under the Performance Equity Award will be forfeited on the third anniversary of the grant date. In addition, the Performance Equity Award contains an incentive recoupment (or “clawback”) provision that provides for Mr. Baum’s forfeiture or repayment of the benefits granted under the Performance Equity Award under certain circumstances.</w:t>
      </w:r>
    </w:p>
    <w:p>
      <w:pPr>
        <w:spacing w:after="0" w:line="125" w:lineRule="exact"/>
        <w:rPr>
          <w:sz w:val="20"/>
          <w:szCs w:val="20"/>
          <w:color w:val="auto"/>
        </w:rPr>
      </w:pPr>
    </w:p>
    <w:p>
      <w:pPr>
        <w:jc w:val="both"/>
        <w:ind w:firstLine="525"/>
        <w:spacing w:after="0" w:line="320" w:lineRule="auto"/>
        <w:rPr>
          <w:sz w:val="20"/>
          <w:szCs w:val="20"/>
          <w:color w:val="auto"/>
        </w:rPr>
      </w:pPr>
      <w:r>
        <w:rPr>
          <w:rFonts w:ascii="Arial" w:cs="Arial" w:eastAsia="Arial" w:hAnsi="Arial"/>
          <w:sz w:val="12"/>
          <w:szCs w:val="12"/>
          <w:color w:val="auto"/>
        </w:rPr>
        <w:t>At the time of initial grant of the Performance Equity Award, (i) the per person grant limit under the Plan for grants of performance-based restricted stock units was 600,000 shares and (ii) insufficient shares were authorized for grant under the Plan to accommodate the Performance Equity Award. As a result, under the terms of the employment agreement with Mr. Baum, the earning and issuance of any shares under the Performance Equity Award that would exceed the number of shares available for grant and/or the applicable annual per person grant limit for performance-based restricted stock units under the Plan was subject to approval by our stockholders of an increase in the number of shares available for grant and the applicable annual per person grant limit for performance-based restricted stock units under the Plan. The Board approved such increases on May 2, 2013, and our stockholders approved such increases on September 27, 2013. As a result, 600,000 RSUs under the Performance Equity Award were granted to Mr. Baum effective May 2, 2013 and the remaining 450,000 RSUs were granted to Mr. Baum effective September 27, 2013.</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Equity Incentive Grants</w:t>
      </w:r>
    </w:p>
    <w:p>
      <w:pPr>
        <w:spacing w:after="0" w:line="177" w:lineRule="exact"/>
        <w:rPr>
          <w:sz w:val="20"/>
          <w:szCs w:val="20"/>
          <w:color w:val="auto"/>
        </w:rPr>
      </w:pPr>
    </w:p>
    <w:p>
      <w:pPr>
        <w:jc w:val="both"/>
        <w:ind w:firstLine="525"/>
        <w:spacing w:after="0" w:line="343" w:lineRule="auto"/>
        <w:rPr>
          <w:sz w:val="20"/>
          <w:szCs w:val="20"/>
          <w:color w:val="auto"/>
        </w:rPr>
      </w:pPr>
      <w:r>
        <w:rPr>
          <w:rFonts w:ascii="Arial" w:cs="Arial" w:eastAsia="Arial" w:hAnsi="Arial"/>
          <w:sz w:val="12"/>
          <w:szCs w:val="12"/>
          <w:color w:val="auto"/>
        </w:rPr>
        <w:t>In July 2012, Mr. Baum was granted 160,000 RSUs with certain performance-based vesting features. Of these, 40,000 RSUs vested upon the closing of our public offering in 2013. Concurrent with the issuance of the 450,000 performance-based RSUs described above in September 2013, Mr. Baum agreed to cancel the remaining 120,000 unvested RSUs previously granted to him in July 2012. As a result, the issuance of the 450,000 RSUs has been treated as a modification of the RSU grant made to Mr. Baum in July 2012 for accounting purposes.</w:t>
      </w:r>
    </w:p>
    <w:p>
      <w:pPr>
        <w:spacing w:after="0" w:line="108" w:lineRule="exact"/>
        <w:rPr>
          <w:sz w:val="20"/>
          <w:szCs w:val="20"/>
          <w:color w:val="auto"/>
        </w:rPr>
      </w:pPr>
    </w:p>
    <w:p>
      <w:pPr>
        <w:jc w:val="both"/>
        <w:ind w:firstLine="525"/>
        <w:spacing w:after="0" w:line="277" w:lineRule="auto"/>
        <w:rPr>
          <w:sz w:val="20"/>
          <w:szCs w:val="20"/>
          <w:color w:val="auto"/>
        </w:rPr>
      </w:pPr>
      <w:r>
        <w:rPr>
          <w:rFonts w:ascii="Arial" w:cs="Arial" w:eastAsia="Arial" w:hAnsi="Arial"/>
          <w:sz w:val="14"/>
          <w:szCs w:val="14"/>
          <w:color w:val="auto"/>
        </w:rPr>
        <w:t>Mr. Baum’s employment agreement also provides for the one-time grant of an option to purchase 180,000 shares of our common stock and 200,000 RSUs, both of which were granted on May 2, 2013. The option vests on a quarterly basis over three years and have an exercise price of $8.99 per share, the fair market value of our common stock on the date of grant, and the RSUs vest on the third anniversary of the agreement, contingent on continuous service to the Company through the applicable vesting date.</w:t>
      </w:r>
    </w:p>
    <w:p>
      <w:pPr>
        <w:spacing w:after="0" w:line="142" w:lineRule="exact"/>
        <w:rPr>
          <w:sz w:val="20"/>
          <w:szCs w:val="20"/>
          <w:color w:val="auto"/>
        </w:rPr>
      </w:pPr>
    </w:p>
    <w:p>
      <w:pPr>
        <w:jc w:val="both"/>
        <w:ind w:firstLine="525"/>
        <w:spacing w:after="0" w:line="265" w:lineRule="auto"/>
        <w:rPr>
          <w:sz w:val="20"/>
          <w:szCs w:val="20"/>
          <w:color w:val="auto"/>
        </w:rPr>
      </w:pPr>
      <w:r>
        <w:rPr>
          <w:rFonts w:ascii="Arial" w:cs="Arial" w:eastAsia="Arial" w:hAnsi="Arial"/>
          <w:sz w:val="14"/>
          <w:szCs w:val="14"/>
          <w:color w:val="auto"/>
        </w:rPr>
        <w:t>Upon the Board’s approval of a merger, acquisition, financing, strategic partnership, spinoff, spin out or equity carve out or similar transaction involving the Company and/or any newly formed subsidiary or affiliate (collectively a “Strategic Transaction”), the Board will in good faith consider issuing performance stock options with an exercise price equal to the current fair market value of the Company’s common stock to Mr. Baum to compensate Mr. Baum for raising capital, acquiring and developing intellectual property and technology and/or successfully executing on other strategic objectives of the Company. The Board’s current target with respect to such awards in connection with a capital raising Strategic Transaction would be to grant Mr. Baum performance stock options valued using the Black Scholes Merton valuation formula equal to 4% of the cash made available to the Company to develop its assets other than its Impracor product or such other reasonable metric as the Board shall determine. The actual amount of any award would be determined at the time of the Strategic Transaction, and could be less than or exceed the target. At Executive’s or the Board’s option, the performance stock options may be issued in the subsidiary or affiliate involved in the Strategic Transaction (if applicable). The Board may adopt a policy regarding the specifics of an award in connection with a specific type of Strategic Transaction.</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addition, Mr. Baum is eligible for additional equity incentive grants at the time grants are generally made to other senior executives at the discretion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Termination Provisions</w:t>
      </w:r>
    </w:p>
    <w:p>
      <w:pPr>
        <w:spacing w:after="0" w:line="177"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In the event the Company terminates Mr. Baum’s employment without Cause or Mr. Baum terminates his employment for Good Reason (as those terms are defined in Mr. Baum’s employment agreement) (a termination without Cause or for Good Reason a “Qualifying Termination”), Mr. Baum will be entitled to receive: (i) accrued and unpaid base salary through the termination date; (ii) a prorated bonus payment for the year in which the termination occurs; (iii) a severance payment equal to the sum of (A) his annual base salary plus (B) one times his actual bonus payment in the two prior years; and (iv) continued group health plan coverage through COBRA for 18 months after termination.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16" w:name="page17"/>
    <w:bookmarkEnd w:id="16"/>
    <w:p>
      <w:pPr>
        <w:ind w:left="540"/>
        <w:spacing w:after="0"/>
        <w:rPr>
          <w:sz w:val="20"/>
          <w:szCs w:val="20"/>
          <w:color w:val="auto"/>
        </w:rPr>
      </w:pPr>
      <w:r>
        <w:rPr>
          <w:rFonts w:ascii="Arial" w:cs="Arial" w:eastAsia="Arial" w:hAnsi="Arial"/>
          <w:sz w:val="15"/>
          <w:szCs w:val="15"/>
          <w:color w:val="auto"/>
        </w:rPr>
        <w:t>In the event of a Qualifying Termination:</w:t>
      </w:r>
    </w:p>
    <w:p>
      <w:pPr>
        <w:spacing w:after="0" w:line="177" w:lineRule="exact"/>
        <w:rPr>
          <w:sz w:val="20"/>
          <w:szCs w:val="20"/>
          <w:color w:val="auto"/>
        </w:rPr>
      </w:pPr>
    </w:p>
    <w:p>
      <w:pPr>
        <w:jc w:val="both"/>
        <w:ind w:left="1060" w:hanging="266"/>
        <w:spacing w:after="0" w:line="320" w:lineRule="auto"/>
        <w:tabs>
          <w:tab w:leader="none" w:pos="10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Performance Equity Award for which the relevant stock price vesting targets have been satisfied at the time of such Qualifying Termination shall vest immediately. In addition, any Performance Equity Awards for which the relevant stock price vesting targets are satisfied within 12 months following the Qualifying Termination will vest on the date of the satisfaction of such vesting criteria. With respect to the Performance Equity Award, in the event of a Qualifying Termination after the first anniversary and prior to the third anniversary of the grant date and within one year of a change of control, all performance stock units subject to the Performance Equity Award that would have vested prior to such date based on the achievement of the associated Company stock price targets will vest and all performance stock units subject to the Performance Equity Award with an associated stock price target at or below the per share consideration in the Change of Control transaction shall vest in full.</w:t>
      </w:r>
    </w:p>
    <w:p>
      <w:pPr>
        <w:spacing w:after="0" w:line="120" w:lineRule="exact"/>
        <w:rPr>
          <w:rFonts w:ascii="Arial" w:cs="Arial" w:eastAsia="Arial" w:hAnsi="Arial"/>
          <w:sz w:val="12"/>
          <w:szCs w:val="12"/>
          <w:color w:val="auto"/>
        </w:rPr>
      </w:pPr>
    </w:p>
    <w:p>
      <w:pPr>
        <w:jc w:val="both"/>
        <w:ind w:left="1060" w:hanging="266"/>
        <w:spacing w:after="0" w:line="251"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portion of the stock option granted pursuant to the employment agreement scheduled to vest within 12 months after the date of termination of employment would vest and be exercisable on the date of termination of employment. In addition, in the event of a Qualifying Termination within two years after a Change of Control, the option would vest in full.</w:t>
      </w:r>
    </w:p>
    <w:p>
      <w:pPr>
        <w:spacing w:after="0" w:line="158" w:lineRule="exact"/>
        <w:rPr>
          <w:rFonts w:ascii="Arial" w:cs="Arial" w:eastAsia="Arial" w:hAnsi="Arial"/>
          <w:sz w:val="15"/>
          <w:szCs w:val="15"/>
          <w:color w:val="auto"/>
        </w:rPr>
      </w:pPr>
    </w:p>
    <w:p>
      <w:pPr>
        <w:jc w:val="both"/>
        <w:ind w:left="1060" w:hanging="266"/>
        <w:spacing w:after="0" w:line="251" w:lineRule="auto"/>
        <w:tabs>
          <w:tab w:leader="none" w:pos="1060"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portion of the 200,000 RSUs granted pursuant to the employment agreement computed based on the length of Mr. Baum’s service for the Company after the grant date of the award would vest in full on the date of termination of employment. In addition, in the event of a Qualifying Termination within one year after a Change of Control, the RSUs would vest in full.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Employment Agreement with Andrew R. Boll, CMA</w:t>
      </w:r>
    </w:p>
    <w:p>
      <w:pPr>
        <w:spacing w:after="0" w:line="177"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color w:val="auto"/>
        </w:rPr>
        <w:t>On January 25, 2012, we entered into an employment agreement with Mr. Boll, effective as of February 1, 2012, with an initial term of three years. Under the terms of the employment agreement, Mr. Boll received an initial base salary of $60,000 per year and was granted an option to purchase 15,000 shares of common stock under the Plan on February 1, 2012, the initial date of his employment with the Company. The option has an exercise price of $3.68 per share, has a four year term and vests monthly over a 36 month period following the date of grant. The option vests in full upon a change of control as defined in the Plan. Mr. Boll has agreed to not sell more than 5% of the shares of the Company’s common stock acquired through the exercise of his stock option in any monthly period without the approval of the Board of Directors. On October 1, 2012, Mr. Boll’s salary was increased to $90,000 per year, and on April 1, 2013, Mr. Boll’s salary was increased to $155,000 per year.</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summarizes our compensation plans under which our equity securities are authorized for issuance as of December 31, 2013: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3780" w:type="dxa"/>
            <w:vAlign w:val="bottom"/>
            <w:gridSpan w:val="4"/>
          </w:tcPr>
          <w:p>
            <w:pPr>
              <w:jc w:val="right"/>
              <w:spacing w:after="0"/>
              <w:rPr>
                <w:sz w:val="20"/>
                <w:szCs w:val="20"/>
                <w:color w:val="auto"/>
              </w:rPr>
            </w:pPr>
            <w:r>
              <w:rPr>
                <w:rFonts w:ascii="Arial" w:cs="Arial" w:eastAsia="Arial" w:hAnsi="Arial"/>
                <w:sz w:val="15"/>
                <w:szCs w:val="15"/>
                <w:b w:val="1"/>
                <w:bCs w:val="1"/>
                <w:color w:val="auto"/>
              </w:rPr>
              <w:t>EQUITY COMPENSATION PLAN INFORMATION (1)</w:t>
            </w: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3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Number of Shares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Number of Shares</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to be Issued Upon</w:t>
            </w:r>
          </w:p>
        </w:tc>
        <w:tc>
          <w:tcPr>
            <w:tcW w:w="260" w:type="dxa"/>
            <w:vAlign w:val="bottom"/>
          </w:tcPr>
          <w:p>
            <w:pPr>
              <w:spacing w:after="0"/>
              <w:rPr>
                <w:sz w:val="15"/>
                <w:szCs w:val="15"/>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5"/>
                <w:szCs w:val="15"/>
                <w:b w:val="1"/>
                <w:bCs w:val="1"/>
                <w:color w:val="auto"/>
                <w:w w:val="86"/>
              </w:rPr>
              <w:t>Weighted- Average</w:t>
            </w:r>
          </w:p>
        </w:tc>
        <w:tc>
          <w:tcPr>
            <w:tcW w:w="21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8"/>
              </w:rPr>
              <w:t>Remaining Available</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4"/>
              </w:rPr>
              <w:t>Exercise of</w:t>
            </w:r>
          </w:p>
        </w:tc>
        <w:tc>
          <w:tcPr>
            <w:tcW w:w="260" w:type="dxa"/>
            <w:vAlign w:val="bottom"/>
          </w:tcPr>
          <w:p>
            <w:pPr>
              <w:spacing w:after="0"/>
              <w:rPr>
                <w:sz w:val="15"/>
                <w:szCs w:val="15"/>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w w:val="85"/>
              </w:rPr>
              <w:t>Exercise Price</w:t>
            </w:r>
          </w:p>
        </w:tc>
        <w:tc>
          <w:tcPr>
            <w:tcW w:w="21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7"/>
              </w:rPr>
              <w:t>for Future Issuance</w:t>
            </w: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88"/>
              </w:rPr>
              <w:t>Outstanding</w:t>
            </w:r>
          </w:p>
        </w:tc>
        <w:tc>
          <w:tcPr>
            <w:tcW w:w="260" w:type="dxa"/>
            <w:vAlign w:val="bottom"/>
          </w:tcPr>
          <w:p>
            <w:pPr>
              <w:spacing w:after="0"/>
              <w:rPr>
                <w:sz w:val="15"/>
                <w:szCs w:val="15"/>
                <w:color w:val="auto"/>
              </w:rPr>
            </w:pPr>
          </w:p>
        </w:tc>
        <w:tc>
          <w:tcPr>
            <w:tcW w:w="1780" w:type="dxa"/>
            <w:vAlign w:val="bottom"/>
            <w:gridSpan w:val="2"/>
          </w:tcPr>
          <w:p>
            <w:pPr>
              <w:jc w:val="center"/>
              <w:ind w:right="600"/>
              <w:spacing w:after="0"/>
              <w:rPr>
                <w:sz w:val="20"/>
                <w:szCs w:val="20"/>
                <w:color w:val="auto"/>
              </w:rPr>
            </w:pPr>
            <w:r>
              <w:rPr>
                <w:rFonts w:ascii="Arial" w:cs="Arial" w:eastAsia="Arial" w:hAnsi="Arial"/>
                <w:sz w:val="15"/>
                <w:szCs w:val="15"/>
                <w:b w:val="1"/>
                <w:bCs w:val="1"/>
                <w:color w:val="auto"/>
                <w:w w:val="88"/>
              </w:rPr>
              <w:t>of Outstanding</w:t>
            </w:r>
          </w:p>
        </w:tc>
        <w:tc>
          <w:tcPr>
            <w:tcW w:w="21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Under Equity</w:t>
            </w:r>
          </w:p>
        </w:tc>
        <w:tc>
          <w:tcPr>
            <w:tcW w:w="0" w:type="dxa"/>
            <w:vAlign w:val="bottom"/>
          </w:tcPr>
          <w:p>
            <w:pPr>
              <w:spacing w:after="0"/>
              <w:rPr>
                <w:sz w:val="1"/>
                <w:szCs w:val="1"/>
                <w:color w:val="auto"/>
              </w:rPr>
            </w:pPr>
          </w:p>
        </w:tc>
      </w:tr>
      <w:tr>
        <w:trPr>
          <w:trHeight w:val="191"/>
        </w:trPr>
        <w:tc>
          <w:tcPr>
            <w:tcW w:w="3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6"/>
              </w:rPr>
              <w:t>Stock Options</w:t>
            </w:r>
          </w:p>
        </w:tc>
        <w:tc>
          <w:tcPr>
            <w:tcW w:w="260" w:type="dxa"/>
            <w:vAlign w:val="bottom"/>
          </w:tcPr>
          <w:p>
            <w:pPr>
              <w:spacing w:after="0"/>
              <w:rPr>
                <w:sz w:val="16"/>
                <w:szCs w:val="16"/>
                <w:color w:val="auto"/>
              </w:rPr>
            </w:pPr>
          </w:p>
        </w:tc>
        <w:tc>
          <w:tcPr>
            <w:tcW w:w="1780" w:type="dxa"/>
            <w:vAlign w:val="bottom"/>
            <w:gridSpan w:val="2"/>
          </w:tcPr>
          <w:p>
            <w:pPr>
              <w:jc w:val="center"/>
              <w:ind w:right="580"/>
              <w:spacing w:after="0"/>
              <w:rPr>
                <w:sz w:val="20"/>
                <w:szCs w:val="20"/>
                <w:color w:val="auto"/>
              </w:rPr>
            </w:pPr>
            <w:r>
              <w:rPr>
                <w:rFonts w:ascii="Arial" w:cs="Arial" w:eastAsia="Arial" w:hAnsi="Arial"/>
                <w:sz w:val="15"/>
                <w:szCs w:val="15"/>
                <w:b w:val="1"/>
                <w:bCs w:val="1"/>
                <w:color w:val="auto"/>
                <w:w w:val="86"/>
              </w:rPr>
              <w:t>Stock Options</w:t>
            </w:r>
          </w:p>
        </w:tc>
        <w:tc>
          <w:tcPr>
            <w:tcW w:w="216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Compensation Plans</w:t>
            </w:r>
          </w:p>
        </w:tc>
        <w:tc>
          <w:tcPr>
            <w:tcW w:w="0" w:type="dxa"/>
            <w:vAlign w:val="bottom"/>
          </w:tcPr>
          <w:p>
            <w:pPr>
              <w:spacing w:after="0"/>
              <w:rPr>
                <w:sz w:val="1"/>
                <w:szCs w:val="1"/>
                <w:color w:val="auto"/>
              </w:rPr>
            </w:pPr>
          </w:p>
        </w:tc>
      </w:tr>
      <w:tr>
        <w:trPr>
          <w:trHeight w:val="175"/>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w w:val="99"/>
              </w:rPr>
              <w:t>Equity compensation plans approved by security holders</w:t>
            </w:r>
          </w:p>
        </w:tc>
        <w:tc>
          <w:tcPr>
            <w:tcW w:w="1420" w:type="dxa"/>
            <w:vAlign w:val="bottom"/>
            <w:tcBorders>
              <w:top w:val="single" w:sz="8" w:color="CCEEFF"/>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5,000,000</w:t>
            </w: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34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2,276,688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740" w:type="dxa"/>
            <w:vAlign w:val="bottom"/>
          </w:tcPr>
          <w:p>
            <w:pPr>
              <w:spacing w:after="0"/>
              <w:rPr>
                <w:sz w:val="20"/>
                <w:szCs w:val="20"/>
                <w:color w:val="auto"/>
              </w:rPr>
            </w:pPr>
            <w:r>
              <w:rPr>
                <w:rFonts w:ascii="Arial" w:cs="Arial" w:eastAsia="Arial" w:hAnsi="Arial"/>
                <w:sz w:val="15"/>
                <w:szCs w:val="15"/>
                <w:color w:val="auto"/>
                <w:w w:val="92"/>
              </w:rPr>
              <w:t>Equity compensation plans not approved by security holders</w:t>
            </w:r>
          </w:p>
        </w:tc>
        <w:tc>
          <w:tcPr>
            <w:tcW w:w="1420" w:type="dxa"/>
            <w:vAlign w:val="bottom"/>
          </w:tcPr>
          <w:p>
            <w:pPr>
              <w:spacing w:after="0"/>
              <w:rPr>
                <w:sz w:val="16"/>
                <w:szCs w:val="16"/>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21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37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Total</w:t>
            </w:r>
          </w:p>
        </w:tc>
        <w:tc>
          <w:tcPr>
            <w:tcW w:w="1420" w:type="dxa"/>
            <w:vAlign w:val="bottom"/>
            <w:shd w:val="clear" w:color="auto" w:fill="CCEEFF"/>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740" w:type="dxa"/>
            <w:vAlign w:val="bottom"/>
            <w:vMerge w:val="continue"/>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5,000,000</w:t>
            </w: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5.31</w:t>
            </w:r>
          </w:p>
        </w:tc>
        <w:tc>
          <w:tcPr>
            <w:tcW w:w="2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2,276,688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540" w:hanging="533"/>
        <w:spacing w:after="0" w:line="343" w:lineRule="auto"/>
        <w:tabs>
          <w:tab w:leader="none" w:pos="5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Includes the 2007 Incentive Stock and Awards Plan. See the notes to our consolidated financial statements included in our Annual Report on Form 10-K for the fiscal year ended December 31, 2013. The Plan was initially adopted on September 17, 2007, and was subsequently amended on November 5, 2008, February 26, 2012, July 18, 2012, May 2, 2013 and September 27, 2013. As of December 31, 2013, the Plan provides for the issuance of a maximum of an aggregate of 5,000,000 shares of the Company’s common stock.</w:t>
      </w:r>
    </w:p>
    <w:p>
      <w:pPr>
        <w:spacing w:after="0" w:line="107" w:lineRule="exact"/>
        <w:rPr>
          <w:rFonts w:ascii="Arial" w:cs="Arial" w:eastAsia="Arial" w:hAnsi="Arial"/>
          <w:sz w:val="12"/>
          <w:szCs w:val="12"/>
          <w:color w:val="auto"/>
        </w:rPr>
      </w:pPr>
    </w:p>
    <w:p>
      <w:pPr>
        <w:jc w:val="both"/>
        <w:ind w:left="540" w:hanging="533"/>
        <w:spacing w:after="0" w:line="271" w:lineRule="auto"/>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 July 18, 2012, the Board granted to Mr. Baum, in connection with his services as the Chief Executive Officer of the Company, 160,000 restricted stock units (RSUs) and Dr. Kammer, in connection with his services as a consultant, 40,000 RSUs outside of the Plan. The restricted stock units granted to Mr. Baum and Dr. Kammer were subject to certain performance-based vesting criteria. In February 2013, 40,000 shares vested under these RSUs and the remaining RSUs were subsequently cancelled and are no longer outstanding. See Note 6 to our financial statements included in our Annual Report on Form 10-K for the fiscal year ended December 31, 2013.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6" w:right="21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PROPOSAL NO.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ELECTION OF DIRECTORS</w:t>
      </w:r>
    </w:p>
    <w:p>
      <w:pPr>
        <w:spacing w:after="0" w:line="181"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Our Board currently consists of five directors. Our Board has selected seven director nominees for election at the Annual Meeting, including all of our incumbent directors and two additional director nominees, William A. Koefoed, Jr. and William H. Nelson, upon the recommendation of the Company’s Nomination and Corporate Governance Committee. The Board has approved an increase to the size of the Board from five to seven directors to be effective concurrently with and contingent upon our stockholders’ election of Mr. Koefoed and Mr. Nelson to the Board at the Annual Meeting. At the Annual Meeting, stockholders will elect seven directors to serve until the 2015 annual meeting of stockholders and until the directors’ respective successors are elected and qualified or their earlier death, resignation or removal.</w:t>
      </w:r>
    </w:p>
    <w:p>
      <w:pPr>
        <w:spacing w:after="0" w:line="162"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There are no familial relationships among any of our directors or our executive officers. No arrangement or understanding exists between any nominee and any other person or persons pursuant to whom any nominee was or is to be selected as a director or director nominee of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Nominees</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Board has selected the following seven persons as its nominees for election to the Board at the Annual Meeting. Set forth below are their names, ages and certain other information as of July 18,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920" w:type="dxa"/>
            <w:vAlign w:val="bottom"/>
            <w:gridSpan w:val="2"/>
          </w:tcPr>
          <w:p>
            <w:pPr>
              <w:ind w:left="1660"/>
              <w:spacing w:after="0"/>
              <w:rPr>
                <w:sz w:val="20"/>
                <w:szCs w:val="20"/>
                <w:color w:val="auto"/>
              </w:rPr>
            </w:pPr>
            <w:r>
              <w:rPr>
                <w:rFonts w:ascii="Arial" w:cs="Arial" w:eastAsia="Arial" w:hAnsi="Arial"/>
                <w:sz w:val="15"/>
                <w:szCs w:val="15"/>
                <w:b w:val="1"/>
                <w:bCs w:val="1"/>
                <w:color w:val="auto"/>
              </w:rPr>
              <w:t>Name</w:t>
            </w:r>
          </w:p>
        </w:tc>
        <w:tc>
          <w:tcPr>
            <w:tcW w:w="122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1"/>
              </w:rPr>
              <w:t>Age</w:t>
            </w:r>
          </w:p>
        </w:tc>
        <w:tc>
          <w:tcPr>
            <w:tcW w:w="5160" w:type="dxa"/>
            <w:vAlign w:val="bottom"/>
          </w:tcPr>
          <w:p>
            <w:pPr>
              <w:ind w:left="1860"/>
              <w:spacing w:after="0"/>
              <w:rPr>
                <w:sz w:val="20"/>
                <w:szCs w:val="20"/>
                <w:color w:val="auto"/>
              </w:rPr>
            </w:pPr>
            <w:r>
              <w:rPr>
                <w:rFonts w:ascii="Arial" w:cs="Arial" w:eastAsia="Arial" w:hAnsi="Arial"/>
                <w:sz w:val="15"/>
                <w:szCs w:val="15"/>
                <w:b w:val="1"/>
                <w:bCs w:val="1"/>
                <w:color w:val="auto"/>
              </w:rPr>
              <w:t>Position &amp; Committees</w:t>
            </w:r>
          </w:p>
        </w:tc>
      </w:tr>
      <w:tr>
        <w:trPr>
          <w:trHeight w:val="164"/>
        </w:trPr>
        <w:tc>
          <w:tcPr>
            <w:tcW w:w="20" w:type="dxa"/>
            <w:vAlign w:val="bottom"/>
          </w:tcPr>
          <w:p>
            <w:pPr>
              <w:spacing w:after="0"/>
              <w:rPr>
                <w:sz w:val="14"/>
                <w:szCs w:val="14"/>
                <w:color w:val="auto"/>
              </w:rPr>
            </w:pPr>
          </w:p>
        </w:tc>
        <w:tc>
          <w:tcPr>
            <w:tcW w:w="370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Stephen Austin, CPA, MBA</w:t>
            </w:r>
          </w:p>
        </w:tc>
        <w:tc>
          <w:tcPr>
            <w:tcW w:w="22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5"/>
                <w:szCs w:val="15"/>
                <w:color w:val="auto"/>
                <w:w w:val="83"/>
              </w:rPr>
              <w:t>61</w:t>
            </w:r>
          </w:p>
        </w:tc>
        <w:tc>
          <w:tcPr>
            <w:tcW w:w="200" w:type="dxa"/>
            <w:vAlign w:val="bottom"/>
          </w:tcPr>
          <w:p>
            <w:pPr>
              <w:spacing w:after="0"/>
              <w:rPr>
                <w:sz w:val="14"/>
                <w:szCs w:val="14"/>
                <w:color w:val="auto"/>
              </w:rPr>
            </w:pPr>
          </w:p>
        </w:tc>
        <w:tc>
          <w:tcPr>
            <w:tcW w:w="5160" w:type="dxa"/>
            <w:vAlign w:val="bottom"/>
            <w:tcBorders>
              <w:top w:val="single" w:sz="8" w:color="auto"/>
            </w:tcBorders>
          </w:tcPr>
          <w:p>
            <w:pPr>
              <w:spacing w:after="0" w:line="164" w:lineRule="exact"/>
              <w:rPr>
                <w:sz w:val="20"/>
                <w:szCs w:val="20"/>
                <w:color w:val="auto"/>
              </w:rPr>
            </w:pPr>
            <w:r>
              <w:rPr>
                <w:rFonts w:ascii="Arial" w:cs="Arial" w:eastAsia="Arial" w:hAnsi="Arial"/>
                <w:sz w:val="15"/>
                <w:szCs w:val="15"/>
                <w:color w:val="auto"/>
              </w:rPr>
              <w:t>Director; Audit Committee*, Compensation Committee,</w:t>
            </w: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Nomination and Corporate Governance Committee</w:t>
            </w:r>
          </w:p>
        </w:tc>
      </w:tr>
      <w:tr>
        <w:trPr>
          <w:trHeight w:val="175"/>
        </w:trPr>
        <w:tc>
          <w:tcPr>
            <w:tcW w:w="3940" w:type="dxa"/>
            <w:vAlign w:val="bottom"/>
            <w:gridSpan w:val="3"/>
          </w:tcPr>
          <w:p>
            <w:pPr>
              <w:spacing w:after="0"/>
              <w:rPr>
                <w:sz w:val="20"/>
                <w:szCs w:val="20"/>
                <w:color w:val="auto"/>
              </w:rPr>
            </w:pPr>
            <w:r>
              <w:rPr>
                <w:rFonts w:ascii="Arial" w:cs="Arial" w:eastAsia="Arial" w:hAnsi="Arial"/>
                <w:sz w:val="15"/>
                <w:szCs w:val="15"/>
                <w:color w:val="auto"/>
              </w:rPr>
              <w:t>August Bassani, Pharm.D.</w:t>
            </w:r>
          </w:p>
        </w:tc>
        <w:tc>
          <w:tcPr>
            <w:tcW w:w="1020" w:type="dxa"/>
            <w:vAlign w:val="bottom"/>
          </w:tcPr>
          <w:p>
            <w:pPr>
              <w:jc w:val="center"/>
              <w:spacing w:after="0"/>
              <w:rPr>
                <w:sz w:val="20"/>
                <w:szCs w:val="20"/>
                <w:color w:val="auto"/>
              </w:rPr>
            </w:pPr>
            <w:r>
              <w:rPr>
                <w:rFonts w:ascii="Arial" w:cs="Arial" w:eastAsia="Arial" w:hAnsi="Arial"/>
                <w:sz w:val="15"/>
                <w:szCs w:val="15"/>
                <w:color w:val="auto"/>
                <w:w w:val="83"/>
              </w:rPr>
              <w:t>41</w:t>
            </w: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Director; Audit Committee, Compensation Committee*,</w:t>
            </w: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Nomination and Corporate Governance Committee</w:t>
            </w:r>
          </w:p>
        </w:tc>
      </w:tr>
      <w:tr>
        <w:trPr>
          <w:trHeight w:val="175"/>
        </w:trPr>
        <w:tc>
          <w:tcPr>
            <w:tcW w:w="3940" w:type="dxa"/>
            <w:vAlign w:val="bottom"/>
            <w:gridSpan w:val="3"/>
          </w:tcPr>
          <w:p>
            <w:pPr>
              <w:spacing w:after="0"/>
              <w:rPr>
                <w:sz w:val="20"/>
                <w:szCs w:val="20"/>
                <w:color w:val="auto"/>
              </w:rPr>
            </w:pPr>
            <w:r>
              <w:rPr>
                <w:rFonts w:ascii="Arial" w:cs="Arial" w:eastAsia="Arial" w:hAnsi="Arial"/>
                <w:sz w:val="15"/>
                <w:szCs w:val="15"/>
                <w:color w:val="auto"/>
              </w:rPr>
              <w:t>Mark L. Baum, J.D.</w:t>
            </w:r>
          </w:p>
        </w:tc>
        <w:tc>
          <w:tcPr>
            <w:tcW w:w="1020" w:type="dxa"/>
            <w:vAlign w:val="bottom"/>
          </w:tcPr>
          <w:p>
            <w:pPr>
              <w:jc w:val="center"/>
              <w:spacing w:after="0"/>
              <w:rPr>
                <w:sz w:val="20"/>
                <w:szCs w:val="20"/>
                <w:color w:val="auto"/>
              </w:rPr>
            </w:pPr>
            <w:r>
              <w:rPr>
                <w:rFonts w:ascii="Arial" w:cs="Arial" w:eastAsia="Arial" w:hAnsi="Arial"/>
                <w:sz w:val="15"/>
                <w:szCs w:val="15"/>
                <w:color w:val="auto"/>
                <w:w w:val="83"/>
              </w:rPr>
              <w:t>41</w:t>
            </w: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Director; Chief Executive Officer</w:t>
            </w:r>
          </w:p>
        </w:tc>
      </w:tr>
      <w:tr>
        <w:trPr>
          <w:trHeight w:val="175"/>
        </w:trPr>
        <w:tc>
          <w:tcPr>
            <w:tcW w:w="3940" w:type="dxa"/>
            <w:vAlign w:val="bottom"/>
            <w:gridSpan w:val="3"/>
          </w:tcPr>
          <w:p>
            <w:pPr>
              <w:spacing w:after="0"/>
              <w:rPr>
                <w:sz w:val="20"/>
                <w:szCs w:val="20"/>
                <w:color w:val="auto"/>
              </w:rPr>
            </w:pPr>
            <w:r>
              <w:rPr>
                <w:rFonts w:ascii="Arial" w:cs="Arial" w:eastAsia="Arial" w:hAnsi="Arial"/>
                <w:sz w:val="15"/>
                <w:szCs w:val="15"/>
                <w:color w:val="auto"/>
              </w:rPr>
              <w:t>Robert J. Kammer, D.D.S.</w:t>
            </w:r>
          </w:p>
        </w:tc>
        <w:tc>
          <w:tcPr>
            <w:tcW w:w="1020" w:type="dxa"/>
            <w:vAlign w:val="bottom"/>
          </w:tcPr>
          <w:p>
            <w:pPr>
              <w:jc w:val="center"/>
              <w:spacing w:after="0"/>
              <w:rPr>
                <w:sz w:val="20"/>
                <w:szCs w:val="20"/>
                <w:color w:val="auto"/>
              </w:rPr>
            </w:pPr>
            <w:r>
              <w:rPr>
                <w:rFonts w:ascii="Arial" w:cs="Arial" w:eastAsia="Arial" w:hAnsi="Arial"/>
                <w:sz w:val="15"/>
                <w:szCs w:val="15"/>
                <w:color w:val="auto"/>
                <w:w w:val="83"/>
              </w:rPr>
              <w:t>64</w:t>
            </w: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Chairman of the Board of Directors</w:t>
            </w:r>
          </w:p>
        </w:tc>
      </w:tr>
      <w:tr>
        <w:trPr>
          <w:trHeight w:val="175"/>
        </w:trPr>
        <w:tc>
          <w:tcPr>
            <w:tcW w:w="3940" w:type="dxa"/>
            <w:vAlign w:val="bottom"/>
            <w:gridSpan w:val="3"/>
          </w:tcPr>
          <w:p>
            <w:pPr>
              <w:spacing w:after="0"/>
              <w:rPr>
                <w:sz w:val="20"/>
                <w:szCs w:val="20"/>
                <w:color w:val="auto"/>
              </w:rPr>
            </w:pPr>
            <w:r>
              <w:rPr>
                <w:rFonts w:ascii="Arial" w:cs="Arial" w:eastAsia="Arial" w:hAnsi="Arial"/>
                <w:sz w:val="15"/>
                <w:szCs w:val="15"/>
                <w:color w:val="auto"/>
              </w:rPr>
              <w:t>Peter C. Kenny</w:t>
            </w:r>
          </w:p>
        </w:tc>
        <w:tc>
          <w:tcPr>
            <w:tcW w:w="1020" w:type="dxa"/>
            <w:vAlign w:val="bottom"/>
          </w:tcPr>
          <w:p>
            <w:pPr>
              <w:jc w:val="center"/>
              <w:spacing w:after="0"/>
              <w:rPr>
                <w:sz w:val="20"/>
                <w:szCs w:val="20"/>
                <w:color w:val="auto"/>
              </w:rPr>
            </w:pPr>
            <w:r>
              <w:rPr>
                <w:rFonts w:ascii="Arial" w:cs="Arial" w:eastAsia="Arial" w:hAnsi="Arial"/>
                <w:sz w:val="15"/>
                <w:szCs w:val="15"/>
                <w:color w:val="auto"/>
                <w:w w:val="83"/>
              </w:rPr>
              <w:t>55</w:t>
            </w: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Director; Audit Committee, Compensation Committee,</w:t>
            </w:r>
          </w:p>
        </w:tc>
      </w:tr>
      <w:tr>
        <w:trPr>
          <w:trHeight w:val="175"/>
        </w:trPr>
        <w:tc>
          <w:tcPr>
            <w:tcW w:w="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Nomination and Corporate Governance Committee*</w:t>
            </w:r>
          </w:p>
        </w:tc>
      </w:tr>
      <w:tr>
        <w:trPr>
          <w:trHeight w:val="175"/>
        </w:trPr>
        <w:tc>
          <w:tcPr>
            <w:tcW w:w="3940" w:type="dxa"/>
            <w:vAlign w:val="bottom"/>
            <w:gridSpan w:val="3"/>
          </w:tcPr>
          <w:p>
            <w:pPr>
              <w:spacing w:after="0"/>
              <w:rPr>
                <w:sz w:val="20"/>
                <w:szCs w:val="20"/>
                <w:color w:val="auto"/>
              </w:rPr>
            </w:pPr>
            <w:r>
              <w:rPr>
                <w:rFonts w:ascii="Arial" w:cs="Arial" w:eastAsia="Arial" w:hAnsi="Arial"/>
                <w:sz w:val="15"/>
                <w:szCs w:val="15"/>
                <w:color w:val="auto"/>
              </w:rPr>
              <w:t>William A. Koefoed, Jr</w:t>
            </w:r>
          </w:p>
        </w:tc>
        <w:tc>
          <w:tcPr>
            <w:tcW w:w="1020" w:type="dxa"/>
            <w:vAlign w:val="bottom"/>
          </w:tcPr>
          <w:p>
            <w:pPr>
              <w:jc w:val="center"/>
              <w:spacing w:after="0"/>
              <w:rPr>
                <w:sz w:val="20"/>
                <w:szCs w:val="20"/>
                <w:color w:val="auto"/>
              </w:rPr>
            </w:pPr>
            <w:r>
              <w:rPr>
                <w:rFonts w:ascii="Arial" w:cs="Arial" w:eastAsia="Arial" w:hAnsi="Arial"/>
                <w:sz w:val="15"/>
                <w:szCs w:val="15"/>
                <w:color w:val="auto"/>
                <w:w w:val="83"/>
              </w:rPr>
              <w:t>49</w:t>
            </w: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Director Nominee</w:t>
            </w:r>
          </w:p>
        </w:tc>
      </w:tr>
      <w:tr>
        <w:trPr>
          <w:trHeight w:val="184"/>
        </w:trPr>
        <w:tc>
          <w:tcPr>
            <w:tcW w:w="3940" w:type="dxa"/>
            <w:vAlign w:val="bottom"/>
            <w:gridSpan w:val="3"/>
          </w:tcPr>
          <w:p>
            <w:pPr>
              <w:spacing w:after="0"/>
              <w:rPr>
                <w:sz w:val="20"/>
                <w:szCs w:val="20"/>
                <w:color w:val="auto"/>
              </w:rPr>
            </w:pPr>
            <w:r>
              <w:rPr>
                <w:rFonts w:ascii="Arial" w:cs="Arial" w:eastAsia="Arial" w:hAnsi="Arial"/>
                <w:sz w:val="15"/>
                <w:szCs w:val="15"/>
                <w:color w:val="auto"/>
              </w:rPr>
              <w:t>William H. Nelson</w:t>
            </w:r>
          </w:p>
        </w:tc>
        <w:tc>
          <w:tcPr>
            <w:tcW w:w="1020" w:type="dxa"/>
            <w:vAlign w:val="bottom"/>
          </w:tcPr>
          <w:p>
            <w:pPr>
              <w:jc w:val="center"/>
              <w:spacing w:after="0"/>
              <w:rPr>
                <w:sz w:val="20"/>
                <w:szCs w:val="20"/>
                <w:color w:val="auto"/>
              </w:rPr>
            </w:pPr>
            <w:r>
              <w:rPr>
                <w:rFonts w:ascii="Arial" w:cs="Arial" w:eastAsia="Arial" w:hAnsi="Arial"/>
                <w:sz w:val="15"/>
                <w:szCs w:val="15"/>
                <w:color w:val="auto"/>
                <w:w w:val="83"/>
              </w:rPr>
              <w:t>68</w:t>
            </w:r>
          </w:p>
        </w:tc>
        <w:tc>
          <w:tcPr>
            <w:tcW w:w="200" w:type="dxa"/>
            <w:vAlign w:val="bottom"/>
          </w:tcPr>
          <w:p>
            <w:pPr>
              <w:spacing w:after="0"/>
              <w:rPr>
                <w:sz w:val="15"/>
                <w:szCs w:val="15"/>
                <w:color w:val="auto"/>
              </w:rPr>
            </w:pPr>
          </w:p>
        </w:tc>
        <w:tc>
          <w:tcPr>
            <w:tcW w:w="5160" w:type="dxa"/>
            <w:vAlign w:val="bottom"/>
          </w:tcPr>
          <w:p>
            <w:pPr>
              <w:spacing w:after="0"/>
              <w:rPr>
                <w:sz w:val="20"/>
                <w:szCs w:val="20"/>
                <w:color w:val="auto"/>
              </w:rPr>
            </w:pPr>
            <w:r>
              <w:rPr>
                <w:rFonts w:ascii="Arial" w:cs="Arial" w:eastAsia="Arial" w:hAnsi="Arial"/>
                <w:sz w:val="15"/>
                <w:szCs w:val="15"/>
                <w:color w:val="auto"/>
              </w:rPr>
              <w:t>Director Nominee</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 Chairman of the committee.</w:t>
      </w:r>
    </w:p>
    <w:p>
      <w:pPr>
        <w:spacing w:after="0" w:line="173"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b w:val="1"/>
          <w:bCs w:val="1"/>
          <w:color w:val="auto"/>
        </w:rPr>
        <w:t xml:space="preserve">Stephen G. Austin, CPA, MBA </w:t>
      </w:r>
      <w:r>
        <w:rPr>
          <w:rFonts w:ascii="Arial" w:cs="Arial" w:eastAsia="Arial" w:hAnsi="Arial"/>
          <w:sz w:val="14"/>
          <w:szCs w:val="14"/>
          <w:color w:val="auto"/>
        </w:rPr>
        <w:t>has served as a director since July 2012 and currently serves as the Chair of our Audit Committee and as a member of our Compensation Committee and</w:t>
      </w:r>
      <w:r>
        <w:rPr>
          <w:rFonts w:ascii="Arial" w:cs="Arial" w:eastAsia="Arial" w:hAnsi="Arial"/>
          <w:sz w:val="14"/>
          <w:szCs w:val="14"/>
          <w:b w:val="1"/>
          <w:bCs w:val="1"/>
          <w:color w:val="auto"/>
        </w:rPr>
        <w:t xml:space="preserve"> </w:t>
      </w:r>
      <w:r>
        <w:rPr>
          <w:rFonts w:ascii="Arial" w:cs="Arial" w:eastAsia="Arial" w:hAnsi="Arial"/>
          <w:sz w:val="14"/>
          <w:szCs w:val="14"/>
          <w:color w:val="auto"/>
        </w:rPr>
        <w:t>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(NASDAQ: AVNR)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AICPA including the Journal of Accountancy. Mr. Austin holds a B.S. degree in accounting from Bob Jones University and an M.B.A. degree from the University of Georgia and is licensed as a CPA. Mr. Austin brings to our Board financial and accounting expertise and extensive experience serving as a director of other companies.</w:t>
      </w:r>
    </w:p>
    <w:p>
      <w:pPr>
        <w:spacing w:after="0" w:line="150"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b w:val="1"/>
          <w:bCs w:val="1"/>
          <w:color w:val="auto"/>
        </w:rPr>
        <w:t xml:space="preserve">August (“Gus”) S. Bassani, Pharm.D. </w:t>
      </w:r>
      <w:r>
        <w:rPr>
          <w:rFonts w:ascii="Arial" w:cs="Arial" w:eastAsia="Arial" w:hAnsi="Arial"/>
          <w:sz w:val="14"/>
          <w:szCs w:val="14"/>
          <w:color w:val="auto"/>
        </w:rPr>
        <w:t>has served as a director since December 2012. He currently serves as Vice-President of Consulting, R&amp;D and Formulations at PCCA and has been</w:t>
      </w:r>
      <w:r>
        <w:rPr>
          <w:rFonts w:ascii="Arial" w:cs="Arial" w:eastAsia="Arial" w:hAnsi="Arial"/>
          <w:sz w:val="14"/>
          <w:szCs w:val="14"/>
          <w:b w:val="1"/>
          <w:bCs w:val="1"/>
          <w:color w:val="auto"/>
        </w:rPr>
        <w:t xml:space="preserve"> </w:t>
      </w:r>
      <w:r>
        <w:rPr>
          <w:rFonts w:ascii="Arial" w:cs="Arial" w:eastAsia="Arial" w:hAnsi="Arial"/>
          <w:sz w:val="14"/>
          <w:szCs w:val="14"/>
          <w:color w:val="auto"/>
        </w:rPr>
        <w:t>with PCCA since September 2002. Prior to joining PCCA, Mr. Bassani was a formulation pharmacist for a veterinary pharmaceutical company and worked in multiple pharmacy practice settings. Mr. Bassani has taught extemporaneous compounding principles to pharmacy students at Drake University.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International Academy of Compounding Pharmacists, American Society of Health Systems Pharmacists and the American Association of Pharmaceutical Scientists. Mr. Bassani’s widespread experience in the pharmaceutical industry and his formulation expertise provides valued guidance to our management and board.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18" w:name="page19"/>
    <w:bookmarkEnd w:id="18"/>
    <w:p>
      <w:pPr>
        <w:jc w:val="both"/>
        <w:ind w:firstLine="525"/>
        <w:spacing w:after="0" w:line="266" w:lineRule="auto"/>
        <w:rPr>
          <w:sz w:val="20"/>
          <w:szCs w:val="20"/>
          <w:color w:val="auto"/>
        </w:rPr>
      </w:pPr>
      <w:r>
        <w:rPr>
          <w:rFonts w:ascii="Arial" w:cs="Arial" w:eastAsia="Arial" w:hAnsi="Arial"/>
          <w:sz w:val="14"/>
          <w:szCs w:val="14"/>
          <w:b w:val="1"/>
          <w:bCs w:val="1"/>
          <w:color w:val="auto"/>
        </w:rPr>
        <w:t xml:space="preserve">Mark L. Baum, J.D. </w:t>
      </w:r>
      <w:r>
        <w:rPr>
          <w:rFonts w:ascii="Arial" w:cs="Arial" w:eastAsia="Arial" w:hAnsi="Arial"/>
          <w:sz w:val="14"/>
          <w:szCs w:val="14"/>
          <w:color w:val="auto"/>
        </w:rPr>
        <w:t>is a founder of our Company, a director and the Chief Executive Officer. Beginning in 2011, Mr. Baum led the restructuring and reorganization of our Company,</w:t>
      </w:r>
      <w:r>
        <w:rPr>
          <w:rFonts w:ascii="Arial" w:cs="Arial" w:eastAsia="Arial" w:hAnsi="Arial"/>
          <w:sz w:val="14"/>
          <w:szCs w:val="14"/>
          <w:b w:val="1"/>
          <w:bCs w:val="1"/>
          <w:color w:val="auto"/>
        </w:rPr>
        <w:t xml:space="preserve"> </w:t>
      </w:r>
      <w:r>
        <w:rPr>
          <w:rFonts w:ascii="Arial" w:cs="Arial" w:eastAsia="Arial" w:hAnsi="Arial"/>
          <w:sz w:val="14"/>
          <w:szCs w:val="14"/>
          <w:color w:val="auto"/>
        </w:rPr>
        <w:t>including our securities offerings to raise capital to support our business. Mr. Baum was appointed as a director of the Company in December 2011 and as the Chief Executive Officer in April 2012. Prior to Mr. Baum’s involvement with our Company, from 2001 to 2011, he was the founder and managing director of TBLF, LLC, a law firm and fund manager, where he managed a series of three funds and acted as a principal investor in financing publicly traded companies or bridge-to-public equity transactions. Before his fund management experience, Mr. Baum founded and served as the president of YesRx, a publicly traded pharmacy business, and practiced as a U.S. securities lawyer focused on reporting requirements and public company finance-related matters. In addition, Mr. Baum serves on the board of directors for Ideal Power, Inc. (NASDAQ: IPWR), where he is also chairman of the audit committee, and is the chairman of the board of directors of Endra, Inc., a privately-held medical imaging company. Mr. Baum brings to our Board years of public company executive experience, including knowledge of securities laws, reporting requirements and public company finance-related issues.</w:t>
      </w:r>
    </w:p>
    <w:p>
      <w:pPr>
        <w:spacing w:after="0" w:line="146" w:lineRule="exact"/>
        <w:rPr>
          <w:sz w:val="20"/>
          <w:szCs w:val="20"/>
          <w:color w:val="auto"/>
        </w:rPr>
      </w:pPr>
    </w:p>
    <w:p>
      <w:pPr>
        <w:jc w:val="both"/>
        <w:ind w:firstLine="525"/>
        <w:spacing w:after="0" w:line="246" w:lineRule="auto"/>
        <w:rPr>
          <w:sz w:val="20"/>
          <w:szCs w:val="20"/>
          <w:color w:val="auto"/>
        </w:rPr>
      </w:pPr>
      <w:r>
        <w:rPr>
          <w:rFonts w:ascii="Arial" w:cs="Arial" w:eastAsia="Arial" w:hAnsi="Arial"/>
          <w:sz w:val="15"/>
          <w:szCs w:val="15"/>
          <w:b w:val="1"/>
          <w:bCs w:val="1"/>
          <w:color w:val="auto"/>
        </w:rPr>
        <w:t xml:space="preserve">Robert Kammer, D.D.S. </w:t>
      </w:r>
      <w:r>
        <w:rPr>
          <w:rFonts w:ascii="Arial" w:cs="Arial" w:eastAsia="Arial" w:hAnsi="Arial"/>
          <w:sz w:val="15"/>
          <w:szCs w:val="15"/>
          <w:color w:val="auto"/>
        </w:rPr>
        <w:t>has served as our director since December 2011 and as Chairman of the Board of Directors since April 1, 2012. Dr. Kammer received his Bachelor of Science</w:t>
      </w:r>
      <w:r>
        <w:rPr>
          <w:rFonts w:ascii="Arial" w:cs="Arial" w:eastAsia="Arial" w:hAnsi="Arial"/>
          <w:sz w:val="15"/>
          <w:szCs w:val="15"/>
          <w:b w:val="1"/>
          <w:bCs w:val="1"/>
          <w:color w:val="auto"/>
        </w:rPr>
        <w:t xml:space="preserve"> </w:t>
      </w:r>
      <w:r>
        <w:rPr>
          <w:rFonts w:ascii="Arial" w:cs="Arial" w:eastAsia="Arial" w:hAnsi="Arial"/>
          <w:sz w:val="15"/>
          <w:szCs w:val="15"/>
          <w:color w:val="auto"/>
        </w:rPr>
        <w:t>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in the Department of Restorative Dentistry at The University of Colorado Health Science Center. Dr. Kammer has also served as a consultant to the Boulder-Denver Pain Control Center and the Journal of Orofacial Pain. Dr. Kammer recently contributed a chapter to the text “Osteoperiosteal Flap” and is consulting for Clear Choice Dental Implant Centers, co-authoring scientific papers and serving as a co-investigator for a study at the Mayo Institute. Dr. Kammer brings to our Board over 30 years of practical experience treating patients and leadership experience in a variety of positions.</w:t>
      </w:r>
    </w:p>
    <w:p>
      <w:pPr>
        <w:spacing w:after="0" w:line="161" w:lineRule="exact"/>
        <w:rPr>
          <w:sz w:val="20"/>
          <w:szCs w:val="20"/>
          <w:color w:val="auto"/>
        </w:rPr>
      </w:pPr>
    </w:p>
    <w:p>
      <w:pPr>
        <w:jc w:val="both"/>
        <w:ind w:firstLine="525"/>
        <w:spacing w:after="0" w:line="266" w:lineRule="auto"/>
        <w:rPr>
          <w:sz w:val="20"/>
          <w:szCs w:val="20"/>
          <w:color w:val="auto"/>
        </w:rPr>
      </w:pPr>
      <w:r>
        <w:rPr>
          <w:rFonts w:ascii="Arial" w:cs="Arial" w:eastAsia="Arial" w:hAnsi="Arial"/>
          <w:sz w:val="14"/>
          <w:szCs w:val="14"/>
          <w:b w:val="1"/>
          <w:bCs w:val="1"/>
          <w:color w:val="auto"/>
        </w:rPr>
        <w:t xml:space="preserve">Peter C. Kenny </w:t>
      </w:r>
      <w:r>
        <w:rPr>
          <w:rFonts w:ascii="Arial" w:cs="Arial" w:eastAsia="Arial" w:hAnsi="Arial"/>
          <w:sz w:val="14"/>
          <w:szCs w:val="14"/>
          <w:color w:val="auto"/>
        </w:rPr>
        <w:t>has served as our director since November 2013. Mr. Kenny is currently the Chief Market Strategist for Clearpool Group, a company that offers agency only execution</w:t>
      </w:r>
      <w:r>
        <w:rPr>
          <w:rFonts w:ascii="Arial" w:cs="Arial" w:eastAsia="Arial" w:hAnsi="Arial"/>
          <w:sz w:val="14"/>
          <w:szCs w:val="14"/>
          <w:b w:val="1"/>
          <w:bCs w:val="1"/>
          <w:color w:val="auto"/>
        </w:rPr>
        <w:t xml:space="preserve"> </w:t>
      </w:r>
      <w:r>
        <w:rPr>
          <w:rFonts w:ascii="Arial" w:cs="Arial" w:eastAsia="Arial" w:hAnsi="Arial"/>
          <w:sz w:val="14"/>
          <w:szCs w:val="14"/>
          <w:color w:val="auto"/>
        </w:rPr>
        <w:t>services to institutional clients. Prior to his association with Clearpool Group in 2013, he served as the Managing Director and Chief Market Strategist at Knight Capital Group starting in December 2006. Mr. Kenny joined Knight Capital from Jefferies Execution Services where he served for three years as a Managing Director overseeing direct executions. Prior to that tenure, in 2001, Mr. Kenny founded and was Chief Executive Officer of Kenny and Co., a division of Van Der Moolen N.A., a Dutch market maker. Mr. Kenny’s career also includes six years as NYSE Senior Floor Official. Mr. Kenny appears regularly as an equity market commentator in various broadcasting venues and publications and publishes a daily morning note read by many major media outlets. Mr. Kenny is a member of the board of directors of Bank of the Ozarks, Inc. (NASDAQ: OZRK), where he also serves on the compensation committee. Mr. Kenny has degrees in Economics and Political Science from Warren Wilson College in North Carolina. Mr. Kenny’s extensive experience in the financial services industry and executive management experience provides the Board with valuable insights.</w:t>
      </w:r>
    </w:p>
    <w:p>
      <w:pPr>
        <w:spacing w:after="0" w:line="146" w:lineRule="exact"/>
        <w:rPr>
          <w:sz w:val="20"/>
          <w:szCs w:val="20"/>
          <w:color w:val="auto"/>
        </w:rPr>
      </w:pPr>
    </w:p>
    <w:p>
      <w:pPr>
        <w:jc w:val="both"/>
        <w:ind w:firstLine="525"/>
        <w:spacing w:after="0" w:line="325" w:lineRule="auto"/>
        <w:rPr>
          <w:sz w:val="20"/>
          <w:szCs w:val="20"/>
          <w:color w:val="auto"/>
        </w:rPr>
      </w:pPr>
      <w:r>
        <w:rPr>
          <w:rFonts w:ascii="Arial" w:cs="Arial" w:eastAsia="Arial" w:hAnsi="Arial"/>
          <w:sz w:val="12"/>
          <w:szCs w:val="12"/>
          <w:b w:val="1"/>
          <w:bCs w:val="1"/>
          <w:color w:val="auto"/>
        </w:rPr>
        <w:t xml:space="preserve">William A. Koefoed, Jr. </w:t>
      </w:r>
      <w:r>
        <w:rPr>
          <w:rFonts w:ascii="Arial" w:cs="Arial" w:eastAsia="Arial" w:hAnsi="Arial"/>
          <w:sz w:val="12"/>
          <w:szCs w:val="12"/>
          <w:color w:val="auto"/>
        </w:rPr>
        <w:t>has been nominated for election to the Board of Directors at this Annual Meeting. Mr. Koefoed has served as the Chief Financial Officer for Puppet Labs, Inc.</w:t>
      </w:r>
      <w:r>
        <w:rPr>
          <w:rFonts w:ascii="Arial" w:cs="Arial" w:eastAsia="Arial" w:hAnsi="Arial"/>
          <w:sz w:val="12"/>
          <w:szCs w:val="12"/>
          <w:b w:val="1"/>
          <w:bCs w:val="1"/>
          <w:color w:val="auto"/>
        </w:rPr>
        <w:t xml:space="preserve"> </w:t>
      </w:r>
      <w:r>
        <w:rPr>
          <w:rFonts w:ascii="Arial" w:cs="Arial" w:eastAsia="Arial" w:hAnsi="Arial"/>
          <w:sz w:val="12"/>
          <w:szCs w:val="12"/>
          <w:color w:val="auto"/>
        </w:rPr>
        <w:t>since 2013. Prior to joining Puppet Labs, Mr. Koefoed served in a variety of roles at Microsoft Corporation beginning in 2005, including as CFO of its Skype division, General Manager of Investors Relations and General Manager of IT Finance &amp; Strategy. Prior to joining Microsoft, Mr. Koefoed held leadership roles at Hewlett-Packard Company, PwC Consulting and Arthur Andersen. Mr. Koefoed currently serves on the board of Bellevue Boys &amp; Girls Club and Crystal Mountain Alpine Club. Mr. Koefoed received his Bachelors of Science and MBA degrees from the University of California, Berkeley. The Board expects that Mr. Koefoed would bring valuable management, financial and investor relations experience to the Board.</w:t>
      </w:r>
    </w:p>
    <w:p>
      <w:pPr>
        <w:spacing w:after="0" w:line="115" w:lineRule="exact"/>
        <w:rPr>
          <w:sz w:val="20"/>
          <w:szCs w:val="20"/>
          <w:color w:val="auto"/>
        </w:rPr>
      </w:pPr>
    </w:p>
    <w:p>
      <w:pPr>
        <w:jc w:val="both"/>
        <w:ind w:firstLine="525"/>
        <w:spacing w:after="0" w:line="321" w:lineRule="auto"/>
        <w:rPr>
          <w:sz w:val="20"/>
          <w:szCs w:val="20"/>
          <w:color w:val="auto"/>
        </w:rPr>
      </w:pPr>
      <w:r>
        <w:rPr>
          <w:rFonts w:ascii="Arial" w:cs="Arial" w:eastAsia="Arial" w:hAnsi="Arial"/>
          <w:sz w:val="12"/>
          <w:szCs w:val="12"/>
          <w:b w:val="1"/>
          <w:bCs w:val="1"/>
          <w:color w:val="auto"/>
        </w:rPr>
        <w:t xml:space="preserve">William H. Nelson </w:t>
      </w:r>
      <w:r>
        <w:rPr>
          <w:rFonts w:ascii="Arial" w:cs="Arial" w:eastAsia="Arial" w:hAnsi="Arial"/>
          <w:sz w:val="12"/>
          <w:szCs w:val="12"/>
          <w:color w:val="auto"/>
        </w:rPr>
        <w:t>has been nominated for election to the Board of Directors at this Annual Meeting. Mr. Nelson served as President and Chief Executive Officer of Intermountain</w:t>
      </w:r>
      <w:r>
        <w:rPr>
          <w:rFonts w:ascii="Arial" w:cs="Arial" w:eastAsia="Arial" w:hAnsi="Arial"/>
          <w:sz w:val="12"/>
          <w:szCs w:val="12"/>
          <w:b w:val="1"/>
          <w:bCs w:val="1"/>
          <w:color w:val="auto"/>
        </w:rPr>
        <w:t xml:space="preserve"> </w:t>
      </w:r>
      <w:r>
        <w:rPr>
          <w:rFonts w:ascii="Arial" w:cs="Arial" w:eastAsia="Arial" w:hAnsi="Arial"/>
          <w:sz w:val="12"/>
          <w:szCs w:val="12"/>
          <w:color w:val="auto"/>
        </w:rPr>
        <w:t>Healthcare, an integrated nonprofit healthcare system with hospitals, surgery centers, clinics and an insurance organization, from 1999 until his retirement in 2008. Intermountain Healthcare is the largest healthcare provider in the intermountain west, with over 33,000 employees serving the needs of Utah and southeastern Idaho residents. Mr. Nelson served as Chief Operating Officer of Intermountain Healthcare from 1995 to 1998 and Chief Financial Officer from 1976 to 1995. Mr. Nelson currently serves on the boards of the Utah Symphony &amp; Opera, Beneficial Life Insurance, United Way of the Greater Salt Lake Area and the Healthcare Research and Development Institute. Mr. Nelson received his Bachelors of Science in Accounting from Brigham Young University and his MBA from University of Southern California. The Board expects that Mr. Nelson would bring valuable healthcare industry and management experience to the Board.</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w:t>
      </w:r>
    </w:p>
    <w:p>
      <w:pPr>
        <w:spacing w:after="0" w:line="181" w:lineRule="exact"/>
        <w:rPr>
          <w:sz w:val="20"/>
          <w:szCs w:val="20"/>
          <w:color w:val="auto"/>
        </w:rPr>
      </w:pPr>
    </w:p>
    <w:p>
      <w:pPr>
        <w:jc w:val="both"/>
        <w:ind w:firstLine="525"/>
        <w:spacing w:after="0" w:line="269" w:lineRule="auto"/>
        <w:rPr>
          <w:sz w:val="20"/>
          <w:szCs w:val="20"/>
          <w:color w:val="auto"/>
        </w:rPr>
      </w:pPr>
      <w:r>
        <w:rPr>
          <w:rFonts w:ascii="Arial" w:cs="Arial" w:eastAsia="Arial" w:hAnsi="Arial"/>
          <w:sz w:val="14"/>
          <w:szCs w:val="14"/>
          <w:color w:val="auto"/>
        </w:rPr>
        <w:t>Each director is elected by a plurality of the votes cast on the election of directors at a meeting at which a quorum is present. The persons named in the enclosed proxy will vote the proxies they receive FOR the election of the nominees named below, unless a particular proxy card withholds authorization to do so, or provides contrary instructions. Because directors are elected by a plurality of the votes cast, abstentions and broker non-votes will not be counted in determining which nominees receive the largest number of votes cast. Each of the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 xml:space="preserve">THE BOARD OF DIRECTORS RECOMMENDS THAT STOCKHOLDERS VOTE </w:t>
      </w:r>
      <w:r>
        <w:rPr>
          <w:rFonts w:ascii="Arial" w:cs="Arial" w:eastAsia="Arial" w:hAnsi="Arial"/>
          <w:sz w:val="15"/>
          <w:szCs w:val="15"/>
          <w:b w:val="1"/>
          <w:bCs w:val="1"/>
          <w:u w:val="single" w:color="auto"/>
          <w:color w:val="auto"/>
        </w:rPr>
        <w:t>FOR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ELECTION OF EACH OF THE NOMINEES FOR DIRECTOR.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5"/>
          <w:szCs w:val="15"/>
          <w:b w:val="1"/>
          <w:bCs w:val="1"/>
          <w:color w:val="auto"/>
        </w:rPr>
        <w:t>PROPOSAL NO. 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RATIFICATION OF SELECTION OF INDEPENDENT REGISTERED PUBLIC ACCOUNTING FIRM</w:t>
      </w:r>
    </w:p>
    <w:p>
      <w:pPr>
        <w:spacing w:after="0" w:line="18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Our Board has selected KMJ Corbin &amp; Company LLP (“KMJ”) as our independent registered public accounting firm for the fiscal year ending December 31, 2014, and has further directed that the selection of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61" w:lineRule="exact"/>
        <w:rPr>
          <w:sz w:val="20"/>
          <w:szCs w:val="20"/>
          <w:color w:val="auto"/>
        </w:rPr>
      </w:pPr>
    </w:p>
    <w:p>
      <w:pPr>
        <w:jc w:val="both"/>
        <w:ind w:firstLine="525"/>
        <w:spacing w:after="0" w:line="271" w:lineRule="auto"/>
        <w:rPr>
          <w:sz w:val="20"/>
          <w:szCs w:val="20"/>
          <w:color w:val="auto"/>
        </w:rPr>
      </w:pPr>
      <w:r>
        <w:rPr>
          <w:rFonts w:ascii="Arial" w:cs="Arial" w:eastAsia="Arial" w:hAnsi="Arial"/>
          <w:sz w:val="14"/>
          <w:szCs w:val="14"/>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Audit and All Other Fees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Aggregate fees for professional services rendered to the company by KMJ Corbin &amp; Company LLP for the years ended December 31, 2013 and 2012, were: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7"/>
              <w:spacing w:after="0"/>
              <w:rPr>
                <w:sz w:val="20"/>
                <w:szCs w:val="20"/>
                <w:color w:val="auto"/>
              </w:rPr>
            </w:pPr>
            <w:r>
              <w:rPr>
                <w:rFonts w:ascii="Arial" w:cs="Arial" w:eastAsia="Arial" w:hAnsi="Arial"/>
                <w:sz w:val="15"/>
                <w:szCs w:val="15"/>
                <w:color w:val="auto"/>
              </w:rPr>
              <w:t>2013</w:t>
            </w:r>
          </w:p>
        </w:tc>
        <w:tc>
          <w:tcPr>
            <w:tcW w:w="2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rPr>
              <w:t>2012</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r>
      <w:tr>
        <w:trPr>
          <w:trHeight w:val="175"/>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Audit Fees</w:t>
            </w:r>
          </w:p>
        </w:tc>
        <w:tc>
          <w:tcPr>
            <w:tcW w:w="23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66,880</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48,100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75"/>
        </w:trPr>
        <w:tc>
          <w:tcPr>
            <w:tcW w:w="3500" w:type="dxa"/>
            <w:vAlign w:val="bottom"/>
          </w:tcPr>
          <w:p>
            <w:pPr>
              <w:spacing w:after="0"/>
              <w:rPr>
                <w:sz w:val="20"/>
                <w:szCs w:val="20"/>
                <w:color w:val="auto"/>
              </w:rPr>
            </w:pPr>
            <w:r>
              <w:rPr>
                <w:rFonts w:ascii="Arial" w:cs="Arial" w:eastAsia="Arial" w:hAnsi="Arial"/>
                <w:sz w:val="15"/>
                <w:szCs w:val="15"/>
                <w:color w:val="auto"/>
              </w:rPr>
              <w:t>Audit-Related Fees</w:t>
            </w:r>
          </w:p>
        </w:tc>
        <w:tc>
          <w:tcPr>
            <w:tcW w:w="2700" w:type="dxa"/>
            <w:vAlign w:val="bottom"/>
            <w:gridSpan w:val="2"/>
          </w:tcPr>
          <w:p>
            <w:pPr>
              <w:jc w:val="right"/>
              <w:ind w:right="208"/>
              <w:spacing w:after="0"/>
              <w:rPr>
                <w:sz w:val="20"/>
                <w:szCs w:val="20"/>
                <w:color w:val="auto"/>
              </w:rPr>
            </w:pPr>
            <w:r>
              <w:rPr>
                <w:rFonts w:ascii="Arial" w:cs="Arial" w:eastAsia="Arial" w:hAnsi="Arial"/>
                <w:sz w:val="15"/>
                <w:szCs w:val="15"/>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25,575</w:t>
            </w:r>
          </w:p>
        </w:tc>
        <w:tc>
          <w:tcPr>
            <w:tcW w:w="340" w:type="dxa"/>
            <w:vAlign w:val="bottom"/>
            <w:gridSpan w:val="2"/>
          </w:tcPr>
          <w:p>
            <w:pPr>
              <w:jc w:val="right"/>
              <w:ind w:right="208"/>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0"/>
              <w:spacing w:after="0"/>
              <w:rPr>
                <w:sz w:val="20"/>
                <w:szCs w:val="20"/>
                <w:color w:val="auto"/>
              </w:rPr>
            </w:pPr>
            <w:r>
              <w:rPr>
                <w:rFonts w:ascii="Arial" w:cs="Arial" w:eastAsia="Arial" w:hAnsi="Arial"/>
                <w:sz w:val="15"/>
                <w:szCs w:val="15"/>
                <w:color w:val="auto"/>
              </w:rPr>
              <w:t>76,032</w:t>
            </w:r>
          </w:p>
        </w:tc>
        <w:tc>
          <w:tcPr>
            <w:tcW w:w="60" w:type="dxa"/>
            <w:vAlign w:val="bottom"/>
          </w:tcPr>
          <w:p>
            <w:pPr>
              <w:spacing w:after="0"/>
              <w:rPr>
                <w:sz w:val="15"/>
                <w:szCs w:val="15"/>
                <w:color w:val="auto"/>
              </w:rPr>
            </w:pPr>
          </w:p>
        </w:tc>
      </w:tr>
      <w:tr>
        <w:trPr>
          <w:trHeight w:val="195"/>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Other Fees</w:t>
            </w:r>
          </w:p>
        </w:tc>
        <w:tc>
          <w:tcPr>
            <w:tcW w:w="2700" w:type="dxa"/>
            <w:vAlign w:val="bottom"/>
            <w:gridSpan w:val="2"/>
            <w:shd w:val="clear" w:color="auto" w:fill="CCEEFF"/>
          </w:tcPr>
          <w:p>
            <w:pPr>
              <w:jc w:val="right"/>
              <w:ind w:right="208"/>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3,100</w:t>
            </w:r>
          </w:p>
        </w:tc>
        <w:tc>
          <w:tcPr>
            <w:tcW w:w="2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08"/>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r>
      <w:tr>
        <w:trPr>
          <w:trHeight w:val="157"/>
        </w:trPr>
        <w:tc>
          <w:tcPr>
            <w:tcW w:w="3500" w:type="dxa"/>
            <w:vAlign w:val="bottom"/>
            <w:tcBorders>
              <w:top w:val="single" w:sz="8" w:color="CCEEFF"/>
            </w:tcBorders>
          </w:tcPr>
          <w:p>
            <w:pPr>
              <w:spacing w:after="0" w:line="157" w:lineRule="exact"/>
              <w:rPr>
                <w:sz w:val="20"/>
                <w:szCs w:val="20"/>
                <w:color w:val="auto"/>
              </w:rPr>
            </w:pPr>
            <w:r>
              <w:rPr>
                <w:rFonts w:ascii="Arial" w:cs="Arial" w:eastAsia="Arial" w:hAnsi="Arial"/>
                <w:sz w:val="15"/>
                <w:szCs w:val="15"/>
                <w:color w:val="auto"/>
              </w:rPr>
              <w:t>Total</w:t>
            </w:r>
          </w:p>
        </w:tc>
        <w:tc>
          <w:tcPr>
            <w:tcW w:w="2380" w:type="dxa"/>
            <w:vAlign w:val="bottom"/>
            <w:tcBorders>
              <w:top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95,555</w:t>
            </w:r>
          </w:p>
        </w:tc>
        <w:tc>
          <w:tcPr>
            <w:tcW w:w="260" w:type="dxa"/>
            <w:vAlign w:val="bottom"/>
            <w:tcBorders>
              <w:top w:val="single" w:sz="8" w:color="CCEEFF"/>
            </w:tcBorders>
          </w:tcPr>
          <w:p>
            <w:pPr>
              <w:spacing w:after="0"/>
              <w:rPr>
                <w:sz w:val="13"/>
                <w:szCs w:val="13"/>
                <w:color w:val="auto"/>
              </w:rPr>
            </w:pPr>
          </w:p>
        </w:tc>
        <w:tc>
          <w:tcPr>
            <w:tcW w:w="20" w:type="dxa"/>
            <w:vAlign w:val="bottom"/>
            <w:tcBorders>
              <w:top w:val="single" w:sz="8" w:color="CCEEFF"/>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5"/>
                <w:szCs w:val="15"/>
                <w:color w:val="auto"/>
              </w:rPr>
              <w:t>124,132</w:t>
            </w:r>
          </w:p>
        </w:tc>
        <w:tc>
          <w:tcPr>
            <w:tcW w:w="20" w:type="dxa"/>
            <w:vAlign w:val="bottom"/>
            <w:tcBorders>
              <w:top w:val="single" w:sz="8" w:color="CCEEFF"/>
              <w:bottom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r>
      <w:tr>
        <w:trPr>
          <w:trHeight w:val="20"/>
        </w:trPr>
        <w:tc>
          <w:tcPr>
            <w:tcW w:w="35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firstLine="525"/>
        <w:spacing w:after="0" w:line="330" w:lineRule="auto"/>
        <w:rPr>
          <w:sz w:val="20"/>
          <w:szCs w:val="20"/>
          <w:color w:val="auto"/>
        </w:rPr>
      </w:pPr>
      <w:r>
        <w:rPr>
          <w:rFonts w:ascii="Arial" w:cs="Arial" w:eastAsia="Arial" w:hAnsi="Arial"/>
          <w:sz w:val="12"/>
          <w:szCs w:val="12"/>
          <w:color w:val="auto"/>
        </w:rPr>
        <w:t>“Audit Fees” represent fees for professional services provided in connection with the audit of our annual financial statements, and review of financial statements included in our quarterly reports. “Audit-Related Fees” represent fees for professional services provided in connection with the review of our registration statements on Forms S-8 and S-1, and related services normally provided in connection with statutory and regulatory filings and engagements. “Other Fees” represent fees for professional services provided in connection with the review of the Company’s accounting for its director compensation package. There were no Tax Fees billed by or paid to our principal accountant during the years ended December 31, 2013 and 2012.</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Pre-approval Policy</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Our Audit Committee pre-approves all services to be provided by KMJ. KMJ performed no services, and no fees were incurred or paid, relating to financial information systems design and implementation. All fees paid to KMJ for fiscal 2013 and 2012 were pre-approved by our Board of Directors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 and Board of Directors’ Recommendation</w:t>
      </w:r>
    </w:p>
    <w:p>
      <w:pPr>
        <w:spacing w:after="0" w:line="181" w:lineRule="exact"/>
        <w:rPr>
          <w:sz w:val="20"/>
          <w:szCs w:val="20"/>
          <w:color w:val="auto"/>
        </w:rPr>
      </w:pPr>
    </w:p>
    <w:p>
      <w:pPr>
        <w:jc w:val="both"/>
        <w:ind w:firstLine="525"/>
        <w:spacing w:after="0" w:line="383" w:lineRule="auto"/>
        <w:rPr>
          <w:sz w:val="20"/>
          <w:szCs w:val="20"/>
          <w:color w:val="auto"/>
        </w:rPr>
      </w:pPr>
      <w:r>
        <w:rPr>
          <w:rFonts w:ascii="Arial" w:cs="Arial" w:eastAsia="Arial" w:hAnsi="Arial"/>
          <w:sz w:val="12"/>
          <w:szCs w:val="12"/>
          <w:color w:val="auto"/>
        </w:rPr>
        <w:t>Approval of this proposal requires the affirmative vote of a majority of the voting power present at a meeting at which a quorum is present. Abstentions will be counted as present for purposes of determining the presence of a quorum and will have the same effect as a vote against this proposal. Broker non-votes are not expected to result from the vote on Proposal 2.</w:t>
      </w:r>
    </w:p>
    <w:p>
      <w:pPr>
        <w:spacing w:after="0" w:line="80" w:lineRule="exact"/>
        <w:rPr>
          <w:sz w:val="20"/>
          <w:szCs w:val="20"/>
          <w:color w:val="auto"/>
        </w:rPr>
      </w:pPr>
    </w:p>
    <w:p>
      <w:pPr>
        <w:jc w:val="center"/>
        <w:ind w:left="240" w:right="100"/>
        <w:spacing w:after="0" w:line="264" w:lineRule="auto"/>
        <w:rPr>
          <w:sz w:val="20"/>
          <w:szCs w:val="20"/>
          <w:color w:val="auto"/>
        </w:rPr>
      </w:pPr>
      <w:r>
        <w:rPr>
          <w:rFonts w:ascii="Arial" w:cs="Arial" w:eastAsia="Arial" w:hAnsi="Arial"/>
          <w:sz w:val="15"/>
          <w:szCs w:val="15"/>
          <w:b w:val="1"/>
          <w:bCs w:val="1"/>
          <w:color w:val="auto"/>
        </w:rPr>
        <w:t xml:space="preserve">THE BOARD OF DIRECTORS RECOMMENDS THAT STOCKHOLDERS VOTE </w:t>
      </w:r>
      <w:r>
        <w:rPr>
          <w:rFonts w:ascii="Arial" w:cs="Arial" w:eastAsia="Arial" w:hAnsi="Arial"/>
          <w:sz w:val="15"/>
          <w:szCs w:val="15"/>
          <w:b w:val="1"/>
          <w:bCs w:val="1"/>
          <w:u w:val="single" w:color="auto"/>
          <w:color w:val="auto"/>
        </w:rPr>
        <w:t>FOR</w:t>
      </w:r>
      <w:r>
        <w:rPr>
          <w:rFonts w:ascii="Arial" w:cs="Arial" w:eastAsia="Arial" w:hAnsi="Arial"/>
          <w:sz w:val="15"/>
          <w:szCs w:val="15"/>
          <w:b w:val="1"/>
          <w:bCs w:val="1"/>
          <w:color w:val="auto"/>
        </w:rPr>
        <w:t xml:space="preserve"> THE RATIFICATION OF THE SELECTION OF KMJ CORBIN &amp; COMPANY LLP AS THE COMPANY’S INDEPENDENT REGISTERED PUBLIC ACCOUNTING FIRM FOR THE FISCAL YEAR ENDING DECEMBER 31, 2014.</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5"/>
          <w:szCs w:val="15"/>
          <w:b w:val="1"/>
          <w:bCs w:val="1"/>
          <w:color w:val="auto"/>
        </w:rPr>
        <w:t>PROPOSAL NO. 3</w:t>
      </w:r>
    </w:p>
    <w:p>
      <w:pPr>
        <w:spacing w:after="0" w:line="177" w:lineRule="exact"/>
        <w:rPr>
          <w:sz w:val="20"/>
          <w:szCs w:val="20"/>
          <w:color w:val="auto"/>
        </w:rPr>
      </w:pPr>
    </w:p>
    <w:p>
      <w:pPr>
        <w:jc w:val="center"/>
        <w:spacing w:after="0" w:line="264" w:lineRule="auto"/>
        <w:rPr>
          <w:sz w:val="20"/>
          <w:szCs w:val="20"/>
          <w:color w:val="auto"/>
        </w:rPr>
      </w:pPr>
      <w:r>
        <w:rPr>
          <w:rFonts w:ascii="Arial" w:cs="Arial" w:eastAsia="Arial" w:hAnsi="Arial"/>
          <w:sz w:val="15"/>
          <w:szCs w:val="15"/>
          <w:b w:val="1"/>
          <w:bCs w:val="1"/>
          <w:color w:val="auto"/>
        </w:rPr>
        <w:t>APPROVAL OF AN AMENDMENT TO OUR CERTIFICATE OF INCORPORATION TO DECREASE THE NUMBER OF SHARES OF COMMON STOCK AUTHORIZED FOR ISSUANCE</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General</w:t>
      </w:r>
    </w:p>
    <w:p>
      <w:pPr>
        <w:spacing w:after="0" w:line="181"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After due consideration, our Board has determined that it is in the best interests of the Company and its stockholders to amend the Company’s Amended and Restated Certificate of Incorporation to decrease the authorized number of shares of common stock from 395,000,000 shares to 90,000,000 shares (the “Certificate Amendment”), and is submitting the Certificate Amendment to the Company’s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Purpose of the Certificate Amendment</w:t>
      </w:r>
    </w:p>
    <w:p>
      <w:pPr>
        <w:spacing w:after="0" w:line="181"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color w:val="auto"/>
        </w:rPr>
        <w:t>We are currently authorized to issue 395,000,000 shares of common stock and 5,000,000 shares of preferred stock (which are designated as “blank check” preferred stock). During 2012 and 2013, following approval by our stockholders in actions by written consent, we effected two reverse splits of our issued and outstanding common stock: a one-for-eight reverse split in February 2012 and a subsequent one-for-five reverse split in February 2013. These reverse splits did not impact the number of authorized shares of common stock, which remained at 395,000,000. As a result, there are a significant number of authorized but unissued shares of our common stock available for issuance relative to the number of shares outstanding (9,130,376 shares as of July 18, 2014). Because the Board is mindful about the potential dilutive effect on existing stockholders, and because the current 395,000,000 authorized shares provides significantly more available shares than the Board believes are necessary for reasonably foreseeable future needs, the Board of Directors has approved and recommended to the stockholders an amendment to our Certificate of Incorporation to decrease the number of authorized shares of our common stock from 395,000,000 to 90,000,000. Our Board of Directors believes this number of authorized shares of common stock will provide us with sufficient shares of authorized capital stock available to be issued for any proper corporate purpose without further stockholder action. In addition, this reduction in authorized common shares will have the short-term effect of significantly reducing our Delaware franchise tax obligations. We estimate that it could reduce our Delaware franchise tax obligation by as much as over $100,000 annually.</w:t>
      </w:r>
    </w:p>
    <w:p>
      <w:pPr>
        <w:spacing w:after="0" w:line="153"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and this proposal is not being presented with the intent that it be used in connection with any such acquisition attempt.</w:t>
      </w:r>
    </w:p>
    <w:p>
      <w:pPr>
        <w:spacing w:after="0" w:line="161" w:lineRule="exact"/>
        <w:rPr>
          <w:sz w:val="20"/>
          <w:szCs w:val="20"/>
          <w:color w:val="auto"/>
        </w:rPr>
      </w:pPr>
    </w:p>
    <w:p>
      <w:pPr>
        <w:jc w:val="both"/>
        <w:ind w:firstLine="525"/>
        <w:spacing w:after="0" w:line="294" w:lineRule="auto"/>
        <w:rPr>
          <w:sz w:val="20"/>
          <w:szCs w:val="20"/>
          <w:color w:val="auto"/>
        </w:rPr>
      </w:pPr>
      <w:r>
        <w:rPr>
          <w:rFonts w:ascii="Arial" w:cs="Arial" w:eastAsia="Arial" w:hAnsi="Arial"/>
          <w:sz w:val="14"/>
          <w:szCs w:val="14"/>
          <w:color w:val="auto"/>
        </w:rPr>
        <w:t>The Board does not propose to make, and the Certificate Amendment would not make, any adjustments to the number of authorized shares of “blank check” preferred stock. As of the date of this proxy statement, 10 shares of preferred stock have been designated as Series A Preferred Stock, none of which are issued and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Procedure for Effecting the Certificate Amendment</w:t>
      </w:r>
    </w:p>
    <w:p>
      <w:pPr>
        <w:spacing w:after="0" w:line="181" w:lineRule="exact"/>
        <w:rPr>
          <w:sz w:val="20"/>
          <w:szCs w:val="20"/>
          <w:color w:val="auto"/>
        </w:rPr>
      </w:pPr>
    </w:p>
    <w:p>
      <w:pPr>
        <w:jc w:val="both"/>
        <w:ind w:firstLine="525"/>
        <w:spacing w:after="0" w:line="247" w:lineRule="auto"/>
        <w:rPr>
          <w:sz w:val="20"/>
          <w:szCs w:val="20"/>
          <w:color w:val="auto"/>
        </w:rPr>
      </w:pPr>
      <w:r>
        <w:rPr>
          <w:rFonts w:ascii="Arial" w:cs="Arial" w:eastAsia="Arial" w:hAnsi="Arial"/>
          <w:sz w:val="15"/>
          <w:szCs w:val="15"/>
          <w:color w:val="auto"/>
        </w:rPr>
        <w:t>If our stockholders approve the Certificate Amendment, we propose to file with the Secretary of State of the State of Delaware a restatement of our Certificate of Incorporation that effects the reduction to our authorized shares of common stock and incorporates prior amendments to our Certificate of Incorporation. Such reduction will become effective at the time and on the date of the filing of, or at such later time as is specified in, the restated Certificate of Incorporation. Subject to the discretion of the Board, which could elect to abandon the Certificate of Amendment at any time before or after stockholder approval, we expect to file the proposed restated Certificate of Incorporation with the Secretary of State of the State of Delaware as soon as practicable following stockholder approval.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Vote Required and Board of Directors’ Recommendation</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affirmative vote of a majority of our outstanding shares of common stock will be required to approve the Certificate Amendment. Broker non-votes and abstentions will have the effect of a vote against this proposal.</w:t>
      </w:r>
    </w:p>
    <w:p>
      <w:pPr>
        <w:spacing w:after="0" w:line="148" w:lineRule="exact"/>
        <w:rPr>
          <w:sz w:val="20"/>
          <w:szCs w:val="20"/>
          <w:color w:val="auto"/>
        </w:rPr>
      </w:pPr>
    </w:p>
    <w:p>
      <w:pPr>
        <w:jc w:val="center"/>
        <w:ind w:left="240" w:right="520"/>
        <w:spacing w:after="0" w:line="264" w:lineRule="auto"/>
        <w:rPr>
          <w:sz w:val="20"/>
          <w:szCs w:val="20"/>
          <w:color w:val="auto"/>
        </w:rPr>
      </w:pPr>
      <w:r>
        <w:rPr>
          <w:rFonts w:ascii="Arial" w:cs="Arial" w:eastAsia="Arial" w:hAnsi="Arial"/>
          <w:sz w:val="15"/>
          <w:szCs w:val="15"/>
          <w:b w:val="1"/>
          <w:bCs w:val="1"/>
          <w:color w:val="auto"/>
        </w:rPr>
        <w:t>THE BOARD OF DIRECTORS RECOMMENDS THAT STOCKHOLDERS VOTE “FOR” THE APPROVAL OF THE AMENDMENT TO OUR CERTIFICATE OF INCORPORATION TO DECREASE THE NUMBER OF SHARES OF COMMON STOCK AUTHORIZED FOR ISSUANCE.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5"/>
          <w:szCs w:val="15"/>
          <w:b w:val="1"/>
          <w:bCs w:val="1"/>
          <w:color w:val="auto"/>
        </w:rPr>
        <w:t>SECURITY OWNERSHIP OF CERTAIN BENEFICIAL OWNERS AND MANAGEMENT AND RELATED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 MATTERS</w:t>
      </w:r>
    </w:p>
    <w:p>
      <w:pPr>
        <w:spacing w:after="0" w:line="168" w:lineRule="exact"/>
        <w:rPr>
          <w:sz w:val="20"/>
          <w:szCs w:val="20"/>
          <w:color w:val="auto"/>
        </w:rPr>
      </w:pPr>
    </w:p>
    <w:p>
      <w:pPr>
        <w:jc w:val="both"/>
        <w:ind w:firstLine="525"/>
        <w:spacing w:after="0" w:line="317" w:lineRule="auto"/>
        <w:rPr>
          <w:sz w:val="20"/>
          <w:szCs w:val="20"/>
          <w:color w:val="auto"/>
        </w:rPr>
      </w:pPr>
      <w:r>
        <w:rPr>
          <w:rFonts w:ascii="Arial" w:cs="Arial" w:eastAsia="Arial" w:hAnsi="Arial"/>
          <w:sz w:val="12"/>
          <w:szCs w:val="12"/>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July 18, 2014. Unless otherwise indicated in the footnotes to the following table, each person named in the table has sole voting and investment power with respect to shares of common stock and the address is c/o Imprimis Pharmaceuticals, Inc. 12626 High Bluff Drive, Suite 150, San Diego, CA 92130. All information regarding share amounts reflects our one-for-five reverse stock split effected on February 7, 2013.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180" w:type="dxa"/>
            <w:vAlign w:val="bottom"/>
            <w:tcBorders>
              <w:bottom w:val="single" w:sz="8" w:color="auto"/>
            </w:tcBorders>
            <w:gridSpan w:val="3"/>
          </w:tcPr>
          <w:p>
            <w:pPr>
              <w:jc w:val="right"/>
              <w:ind w:right="707"/>
              <w:spacing w:after="0"/>
              <w:rPr>
                <w:sz w:val="20"/>
                <w:szCs w:val="20"/>
                <w:color w:val="auto"/>
              </w:rPr>
            </w:pPr>
            <w:r>
              <w:rPr>
                <w:rFonts w:ascii="Arial" w:cs="Arial" w:eastAsia="Arial" w:hAnsi="Arial"/>
                <w:sz w:val="15"/>
                <w:szCs w:val="15"/>
                <w:color w:val="auto"/>
              </w:rPr>
              <w:t>Amount and Nature of Beneficial Ownership</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000" w:type="dxa"/>
            <w:vAlign w:val="bottom"/>
            <w:gridSpan w:val="6"/>
          </w:tcPr>
          <w:p>
            <w:pPr>
              <w:spacing w:after="0"/>
              <w:rPr>
                <w:sz w:val="20"/>
                <w:szCs w:val="20"/>
                <w:color w:val="auto"/>
              </w:rPr>
            </w:pPr>
            <w:r>
              <w:rPr>
                <w:rFonts w:ascii="Arial" w:cs="Arial" w:eastAsia="Arial" w:hAnsi="Arial"/>
                <w:sz w:val="15"/>
                <w:szCs w:val="15"/>
                <w:color w:val="auto"/>
              </w:rPr>
              <w:t>Beneficial Owner</w:t>
            </w:r>
          </w:p>
        </w:tc>
        <w:tc>
          <w:tcPr>
            <w:tcW w:w="2240" w:type="dxa"/>
            <w:vAlign w:val="bottom"/>
            <w:gridSpan w:val="2"/>
          </w:tcPr>
          <w:p>
            <w:pPr>
              <w:jc w:val="right"/>
              <w:ind w:right="740"/>
              <w:spacing w:after="0"/>
              <w:rPr>
                <w:sz w:val="20"/>
                <w:szCs w:val="20"/>
                <w:color w:val="auto"/>
              </w:rPr>
            </w:pPr>
            <w:r>
              <w:rPr>
                <w:rFonts w:ascii="Arial" w:cs="Arial" w:eastAsia="Arial" w:hAnsi="Arial"/>
                <w:sz w:val="15"/>
                <w:szCs w:val="15"/>
                <w:color w:val="auto"/>
              </w:rPr>
              <w:t>Number of Shares</w:t>
            </w:r>
          </w:p>
        </w:tc>
        <w:tc>
          <w:tcPr>
            <w:tcW w:w="2080" w:type="dxa"/>
            <w:vAlign w:val="bottom"/>
            <w:gridSpan w:val="2"/>
          </w:tcPr>
          <w:p>
            <w:pPr>
              <w:jc w:val="right"/>
              <w:ind w:right="680"/>
              <w:spacing w:after="0"/>
              <w:rPr>
                <w:sz w:val="20"/>
                <w:szCs w:val="20"/>
                <w:color w:val="auto"/>
              </w:rPr>
            </w:pPr>
            <w:r>
              <w:rPr>
                <w:rFonts w:ascii="Arial" w:cs="Arial" w:eastAsia="Arial" w:hAnsi="Arial"/>
                <w:sz w:val="15"/>
                <w:szCs w:val="15"/>
                <w:color w:val="auto"/>
              </w:rPr>
              <w:t>Percentage (1)</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5980" w:type="dxa"/>
            <w:vAlign w:val="bottom"/>
            <w:gridSpan w:val="5"/>
            <w:shd w:val="clear" w:color="auto" w:fill="CCEEFF"/>
          </w:tcPr>
          <w:p>
            <w:pPr>
              <w:spacing w:after="0" w:line="142" w:lineRule="exact"/>
              <w:rPr>
                <w:sz w:val="20"/>
                <w:szCs w:val="20"/>
                <w:color w:val="auto"/>
              </w:rPr>
            </w:pPr>
            <w:r>
              <w:rPr>
                <w:rFonts w:ascii="Arial" w:cs="Arial" w:eastAsia="Arial" w:hAnsi="Arial"/>
                <w:sz w:val="15"/>
                <w:szCs w:val="15"/>
                <w:i w:val="1"/>
                <w:iCs w:val="1"/>
                <w:color w:val="auto"/>
              </w:rPr>
              <w:t>5% + Stockholders</w:t>
            </w:r>
          </w:p>
        </w:tc>
        <w:tc>
          <w:tcPr>
            <w:tcW w:w="19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tcPr>
          <w:p>
            <w:pPr>
              <w:spacing w:after="0"/>
              <w:rPr>
                <w:sz w:val="20"/>
                <w:szCs w:val="20"/>
                <w:color w:val="auto"/>
              </w:rPr>
            </w:pPr>
            <w:r>
              <w:rPr>
                <w:rFonts w:ascii="Arial" w:cs="Arial" w:eastAsia="Arial" w:hAnsi="Arial"/>
                <w:sz w:val="15"/>
                <w:szCs w:val="15"/>
                <w:color w:val="auto"/>
              </w:rPr>
              <w:t>John W. Fish, Jr. (2)</w:t>
            </w: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603,170</w:t>
            </w:r>
          </w:p>
        </w:tc>
        <w:tc>
          <w:tcPr>
            <w:tcW w:w="2080" w:type="dxa"/>
            <w:vAlign w:val="bottom"/>
            <w:gridSpan w:val="2"/>
          </w:tcPr>
          <w:p>
            <w:pPr>
              <w:jc w:val="right"/>
              <w:ind w:right="20"/>
              <w:spacing w:after="0"/>
              <w:rPr>
                <w:sz w:val="20"/>
                <w:szCs w:val="20"/>
                <w:color w:val="auto"/>
              </w:rPr>
            </w:pPr>
            <w:r>
              <w:rPr>
                <w:rFonts w:ascii="Arial" w:cs="Arial" w:eastAsia="Arial" w:hAnsi="Arial"/>
                <w:sz w:val="15"/>
                <w:szCs w:val="15"/>
                <w:color w:val="auto"/>
              </w:rPr>
              <w:t>6.60%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Don Miloni (3)</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1,243,513</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13.49%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tcPr>
          <w:p>
            <w:pPr>
              <w:spacing w:after="0"/>
              <w:rPr>
                <w:sz w:val="20"/>
                <w:szCs w:val="20"/>
                <w:color w:val="auto"/>
              </w:rPr>
            </w:pPr>
            <w:r>
              <w:rPr>
                <w:rFonts w:ascii="Arial" w:cs="Arial" w:eastAsia="Arial" w:hAnsi="Arial"/>
                <w:sz w:val="15"/>
                <w:szCs w:val="15"/>
                <w:color w:val="auto"/>
              </w:rPr>
              <w:t>Professional Compounding Centers of America, Inc. (4)</w:t>
            </w: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832,682</w:t>
            </w:r>
          </w:p>
        </w:tc>
        <w:tc>
          <w:tcPr>
            <w:tcW w:w="2080" w:type="dxa"/>
            <w:vAlign w:val="bottom"/>
            <w:gridSpan w:val="2"/>
          </w:tcPr>
          <w:p>
            <w:pPr>
              <w:jc w:val="right"/>
              <w:ind w:right="20"/>
              <w:spacing w:after="0"/>
              <w:rPr>
                <w:sz w:val="20"/>
                <w:szCs w:val="20"/>
                <w:color w:val="auto"/>
              </w:rPr>
            </w:pPr>
            <w:r>
              <w:rPr>
                <w:rFonts w:ascii="Arial" w:cs="Arial" w:eastAsia="Arial" w:hAnsi="Arial"/>
                <w:sz w:val="15"/>
                <w:szCs w:val="15"/>
                <w:color w:val="auto"/>
              </w:rPr>
              <w:t>9.12%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James E. Besser (5)</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528,996</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5.79%</w:t>
            </w:r>
          </w:p>
        </w:tc>
        <w:tc>
          <w:tcPr>
            <w:tcW w:w="0" w:type="dxa"/>
            <w:vAlign w:val="bottom"/>
          </w:tcPr>
          <w:p>
            <w:pPr>
              <w:spacing w:after="0"/>
              <w:rPr>
                <w:sz w:val="1"/>
                <w:szCs w:val="1"/>
                <w:color w:val="auto"/>
              </w:rPr>
            </w:pPr>
          </w:p>
        </w:tc>
      </w:tr>
      <w:tr>
        <w:trPr>
          <w:trHeight w:val="175"/>
        </w:trPr>
        <w:tc>
          <w:tcPr>
            <w:tcW w:w="20" w:type="dxa"/>
            <w:vAlign w:val="bottom"/>
            <w:vMerge w:val="restart"/>
          </w:tcPr>
          <w:p>
            <w:pPr>
              <w:spacing w:after="0"/>
              <w:rPr>
                <w:sz w:val="15"/>
                <w:szCs w:val="15"/>
                <w:color w:val="auto"/>
              </w:rPr>
            </w:pPr>
          </w:p>
        </w:tc>
        <w:tc>
          <w:tcPr>
            <w:tcW w:w="1100" w:type="dxa"/>
            <w:vAlign w:val="bottom"/>
            <w:gridSpan w:val="2"/>
          </w:tcPr>
          <w:p>
            <w:pPr>
              <w:spacing w:after="0"/>
              <w:rPr>
                <w:sz w:val="15"/>
                <w:szCs w:val="15"/>
                <w:color w:val="auto"/>
              </w:rPr>
            </w:pPr>
          </w:p>
        </w:tc>
        <w:tc>
          <w:tcPr>
            <w:tcW w:w="138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5980" w:type="dxa"/>
            <w:vAlign w:val="bottom"/>
            <w:gridSpan w:val="5"/>
            <w:shd w:val="clear" w:color="auto" w:fill="CCEEFF"/>
          </w:tcPr>
          <w:p>
            <w:pPr>
              <w:spacing w:after="0" w:line="142" w:lineRule="exact"/>
              <w:rPr>
                <w:sz w:val="20"/>
                <w:szCs w:val="20"/>
                <w:color w:val="auto"/>
              </w:rPr>
            </w:pPr>
            <w:r>
              <w:rPr>
                <w:rFonts w:ascii="Arial" w:cs="Arial" w:eastAsia="Arial" w:hAnsi="Arial"/>
                <w:sz w:val="15"/>
                <w:szCs w:val="15"/>
                <w:i w:val="1"/>
                <w:iCs w:val="1"/>
                <w:color w:val="auto"/>
              </w:rPr>
              <w:t>Directors, Director Nominees and Officers</w:t>
            </w:r>
          </w:p>
        </w:tc>
        <w:tc>
          <w:tcPr>
            <w:tcW w:w="19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Stephen G. Austin, CPA (6)</w:t>
            </w:r>
          </w:p>
        </w:tc>
        <w:tc>
          <w:tcPr>
            <w:tcW w:w="3500" w:type="dxa"/>
            <w:vAlign w:val="bottom"/>
            <w:tcBorders>
              <w:top w:val="single" w:sz="8" w:color="CCEEFF"/>
            </w:tcBorders>
            <w:gridSpan w:val="2"/>
          </w:tcPr>
          <w:p>
            <w:pPr>
              <w:spacing w:after="0"/>
              <w:rPr>
                <w:sz w:val="15"/>
                <w:szCs w:val="15"/>
                <w:color w:val="auto"/>
              </w:rPr>
            </w:pPr>
          </w:p>
        </w:tc>
        <w:tc>
          <w:tcPr>
            <w:tcW w:w="224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5"/>
                <w:szCs w:val="15"/>
                <w:color w:val="auto"/>
              </w:rPr>
              <w:t>23,988</w:t>
            </w:r>
          </w:p>
        </w:tc>
        <w:tc>
          <w:tcPr>
            <w:tcW w:w="20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August S. Bassani, Pharm.D. (7)</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14,468</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tcPr>
          <w:p>
            <w:pPr>
              <w:spacing w:after="0"/>
              <w:rPr>
                <w:sz w:val="20"/>
                <w:szCs w:val="20"/>
                <w:color w:val="auto"/>
              </w:rPr>
            </w:pPr>
            <w:r>
              <w:rPr>
                <w:rFonts w:ascii="Arial" w:cs="Arial" w:eastAsia="Arial" w:hAnsi="Arial"/>
                <w:sz w:val="15"/>
                <w:szCs w:val="15"/>
                <w:color w:val="auto"/>
              </w:rPr>
              <w:t>Mark L. Baum, J.D. (8)</w:t>
            </w: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496,798</w:t>
            </w:r>
          </w:p>
        </w:tc>
        <w:tc>
          <w:tcPr>
            <w:tcW w:w="2080" w:type="dxa"/>
            <w:vAlign w:val="bottom"/>
            <w:gridSpan w:val="2"/>
          </w:tcPr>
          <w:p>
            <w:pPr>
              <w:jc w:val="right"/>
              <w:ind w:right="20"/>
              <w:spacing w:after="0"/>
              <w:rPr>
                <w:sz w:val="20"/>
                <w:szCs w:val="20"/>
                <w:color w:val="auto"/>
              </w:rPr>
            </w:pPr>
            <w:r>
              <w:rPr>
                <w:rFonts w:ascii="Arial" w:cs="Arial" w:eastAsia="Arial" w:hAnsi="Arial"/>
                <w:sz w:val="15"/>
                <w:szCs w:val="15"/>
                <w:color w:val="auto"/>
              </w:rPr>
              <w:t>5.28%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Andrew R. Boll, CMA (9)</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50,417</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tcPr>
          <w:p>
            <w:pPr>
              <w:spacing w:after="0"/>
              <w:rPr>
                <w:sz w:val="20"/>
                <w:szCs w:val="20"/>
                <w:color w:val="auto"/>
              </w:rPr>
            </w:pPr>
            <w:r>
              <w:rPr>
                <w:rFonts w:ascii="Arial" w:cs="Arial" w:eastAsia="Arial" w:hAnsi="Arial"/>
                <w:sz w:val="15"/>
                <w:szCs w:val="15"/>
                <w:color w:val="auto"/>
              </w:rPr>
              <w:t>Robert J. Kammer, D.D.S. (10)</w:t>
            </w: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1,038,638</w:t>
            </w:r>
          </w:p>
        </w:tc>
        <w:tc>
          <w:tcPr>
            <w:tcW w:w="2080" w:type="dxa"/>
            <w:vAlign w:val="bottom"/>
            <w:gridSpan w:val="2"/>
          </w:tcPr>
          <w:p>
            <w:pPr>
              <w:jc w:val="right"/>
              <w:ind w:right="20"/>
              <w:spacing w:after="0"/>
              <w:rPr>
                <w:sz w:val="20"/>
                <w:szCs w:val="20"/>
                <w:color w:val="auto"/>
              </w:rPr>
            </w:pPr>
            <w:r>
              <w:rPr>
                <w:rFonts w:ascii="Arial" w:cs="Arial" w:eastAsia="Arial" w:hAnsi="Arial"/>
                <w:sz w:val="15"/>
                <w:szCs w:val="15"/>
                <w:color w:val="auto"/>
              </w:rPr>
              <w:t>11.24%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Peter C. Kenny</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tcPr>
          <w:p>
            <w:pPr>
              <w:spacing w:after="0"/>
              <w:rPr>
                <w:sz w:val="20"/>
                <w:szCs w:val="20"/>
                <w:color w:val="auto"/>
              </w:rPr>
            </w:pPr>
            <w:r>
              <w:rPr>
                <w:rFonts w:ascii="Arial" w:cs="Arial" w:eastAsia="Arial" w:hAnsi="Arial"/>
                <w:sz w:val="15"/>
                <w:szCs w:val="15"/>
                <w:color w:val="auto"/>
              </w:rPr>
              <w:t>William A. Koefoed, Jr.</w:t>
            </w: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w:t>
            </w:r>
          </w:p>
        </w:tc>
        <w:tc>
          <w:tcPr>
            <w:tcW w:w="20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5"/>
            <w:shd w:val="clear" w:color="auto" w:fill="CCEEFF"/>
          </w:tcPr>
          <w:p>
            <w:pPr>
              <w:spacing w:after="0"/>
              <w:rPr>
                <w:sz w:val="20"/>
                <w:szCs w:val="20"/>
                <w:color w:val="auto"/>
              </w:rPr>
            </w:pPr>
            <w:r>
              <w:rPr>
                <w:rFonts w:ascii="Arial" w:cs="Arial" w:eastAsia="Arial" w:hAnsi="Arial"/>
                <w:sz w:val="15"/>
                <w:szCs w:val="15"/>
                <w:color w:val="auto"/>
              </w:rPr>
              <w:t>William H. Nelson</w:t>
            </w:r>
          </w:p>
        </w:tc>
        <w:tc>
          <w:tcPr>
            <w:tcW w:w="22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980" w:type="dxa"/>
            <w:vAlign w:val="bottom"/>
            <w:gridSpan w:val="5"/>
          </w:tcPr>
          <w:p>
            <w:pPr>
              <w:spacing w:after="0"/>
              <w:rPr>
                <w:sz w:val="20"/>
                <w:szCs w:val="20"/>
                <w:color w:val="auto"/>
              </w:rPr>
            </w:pPr>
            <w:r>
              <w:rPr>
                <w:rFonts w:ascii="Arial" w:cs="Arial" w:eastAsia="Arial" w:hAnsi="Arial"/>
                <w:sz w:val="15"/>
                <w:szCs w:val="15"/>
                <w:color w:val="auto"/>
              </w:rPr>
              <w:t>All executives and directors as a group (8 persons)</w:t>
            </w:r>
          </w:p>
        </w:tc>
        <w:tc>
          <w:tcPr>
            <w:tcW w:w="2240" w:type="dxa"/>
            <w:vAlign w:val="bottom"/>
            <w:gridSpan w:val="2"/>
          </w:tcPr>
          <w:p>
            <w:pPr>
              <w:jc w:val="right"/>
              <w:ind w:right="300"/>
              <w:spacing w:after="0"/>
              <w:rPr>
                <w:sz w:val="20"/>
                <w:szCs w:val="20"/>
                <w:color w:val="auto"/>
              </w:rPr>
            </w:pPr>
            <w:r>
              <w:rPr>
                <w:rFonts w:ascii="Arial" w:cs="Arial" w:eastAsia="Arial" w:hAnsi="Arial"/>
                <w:sz w:val="15"/>
                <w:szCs w:val="15"/>
                <w:color w:val="auto"/>
              </w:rPr>
              <w:t>1,624,309</w:t>
            </w:r>
          </w:p>
        </w:tc>
        <w:tc>
          <w:tcPr>
            <w:tcW w:w="2080" w:type="dxa"/>
            <w:vAlign w:val="bottom"/>
            <w:gridSpan w:val="2"/>
          </w:tcPr>
          <w:p>
            <w:pPr>
              <w:jc w:val="right"/>
              <w:ind w:right="20"/>
              <w:spacing w:after="0"/>
              <w:rPr>
                <w:sz w:val="20"/>
                <w:szCs w:val="20"/>
                <w:color w:val="auto"/>
              </w:rPr>
            </w:pPr>
            <w:r>
              <w:rPr>
                <w:rFonts w:ascii="Arial" w:cs="Arial" w:eastAsia="Arial" w:hAnsi="Arial"/>
                <w:sz w:val="15"/>
                <w:szCs w:val="15"/>
                <w:color w:val="auto"/>
              </w:rPr>
              <w:t>16.90%</w:t>
            </w:r>
          </w:p>
        </w:tc>
        <w:tc>
          <w:tcPr>
            <w:tcW w:w="0" w:type="dxa"/>
            <w:vAlign w:val="bottom"/>
          </w:tcPr>
          <w:p>
            <w:pPr>
              <w:spacing w:after="0"/>
              <w:rPr>
                <w:sz w:val="1"/>
                <w:szCs w:val="1"/>
                <w:color w:val="auto"/>
              </w:rPr>
            </w:pPr>
          </w:p>
        </w:tc>
      </w:tr>
      <w:tr>
        <w:trPr>
          <w:trHeight w:val="339"/>
        </w:trPr>
        <w:tc>
          <w:tcPr>
            <w:tcW w:w="300" w:type="dxa"/>
            <w:vAlign w:val="bottom"/>
            <w:gridSpan w:val="2"/>
          </w:tcPr>
          <w:p>
            <w:pPr>
              <w:spacing w:after="0"/>
              <w:rPr>
                <w:sz w:val="20"/>
                <w:szCs w:val="20"/>
                <w:color w:val="auto"/>
              </w:rPr>
            </w:pPr>
            <w:r>
              <w:rPr>
                <w:rFonts w:ascii="Arial" w:cs="Arial" w:eastAsia="Arial" w:hAnsi="Arial"/>
                <w:sz w:val="15"/>
                <w:szCs w:val="15"/>
                <w:color w:val="auto"/>
              </w:rPr>
              <w:t>*</w:t>
            </w:r>
          </w:p>
        </w:tc>
        <w:tc>
          <w:tcPr>
            <w:tcW w:w="5700" w:type="dxa"/>
            <w:vAlign w:val="bottom"/>
            <w:gridSpan w:val="4"/>
          </w:tcPr>
          <w:p>
            <w:pPr>
              <w:ind w:left="240"/>
              <w:spacing w:after="0"/>
              <w:rPr>
                <w:sz w:val="20"/>
                <w:szCs w:val="20"/>
                <w:color w:val="auto"/>
              </w:rPr>
            </w:pPr>
            <w:r>
              <w:rPr>
                <w:rFonts w:ascii="Arial" w:cs="Arial" w:eastAsia="Arial" w:hAnsi="Arial"/>
                <w:sz w:val="15"/>
                <w:szCs w:val="15"/>
                <w:color w:val="auto"/>
              </w:rPr>
              <w:t>Represents less than 1%.</w:t>
            </w: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left="540" w:hanging="533"/>
        <w:spacing w:after="0" w:line="248"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Applicable percentage ownership is based on 9,130,376 shares of our common stock outstanding as of July 18, 2014. Shares of common stock subject to options or warrants and convertible notes subject to conversion into shares of our common stock currently exercisable or convertible, or exercisable or convertible within 60 days after July 18, 2014 are deemed outstanding for the purpose of computing the percentage ownership of the person holding such options, warrants or convertible notes, but are not deemed outstanding for computing the percentage ownership of any other person.</w:t>
      </w:r>
    </w:p>
    <w:p>
      <w:pPr>
        <w:spacing w:after="0" w:line="161" w:lineRule="exact"/>
        <w:rPr>
          <w:rFonts w:ascii="Arial" w:cs="Arial" w:eastAsia="Arial" w:hAnsi="Arial"/>
          <w:sz w:val="15"/>
          <w:szCs w:val="15"/>
          <w:color w:val="auto"/>
        </w:rPr>
      </w:pPr>
    </w:p>
    <w:p>
      <w:pPr>
        <w:ind w:left="540" w:hanging="533"/>
        <w:spacing w:after="0"/>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10,190 shares of common stock issuable upon the exercise of warrants exercisable within 60 days of July 18, 2014.</w:t>
      </w:r>
    </w:p>
    <w:p>
      <w:pPr>
        <w:spacing w:after="0" w:line="177" w:lineRule="exact"/>
        <w:rPr>
          <w:rFonts w:ascii="Arial" w:cs="Arial" w:eastAsia="Arial" w:hAnsi="Arial"/>
          <w:sz w:val="15"/>
          <w:szCs w:val="15"/>
          <w:color w:val="auto"/>
        </w:rPr>
      </w:pPr>
    </w:p>
    <w:p>
      <w:pPr>
        <w:jc w:val="both"/>
        <w:ind w:left="540" w:hanging="533"/>
        <w:spacing w:after="0" w:line="247"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This information is based on a Schedule 13G filed September 6, 2012 by Donald Miloni. 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July 18, 2014 (of which Mr. Miloni holds warrants to acquire 15,282 shares, Mr. Miloni’s spouse holds warrants to acquire 6,329 shares, 1425 Greenwood Lane, LLC holds warrants to acquire 37,975 shares, and RCHER Financial, LLC holds warrants to acquire 25,370 shares).</w:t>
      </w:r>
    </w:p>
    <w:p>
      <w:pPr>
        <w:spacing w:after="0" w:line="161"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This information is based on a Schedule 13G filed September 13, 2012 by Professional Compounding Centers of America, Inc. The address for Professional Compounding Centers of America, Inc. is 9901 South Wilcrest Dr., Houston, TX 77099.</w:t>
      </w:r>
    </w:p>
    <w:p>
      <w:pPr>
        <w:spacing w:after="0" w:line="154" w:lineRule="exact"/>
        <w:rPr>
          <w:rFonts w:ascii="Arial" w:cs="Arial" w:eastAsia="Arial" w:hAnsi="Arial"/>
          <w:sz w:val="15"/>
          <w:szCs w:val="15"/>
          <w:color w:val="auto"/>
        </w:rPr>
      </w:pPr>
    </w:p>
    <w:p>
      <w:pPr>
        <w:ind w:left="540" w:hanging="533"/>
        <w:spacing w:after="0" w:line="208" w:lineRule="auto"/>
        <w:tabs>
          <w:tab w:leader="none" w:pos="540" w:val="left"/>
        </w:tabs>
        <w:numPr>
          <w:ilvl w:val="0"/>
          <w:numId w:val="15"/>
        </w:numPr>
        <w:rPr>
          <w:rFonts w:ascii="Arial" w:cs="Arial" w:eastAsia="Arial" w:hAnsi="Arial"/>
          <w:sz w:val="26"/>
          <w:szCs w:val="26"/>
          <w:color w:val="auto"/>
          <w:vertAlign w:val="superscript"/>
        </w:rPr>
      </w:pPr>
      <w:r>
        <w:rPr>
          <w:rFonts w:ascii="Arial" w:cs="Arial" w:eastAsia="Arial" w:hAnsi="Arial"/>
          <w:sz w:val="13"/>
          <w:szCs w:val="13"/>
          <w:color w:val="auto"/>
        </w:rPr>
        <w:t>This information is based on a Schedule 13G filed March 7, 2014 by Mr. James Besser. The address for Mr. Besser is c/o Manchester Management Company, LLC 131 Charles Street, 1</w:t>
      </w:r>
      <w:r>
        <w:rPr>
          <w:rFonts w:ascii="Arial" w:cs="Arial" w:eastAsia="Arial" w:hAnsi="Arial"/>
          <w:sz w:val="22"/>
          <w:szCs w:val="22"/>
          <w:color w:val="auto"/>
          <w:vertAlign w:val="superscript"/>
        </w:rPr>
        <w:t>st</w:t>
      </w:r>
      <w:r>
        <w:rPr>
          <w:rFonts w:ascii="Arial" w:cs="Arial" w:eastAsia="Arial" w:hAnsi="Arial"/>
          <w:sz w:val="13"/>
          <w:szCs w:val="13"/>
          <w:color w:val="auto"/>
        </w:rPr>
        <w:t xml:space="preserve"> Floor, Boston, MA 02114</w:t>
      </w:r>
    </w:p>
    <w:p>
      <w:pPr>
        <w:spacing w:after="0" w:line="166" w:lineRule="exact"/>
        <w:rPr>
          <w:rFonts w:ascii="Arial" w:cs="Arial" w:eastAsia="Arial" w:hAnsi="Arial"/>
          <w:sz w:val="26"/>
          <w:szCs w:val="26"/>
          <w:color w:val="auto"/>
          <w:vertAlign w:val="superscript"/>
        </w:rPr>
      </w:pPr>
    </w:p>
    <w:p>
      <w:pPr>
        <w:ind w:left="540" w:hanging="533"/>
        <w:spacing w:after="0" w:line="259"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17,123 shares of common stock issuable upon the exercise of stock options exercisable within 60 days of July 18, 2014 and 6,865 shares of common stock issuable upon Mr. Austin’s discontinuance of service from the Board.</w:t>
      </w:r>
    </w:p>
    <w:p>
      <w:pPr>
        <w:spacing w:after="0" w:line="152" w:lineRule="exact"/>
        <w:rPr>
          <w:rFonts w:ascii="Arial" w:cs="Arial" w:eastAsia="Arial" w:hAnsi="Arial"/>
          <w:sz w:val="15"/>
          <w:szCs w:val="15"/>
          <w:color w:val="auto"/>
        </w:rPr>
      </w:pPr>
    </w:p>
    <w:p>
      <w:pPr>
        <w:ind w:left="540" w:hanging="533"/>
        <w:spacing w:after="0" w:line="259" w:lineRule="auto"/>
        <w:tabs>
          <w:tab w:leader="none" w:pos="5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Includes 7,603 shares of common stock issuable upon the exercise of stock options exercisable within 60 days of July 18, 2014, and 6,865 shares of common stock issuable upon Mr. Bassani’s discontinuance of service from the Board.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2" w:name="page23"/>
    <w:bookmarkEnd w:id="22"/>
    <w:p>
      <w:pPr>
        <w:ind w:left="540" w:hanging="533"/>
        <w:spacing w:after="0" w:line="259" w:lineRule="auto"/>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285,000 shares of common stock issuable upon the exercise of stock options and 2,413 shares of common stock issuable upon the exercise of warrants exercisable within 60 days of July 18, 2014.</w:t>
      </w:r>
    </w:p>
    <w:p>
      <w:pPr>
        <w:spacing w:after="0" w:line="152" w:lineRule="exact"/>
        <w:rPr>
          <w:rFonts w:ascii="Arial" w:cs="Arial" w:eastAsia="Arial" w:hAnsi="Arial"/>
          <w:sz w:val="15"/>
          <w:szCs w:val="15"/>
          <w:color w:val="auto"/>
        </w:rPr>
      </w:pPr>
    </w:p>
    <w:p>
      <w:pPr>
        <w:ind w:left="540" w:hanging="533"/>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Includes 50,417 shares of common stock issuable upon the exercise of stock options exercisable within 60 days of July 18, 2014.</w:t>
      </w:r>
    </w:p>
    <w:p>
      <w:pPr>
        <w:spacing w:after="0" w:line="177" w:lineRule="exact"/>
        <w:rPr>
          <w:rFonts w:ascii="Arial" w:cs="Arial" w:eastAsia="Arial" w:hAnsi="Arial"/>
          <w:sz w:val="15"/>
          <w:szCs w:val="15"/>
          <w:color w:val="auto"/>
        </w:rPr>
      </w:pPr>
    </w:p>
    <w:p>
      <w:pPr>
        <w:ind w:left="540" w:hanging="533"/>
        <w:spacing w:after="0" w:line="294"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85,000 shares of common stock issuable upon the exercise of stock options exercisable within 60 days of July 18, 2014, 6,865 shares of common stock issuable upon Dr. Kammer’s discontinuance of service from the Board and 15,282 shares of common stock issuable upon the exercise of warrants exercisable within 60 days of July 18, 2014.</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REPORT OF THE AUDIT COMMITTEE</w:t>
      </w:r>
    </w:p>
    <w:p>
      <w:pPr>
        <w:spacing w:after="0" w:line="18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 xml:space="preserve">The Audit Committee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Arial" w:cs="Arial" w:eastAsia="Arial" w:hAnsi="Arial"/>
          <w:sz w:val="15"/>
          <w:szCs w:val="15"/>
          <w:i w:val="1"/>
          <w:iCs w:val="1"/>
          <w:color w:val="auto"/>
        </w:rPr>
        <w:t>http://imprimispharma.investorroom.com</w:t>
      </w:r>
      <w:r>
        <w:rPr>
          <w:rFonts w:ascii="Arial" w:cs="Arial" w:eastAsia="Arial" w:hAnsi="Arial"/>
          <w:sz w:val="15"/>
          <w:szCs w:val="15"/>
          <w:color w:val="auto"/>
        </w:rPr>
        <w:t>. All members of the Audit Committee currently meet the independence and qualification standards for Audit Committee membership set forth in the</w:t>
      </w:r>
      <w:r>
        <w:rPr>
          <w:rFonts w:ascii="Arial" w:cs="Arial" w:eastAsia="Arial" w:hAnsi="Arial"/>
          <w:sz w:val="15"/>
          <w:szCs w:val="15"/>
          <w:i w:val="1"/>
          <w:iCs w:val="1"/>
          <w:color w:val="auto"/>
        </w:rPr>
        <w:t xml:space="preserve"> </w:t>
      </w:r>
      <w:r>
        <w:rPr>
          <w:rFonts w:ascii="Arial" w:cs="Arial" w:eastAsia="Arial" w:hAnsi="Arial"/>
          <w:sz w:val="15"/>
          <w:szCs w:val="15"/>
          <w:color w:val="auto"/>
        </w:rPr>
        <w:t>listing standards provided by NASDAQ and the SEC.</w:t>
      </w:r>
    </w:p>
    <w:p>
      <w:pPr>
        <w:spacing w:after="0" w:line="161"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61" w:lineRule="exact"/>
        <w:rPr>
          <w:sz w:val="20"/>
          <w:szCs w:val="20"/>
          <w:color w:val="auto"/>
        </w:rPr>
      </w:pPr>
    </w:p>
    <w:p>
      <w:pPr>
        <w:jc w:val="both"/>
        <w:ind w:firstLine="525"/>
        <w:spacing w:after="0" w:line="324" w:lineRule="auto"/>
        <w:rPr>
          <w:sz w:val="20"/>
          <w:szCs w:val="20"/>
          <w:color w:val="auto"/>
        </w:rPr>
      </w:pPr>
      <w:r>
        <w:rPr>
          <w:rFonts w:ascii="Arial" w:cs="Arial" w:eastAsia="Arial" w:hAnsi="Arial"/>
          <w:sz w:val="12"/>
          <w:szCs w:val="12"/>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fiscal year ended December 31, 2013.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spacing w:after="0" w:line="118"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(United States) Auditing Standard AU Section 380,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their independence from management and the Company, including the matters required by the applicable rules of the Public Company Accounting Oversight Board.</w:t>
      </w:r>
    </w:p>
    <w:p>
      <w:pPr>
        <w:spacing w:after="0" w:line="149" w:lineRule="exact"/>
        <w:rPr>
          <w:sz w:val="20"/>
          <w:szCs w:val="20"/>
          <w:color w:val="auto"/>
        </w:rPr>
      </w:pPr>
    </w:p>
    <w:p>
      <w:pPr>
        <w:jc w:val="both"/>
        <w:ind w:firstLine="525"/>
        <w:spacing w:after="0" w:line="248" w:lineRule="auto"/>
        <w:rPr>
          <w:sz w:val="20"/>
          <w:szCs w:val="20"/>
          <w:color w:val="auto"/>
        </w:rPr>
      </w:pPr>
      <w:r>
        <w:rPr>
          <w:rFonts w:ascii="Arial" w:cs="Arial" w:eastAsia="Arial" w:hAnsi="Arial"/>
          <w:sz w:val="15"/>
          <w:szCs w:val="15"/>
          <w:color w:val="auto"/>
        </w:rPr>
        <w:t>In addition to the matters specified above, the Audit Committee discussed with the Company’s independent registered public accounting firm the overall scope, plans and estimated costs of their audit. The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6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In reliance on the reviews and discussions referred to above, the Audit Committee recommended to the Board of Directors that the Company’s audited financial statements should be included in the Company’s Annual Report on Form 10-K for the fiscal year ended December 31, 2013.</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Submitted by the Audit Committee of the Board of Directors</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Stephen Austin, Chairperson</w:t>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August Bassani</w:t>
      </w:r>
    </w:p>
    <w:p>
      <w:pPr>
        <w:spacing w:after="0" w:line="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Peter Kenny</w:t>
      </w:r>
    </w:p>
    <w:p>
      <w:pPr>
        <w:spacing w:after="0" w:line="168"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88"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5"/>
          <w:szCs w:val="15"/>
          <w:b w:val="1"/>
          <w:bCs w:val="1"/>
          <w:color w:val="auto"/>
        </w:rPr>
        <w:t>HOUSEHOLDING OF PROXY MATERIALS</w:t>
      </w:r>
    </w:p>
    <w:p>
      <w:pPr>
        <w:spacing w:after="0" w:line="181" w:lineRule="exact"/>
        <w:rPr>
          <w:sz w:val="20"/>
          <w:szCs w:val="20"/>
          <w:color w:val="auto"/>
        </w:rPr>
      </w:pPr>
    </w:p>
    <w:p>
      <w:pPr>
        <w:jc w:val="both"/>
        <w:ind w:firstLine="525"/>
        <w:spacing w:after="0" w:line="251" w:lineRule="auto"/>
        <w:rPr>
          <w:sz w:val="20"/>
          <w:szCs w:val="20"/>
          <w:color w:val="auto"/>
        </w:rPr>
      </w:pPr>
      <w:r>
        <w:rPr>
          <w:rFonts w:ascii="Arial" w:cs="Arial" w:eastAsia="Arial" w:hAnsi="Arial"/>
          <w:sz w:val="15"/>
          <w:szCs w:val="15"/>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58"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color w:val="auto"/>
        </w:rPr>
        <w:t>This year, a number of brokers with account holders who are the Company’s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Imprimis Pharmaceuticals, Inc., c/o Corporate Secretary, 12626 High Bluff Drive, Suite 150, San Diego, CA 92130 or call Investor Relations at (858) 704-4587. Stockholders who currently receive multiple copies of the proxy statement at their address and would like to request “householding” of their communications should contact their brokers.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STOCKHOLDER PROPOSALS</w:t>
      </w:r>
    </w:p>
    <w:p>
      <w:pPr>
        <w:spacing w:after="0" w:line="181" w:lineRule="exact"/>
        <w:rPr>
          <w:sz w:val="20"/>
          <w:szCs w:val="20"/>
          <w:color w:val="auto"/>
        </w:rPr>
      </w:pPr>
    </w:p>
    <w:p>
      <w:pPr>
        <w:jc w:val="both"/>
        <w:ind w:firstLine="525"/>
        <w:spacing w:after="0" w:line="267" w:lineRule="auto"/>
        <w:rPr>
          <w:sz w:val="20"/>
          <w:szCs w:val="20"/>
          <w:color w:val="auto"/>
        </w:rPr>
      </w:pPr>
      <w:r>
        <w:rPr>
          <w:rFonts w:ascii="Arial" w:cs="Arial" w:eastAsia="Arial" w:hAnsi="Arial"/>
          <w:sz w:val="14"/>
          <w:szCs w:val="14"/>
          <w:i w:val="1"/>
          <w:iCs w:val="1"/>
          <w:color w:val="auto"/>
        </w:rPr>
        <w:t xml:space="preserve">Stockholder Proposals for 2015 Annual Meeting. </w:t>
      </w:r>
      <w:r>
        <w:rPr>
          <w:rFonts w:ascii="Arial" w:cs="Arial" w:eastAsia="Arial" w:hAnsi="Arial"/>
          <w:sz w:val="14"/>
          <w:szCs w:val="14"/>
          <w:color w:val="auto"/>
        </w:rPr>
        <w:t>Pursuant to Rule 14a-8 under the Exchange Act, stockholders may present proper proposals for inclusion in our proxy statement and for</w:t>
      </w:r>
      <w:r>
        <w:rPr>
          <w:rFonts w:ascii="Arial" w:cs="Arial" w:eastAsia="Arial" w:hAnsi="Arial"/>
          <w:sz w:val="14"/>
          <w:szCs w:val="14"/>
          <w:i w:val="1"/>
          <w:iCs w:val="1"/>
          <w:color w:val="auto"/>
        </w:rPr>
        <w:t xml:space="preserve"> </w:t>
      </w:r>
      <w:r>
        <w:rPr>
          <w:rFonts w:ascii="Arial" w:cs="Arial" w:eastAsia="Arial" w:hAnsi="Arial"/>
          <w:sz w:val="14"/>
          <w:szCs w:val="14"/>
          <w:color w:val="auto"/>
        </w:rPr>
        <w:t>consideration at our next annual meeting of stockholders. To be eligible for inclusion in our 2015 proxy statement, a stockholder’s proposal must be received by us no later than April 10, 2015, unless the date of our 2015 Annual Meeting of Stockholders is more than 30 days before or after the one-year anniversary date of the 2014 Annual Meeting of Stockholders, in which case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the proxy statement.</w:t>
      </w:r>
    </w:p>
    <w:p>
      <w:pPr>
        <w:spacing w:after="0" w:line="149" w:lineRule="exact"/>
        <w:rPr>
          <w:sz w:val="20"/>
          <w:szCs w:val="20"/>
          <w:color w:val="auto"/>
        </w:rPr>
      </w:pPr>
    </w:p>
    <w:p>
      <w:pPr>
        <w:jc w:val="both"/>
        <w:ind w:firstLine="525"/>
        <w:spacing w:after="0" w:line="264" w:lineRule="auto"/>
        <w:rPr>
          <w:sz w:val="20"/>
          <w:szCs w:val="20"/>
          <w:color w:val="auto"/>
        </w:rPr>
      </w:pPr>
      <w:r>
        <w:rPr>
          <w:rFonts w:ascii="Arial" w:cs="Arial" w:eastAsia="Arial" w:hAnsi="Arial"/>
          <w:sz w:val="14"/>
          <w:szCs w:val="14"/>
          <w:i w:val="1"/>
          <w:iCs w:val="1"/>
          <w:color w:val="auto"/>
        </w:rPr>
        <w:t>Advance Notice for Proposals for Business to be Discussed at the 2015 Annual Meeting</w:t>
      </w:r>
      <w:r>
        <w:rPr>
          <w:rFonts w:ascii="Arial" w:cs="Arial" w:eastAsia="Arial" w:hAnsi="Arial"/>
          <w:sz w:val="14"/>
          <w:szCs w:val="14"/>
          <w:color w:val="auto"/>
        </w:rPr>
        <w:t>. Our Bylaws require advance notice of business to be brought before a stockholders’ meeting,</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including nominations of persons for election as directors. To be timely, notice of stockholder proposals must be received by our Corporate Secretary at our principal executive offices not less than 120 days or more than 180 days prior to the anniversary date of the mailing of the proxy materials for the preceding year’s annual meeting, or between February 9, 2015 and April 10, 2015 for our 2015 Annual Meeting of Stockholders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12626 High Bluff Drive, Suite 150, San Diego, CA 92130. Our Bylaws are also available on the Investor Relations section of our website at </w:t>
      </w:r>
      <w:r>
        <w:rPr>
          <w:rFonts w:ascii="Arial" w:cs="Arial" w:eastAsia="Arial" w:hAnsi="Arial"/>
          <w:sz w:val="14"/>
          <w:szCs w:val="14"/>
          <w:u w:val="single" w:color="auto"/>
          <w:color w:val="auto"/>
        </w:rPr>
        <w:t>http://imprimispharma.investorroom.com.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ANNUAL REPORT</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Our 2013 Annual Report on Form 10-K accompanies the proxy materials being provided to all stockholders. We will provide, without charge, additional copies of our 2013 Annual Report on Form 10-K upon the receipt of a written request by any stockholder.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MATTERS</w:t>
      </w:r>
    </w:p>
    <w:p>
      <w:pPr>
        <w:spacing w:after="0" w:line="181"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5"/>
          <w:szCs w:val="15"/>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52"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 Order of the Board of Directors</w:t>
      </w:r>
    </w:p>
    <w:p>
      <w:pPr>
        <w:spacing w:after="0" w:line="177"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Mark L. Baum</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5"/>
          <w:szCs w:val="15"/>
          <w:i w:val="1"/>
          <w:iCs w:val="1"/>
          <w:color w:val="auto"/>
        </w:rPr>
        <w:t>Chief Executive Officer and Director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727265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11460"/>
          </w:cols>
          <w:pgMar w:left="220" w:top="562" w:right="21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366395</wp:posOffset>
            </wp:positionV>
            <wp:extent cx="7323455" cy="566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66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30480</wp:posOffset>
            </wp:positionV>
            <wp:extent cx="727265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331470</wp:posOffset>
            </wp:positionH>
            <wp:positionV relativeFrom="page">
              <wp:posOffset>269240</wp:posOffset>
            </wp:positionV>
            <wp:extent cx="6939915" cy="5364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6939915" cy="5364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-769620</wp:posOffset>
            </wp:positionH>
            <wp:positionV relativeFrom="paragraph">
              <wp:posOffset>30480</wp:posOffset>
            </wp:positionV>
            <wp:extent cx="727265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655" cy="1397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2)"/>
      <w:numFmt w:val="decimal"/>
      <w:start w:val="1"/>
    </w:lvl>
  </w:abstractNum>
  <w:abstractNum w:abstractNumId="1">
    <w:nsid w:val="5BD062C2"/>
    <w:multiLevelType w:val="hybridMultilevel"/>
    <w:lvl w:ilvl="0">
      <w:lvlJc w:val="left"/>
      <w:lvlText w:val="["/>
      <w:numFmt w:val="bullet"/>
      <w:start w:val="1"/>
    </w:lvl>
    <w:lvl w:ilvl="1">
      <w:lvlJc w:val="left"/>
      <w:lvlText w:val="(%2)"/>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4"/>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6"/>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7"/>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2020-01-28T03:35:17Z</dcterms:created>
  <dcterms:modified xsi:type="dcterms:W3CDTF">2020-01-28T03:35:17Z</dcterms:modified>
</cp:coreProperties>
</file>