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0"/>
              <w:ind w:left="1440" w:right="0" w:hanging="0"/>
              <w:jc w:val="left"/>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4_edei--EntityFileNumber_c20260803"/>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ind w:left="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12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1A Burton Hills Blvd., </w:t>
            </w:r>
            <w:bookmarkStart w:id="9" w:name="xdx_900_edei--EntityAddressAddressLine2_"/>
            <w:bookmarkEnd w:id="9"/>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Nashville, </w:t>
            </w:r>
            <w:bookmarkStart w:id="11" w:name="xdx_900_edei--EntityAddressStateOrProvin"/>
            <w:bookmarkEnd w:id="11"/>
            <w:r>
              <w:rPr>
                <w:rFonts w:ascii="Times New Roman;Times;Serif" w:hAnsi="Times New Roman;Times;Serif"/>
                <w:b/>
                <w:i w:val="false"/>
                <w:caps w:val="false"/>
                <w:smallCaps w:val="false"/>
                <w:sz w:val="20"/>
              </w:rPr>
              <w:t>Tennessee</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60803__20"/>
      <w:bookmarkEnd w:id="13"/>
      <w:r>
        <w:rPr>
          <w:rFonts w:ascii="Times New Roman;Times;Serif" w:hAnsi="Times New Roman;Times;Serif"/>
          <w:b/>
          <w:i w:val="false"/>
          <w:caps w:val="false"/>
          <w:smallCaps w:val="false"/>
          <w:sz w:val="20"/>
        </w:rPr>
        <w:t xml:space="preserve">(615) </w:t>
      </w:r>
      <w:bookmarkStart w:id="14" w:name="xdx_90C_edei--LocalPhoneNumber_c20260803"/>
      <w:bookmarkEnd w:id="14"/>
      <w:r>
        <w:rPr>
          <w:rFonts w:ascii="Times New Roman;Times;Serif" w:hAnsi="Times New Roman;Times;Serif"/>
          <w:b/>
          <w:i w:val="false"/>
          <w:caps w:val="false"/>
          <w:smallCaps w:val="false"/>
          <w:sz w:val="20"/>
        </w:rPr>
        <w:t>733-4730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0" w:type="dxa"/>
          <w:right w:w="0" w:type="dxa"/>
        </w:tblCellMar>
      </w:tblPr>
      <w:tblGrid>
        <w:gridCol w:w="3515"/>
        <w:gridCol w:w="60"/>
        <w:gridCol w:w="1535"/>
        <w:gridCol w:w="60"/>
        <w:gridCol w:w="3590"/>
      </w:tblGrid>
      <w:tr>
        <w:trPr/>
        <w:tc>
          <w:tcPr>
            <w:tcW w:w="3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3_edei--Security12bTitle_c20260803"/>
            <w:bookmarkEnd w:id="15"/>
            <w:r>
              <w:rPr>
                <w:rFonts w:ascii="Times New Roman;Times;Serif" w:hAnsi="Times New Roman;Times;Serif"/>
                <w:b w:val="false"/>
                <w:i w:val="false"/>
                <w:caps w:val="false"/>
                <w:smallCaps w:val="false"/>
                <w:sz w:val="20"/>
              </w:rPr>
              <w:t>Common Stock, $0.001 par value per share</w:t>
            </w:r>
          </w:p>
        </w:tc>
        <w:tc>
          <w:tcPr>
            <w:tcW w:w="60" w:type="dxa"/>
            <w:tcBorders/>
            <w:vAlign w:val="center"/>
          </w:tcPr>
          <w:p>
            <w:pPr>
              <w:pStyle w:val="TableContents"/>
              <w:bidi w:val="0"/>
              <w:spacing w:before="0" w:after="283"/>
              <w:jc w:val="left"/>
              <w:rPr/>
            </w:pPr>
            <w:r>
              <w:rPr/>
              <w:t> </w:t>
            </w:r>
          </w:p>
        </w:tc>
        <w:tc>
          <w:tcPr>
            <w:tcW w:w="15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B_edei--TradingSymbol_c20260803__2"/>
            <w:bookmarkEnd w:id="16"/>
            <w:r>
              <w:rPr>
                <w:rFonts w:ascii="Times New Roman;Times;Serif" w:hAnsi="Times New Roman;Times;Serif"/>
                <w:b w:val="false"/>
                <w:i w:val="false"/>
                <w:caps w:val="false"/>
                <w:smallCaps w:val="false"/>
                <w:sz w:val="20"/>
              </w:rPr>
              <w:t>HROW</w:t>
            </w:r>
          </w:p>
        </w:tc>
        <w:tc>
          <w:tcPr>
            <w:tcW w:w="60" w:type="dxa"/>
            <w:tcBorders/>
            <w:vAlign w:val="center"/>
          </w:tcPr>
          <w:p>
            <w:pPr>
              <w:pStyle w:val="TableContents"/>
              <w:bidi w:val="0"/>
              <w:spacing w:before="0" w:after="283"/>
              <w:jc w:val="left"/>
              <w:rPr/>
            </w:pPr>
            <w:r>
              <w:rPr/>
              <w:t> </w:t>
            </w:r>
          </w:p>
        </w:tc>
        <w:tc>
          <w:tcPr>
            <w:tcW w:w="359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5_edei--SecurityExchangeName_c2026"/>
            <w:bookmarkEnd w:id="17"/>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8" w:name="xdx_901_edei--WrittenCommunications_c202"/>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8_edei--SolicitingMaterial_c202608"/>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E_edei--PreCommencementTenderOffer"/>
            <w:bookmarkEnd w:id="20"/>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3_edei--PreCommencementIssuerTende"/>
            <w:bookmarkEnd w:id="21"/>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Harrow, Inc. (the “Company”) entered into an Asset Purchase Agreement (the “Purchase Agreement”) with Viatris Inc. (“Viatris”), pursuant to which the Company agreed to acquire the global rights to TYRVAYA® (varenicline solution) nasal spray 0.03 mg (“TYRVAYA”), a cholinergic agonist indicated for the treatment of the signs and symptoms of dry eye disease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the Company will acquire the assets primarily related to TYRVAYA, including the related new drug application and other regulatory approvals, intellectual property, developed technology, inventory, and certain related contracts, and will assume certain specified liabilities relating to the acquired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Acquisition, the Company will pay Viatris thirty million dollars ($30,000,000) in cash at the closing of the Acquisition (the “Closing”) and has agreed to pay up to an additional seventy million dollars ($70,000,000) in contingent milestone payments, payable if specified annual net sales thresholds for TYRVAYA are achieved in certain calendar years following the Closing. The Company expects to fund the cash payment due at Closing with cash on hand. The purchase price is subject to a customary post-Closing adjustment based on the net working capital transferred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of the Company and Viatris, including covenants regarding the operation of the TYRVAYA business prior to the Closing, employee matters, and a customary non-competition covenant applicable to Viatris. The Purchase Agreement also contains customary indemnification provisions and customary termination rights. The Closing is subject to the satisfaction or waiver of customary closing conditions. The Company expects the Closing to occur in the second half of 2026, although there can be no assurance that the Acquisition will be completed on the anticipated timeline or at all. In connection with the Closing, the Company and Viatris will also enter into certain ancillary agreements, including a transition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is a summary only, does not purport to be complete, and is qualified in its entirety by reference to the full text of the Purchase Agreement. The Company intends to file the Purchase Agreement as an exhibit to its Quarterly Report on Form 10-Q for the quarterly period ending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contained in the Purchase Agreement were made only for purposes of that agreement and as of specific dates; were solely for the benefit of the parties to the Purchase Agreement; may be subject to limitations, qualifications, and exceptions agreed upon by the parties, including being qualified by confidential disclosures made for the purpose of allocating contractual risk between the parties rather than establishing matters as facts; and may be subject to standards of materiality applicable to the contracting parties that differ from those generally applicable to investors. Investors should not rely on the representations, warranties, and covenants, or any description thereof, as characterizations of the actual state of facts or condition of the Company, Viatris, or any of their respective subsidiaries or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issued a press release announcing the execution of the Purchase Agreement. A copy of the press release is furnished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furnished herewith, shall not be deemed “filed” for purposes of Section 18 of the Securities Exchange Act of 1934, as amended (the “Exchange Act”), or otherwise subject to the liabilities of that Section, and shall not be deemed incorporated by reference into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U.S. Private Securities Litigation Reform Act of 1995, including statements regarding the expected timing and completion of the Acquisition, the satisfaction of closing conditions, the anticipated funding of the purchase price, and the potential achievement of contingent milestone payments. Any statements that are not historical facts may be considered forward-looking statements. Forward-looking statements are based on management’s current expectations and are subject to risks and uncertainties that may cause actual results to differ materially and adversely from those expressed or implied, including risks that the Acquisition may not be completed on the anticipated timeline or at all, that the anticipated benefits of the Acquisition may not be realized, and the other risks described in the Company’s filings with the Securities and Exchange Commission, including its Annual Report on Form 10-K for the year ended December 31, 2025 and its subsequent Quarterly Reports on Form 10-Q. Undue reliance should not be placed on forward-looking statements, which speak only as of the date they are made. Except as required by law, the Company undertakes no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6,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865"/>
        <w:gridCol w:w="365"/>
        <w:gridCol w:w="288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5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6,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88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Financial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58495" cy="347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8495" cy="34734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Acquires Global Rights to TYRVAYA</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First and Only FDA-Approved Nasal Spray for Dry Eye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NASHVILLE, Tenn., August 6, 2026 – </w:t>
      </w:r>
      <w:r>
        <w:rPr>
          <w:rFonts w:ascii="Times New Roman;Times;Serif" w:hAnsi="Times New Roman;Times;Serif"/>
          <w:b w:val="false"/>
          <w:i w:val="false"/>
          <w:caps w:val="false"/>
          <w:smallCaps w:val="false"/>
          <w:sz w:val="20"/>
        </w:rPr>
        <w:t>Harrow (Nasdaq: HROW), a leading provider of ophthalmic disease management solutions in North America, today announced that it has entered into a definitive agreement to acquire TYRVAYA® (varenicline solution) nasal spray 0.03 mg from Viatris Inc., a global healthcare company. TYRVAYA is a cholinergic agonist indicated for the treatment of the signs and symptoms of dry eye disease (DED) and is currently approved in the U.S., China, and Taiwan, with marketing authorization applications pending in other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acquisition expands Harrow’s dry eye portfolio, complementing the Company’s flagship VEVYE franchise by addressing dry eye disease with a different underlying mechanism of action. Together, VEVYE and TYRVAYA enable Harrow to provide physicians with a broader range of differentiated treatment options while addressing the diverse needs of patients with dry eye disease. Because TYRVAYA is delivered as a nasal spray rather than an eye drop, it avoids ocular instillation-site reactions entirely; its prescribing information includes no contraindications and no warnings or precautions, and its most common adverse reaction, sneezing, is transient. Drop-free DED management is a meaningful differentiator for patients who struggle with or cannot tolerate topical drops, including those who experience burning, stinging, or other ocular adverse reactions associated with eye drops. The acquisition also leverages Harrow’s sales, marketing, market access, medical affairs, and reimbursement infrastructure and is expected to further strengthen the Company through the addition of select talent from Viatris.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Harrow will pay $30 million in cash at closing and up to $70 million in contingent milestone payments tied to TYRVAYA’s net sales, for a potential total consideration of up to $100 million. Harrow expects to fund the upfront cash payment using cash on hand. The transaction is expected to close in the second half of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This acquisition is about Harrow’s commitment to offer the most comprehensive set of tools to help U.S. ophthalmologists and optometrists manage their patients’ dry eye disease. By adding TYRVAYA to our portfolio, we now have a highly effective and differentiated product that may be prescribed separately from VEVYE or in addition to VEVYE,” said Mark L. Baum, Chief Executive Officer of Harrow. “While VEVYE remains the cornerstone of our dry eye franchise, TYRVAYA strengthens our foundation by expanding the number of patients and physicians we can serve through a complementary mechanism of action: VEVYE addresses the inflammatory component of dry eye disease, and TYRVAYA stimulates the body’s natural basal tear production – </w:t>
      </w:r>
      <w:r>
        <w:rPr>
          <w:rFonts w:ascii="Times New Roman;Times;Serif" w:hAnsi="Times New Roman;Times;Serif"/>
          <w:b w:val="false"/>
          <w:i/>
          <w:caps w:val="false"/>
          <w:smallCaps w:val="false"/>
          <w:sz w:val="20"/>
        </w:rPr>
        <w:t>literally within minutes of the first dose</w:t>
      </w: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Also, as the first and only FDA-approved nasal spray for dry eye disease, TYRVAYA offers the 45+ million</w:t>
      </w:r>
      <w:r>
        <w:rPr>
          <w:rFonts w:ascii="Times New Roman;Times;Serif" w:hAnsi="Times New Roman;Times;Serif"/>
          <w:b w:val="false"/>
          <w:i w:val="false"/>
          <w:caps w:val="false"/>
          <w:smallCaps w:val="false"/>
          <w:position w:val="7"/>
          <w:sz w:val="16"/>
          <w:sz w:val="20"/>
        </w:rPr>
        <w:t>ii</w:t>
      </w:r>
      <w:r>
        <w:rPr>
          <w:rFonts w:ascii="Times New Roman;Times;Serif" w:hAnsi="Times New Roman;Times;Serif"/>
          <w:b w:val="false"/>
          <w:i w:val="false"/>
          <w:caps w:val="false"/>
          <w:smallCaps w:val="false"/>
          <w:sz w:val="20"/>
        </w:rPr>
        <w:t xml:space="preserve"> U.S. contact lens wearers a drop-free treatment option because it is the only prescription therapy that does not require lens removal before administration. We believe Harrow is now uniquely positioned to accelerate growth across our dry eye franchise by providing physicians with greater flexibility to individualize treatment for their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xml:space="preserve"> ONSET-1 and ONSET-2 pivotal clinical trials of TYRVAYA (varenicline solution) nasal spray. Published in Cornea (October 2022) and Ophthalmology (April 2022)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ii</w:t>
      </w:r>
      <w:r>
        <w:rPr>
          <w:rFonts w:ascii="Times New Roman;Times;Serif" w:hAnsi="Times New Roman;Times;Serif"/>
          <w:b w:val="false"/>
          <w:i w:val="false"/>
          <w:caps w:val="false"/>
          <w:smallCaps w:val="false"/>
          <w:sz w:val="20"/>
        </w:rPr>
        <w:t xml:space="preserve"> Centers for Disease Control and Prevention. “About Contact Lenses.” Healthy Contact Lens Wear and Care. Published May 8, 2024</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590" w:type="dxa"/>
        <w:jc w:val="left"/>
        <w:tblInd w:w="0" w:type="dxa"/>
        <w:tblLayout w:type="fixed"/>
        <w:tblCellMar>
          <w:top w:w="0" w:type="dxa"/>
          <w:left w:w="0" w:type="dxa"/>
          <w:bottom w:w="0" w:type="dxa"/>
          <w:right w:w="0" w:type="dxa"/>
        </w:tblCellMar>
      </w:tblPr>
      <w:tblGrid>
        <w:gridCol w:w="9590"/>
      </w:tblGrid>
      <w:tr>
        <w:trPr/>
        <w:tc>
          <w:tcPr>
            <w:tcW w:w="9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to Acquire TYRVAYA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from Viatris, Expanding Category-Leading Dry Eye Franchise Anchored by VEVYE</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06,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transaction is another example of the disciplined approach to capital allocation and business development that has become a hallmark of Harrow’s growth strategy,” said Andrew Boll, President and Chief Financial Officer of Harrow. “This transaction aligns with what we believe is an attractive investment, providing a long-term stream of strategic value creation, with the primary purchase payment from cash on hand and any additional payments made only if net revenue milestones are achieved. Moreover, TYRVAYA is ‘plug and play’ with our existing cost structure, and given the existing stream of revenue TYRVAYA produces, is expected to be financially accretive shortly after the transaction closes.”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a Broad and Diverse U.S. Dry Eye 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Dry eye disease is a complex, multifactorial condition that often requires different therapeutic approaches depending on (i) the underlying cause of the disease and (ii) the individual patient’s needs. Harrow’s unique approach to serving the dry eye community is centered on VEVYE and TYRVAYA, as well as FreshKote® Preservative Free, an OTC lubricant eye drop for the temporary relief of dry eye symptoms, and FLAREX®, a corticosteroid that treats ocular surface inflammation, well suited for managing flares – and is supported by the Harrow commercial team. Collectively, Harrow has created one of the industry’s most comprehensive branded dry eye franchises, with multiple complementary therapies that address distinct mechanisms of dry eye disease and all phases of the patient’s treatment continuum.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Chief Commercial Officer, Patrick Sullivan, added, “There are literally thousands of physicians writing TYRVAYA today, and the brand comes to us with real promotional awareness already built – that is a rare thing to be able to acquire. VEVYE will remain positioned as Harrow’s first-line anchor product for chronic dry eye disease, with TYRVAYA promoted and fully supported as a unique, fast-acting, safe, and clinically proven prescription tool in physicians’ armamentaria for patients who struggle with, or resist drops or contact lens wear. Our team can now introduce VEVYE to the established base of TYRVAYA prescribers and TYRVAYA to the physicians who already trust VEVYE, adding unique writers to both franchises. Every physician interaction now carries two branded prescription options instead of one, which we expect to raise the productivity of our commercial organization and strengthen the growth trajectory of both VEVYE and TYRVAYA, as well as our entire ocular surface 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VEVYE</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(cyclosporine ophthalmic solution) 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Indications and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(cyclosporine ophthalmic solution) 0.1% is indicated for the treatment of the signs and symptoms of dry eye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for Eye Injury and Contamination: To avoid the potential for eye injury and/or contamination, patients should not touch the bottle tip to the eye or other surfaces.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with Contact Lenses: VEVYE® should not be administered while wearing contact lenses. If contact lenses are worn, they should be removed prior to administration of the solution. Lenses may be reinserted 15 minutes following the administration of 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clinical trials with 738 subjects receiving at least 1 dose of 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most common adverse reactions were instillation site reactions (8%) and temporary decreases in visual acuity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TYRVAYA</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(varenicline solution) nasal spray 0.03 mg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INDICATIONS AND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TYRVAYA (varenicline solution) nasal spray is a cholinergic agonist indicated for the treatment of the signs and symptoms of dry eye disease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590" w:type="dxa"/>
        <w:jc w:val="left"/>
        <w:tblInd w:w="0" w:type="dxa"/>
        <w:tblLayout w:type="fixed"/>
        <w:tblCellMar>
          <w:top w:w="0" w:type="dxa"/>
          <w:left w:w="0" w:type="dxa"/>
          <w:bottom w:w="0" w:type="dxa"/>
          <w:right w:w="0" w:type="dxa"/>
        </w:tblCellMar>
      </w:tblPr>
      <w:tblGrid>
        <w:gridCol w:w="9590"/>
      </w:tblGrid>
      <w:tr>
        <w:trPr/>
        <w:tc>
          <w:tcPr>
            <w:tcW w:w="9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to Acquire TYRVAYA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from Viatris, Expanding Category-Leading Dry Eye Franchise Anchored by VEVYE</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06,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common adverse reaction reported in 82% of patients was sneezing. Events that were reported in 5-16% of patients were cough, throat irritation, and instillation-site (nose) irritation.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FLAREX</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(fluorometholone acetate ophthalmic suspension) 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Indications and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FLAREX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(fluorometholone acetate ophthalmic suspension) 0.1% is indicated for use in the treatment of steroid-responsive inflammatory conditions of the palpebral and bulbar conjunctiva, cornea, and anterior segment of the eye.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Contraindicated in acute superficial herpes simplex keratitis, vaccinia, varicella, and most other viral diseases of the cornea and conjunctiva; mycobacterial infection of the eye; fungal diseases; acute purulent untreated infections, which like other diseases caused by microorganisms, may be masked or enhanced by the presence of the steroid; and in those persons who have known hypersensitivity to any component of this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Topical Ophthalmic Use: Not for injection.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Intraocular Pressure Increase: Prolonged use may result in glaucoma, damage to the optic nerve, and defects in visual acuity and visual field. It is advisable that the intraocular pressure be checked frequently.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Cataracts: Use of corticosteroids may result in cataract 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Delayed Healing: Topical ophthalmic corticosteroids may slow corneal wound healing. In those diseases causing thinning of the cornea or sclera, perforation has been known to occur with chronic use of topical steroids.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Viral Infections: Use in the treatment of herpes simplex infection requires great caution.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Bacterial Infections: Use of corticosteroids may suppress the host response and thus aid in the establishment of secondary ocular infections. Acute purulent infections of the eye may be masked or exacerbated by the presence of steroid medication.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Fungal Infections: Fungal infections of the cornea are particularly prone to develop coincidentally with long-term local steroid application. Fungus invasion must be considered in any persistent corneal ulceration where a steroid has been used or is in use.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590" w:type="dxa"/>
        <w:jc w:val="left"/>
        <w:tblInd w:w="0" w:type="dxa"/>
        <w:tblLayout w:type="fixed"/>
        <w:tblCellMar>
          <w:top w:w="0" w:type="dxa"/>
          <w:left w:w="0" w:type="dxa"/>
          <w:bottom w:w="0" w:type="dxa"/>
          <w:right w:w="0" w:type="dxa"/>
        </w:tblCellMar>
      </w:tblPr>
      <w:tblGrid>
        <w:gridCol w:w="9590"/>
      </w:tblGrid>
      <w:tr>
        <w:trPr/>
        <w:tc>
          <w:tcPr>
            <w:tcW w:w="9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to Acquire TYRVAYA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from Viatris, Expanding Category-Leading Dry Eye Franchise Anchored by VEVYE</w:t>
            </w:r>
            <w:r>
              <w:rPr>
                <w:rFonts w:ascii="Times New Roman;Times;Serif" w:hAnsi="Times New Roman;Times;Serif"/>
                <w:b w:val="false"/>
                <w:i w:val="false"/>
                <w:caps w:val="false"/>
                <w:smallCaps w:val="false"/>
                <w:position w:val="7"/>
                <w:sz w:val="16"/>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06,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Contamination: Do not touch dropper tip to any surface as this may contaminate the suspension.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Lens Wear: Contact lenses should be removed during instillation of FLAREX but may be reinserted 15 minutes after instillation.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Temporarily Blurred Vision: Vision may be temporarily blurred following dosing with FLAREX. Care should be exercised in operating machinery or driving a motor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Glaucoma with optic nerve damage, visual acuity and field defects, cataract formation, secondary ocular infection following suppression of host response, and perforation of the globe may occur. Post marketing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The following reaction has been identified during post marketing use of FLAREX in clinical practice. Because reactions are reported voluntarily from a population of unknown size, estimates of frequency cannot be made. The reaction, which has been chosen for inclusion due to either its seriousness, frequency of reporting, possible causal connection to FLAREX, or a combination of these factors, includes dysgeusia. The following rare adverse reactions have been reported: Cushing’s syndrome and adrenal suppression may occur after very frequent use of topical ophthalmic corticosteroids, particularly in very young children.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FRESHKOTE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FRESHKOTE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Preservative Free (PF) is a lubricant eye drop that temporarily relieves burning, itching and other dry eye symptoms.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diseases of the retina. Harrow was founded with a commitment to deliver safe, effective, accessible, and affordable medications that enhance patient compliance and improve clinical outcomes.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xml:space="preserve"> and connect with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2025, and other filings with the SEC. Such documents may be read free of charge on the SEC’s web site at sec.gov.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Biega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Investor Relations and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mbiega@harrowinc.com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617-913-8890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3335</Words>
  <Characters>19258</Characters>
  <CharactersWithSpaces>22599</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