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19,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102 Woodmont Blvd., Suite 610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37205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19685</wp:posOffset>
            </wp:positionV>
            <wp:extent cx="42773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198"/>
        </w:trPr>
        <w:tc>
          <w:tcPr>
            <w:tcW w:w="4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17"/>
                <w:szCs w:val="17"/>
                <w:color w:val="auto"/>
              </w:rPr>
            </w:pPr>
          </w:p>
        </w:tc>
        <w:tc>
          <w:tcPr>
            <w:tcW w:w="21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HROW</w:t>
            </w:r>
          </w:p>
        </w:tc>
        <w:tc>
          <w:tcPr>
            <w:tcW w:w="120" w:type="dxa"/>
            <w:vAlign w:val="bottom"/>
          </w:tcPr>
          <w:p>
            <w:pPr>
              <w:spacing w:after="0"/>
              <w:rPr>
                <w:sz w:val="17"/>
                <w:szCs w:val="17"/>
                <w:color w:val="auto"/>
              </w:rPr>
            </w:pPr>
          </w:p>
        </w:tc>
        <w:tc>
          <w:tcPr>
            <w:tcW w:w="4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HROWL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11.875% Senior Notes due 2027</w:t>
            </w: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HROWM</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the afternoon of March 19, 2024, Harrow, Inc. (the “Company”) received communication from a representative at the Centers for Medicare &amp; Medicaid Services (“CMS”) that the inclusion of J-Code 2403 (IHEEZO’s J-Code) in CMS’s April 2024 quarterly drug pricing file of the average sales prices (ASP) of some Medicare Part B-covered drugs and biologicals confirms that IHEEZO is separately payable in the physician office 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2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March 20,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Andrew R. Boll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2024-03-20T06:11:34Z</dcterms:created>
  <dcterms:modified xsi:type="dcterms:W3CDTF">2024-03-20T06:11:34Z</dcterms:modified>
</cp:coreProperties>
</file>