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September 4, 2014</w:t>
      </w: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2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Delaware</w:t>
            </w:r>
          </w:p>
        </w:tc>
        <w:tc>
          <w:tcPr>
            <w:tcW w:w="4820" w:type="dxa"/>
            <w:vAlign w:val="bottom"/>
          </w:tcPr>
          <w:p>
            <w:pPr>
              <w:jc w:val="right"/>
              <w:ind w:right="1610"/>
              <w:spacing w:after="0"/>
              <w:rPr>
                <w:sz w:val="20"/>
                <w:szCs w:val="20"/>
                <w:color w:val="auto"/>
              </w:rPr>
            </w:pPr>
            <w:r>
              <w:rPr>
                <w:rFonts w:ascii="Arial" w:cs="Arial" w:eastAsia="Arial" w:hAnsi="Arial"/>
                <w:sz w:val="18"/>
                <w:szCs w:val="18"/>
                <w:b w:val="1"/>
                <w:bCs w:val="1"/>
                <w:color w:val="auto"/>
              </w:rPr>
              <w:t>001-35814</w:t>
            </w:r>
          </w:p>
        </w:tc>
        <w:tc>
          <w:tcPr>
            <w:tcW w:w="2440" w:type="dxa"/>
            <w:vAlign w:val="bottom"/>
          </w:tcPr>
          <w:p>
            <w:pPr>
              <w:jc w:val="right"/>
              <w:ind w:right="130"/>
              <w:spacing w:after="0"/>
              <w:rPr>
                <w:sz w:val="20"/>
                <w:szCs w:val="20"/>
                <w:color w:val="auto"/>
              </w:rPr>
            </w:pPr>
            <w:r>
              <w:rPr>
                <w:rFonts w:ascii="Arial" w:cs="Arial" w:eastAsia="Arial" w:hAnsi="Arial"/>
                <w:sz w:val="18"/>
                <w:szCs w:val="18"/>
                <w:b w:val="1"/>
                <w:bCs w:val="1"/>
                <w:color w:val="auto"/>
              </w:rPr>
              <w:t>45-0567010</w:t>
            </w:r>
          </w:p>
        </w:tc>
      </w:tr>
      <w:tr>
        <w:trPr>
          <w:trHeight w:val="216"/>
        </w:trPr>
        <w:tc>
          <w:tcPr>
            <w:tcW w:w="2100" w:type="dxa"/>
            <w:vAlign w:val="bottom"/>
          </w:tcPr>
          <w:p>
            <w:pPr>
              <w:jc w:val="center"/>
              <w:ind w:right="130"/>
              <w:spacing w:after="0"/>
              <w:rPr>
                <w:sz w:val="20"/>
                <w:szCs w:val="20"/>
                <w:color w:val="auto"/>
              </w:rPr>
            </w:pPr>
            <w:r>
              <w:rPr>
                <w:rFonts w:ascii="Arial" w:cs="Arial" w:eastAsia="Arial" w:hAnsi="Arial"/>
                <w:sz w:val="18"/>
                <w:szCs w:val="18"/>
                <w:color w:val="auto"/>
                <w:w w:val="91"/>
              </w:rPr>
              <w:t>(State or other jurisdiction</w:t>
            </w:r>
          </w:p>
        </w:tc>
        <w:tc>
          <w:tcPr>
            <w:tcW w:w="4820" w:type="dxa"/>
            <w:vAlign w:val="bottom"/>
          </w:tcPr>
          <w:p>
            <w:pPr>
              <w:jc w:val="center"/>
              <w:ind w:left="550"/>
              <w:spacing w:after="0"/>
              <w:rPr>
                <w:sz w:val="20"/>
                <w:szCs w:val="20"/>
                <w:color w:val="auto"/>
              </w:rPr>
            </w:pPr>
            <w:r>
              <w:rPr>
                <w:rFonts w:ascii="Arial" w:cs="Arial" w:eastAsia="Arial" w:hAnsi="Arial"/>
                <w:sz w:val="18"/>
                <w:szCs w:val="18"/>
                <w:color w:val="auto"/>
                <w:w w:val="92"/>
              </w:rPr>
              <w:t>(Commission File Number)</w:t>
            </w:r>
          </w:p>
        </w:tc>
        <w:tc>
          <w:tcPr>
            <w:tcW w:w="2440" w:type="dxa"/>
            <w:vAlign w:val="bottom"/>
          </w:tcPr>
          <w:p>
            <w:pPr>
              <w:jc w:val="center"/>
              <w:ind w:left="970"/>
              <w:spacing w:after="0"/>
              <w:rPr>
                <w:sz w:val="20"/>
                <w:szCs w:val="20"/>
                <w:color w:val="auto"/>
              </w:rPr>
            </w:pPr>
            <w:r>
              <w:rPr>
                <w:rFonts w:ascii="Arial" w:cs="Arial" w:eastAsia="Arial" w:hAnsi="Arial"/>
                <w:sz w:val="18"/>
                <w:szCs w:val="18"/>
                <w:color w:val="auto"/>
                <w:w w:val="93"/>
              </w:rPr>
              <w:t>(IRS Employer</w:t>
            </w:r>
          </w:p>
        </w:tc>
      </w:tr>
      <w:tr>
        <w:trPr>
          <w:trHeight w:val="230"/>
        </w:trPr>
        <w:tc>
          <w:tcPr>
            <w:tcW w:w="2100" w:type="dxa"/>
            <w:vAlign w:val="bottom"/>
          </w:tcPr>
          <w:p>
            <w:pPr>
              <w:jc w:val="center"/>
              <w:ind w:right="130"/>
              <w:spacing w:after="0"/>
              <w:rPr>
                <w:sz w:val="20"/>
                <w:szCs w:val="20"/>
                <w:color w:val="auto"/>
              </w:rPr>
            </w:pPr>
            <w:r>
              <w:rPr>
                <w:rFonts w:ascii="Arial" w:cs="Arial" w:eastAsia="Arial" w:hAnsi="Arial"/>
                <w:sz w:val="18"/>
                <w:szCs w:val="18"/>
                <w:color w:val="auto"/>
                <w:w w:val="95"/>
              </w:rPr>
              <w:t>of incorporation)</w:t>
            </w:r>
          </w:p>
        </w:tc>
        <w:tc>
          <w:tcPr>
            <w:tcW w:w="4820" w:type="dxa"/>
            <w:vAlign w:val="bottom"/>
          </w:tcPr>
          <w:p>
            <w:pPr>
              <w:spacing w:after="0"/>
              <w:rPr>
                <w:sz w:val="20"/>
                <w:szCs w:val="20"/>
                <w:color w:val="auto"/>
              </w:rPr>
            </w:pPr>
          </w:p>
        </w:tc>
        <w:tc>
          <w:tcPr>
            <w:tcW w:w="2440" w:type="dxa"/>
            <w:vAlign w:val="bottom"/>
          </w:tcPr>
          <w:p>
            <w:pPr>
              <w:jc w:val="center"/>
              <w:ind w:left="101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920" w:type="dxa"/>
            <w:vAlign w:val="bottom"/>
            <w:gridSpan w:val="2"/>
          </w:tcPr>
          <w:p>
            <w:pPr>
              <w:jc w:val="center"/>
              <w:ind w:right="1070"/>
              <w:spacing w:after="0"/>
              <w:rPr>
                <w:sz w:val="20"/>
                <w:szCs w:val="20"/>
                <w:color w:val="auto"/>
              </w:rPr>
            </w:pPr>
            <w:r>
              <w:rPr>
                <w:rFonts w:ascii="Arial" w:cs="Arial" w:eastAsia="Arial" w:hAnsi="Arial"/>
                <w:sz w:val="18"/>
                <w:szCs w:val="18"/>
                <w:b w:val="1"/>
                <w:bCs w:val="1"/>
                <w:color w:val="auto"/>
                <w:w w:val="91"/>
              </w:rPr>
              <w:t>12264 El Camino Real, Suite 350</w:t>
            </w:r>
          </w:p>
        </w:tc>
        <w:tc>
          <w:tcPr>
            <w:tcW w:w="2440" w:type="dxa"/>
            <w:vAlign w:val="bottom"/>
          </w:tcPr>
          <w:p>
            <w:pPr>
              <w:spacing w:after="0"/>
              <w:rPr>
                <w:sz w:val="24"/>
                <w:szCs w:val="24"/>
                <w:color w:val="auto"/>
              </w:rPr>
            </w:pPr>
          </w:p>
        </w:tc>
      </w:tr>
      <w:tr>
        <w:trPr>
          <w:trHeight w:val="220"/>
        </w:trPr>
        <w:tc>
          <w:tcPr>
            <w:tcW w:w="2100" w:type="dxa"/>
            <w:vAlign w:val="bottom"/>
          </w:tcPr>
          <w:p>
            <w:pPr>
              <w:spacing w:after="0"/>
              <w:rPr>
                <w:sz w:val="19"/>
                <w:szCs w:val="19"/>
                <w:color w:val="auto"/>
              </w:rPr>
            </w:pPr>
          </w:p>
        </w:tc>
        <w:tc>
          <w:tcPr>
            <w:tcW w:w="4820" w:type="dxa"/>
            <w:vAlign w:val="bottom"/>
          </w:tcPr>
          <w:p>
            <w:pPr>
              <w:jc w:val="center"/>
              <w:ind w:right="3170"/>
              <w:spacing w:after="0"/>
              <w:rPr>
                <w:sz w:val="20"/>
                <w:szCs w:val="20"/>
                <w:color w:val="auto"/>
              </w:rPr>
            </w:pPr>
            <w:r>
              <w:rPr>
                <w:rFonts w:ascii="Arial" w:cs="Arial" w:eastAsia="Arial" w:hAnsi="Arial"/>
                <w:sz w:val="18"/>
                <w:szCs w:val="18"/>
                <w:b w:val="1"/>
                <w:bCs w:val="1"/>
                <w:color w:val="auto"/>
                <w:w w:val="90"/>
              </w:rPr>
              <w:t>San Diego, CA</w:t>
            </w:r>
          </w:p>
        </w:tc>
        <w:tc>
          <w:tcPr>
            <w:tcW w:w="2440" w:type="dxa"/>
            <w:vAlign w:val="bottom"/>
          </w:tcPr>
          <w:p>
            <w:pPr>
              <w:jc w:val="right"/>
              <w:ind w:right="350"/>
              <w:spacing w:after="0"/>
              <w:rPr>
                <w:sz w:val="20"/>
                <w:szCs w:val="20"/>
                <w:color w:val="auto"/>
              </w:rPr>
            </w:pPr>
            <w:r>
              <w:rPr>
                <w:rFonts w:ascii="Arial" w:cs="Arial" w:eastAsia="Arial" w:hAnsi="Arial"/>
                <w:sz w:val="18"/>
                <w:szCs w:val="18"/>
                <w:b w:val="1"/>
                <w:bCs w:val="1"/>
                <w:color w:val="auto"/>
              </w:rPr>
              <w:t>92130</w:t>
            </w:r>
          </w:p>
        </w:tc>
      </w:tr>
      <w:tr>
        <w:trPr>
          <w:trHeight w:val="230"/>
        </w:trPr>
        <w:tc>
          <w:tcPr>
            <w:tcW w:w="6920" w:type="dxa"/>
            <w:vAlign w:val="bottom"/>
            <w:gridSpan w:val="2"/>
          </w:tcPr>
          <w:p>
            <w:pPr>
              <w:jc w:val="center"/>
              <w:ind w:right="1090"/>
              <w:spacing w:after="0"/>
              <w:rPr>
                <w:sz w:val="20"/>
                <w:szCs w:val="20"/>
                <w:color w:val="auto"/>
              </w:rPr>
            </w:pPr>
            <w:r>
              <w:rPr>
                <w:rFonts w:ascii="Arial" w:cs="Arial" w:eastAsia="Arial" w:hAnsi="Arial"/>
                <w:sz w:val="18"/>
                <w:szCs w:val="18"/>
                <w:color w:val="auto"/>
                <w:w w:val="92"/>
              </w:rPr>
              <w:t>(Address of principal executive offices)</w:t>
            </w:r>
          </w:p>
        </w:tc>
        <w:tc>
          <w:tcPr>
            <w:tcW w:w="2440" w:type="dxa"/>
            <w:vAlign w:val="bottom"/>
          </w:tcPr>
          <w:p>
            <w:pPr>
              <w:jc w:val="center"/>
              <w:ind w:left="103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12626 High Bluff Drive, Suite 150</w:t>
      </w:r>
    </w:p>
    <w:p>
      <w:pPr>
        <w:spacing w:after="0" w:line="27"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San Diego, CA 92130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5715</wp:posOffset>
            </wp:positionV>
            <wp:extent cx="36188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657860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747" w:right="35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5.02 Departure of Certain Officers; Election of Directors; Appointment of Certain Officers; Compensatory Arrangements of Certain Officers</w:t>
      </w:r>
    </w:p>
    <w:p>
      <w:pPr>
        <w:spacing w:after="0" w:line="252" w:lineRule="exact"/>
        <w:rPr>
          <w:sz w:val="20"/>
          <w:szCs w:val="20"/>
          <w:color w:val="auto"/>
        </w:rPr>
      </w:pPr>
    </w:p>
    <w:p>
      <w:pPr>
        <w:jc w:val="both"/>
        <w:ind w:right="20" w:firstLine="8"/>
        <w:spacing w:after="0" w:line="264" w:lineRule="auto"/>
        <w:tabs>
          <w:tab w:leader="none" w:pos="859"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Effective on September 4, 2014, the Board of Directors of the Company elected William H. Nelson to the Company’s Board of Directors. In addition, the Board appointed Mr. Nelson to the Audit Committee, Compensation Committee, and Nominations and Corporate Governance Committee of the Board of Directors. Mr. Nelson will serve as Chair of the Nominations and Corporate Governance Committee.</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Mr. Nelson served as the President and the Chief Executive Officer of Intermountain Healthcare, an integrated nonprofit healthcare system with hospitals, surgery centers, clinics and an insurance organization, from 1999 until his retirement in early 2009. Intermountain Healthcare is the largest healthcare provider in the intermountain west, with over 33,000 employees serving the needs of Utah and southeastern Idaho residents. Mr. Nelson served as Chief Operating Officer of Intermountain Healthcare from 1995 to 1998 and Chief Financial Officer from 1976 to 1995. Mr. Nelson has served on the boards of the Utah Symphony &amp; Opera, Beneficial Life Insurance, United Way of the Greater Salt Lake Area and the Healthcare Research and Development Institute. Mr. Nelson received his Bachelors of Science in Accounting from Brigham Young University and his MBA from University of Southern California. Mr. Nelson. The Board expects that Mr. Nelson would bring valuable healthcare industry and management experience to the Board.</w:t>
      </w:r>
    </w:p>
    <w:p>
      <w:pPr>
        <w:spacing w:after="0" w:line="16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connection with his appointment as a director, the Board approved the issuance to Mr. Nelson of 6,623 restricted stock units (the “RSUs”) under the Company’s 2007 Incentive Stock and Awards Plan. The RSUs vests quarterly in equal installments over a one year period following the date of grant. In addition, Mr. Nelson is eligible to receive cash compensation for his participation on the Board of Directors pursuant to the Company’s established board compensation program for non-employee directors in effect for 2014, as described in the Company’s Definitive Proxy Statement filed with the Securities and Exchange Commission on August 8, 2014. Mr. Nelson will also enter into the Company’s form of indemnification agreement for directors and officers.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September 4, 2014, we held our 2014 Annual Meeting of Stockholders (the “Annual Meeting”) at the offices of Morrison &amp; Foerster LLP, 12531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High Bluff Drive, Suite 100, San Diego, CA 92130. The final voting results on the matters presented at the Annual Meeting were as follows: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Proposal 1: To elect five (5) directors to hold office for one-year term or until their successors are duly elected and qualified.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2"/>
              </w:rPr>
              <w:t>Broker Non-</w:t>
            </w:r>
          </w:p>
        </w:tc>
      </w:tr>
      <w:tr>
        <w:trPr>
          <w:trHeight w:val="241"/>
        </w:trPr>
        <w:tc>
          <w:tcPr>
            <w:tcW w:w="2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Directors</w:t>
            </w:r>
          </w:p>
        </w:tc>
        <w:tc>
          <w:tcPr>
            <w:tcW w:w="2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For</w:t>
            </w:r>
          </w:p>
        </w:tc>
        <w:tc>
          <w:tcPr>
            <w:tcW w:w="2960" w:type="dxa"/>
            <w:vAlign w:val="bottom"/>
            <w:gridSpan w:val="2"/>
          </w:tcPr>
          <w:p>
            <w:pPr>
              <w:ind w:left="1000"/>
              <w:spacing w:after="0"/>
              <w:rPr>
                <w:sz w:val="20"/>
                <w:szCs w:val="20"/>
                <w:color w:val="auto"/>
              </w:rPr>
            </w:pPr>
            <w:r>
              <w:rPr>
                <w:rFonts w:ascii="Arial" w:cs="Arial" w:eastAsia="Arial" w:hAnsi="Arial"/>
                <w:sz w:val="18"/>
                <w:szCs w:val="18"/>
                <w:b w:val="1"/>
                <w:bCs w:val="1"/>
                <w:color w:val="auto"/>
              </w:rPr>
              <w:t>Withheld</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7"/>
              </w:rPr>
              <w:t>Vote</w:t>
            </w:r>
          </w:p>
        </w:tc>
      </w:tr>
      <w:tr>
        <w:trPr>
          <w:trHeight w:val="216"/>
        </w:trPr>
        <w:tc>
          <w:tcPr>
            <w:tcW w:w="2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Stephen Austin</w:t>
            </w:r>
          </w:p>
        </w:tc>
        <w:tc>
          <w:tcPr>
            <w:tcW w:w="24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5,318,504</w:t>
            </w:r>
          </w:p>
        </w:tc>
        <w:tc>
          <w:tcPr>
            <w:tcW w:w="24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214,714</w:t>
            </w:r>
          </w:p>
        </w:tc>
        <w:tc>
          <w:tcPr>
            <w:tcW w:w="2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8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August Bassani</w:t>
            </w:r>
          </w:p>
        </w:tc>
        <w:tc>
          <w:tcPr>
            <w:tcW w:w="2620" w:type="dxa"/>
            <w:vAlign w:val="bottom"/>
          </w:tcPr>
          <w:p>
            <w:pPr>
              <w:jc w:val="center"/>
              <w:spacing w:after="0"/>
              <w:rPr>
                <w:sz w:val="20"/>
                <w:szCs w:val="20"/>
                <w:color w:val="auto"/>
              </w:rPr>
            </w:pPr>
            <w:r>
              <w:rPr>
                <w:rFonts w:ascii="Arial" w:cs="Arial" w:eastAsia="Arial" w:hAnsi="Arial"/>
                <w:sz w:val="18"/>
                <w:szCs w:val="18"/>
                <w:color w:val="auto"/>
                <w:w w:val="89"/>
              </w:rPr>
              <w:t>5,527,889</w:t>
            </w:r>
          </w:p>
        </w:tc>
        <w:tc>
          <w:tcPr>
            <w:tcW w:w="24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88"/>
              </w:rPr>
              <w:t>5,329</w:t>
            </w:r>
          </w:p>
        </w:tc>
        <w:tc>
          <w:tcPr>
            <w:tcW w:w="2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8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Mark Baum</w:t>
            </w: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5,530,053</w:t>
            </w:r>
          </w:p>
        </w:tc>
        <w:tc>
          <w:tcPr>
            <w:tcW w:w="24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3,165</w:t>
            </w:r>
          </w:p>
        </w:tc>
        <w:tc>
          <w:tcPr>
            <w:tcW w:w="2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8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Robert Kammer</w:t>
            </w: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5,533,118</w:t>
            </w:r>
          </w:p>
        </w:tc>
        <w:tc>
          <w:tcPr>
            <w:tcW w:w="24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8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William Nelson</w:t>
            </w: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5,527,889</w:t>
            </w:r>
          </w:p>
        </w:tc>
        <w:tc>
          <w:tcPr>
            <w:tcW w:w="24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5,329</w:t>
            </w:r>
          </w:p>
        </w:tc>
        <w:tc>
          <w:tcPr>
            <w:tcW w:w="2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Proposal 2: To ratify the selection of KMJ Corbin and Company, LLP as the Company’s independent registered public accounting firm for the fiscal year ending December 31, 2014.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2"/>
              </w:rPr>
              <w:t>Broker Non-</w:t>
            </w:r>
          </w:p>
        </w:tc>
      </w:tr>
      <w:tr>
        <w:trPr>
          <w:trHeight w:val="241"/>
        </w:trPr>
        <w:tc>
          <w:tcPr>
            <w:tcW w:w="2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For</w:t>
            </w:r>
          </w:p>
        </w:tc>
        <w:tc>
          <w:tcPr>
            <w:tcW w:w="28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Against</w:t>
            </w:r>
          </w:p>
        </w:tc>
        <w:tc>
          <w:tcPr>
            <w:tcW w:w="2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Abstain</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7"/>
              </w:rPr>
              <w:t>Vote</w:t>
            </w:r>
          </w:p>
        </w:tc>
      </w:tr>
      <w:tr>
        <w:trPr>
          <w:trHeight w:val="216"/>
        </w:trPr>
        <w:tc>
          <w:tcPr>
            <w:tcW w:w="264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rPr>
              <w:t>5,513,990</w:t>
            </w:r>
          </w:p>
        </w:tc>
        <w:tc>
          <w:tcPr>
            <w:tcW w:w="24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right"/>
              <w:ind w:right="119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rPr>
              <w:t>19,228</w:t>
            </w:r>
          </w:p>
        </w:tc>
        <w:tc>
          <w:tcPr>
            <w:tcW w:w="2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655"/>
        </w:trPr>
        <w:tc>
          <w:tcPr>
            <w:tcW w:w="2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spacing w:after="0" w:line="277" w:lineRule="auto"/>
        <w:rPr>
          <w:sz w:val="20"/>
          <w:szCs w:val="20"/>
          <w:color w:val="auto"/>
        </w:rPr>
      </w:pPr>
      <w:r>
        <w:rPr>
          <w:rFonts w:ascii="Arial" w:cs="Arial" w:eastAsia="Arial" w:hAnsi="Arial"/>
          <w:sz w:val="18"/>
          <w:szCs w:val="18"/>
          <w:color w:val="auto"/>
        </w:rPr>
        <w:t>Proposal 3: To approve an amendment to the Company’s Amended and Restated Certificate of Incorporation to decrease the number of authorized common shares from 395,000,000 to 90,000,000.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2"/>
              </w:rPr>
              <w:t>Broker Non-</w:t>
            </w:r>
          </w:p>
        </w:tc>
      </w:tr>
      <w:tr>
        <w:trPr>
          <w:trHeight w:val="241"/>
        </w:trPr>
        <w:tc>
          <w:tcPr>
            <w:tcW w:w="2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For</w:t>
            </w:r>
          </w:p>
        </w:tc>
        <w:tc>
          <w:tcPr>
            <w:tcW w:w="28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Against</w:t>
            </w:r>
          </w:p>
        </w:tc>
        <w:tc>
          <w:tcPr>
            <w:tcW w:w="2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Abstain</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7"/>
              </w:rPr>
              <w:t>Vote</w:t>
            </w:r>
          </w:p>
        </w:tc>
      </w:tr>
      <w:tr>
        <w:trPr>
          <w:trHeight w:val="216"/>
        </w:trPr>
        <w:tc>
          <w:tcPr>
            <w:tcW w:w="264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rPr>
              <w:t>5,520,218</w:t>
            </w:r>
          </w:p>
        </w:tc>
        <w:tc>
          <w:tcPr>
            <w:tcW w:w="24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rPr>
              <w:t>5,829</w:t>
            </w:r>
          </w:p>
        </w:tc>
        <w:tc>
          <w:tcPr>
            <w:tcW w:w="24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rPr>
              <w:t>7,171</w:t>
            </w:r>
          </w:p>
        </w:tc>
        <w:tc>
          <w:tcPr>
            <w:tcW w:w="2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655"/>
        </w:trPr>
        <w:tc>
          <w:tcPr>
            <w:tcW w:w="2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IMPRIMIS PHARMACEUTICALS, INC.</w:t>
            </w:r>
          </w:p>
        </w:tc>
      </w:tr>
      <w:tr>
        <w:trPr>
          <w:trHeight w:val="453"/>
        </w:trPr>
        <w:tc>
          <w:tcPr>
            <w:tcW w:w="3800" w:type="dxa"/>
            <w:vAlign w:val="bottom"/>
          </w:tcPr>
          <w:p>
            <w:pPr>
              <w:spacing w:after="0"/>
              <w:rPr>
                <w:sz w:val="20"/>
                <w:szCs w:val="20"/>
                <w:color w:val="auto"/>
              </w:rPr>
            </w:pPr>
            <w:r>
              <w:rPr>
                <w:rFonts w:ascii="Arial" w:cs="Arial" w:eastAsia="Arial" w:hAnsi="Arial"/>
                <w:sz w:val="18"/>
                <w:szCs w:val="18"/>
                <w:color w:val="auto"/>
              </w:rPr>
              <w:t>Dated: September 8, 2014</w:t>
            </w:r>
          </w:p>
        </w:tc>
        <w:tc>
          <w:tcPr>
            <w:tcW w:w="2600" w:type="dxa"/>
            <w:vAlign w:val="bottom"/>
          </w:tcPr>
          <w:p>
            <w:pPr>
              <w:ind w:left="19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r>
      <w:tr>
        <w:trPr>
          <w:trHeight w:val="202"/>
        </w:trPr>
        <w:tc>
          <w:tcPr>
            <w:tcW w:w="3800" w:type="dxa"/>
            <w:vAlign w:val="bottom"/>
          </w:tcPr>
          <w:p>
            <w:pPr>
              <w:spacing w:after="0"/>
              <w:rPr>
                <w:sz w:val="17"/>
                <w:szCs w:val="17"/>
                <w:color w:val="auto"/>
              </w:rPr>
            </w:pPr>
          </w:p>
        </w:tc>
        <w:tc>
          <w:tcPr>
            <w:tcW w:w="2600" w:type="dxa"/>
            <w:vAlign w:val="bottom"/>
          </w:tcPr>
          <w:p>
            <w:pPr>
              <w:ind w:left="1920"/>
              <w:spacing w:after="0" w:line="201"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201" w:lineRule="exact"/>
              <w:rPr>
                <w:sz w:val="20"/>
                <w:szCs w:val="20"/>
                <w:color w:val="auto"/>
              </w:rPr>
            </w:pPr>
            <w:r>
              <w:rPr>
                <w:rFonts w:ascii="Arial" w:cs="Arial" w:eastAsia="Arial" w:hAnsi="Arial"/>
                <w:sz w:val="18"/>
                <w:szCs w:val="18"/>
                <w:color w:val="auto"/>
              </w:rPr>
              <w:t>Andrew R. Boll</w:t>
            </w:r>
          </w:p>
        </w:tc>
      </w:tr>
      <w:tr>
        <w:trPr>
          <w:trHeight w:val="230"/>
        </w:trPr>
        <w:tc>
          <w:tcPr>
            <w:tcW w:w="3800" w:type="dxa"/>
            <w:vAlign w:val="bottom"/>
          </w:tcPr>
          <w:p>
            <w:pPr>
              <w:spacing w:after="0"/>
              <w:rPr>
                <w:sz w:val="20"/>
                <w:szCs w:val="20"/>
                <w:color w:val="auto"/>
              </w:rPr>
            </w:pPr>
          </w:p>
        </w:tc>
        <w:tc>
          <w:tcPr>
            <w:tcW w:w="2600" w:type="dxa"/>
            <w:vAlign w:val="bottom"/>
          </w:tcPr>
          <w:p>
            <w:pPr>
              <w:ind w:left="19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Vice-President, Accounting and Public Reporting</w:t>
            </w:r>
          </w:p>
        </w:tc>
      </w:tr>
      <w:tr>
        <w:trPr>
          <w:trHeight w:val="655"/>
        </w:trPr>
        <w:tc>
          <w:tcPr>
            <w:tcW w:w="38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4" w:name="page5"/>
    <w:bookmarkEnd w:id="4"/>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2020-01-28T12:38:40Z</dcterms:created>
  <dcterms:modified xsi:type="dcterms:W3CDTF">2020-01-28T12:38:40Z</dcterms:modified>
</cp:coreProperties>
</file>