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271780</wp:posOffset>
            </wp:positionV>
            <wp:extent cx="726186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810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317500</wp:posOffset>
            </wp:positionV>
            <wp:extent cx="726186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15240"/>
                    </a:xfrm>
                    <a:prstGeom prst="rect">
                      <a:avLst/>
                    </a:prstGeom>
                    <a:noFill/>
                  </pic:spPr>
                </pic:pic>
              </a:graphicData>
            </a:graphic>
          </wp:anchor>
        </w:drawing>
        <w:t>UNITED STATES</w:t>
      </w:r>
    </w:p>
    <w:p>
      <w:pPr>
        <w:spacing w:after="0" w:line="29"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0" w:lineRule="exact"/>
        <w:rPr>
          <w:sz w:val="24"/>
          <w:szCs w:val="24"/>
          <w:color w:val="auto"/>
        </w:rPr>
      </w:pPr>
    </w:p>
    <w:p>
      <w:pPr>
        <w:ind w:left="5004"/>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7"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00"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00"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14, 2016</w:t>
      </w:r>
    </w:p>
    <w:p>
      <w:pPr>
        <w:spacing w:after="0" w:line="176"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29"/>
          <w:szCs w:val="29"/>
          <w:b w:val="1"/>
          <w:bCs w:val="1"/>
          <w:color w:val="auto"/>
        </w:rPr>
        <w:t>IMPRIMIS PHARMACEUTICALS, INC.</w:t>
      </w:r>
    </w:p>
    <w:p>
      <w:pPr>
        <w:spacing w:after="0" w:line="35" w:lineRule="exact"/>
        <w:rPr>
          <w:sz w:val="24"/>
          <w:szCs w:val="24"/>
          <w:color w:val="auto"/>
        </w:rPr>
      </w:pPr>
    </w:p>
    <w:p>
      <w:pPr>
        <w:ind w:left="406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804"/>
          </w:cols>
          <w:pgMar w:left="236" w:top="673" w:right="859" w:bottom="1440" w:gutter="0" w:footer="0" w:header="0"/>
        </w:sectPr>
      </w:pPr>
    </w:p>
    <w:p>
      <w:pPr>
        <w:spacing w:after="0" w:line="18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8" w:lineRule="exact"/>
        <w:rPr>
          <w:sz w:val="24"/>
          <w:szCs w:val="24"/>
          <w:color w:val="auto"/>
        </w:rPr>
      </w:pPr>
    </w:p>
    <w:p>
      <w:pPr>
        <w:ind w:left="1284"/>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001-35814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45-0567010</w:t>
      </w:r>
    </w:p>
    <w:p>
      <w:pPr>
        <w:spacing w:after="0" w:line="2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(IRS Employer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93" w:lineRule="exact"/>
        <w:rPr>
          <w:sz w:val="24"/>
          <w:szCs w:val="24"/>
          <w:color w:val="auto"/>
        </w:rPr>
      </w:pPr>
    </w:p>
    <w:p>
      <w:pPr>
        <w:sectPr>
          <w:pgSz w:w="11900" w:h="16838" w:orient="portrait"/>
          <w:cols w:equalWidth="0" w:num="3">
            <w:col w:w="4564" w:space="720"/>
            <w:col w:w="3020" w:space="720"/>
            <w:col w:w="1780"/>
          </w:cols>
          <w:pgMar w:left="236" w:top="673" w:right="859" w:bottom="1440" w:gutter="0" w:footer="0" w:header="0"/>
          <w:type w:val="continuous"/>
        </w:sectPr>
      </w:pPr>
    </w:p>
    <w:p>
      <w:pPr>
        <w:jc w:val="center"/>
        <w:ind w:right="1936"/>
        <w:spacing w:after="0"/>
        <w:rPr>
          <w:sz w:val="20"/>
          <w:szCs w:val="20"/>
          <w:color w:val="auto"/>
        </w:rPr>
      </w:pPr>
      <w:r>
        <w:rPr>
          <w:rFonts w:ascii="Times New Roman" w:cs="Times New Roman" w:eastAsia="Times New Roman" w:hAnsi="Times New Roman"/>
          <w:sz w:val="16"/>
          <w:szCs w:val="16"/>
          <w:b w:val="1"/>
          <w:bCs w:val="1"/>
          <w:color w:val="auto"/>
        </w:rPr>
        <w:t>12264 El Camino Real, Suite 350</w:t>
      </w:r>
    </w:p>
    <w:p>
      <w:pPr>
        <w:spacing w:after="0" w:line="27" w:lineRule="exact"/>
        <w:rPr>
          <w:sz w:val="24"/>
          <w:szCs w:val="24"/>
          <w:color w:val="auto"/>
        </w:rPr>
      </w:pPr>
    </w:p>
    <w:p>
      <w:pPr>
        <w:jc w:val="center"/>
        <w:ind w:right="1936"/>
        <w:spacing w:after="0"/>
        <w:rPr>
          <w:sz w:val="20"/>
          <w:szCs w:val="20"/>
          <w:color w:val="auto"/>
        </w:rPr>
      </w:pPr>
      <w:r>
        <w:rPr>
          <w:rFonts w:ascii="Times New Roman" w:cs="Times New Roman" w:eastAsia="Times New Roman" w:hAnsi="Times New Roman"/>
          <w:sz w:val="16"/>
          <w:szCs w:val="16"/>
          <w:b w:val="1"/>
          <w:bCs w:val="1"/>
          <w:color w:val="auto"/>
        </w:rPr>
        <w:t>San Diego, CA</w:t>
      </w:r>
    </w:p>
    <w:p>
      <w:pPr>
        <w:spacing w:after="0" w:line="8" w:lineRule="exact"/>
        <w:rPr>
          <w:sz w:val="24"/>
          <w:szCs w:val="24"/>
          <w:color w:val="auto"/>
        </w:rPr>
      </w:pPr>
    </w:p>
    <w:p>
      <w:pPr>
        <w:jc w:val="center"/>
        <w:ind w:right="1936"/>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92130</w:t>
      </w:r>
    </w:p>
    <w:p>
      <w:pPr>
        <w:spacing w:after="0" w:line="27"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5"/>
          <w:szCs w:val="15"/>
          <w:color w:val="auto"/>
        </w:rPr>
        <w:t>(Zip Code)</w:t>
      </w:r>
    </w:p>
    <w:p>
      <w:pPr>
        <w:spacing w:after="0" w:line="193" w:lineRule="exact"/>
        <w:rPr>
          <w:sz w:val="24"/>
          <w:szCs w:val="24"/>
          <w:color w:val="auto"/>
        </w:rPr>
      </w:pPr>
    </w:p>
    <w:p>
      <w:pPr>
        <w:sectPr>
          <w:pgSz w:w="11900" w:h="16838" w:orient="portrait"/>
          <w:cols w:equalWidth="0" w:num="2">
            <w:col w:w="7564" w:space="720"/>
            <w:col w:w="2520"/>
          </w:cols>
          <w:pgMar w:left="236" w:top="673" w:right="859" w:bottom="1440" w:gutter="0" w:footer="0" w:header="0"/>
          <w:type w:val="continuous"/>
        </w:sectPr>
      </w:pPr>
    </w:p>
    <w:p>
      <w:pPr>
        <w:jc w:val="center"/>
        <w:ind w:right="-643"/>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(858) 704-4040</w:t>
      </w:r>
    </w:p>
    <w:p>
      <w:pPr>
        <w:spacing w:after="0" w:line="200" w:lineRule="exact"/>
        <w:rPr>
          <w:sz w:val="24"/>
          <w:szCs w:val="24"/>
          <w:color w:val="auto"/>
        </w:rPr>
      </w:pPr>
    </w:p>
    <w:p>
      <w:pPr>
        <w:jc w:val="center"/>
        <w:ind w:right="-643"/>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1464310</wp:posOffset>
            </wp:positionH>
            <wp:positionV relativeFrom="paragraph">
              <wp:posOffset>17145</wp:posOffset>
            </wp:positionV>
            <wp:extent cx="43326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2605" cy="15240"/>
                    </a:xfrm>
                    <a:prstGeom prst="rect">
                      <a:avLst/>
                    </a:prstGeom>
                    <a:noFill/>
                  </pic:spPr>
                </pic:pic>
              </a:graphicData>
            </a:graphic>
          </wp:anchor>
        </w:drawing>
      </w:r>
    </w:p>
    <w:p>
      <w:pPr>
        <w:spacing w:after="0" w:line="14" w:lineRule="exact"/>
        <w:rPr>
          <w:sz w:val="24"/>
          <w:szCs w:val="24"/>
          <w:color w:val="auto"/>
        </w:rPr>
      </w:pPr>
    </w:p>
    <w:p>
      <w:pPr>
        <w:jc w:val="center"/>
        <w:ind w:right="-643"/>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124" w:hanging="124"/>
        <w:spacing w:after="0"/>
        <w:tabs>
          <w:tab w:leader="none" w:pos="12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Written communications pursuant to Rule 425 under the Securities Act (17 CFR 230.425)</w:t>
      </w:r>
    </w:p>
    <w:p>
      <w:pPr>
        <w:spacing w:after="0" w:line="200" w:lineRule="exact"/>
        <w:rPr>
          <w:rFonts w:ascii="Times New Roman" w:cs="Times New Roman" w:eastAsia="Times New Roman" w:hAnsi="Times New Roman"/>
          <w:sz w:val="16"/>
          <w:szCs w:val="16"/>
          <w:color w:val="auto"/>
        </w:rPr>
      </w:pPr>
    </w:p>
    <w:p>
      <w:pPr>
        <w:ind w:left="124" w:hanging="124"/>
        <w:spacing w:after="0"/>
        <w:tabs>
          <w:tab w:leader="none" w:pos="12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Soliciting material pursuant to Rule 14a-12 under the Exchange Act (17 CFR 240.14a-12)</w:t>
      </w:r>
    </w:p>
    <w:p>
      <w:pPr>
        <w:spacing w:after="0" w:line="200" w:lineRule="exact"/>
        <w:rPr>
          <w:rFonts w:ascii="Times New Roman" w:cs="Times New Roman" w:eastAsia="Times New Roman" w:hAnsi="Times New Roman"/>
          <w:sz w:val="16"/>
          <w:szCs w:val="16"/>
          <w:color w:val="auto"/>
        </w:rPr>
      </w:pPr>
    </w:p>
    <w:p>
      <w:pPr>
        <w:ind w:left="124" w:hanging="124"/>
        <w:spacing w:after="0"/>
        <w:tabs>
          <w:tab w:leader="none" w:pos="12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Pre-commencement communications pursuant to Rule 14d-2(b) under the Exchange Act (17 CFR 240.14d-2(b))</w:t>
      </w:r>
    </w:p>
    <w:p>
      <w:pPr>
        <w:spacing w:after="0" w:line="200" w:lineRule="exact"/>
        <w:rPr>
          <w:rFonts w:ascii="Times New Roman" w:cs="Times New Roman" w:eastAsia="Times New Roman" w:hAnsi="Times New Roman"/>
          <w:sz w:val="16"/>
          <w:szCs w:val="16"/>
          <w:color w:val="auto"/>
        </w:rPr>
      </w:pPr>
    </w:p>
    <w:p>
      <w:pPr>
        <w:ind w:left="124" w:hanging="124"/>
        <w:spacing w:after="0"/>
        <w:tabs>
          <w:tab w:leader="none" w:pos="12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26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726186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450215</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04"/>
          </w:cols>
          <w:pgMar w:left="236" w:top="673" w:right="85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2" w:lineRule="exact"/>
        <w:rPr>
          <w:sz w:val="20"/>
          <w:szCs w:val="20"/>
          <w:color w:val="auto"/>
        </w:rPr>
      </w:pPr>
    </w:p>
    <w:p>
      <w:pPr>
        <w:jc w:val="both"/>
        <w:ind w:left="4" w:right="20" w:firstLine="577"/>
        <w:spacing w:after="0" w:line="282" w:lineRule="auto"/>
        <w:rPr>
          <w:sz w:val="20"/>
          <w:szCs w:val="20"/>
          <w:color w:val="auto"/>
        </w:rPr>
      </w:pPr>
      <w:r>
        <w:rPr>
          <w:rFonts w:ascii="Times New Roman" w:cs="Times New Roman" w:eastAsia="Times New Roman" w:hAnsi="Times New Roman"/>
          <w:sz w:val="16"/>
          <w:szCs w:val="16"/>
          <w:color w:val="auto"/>
        </w:rPr>
        <w:t>On November 14, 2016, Imprimis Pharmaceuticals, Inc. (the “Company”) issued a press release announcing its financial results for the third quarter ended September 30, 2016. The press release is being furnished as Exhibit 99.1 to this Current Report on Form 8-K.</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2" w:lineRule="exact"/>
        <w:rPr>
          <w:sz w:val="20"/>
          <w:szCs w:val="20"/>
          <w:color w:val="auto"/>
        </w:rPr>
      </w:pPr>
    </w:p>
    <w:p>
      <w:pPr>
        <w:jc w:val="both"/>
        <w:ind w:left="4" w:right="20" w:firstLine="577"/>
        <w:spacing w:after="0" w:line="282" w:lineRule="auto"/>
        <w:rPr>
          <w:sz w:val="20"/>
          <w:szCs w:val="20"/>
          <w:color w:val="auto"/>
        </w:rPr>
      </w:pPr>
      <w:r>
        <w:rPr>
          <w:rFonts w:ascii="Times New Roman" w:cs="Times New Roman" w:eastAsia="Times New Roman" w:hAnsi="Times New Roman"/>
          <w:sz w:val="16"/>
          <w:szCs w:val="16"/>
          <w:color w:val="auto"/>
        </w:rPr>
        <w:t>Attached as Exhibit 99.2 to this Item 7.01 is a presentation that is being used by the management of the Company at investor conferences and at meetings describing the Company.</w:t>
      </w:r>
    </w:p>
    <w:p>
      <w:pPr>
        <w:spacing w:after="0" w:line="144" w:lineRule="exact"/>
        <w:rPr>
          <w:sz w:val="20"/>
          <w:szCs w:val="20"/>
          <w:color w:val="auto"/>
        </w:rPr>
      </w:pPr>
    </w:p>
    <w:p>
      <w:pPr>
        <w:jc w:val="both"/>
        <w:ind w:left="4" w:right="20" w:firstLine="577"/>
        <w:spacing w:after="0" w:line="261" w:lineRule="auto"/>
        <w:rPr>
          <w:sz w:val="20"/>
          <w:szCs w:val="20"/>
          <w:color w:val="auto"/>
        </w:rPr>
      </w:pPr>
      <w:r>
        <w:rPr>
          <w:rFonts w:ascii="Times New Roman" w:cs="Times New Roman" w:eastAsia="Times New Roman" w:hAnsi="Times New Roman"/>
          <w:sz w:val="16"/>
          <w:szCs w:val="16"/>
          <w:color w:val="auto"/>
        </w:rPr>
        <w:t>The information furnished under this Items 2.02 and 7.01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and 7.01, including Exhibit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61" w:lineRule="exact"/>
        <w:rPr>
          <w:sz w:val="20"/>
          <w:szCs w:val="20"/>
          <w:color w:val="auto"/>
        </w:rPr>
      </w:pPr>
    </w:p>
    <w:p>
      <w:pPr>
        <w:jc w:val="both"/>
        <w:ind w:left="4" w:firstLine="577"/>
        <w:spacing w:after="0" w:line="266" w:lineRule="auto"/>
        <w:rPr>
          <w:sz w:val="20"/>
          <w:szCs w:val="20"/>
          <w:color w:val="auto"/>
        </w:rPr>
      </w:pPr>
      <w:r>
        <w:rPr>
          <w:rFonts w:ascii="Times New Roman" w:cs="Times New Roman" w:eastAsia="Times New Roman" w:hAnsi="Times New Roman"/>
          <w:sz w:val="16"/>
          <w:szCs w:val="16"/>
          <w:color w:val="auto"/>
        </w:rPr>
        <w:t>The information furnished under this Items 2.02 and 7.01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ind w:left="584" w:hanging="584"/>
        <w:spacing w:after="0"/>
        <w:tabs>
          <w:tab w:leader="none" w:pos="584"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202" w:lineRule="exact"/>
        <w:rPr>
          <w:sz w:val="20"/>
          <w:szCs w:val="20"/>
          <w:color w:val="auto"/>
        </w:rPr>
      </w:pPr>
    </w:p>
    <w:p>
      <w:pPr>
        <w:ind w:left="4"/>
        <w:spacing w:after="0"/>
        <w:tabs>
          <w:tab w:leader="none" w:pos="564"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color w:val="auto"/>
        </w:rPr>
        <w:t>Press release dated November 14, 2016 issued by Imprimis Pharmaceuticals, Inc.</w:t>
      </w:r>
    </w:p>
    <w:p>
      <w:pPr>
        <w:spacing w:after="0" w:line="200" w:lineRule="exact"/>
        <w:rPr>
          <w:sz w:val="20"/>
          <w:szCs w:val="20"/>
          <w:color w:val="auto"/>
        </w:rPr>
      </w:pPr>
    </w:p>
    <w:p>
      <w:pPr>
        <w:ind w:left="4"/>
        <w:spacing w:after="0"/>
        <w:tabs>
          <w:tab w:leader="none" w:pos="564"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color w:val="auto"/>
        </w:rPr>
        <w:t>Imprimis Pharmaceuticals, Inc. presentation dated November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601"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2" w:lineRule="exact"/>
        <w:rPr>
          <w:sz w:val="20"/>
          <w:szCs w:val="20"/>
          <w:color w:val="auto"/>
        </w:rPr>
      </w:pPr>
    </w:p>
    <w:p>
      <w:pPr>
        <w:ind w:right="20" w:firstLine="577"/>
        <w:spacing w:after="0" w:line="282"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40" w:type="dxa"/>
            <w:vAlign w:val="bottom"/>
          </w:tcPr>
          <w:p>
            <w:pPr>
              <w:spacing w:after="0"/>
              <w:rPr>
                <w:sz w:val="18"/>
                <w:szCs w:val="18"/>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6"/>
                <w:szCs w:val="16"/>
                <w:b w:val="1"/>
                <w:bCs w:val="1"/>
                <w:color w:val="auto"/>
              </w:rPr>
              <w:t>IMPRIMIS PHARMACEUTICALS, INC.</w:t>
            </w:r>
          </w:p>
        </w:tc>
      </w:tr>
      <w:tr>
        <w:trPr>
          <w:trHeight w:val="388"/>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15, 2016</w:t>
            </w:r>
          </w:p>
        </w:tc>
        <w:tc>
          <w:tcPr>
            <w:tcW w:w="25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 Andrew R. Boll</w:t>
            </w:r>
          </w:p>
        </w:tc>
      </w:tr>
      <w:tr>
        <w:trPr>
          <w:trHeight w:val="176"/>
        </w:trPr>
        <w:tc>
          <w:tcPr>
            <w:tcW w:w="3740" w:type="dxa"/>
            <w:vAlign w:val="bottom"/>
          </w:tcPr>
          <w:p>
            <w:pPr>
              <w:spacing w:after="0"/>
              <w:rPr>
                <w:sz w:val="15"/>
                <w:szCs w:val="15"/>
                <w:color w:val="auto"/>
              </w:rPr>
            </w:pPr>
          </w:p>
        </w:tc>
        <w:tc>
          <w:tcPr>
            <w:tcW w:w="2560" w:type="dxa"/>
            <w:vAlign w:val="bottom"/>
          </w:tcPr>
          <w:p>
            <w:pPr>
              <w:ind w:left="1980"/>
              <w:spacing w:after="0" w:line="176" w:lineRule="exact"/>
              <w:rPr>
                <w:sz w:val="20"/>
                <w:szCs w:val="20"/>
                <w:color w:val="auto"/>
              </w:rPr>
            </w:pPr>
            <w:r>
              <w:rPr>
                <w:rFonts w:ascii="Times New Roman" w:cs="Times New Roman" w:eastAsia="Times New Roman" w:hAnsi="Times New Roman"/>
                <w:sz w:val="16"/>
                <w:szCs w:val="16"/>
                <w:color w:val="auto"/>
              </w:rPr>
              <w:t>Name:</w:t>
            </w:r>
          </w:p>
        </w:tc>
        <w:tc>
          <w:tcPr>
            <w:tcW w:w="51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Andrew R. Boll</w:t>
            </w:r>
          </w:p>
        </w:tc>
      </w:tr>
      <w:tr>
        <w:trPr>
          <w:trHeight w:val="209"/>
        </w:trPr>
        <w:tc>
          <w:tcPr>
            <w:tcW w:w="3740" w:type="dxa"/>
            <w:vAlign w:val="bottom"/>
          </w:tcPr>
          <w:p>
            <w:pPr>
              <w:spacing w:after="0"/>
              <w:rPr>
                <w:sz w:val="18"/>
                <w:szCs w:val="18"/>
                <w:color w:val="auto"/>
              </w:rPr>
            </w:pPr>
          </w:p>
        </w:tc>
        <w:tc>
          <w:tcPr>
            <w:tcW w:w="25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88"/>
        </w:trPr>
        <w:tc>
          <w:tcPr>
            <w:tcW w:w="3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601" w:right="21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5"/>
          <w:szCs w:val="15"/>
          <w:b w:val="1"/>
          <w:bCs w:val="1"/>
          <w:color w:val="auto"/>
        </w:rPr>
        <w:t>EXHIBIT INDEX</w:t>
      </w:r>
    </w:p>
    <w:p>
      <w:pPr>
        <w:spacing w:after="0" w:line="21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color w:val="auto"/>
        </w:rPr>
        <w:t>Press release date November 14, 2016 issued by Imprimis Pharmaceuticals, Inc.</w:t>
      </w:r>
    </w:p>
    <w:p>
      <w:pPr>
        <w:spacing w:after="0" w:line="20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color w:val="auto"/>
        </w:rPr>
        <w:t>Imprimis Pharmaceuticals, Inc. presentation dated November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259715</wp:posOffset>
            </wp:positionV>
            <wp:extent cx="72618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19"/>
          </w:cols>
          <w:pgMar w:left="240" w:top="60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1647825" cy="770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47825" cy="770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Imprimis Pharmaceuticals Announces Third Quarter 2016 Financial Results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San Diego, Calif. – November 14, 2016 — Imprimis Pharmaceuticals, Inc. (NASDAQ: IMMY), a pharmaceutical company focused on the production and dispensing of high quality innovative compounded medications, today reported financial results for the third quarter 2016.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Highlights:</w:t>
      </w:r>
    </w:p>
    <w:p>
      <w:pPr>
        <w:spacing w:after="0" w:line="202" w:lineRule="exact"/>
        <w:rPr>
          <w:sz w:val="20"/>
          <w:szCs w:val="20"/>
          <w:color w:val="auto"/>
        </w:rPr>
      </w:pP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$4.9 million in the third quarter of 2016, up 81% compared to revenue of $2.7 million reported in the same quarter a year ago</w:t>
      </w:r>
    </w:p>
    <w:p>
      <w:pPr>
        <w:spacing w:after="0" w:line="200"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cash gains from insurance claim for business interruption and property loss at Texas facility of $861,000 ($818,000 for lost expected profits during the period)</w:t>
      </w:r>
    </w:p>
    <w:p>
      <w:pPr>
        <w:spacing w:after="0" w:line="200"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Ophthalmology-related revenue of $3.0 million in the third quarter 2016, up 254% year over year</w:t>
      </w:r>
    </w:p>
    <w:p>
      <w:pPr>
        <w:spacing w:after="0" w:line="200"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of $3.9 million reported in third quarter of 2016 compared to $4.0 million reported the same quarter of the prior year</w:t>
      </w:r>
    </w:p>
    <w:p>
      <w:pPr>
        <w:spacing w:after="0" w:line="200"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of 52% for the third quarter 2016</w:t>
      </w:r>
    </w:p>
    <w:p>
      <w:pPr>
        <w:spacing w:after="0" w:line="200"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Streamlined operations and implemented programs to reduce expected cash based expenses by nearly $3 million annually</w:t>
      </w:r>
    </w:p>
    <w:p>
      <w:pPr>
        <w:spacing w:after="0" w:line="2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“Throughout the third quarter, we continued to see growing demand for our formulations, especially in the ophthalmology sector, which grew sequentially despite typically slower summer months. We also saw increasing adoption for many of our other formulations as we drove awareness and improved access. In addition to making meaningful progress in expanding our Imprimis Cares® portfolio, we were successful in growing relationships with key partners, payors and pharmacy benefit managers (PBMs),” said Mark L. Baum, CEO of Imprimis. “Revenues in the quarter were impacted by constraints in our drug production infrastructure, however I am confident recent actions taken to streamline our operations and maximize efficiencies will accelerate near-term profitability goals while ensuring a stable platform for continued long-term growth. Our New Jersey facility, which we recently registered with the FDA as an outsourcing facility, is expected to play an important role as we continue to grow our customer network and expand into new therapeutic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Commercialization and Corporate Developments</w:t>
      </w:r>
    </w:p>
    <w:p>
      <w:pPr>
        <w:spacing w:after="0" w:line="204" w:lineRule="exact"/>
        <w:rPr>
          <w:sz w:val="20"/>
          <w:szCs w:val="20"/>
          <w:color w:val="auto"/>
        </w:rPr>
      </w:pPr>
    </w:p>
    <w:p>
      <w:pPr>
        <w:ind w:left="580" w:right="20" w:hanging="296"/>
        <w:spacing w:after="0" w:line="282"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Entered into agreement with the specialty pharmacy division of one of the nation’s leading PBMs to supply Imprimis’ complete formulary through its national network of specialty pharmacies.</w:t>
      </w:r>
    </w:p>
    <w:p>
      <w:pPr>
        <w:spacing w:after="0" w:line="144" w:lineRule="exact"/>
        <w:rPr>
          <w:rFonts w:ascii="Times New Roman" w:cs="Times New Roman" w:eastAsia="Times New Roman" w:hAnsi="Times New Roman"/>
          <w:sz w:val="16"/>
          <w:szCs w:val="16"/>
          <w:color w:val="auto"/>
        </w:rPr>
      </w:pPr>
    </w:p>
    <w:p>
      <w:pPr>
        <w:ind w:left="580" w:hanging="296"/>
        <w:spacing w:after="0" w:line="282"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Introduced compounded EDTA calcium disodium injection, a significantly lower-cost therapeutic alternative to Valeant’s Calcium Disodium Versenate for the stabilization and treatment of lead poisoning.</w:t>
      </w:r>
    </w:p>
    <w:p>
      <w:pPr>
        <w:spacing w:after="0" w:line="144" w:lineRule="exact"/>
        <w:rPr>
          <w:rFonts w:ascii="Times New Roman" w:cs="Times New Roman" w:eastAsia="Times New Roman" w:hAnsi="Times New Roman"/>
          <w:sz w:val="16"/>
          <w:szCs w:val="16"/>
          <w:color w:val="auto"/>
        </w:rPr>
      </w:pPr>
    </w:p>
    <w:p>
      <w:pPr>
        <w:ind w:left="580" w:hanging="29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Enhanced Imprimis Cares® formulary, including plans to introduce a lower-cost compounded alternative to the EpiPen® for life-threatening allergic reactions.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259715</wp:posOffset>
            </wp:positionV>
            <wp:extent cx="72618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6" w:name="page7"/>
    <w:bookmarkEnd w:id="6"/>
    <w:p>
      <w:pPr>
        <w:ind w:left="580" w:right="20" w:hanging="296"/>
        <w:spacing w:after="0" w:line="282"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Announced published data from large study of 922 patients (1,541 eyes) receiving Dropless Therapy following cataract surgery. The results demonstrated no cases of postoperative endophthalmitis or intraoperative complications. In nearly 92 percent of cases (n=1413/1541), supplemental medication after surgery was not required.</w:t>
      </w:r>
    </w:p>
    <w:p>
      <w:pPr>
        <w:spacing w:after="0" w:line="144" w:lineRule="exact"/>
        <w:rPr>
          <w:rFonts w:ascii="Times New Roman" w:cs="Times New Roman" w:eastAsia="Times New Roman" w:hAnsi="Times New Roman"/>
          <w:sz w:val="16"/>
          <w:szCs w:val="16"/>
          <w:color w:val="auto"/>
        </w:rPr>
      </w:pPr>
    </w:p>
    <w:p>
      <w:pPr>
        <w:jc w:val="both"/>
        <w:ind w:left="580" w:right="20" w:hanging="296"/>
        <w:spacing w:after="0" w:line="266"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to see adoption of IV Free MKO Melt™ conscious sedation formulation, an alternative option to IV anesthetic for patients undergoing ocular and other surgical procedures. The formulations or variations thereof have been used in over 8,000 LASIK, cataract and other surgeries to date. The company is currently focused in the ocular surgery market but plans to expand into dental, urologic and other surgical procedure markets in the second half 2017.</w:t>
      </w:r>
    </w:p>
    <w:p>
      <w:pPr>
        <w:spacing w:after="0" w:line="157" w:lineRule="exact"/>
        <w:rPr>
          <w:rFonts w:ascii="Times New Roman" w:cs="Times New Roman" w:eastAsia="Times New Roman" w:hAnsi="Times New Roman"/>
          <w:sz w:val="16"/>
          <w:szCs w:val="16"/>
          <w:color w:val="auto"/>
        </w:rPr>
      </w:pPr>
    </w:p>
    <w:p>
      <w:pPr>
        <w:ind w:left="580" w:right="20" w:hanging="296"/>
        <w:spacing w:after="0" w:line="282"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adoption of Dropless Therapy® and our LessDrops® combination topical drops as these formulations continue to capture market share from large eye drop companies.</w:t>
      </w:r>
    </w:p>
    <w:p>
      <w:pPr>
        <w:spacing w:after="0" w:line="144"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share of the cataract eye drop market is greater than 10%.</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Serviced an estimated 375,000 ocular surgeries since launch in April 2014.</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Expanded customer base with over 1,200 ophthalmologists.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formulations for approximately 10,000 cataract and other ocular surgeries per week.</w:t>
      </w:r>
    </w:p>
    <w:p>
      <w:pPr>
        <w:spacing w:after="0" w:line="200" w:lineRule="exact"/>
        <w:rPr>
          <w:rFonts w:ascii="Times New Roman" w:cs="Times New Roman" w:eastAsia="Times New Roman" w:hAnsi="Times New Roman"/>
          <w:sz w:val="16"/>
          <w:szCs w:val="16"/>
          <w:color w:val="auto"/>
        </w:rPr>
      </w:pPr>
    </w:p>
    <w:p>
      <w:pPr>
        <w:ind w:left="580" w:right="20" w:hanging="296"/>
        <w:spacing w:after="0" w:line="282"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physician utilization of the MaxRx Prescriber Portal™ to over 550 users. The portal was introduced in July 2016 and allows for customer ordering and tracking ease.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ImprimisRx Pharmacy Operations</w:t>
      </w:r>
    </w:p>
    <w:p>
      <w:pPr>
        <w:spacing w:after="0" w:line="204" w:lineRule="exact"/>
        <w:rPr>
          <w:sz w:val="20"/>
          <w:szCs w:val="20"/>
          <w:color w:val="auto"/>
        </w:rPr>
      </w:pPr>
    </w:p>
    <w:p>
      <w:pPr>
        <w:jc w:val="both"/>
        <w:ind w:left="580" w:right="20" w:hanging="296"/>
        <w:spacing w:after="0" w:line="266"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Registered New Jersey facility with the U.S. Food and Drug Administration (FDA) as a 503B outsourcing facility. The new facility is expected to begin manufacturing as an outsourcing facility in December 2016 and dispensing medications in first quarter 2017. The state-of-the-art 8,600 square foot facility provides five additional cleanrooms, representing a tenfold increase in overall production levels.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Summary</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Selected highlights regarding operating results for the three and nine months ended September 30, 2016 and for the same periods in 2015 are as follows (in thousands,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For the three months</w:t>
            </w:r>
          </w:p>
        </w:tc>
        <w:tc>
          <w:tcPr>
            <w:tcW w:w="18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For the nine months</w:t>
            </w:r>
          </w:p>
        </w:tc>
      </w:tr>
      <w:tr>
        <w:trPr>
          <w:trHeight w:val="192"/>
        </w:trPr>
        <w:tc>
          <w:tcPr>
            <w:tcW w:w="5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80" w:type="dxa"/>
            <w:vAlign w:val="bottom"/>
          </w:tcPr>
          <w:p>
            <w:pPr>
              <w:spacing w:after="0"/>
              <w:rPr>
                <w:sz w:val="16"/>
                <w:szCs w:val="16"/>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215"/>
        </w:trPr>
        <w:tc>
          <w:tcPr>
            <w:tcW w:w="5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September 30, 2016</w:t>
            </w: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2015</w:t>
            </w:r>
          </w:p>
        </w:tc>
      </w:tr>
      <w:tr>
        <w:trPr>
          <w:trHeight w:val="192"/>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20" w:type="dxa"/>
            <w:vAlign w:val="bottom"/>
            <w:tcBorders>
              <w:top w:val="single" w:sz="8" w:color="CCEEFF"/>
            </w:tcBorders>
            <w:shd w:val="clear" w:color="auto" w:fill="CCEEFF"/>
          </w:tcPr>
          <w:p>
            <w:pPr>
              <w:spacing w:after="0"/>
              <w:rPr>
                <w:sz w:val="16"/>
                <w:szCs w:val="16"/>
                <w:color w:val="auto"/>
              </w:rPr>
            </w:pPr>
          </w:p>
        </w:tc>
      </w:t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2,339</w:t>
            </w:r>
          </w:p>
        </w:tc>
        <w:tc>
          <w:tcPr>
            <w:tcW w:w="18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1,202</w:t>
            </w:r>
          </w:p>
        </w:tc>
      </w:tr>
      <w:tr>
        <w:trPr>
          <w:trHeight w:val="19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2,522</w:t>
            </w: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1,481</w:t>
            </w:r>
          </w:p>
        </w:tc>
      </w:t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Selling &amp; Marketing Expenses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1,797</w:t>
            </w:r>
          </w:p>
        </w:tc>
        <w:tc>
          <w:tcPr>
            <w:tcW w:w="18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1,813</w:t>
            </w:r>
          </w:p>
        </w:tc>
      </w:tr>
      <w:tr>
        <w:trPr>
          <w:trHeight w:val="19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&amp; Administrative Expenses</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5,018</w:t>
            </w: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3,104</w:t>
            </w:r>
          </w:p>
        </w:tc>
      </w:t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r>
      <w:tr>
        <w:trPr>
          <w:trHeight w:val="19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intangible assets and goodwill</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303</w:t>
            </w: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762</w:t>
            </w:r>
          </w:p>
        </w:tc>
        <w:tc>
          <w:tcPr>
            <w:tcW w:w="180" w:type="dxa"/>
            <w:vAlign w:val="bottom"/>
          </w:tcPr>
          <w:p>
            <w:pPr>
              <w:spacing w:after="0"/>
              <w:rPr>
                <w:sz w:val="16"/>
                <w:szCs w:val="16"/>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w:t>
            </w:r>
          </w:p>
        </w:tc>
      </w:tr>
      <w:tr>
        <w:trPr>
          <w:trHeight w:val="19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(3,850)</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(3,952)</w:t>
            </w:r>
          </w:p>
        </w:tc>
      </w:tr>
      <w:tr>
        <w:trPr>
          <w:trHeight w:val="211"/>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per Common Share</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(0.29)</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(0.41)</w:t>
            </w:r>
          </w:p>
        </w:tc>
      </w:tr>
      <w:tr>
        <w:trPr>
          <w:trHeight w:val="370"/>
        </w:trPr>
        <w:tc>
          <w:tcPr>
            <w:tcW w:w="50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603" w:right="2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18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For the nine months</w:t>
            </w:r>
          </w:p>
        </w:tc>
      </w:tr>
      <w:tr>
        <w:trPr>
          <w:trHeight w:val="192"/>
        </w:trPr>
        <w:tc>
          <w:tcPr>
            <w:tcW w:w="5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8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215"/>
        </w:trPr>
        <w:tc>
          <w:tcPr>
            <w:tcW w:w="5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September 30, 2016</w:t>
            </w: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2015</w:t>
            </w:r>
          </w:p>
        </w:tc>
      </w:tr>
      <w:tr>
        <w:trPr>
          <w:trHeight w:val="192"/>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14,149</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120" w:type="dxa"/>
            <w:vAlign w:val="bottom"/>
            <w:tcBorders>
              <w:top w:val="single" w:sz="8" w:color="CCEEFF"/>
            </w:tcBorders>
            <w:shd w:val="clear" w:color="auto" w:fill="CCEEFF"/>
          </w:tcPr>
          <w:p>
            <w:pPr>
              <w:spacing w:after="0"/>
              <w:rPr>
                <w:sz w:val="16"/>
                <w:szCs w:val="16"/>
                <w:color w:val="auto"/>
              </w:rPr>
            </w:pPr>
          </w:p>
        </w:tc>
      </w:t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6,760</w:t>
            </w:r>
          </w:p>
        </w:tc>
        <w:tc>
          <w:tcPr>
            <w:tcW w:w="18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3,259</w:t>
            </w:r>
          </w:p>
        </w:tc>
      </w:tr>
      <w:tr>
        <w:trPr>
          <w:trHeight w:val="19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7,389</w:t>
            </w: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2,954</w:t>
            </w:r>
          </w:p>
        </w:tc>
      </w:t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Selling &amp; Marketing Expenses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5,967</w:t>
            </w:r>
          </w:p>
        </w:tc>
        <w:tc>
          <w:tcPr>
            <w:tcW w:w="18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4,455</w:t>
            </w:r>
          </w:p>
        </w:tc>
      </w:tr>
      <w:tr>
        <w:trPr>
          <w:trHeight w:val="19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&amp; Administrative Expenses</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13,355</w:t>
            </w: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8,327</w:t>
            </w:r>
          </w:p>
        </w:tc>
      </w:t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138</w:t>
            </w:r>
          </w:p>
        </w:tc>
        <w:tc>
          <w:tcPr>
            <w:tcW w:w="18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299</w:t>
            </w:r>
          </w:p>
        </w:tc>
      </w:tr>
      <w:tr>
        <w:trPr>
          <w:trHeight w:val="19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intangible assets and goodwill</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303</w:t>
            </w: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(611)</w:t>
            </w:r>
          </w:p>
        </w:tc>
        <w:tc>
          <w:tcPr>
            <w:tcW w:w="180" w:type="dxa"/>
            <w:vAlign w:val="bottom"/>
          </w:tcPr>
          <w:p>
            <w:pPr>
              <w:spacing w:after="0"/>
              <w:rPr>
                <w:sz w:val="16"/>
                <w:szCs w:val="16"/>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(648)</w:t>
            </w:r>
          </w:p>
        </w:tc>
      </w:tr>
      <w:tr>
        <w:trPr>
          <w:trHeight w:val="19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(12,985)</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(10,775)</w:t>
            </w:r>
          </w:p>
        </w:tc>
      </w:tr>
      <w:tr>
        <w:trPr>
          <w:trHeight w:val="211"/>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per Common Share</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(1.05)</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(1.13)</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Adjusted EBITDA</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726186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601" w:right="21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6"/>
          <w:szCs w:val="16"/>
          <w:color w:val="auto"/>
        </w:rPr>
        <w:t>The following is a reconciliation of adjusted EBITDA, a non-GAAP measure to the most comparable GAAP measure, net loss, for the three months ended September 30, 2016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three months</w:t>
            </w:r>
          </w:p>
        </w:tc>
      </w:tr>
      <w:tr>
        <w:trPr>
          <w:trHeight w:val="192"/>
        </w:trPr>
        <w:tc>
          <w:tcPr>
            <w:tcW w:w="5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215"/>
        </w:trPr>
        <w:tc>
          <w:tcPr>
            <w:tcW w:w="5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2016</w:t>
            </w:r>
          </w:p>
        </w:tc>
      </w:tr>
      <w:tr>
        <w:trPr>
          <w:trHeight w:val="192"/>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0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(3,850)</w:t>
            </w:r>
          </w:p>
        </w:tc>
        <w:tc>
          <w:tcPr>
            <w:tcW w:w="80" w:type="dxa"/>
            <w:vAlign w:val="bottom"/>
            <w:tcBorders>
              <w:top w:val="single" w:sz="8" w:color="CCEEFF"/>
            </w:tcBorders>
            <w:shd w:val="clear" w:color="auto" w:fill="CCEEFF"/>
          </w:tcPr>
          <w:p>
            <w:pPr>
              <w:spacing w:after="0"/>
              <w:rPr>
                <w:sz w:val="16"/>
                <w:szCs w:val="16"/>
                <w:color w:val="auto"/>
              </w:rPr>
            </w:pPr>
          </w:p>
        </w:tc>
      </w:tr>
      <w:tr>
        <w:trPr>
          <w:trHeight w:val="192"/>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879</w:t>
            </w:r>
          </w:p>
        </w:tc>
      </w:tr>
      <w:tr>
        <w:trPr>
          <w:trHeight w:val="192"/>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 net</w:t>
            </w:r>
          </w:p>
        </w:tc>
        <w:tc>
          <w:tcPr>
            <w:tcW w:w="2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732</w:t>
            </w:r>
          </w:p>
        </w:tc>
      </w:tr>
      <w:tr>
        <w:trPr>
          <w:trHeight w:val="192"/>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r>
      <w:tr>
        <w:trPr>
          <w:trHeight w:val="192"/>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348</w:t>
            </w:r>
          </w:p>
        </w:tc>
      </w:tr>
      <w:tr>
        <w:trPr>
          <w:trHeight w:val="192"/>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6"/>
                <w:szCs w:val="16"/>
                <w:color w:val="auto"/>
              </w:rPr>
            </w:pPr>
          </w:p>
        </w:tc>
      </w:tr>
      <w:tr>
        <w:trPr>
          <w:trHeight w:val="228"/>
        </w:trPr>
        <w:tc>
          <w:tcPr>
            <w:tcW w:w="510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Non-recurring expenses</w:t>
            </w:r>
            <w:r>
              <w:rPr>
                <w:rFonts w:ascii="Times New Roman" w:cs="Times New Roman" w:eastAsia="Times New Roman" w:hAnsi="Times New Roman"/>
                <w:sz w:val="26"/>
                <w:szCs w:val="26"/>
                <w:color w:val="auto"/>
                <w:vertAlign w:val="superscript"/>
              </w:rPr>
              <w:t>(1)</w:t>
            </w:r>
          </w:p>
        </w:tc>
        <w:tc>
          <w:tcPr>
            <w:tcW w:w="2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r>
      <w:tr>
        <w:trPr>
          <w:trHeight w:val="192"/>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Impairment of intangible assets and goodwill</w:t>
            </w: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w:t>
            </w:r>
          </w:p>
        </w:tc>
      </w:tr>
      <w:tr>
        <w:trPr>
          <w:trHeight w:val="192"/>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2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(1,494)</w:t>
            </w:r>
          </w:p>
        </w:tc>
      </w:tr>
      <w:tr>
        <w:trPr>
          <w:trHeight w:val="211"/>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(2,882)</w:t>
            </w:r>
          </w:p>
        </w:tc>
      </w:tr>
    </w:tbl>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Non-recurring expense items include one-time cost for abandonment of Texas facility lease.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Webcast</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 xml:space="preserve">The company’s management team will host a conference call and audio-only webcast today at 4:30 p.m. EST (1:30 p.m. PST) to discuss the financial results and recent developments. To participate in the call, please dial (877)-407-8035 for domestic callers or (201)-689-8035 for international callers. To listen to the webcast, please click </w:t>
      </w:r>
      <w:r>
        <w:rPr>
          <w:rFonts w:ascii="Times New Roman" w:cs="Times New Roman" w:eastAsia="Times New Roman" w:hAnsi="Times New Roman"/>
          <w:sz w:val="16"/>
          <w:szCs w:val="16"/>
          <w:u w:val="single" w:color="auto"/>
          <w:color w:val="auto"/>
        </w:rPr>
        <w:t>here</w:t>
      </w:r>
      <w:r>
        <w:rPr>
          <w:rFonts w:ascii="Times New Roman" w:cs="Times New Roman" w:eastAsia="Times New Roman" w:hAnsi="Times New Roman"/>
          <w:sz w:val="16"/>
          <w:szCs w:val="16"/>
          <w:color w:val="auto"/>
        </w:rPr>
        <w:t xml:space="preserve"> or visit the investor relations section of the Imprimis website at </w:t>
      </w:r>
      <w:r>
        <w:rPr>
          <w:rFonts w:ascii="Times New Roman" w:cs="Times New Roman" w:eastAsia="Times New Roman" w:hAnsi="Times New Roman"/>
          <w:sz w:val="16"/>
          <w:szCs w:val="16"/>
          <w:u w:val="single" w:color="auto"/>
          <w:color w:val="auto"/>
        </w:rPr>
        <w:t>www.ImprimisRx.com</w:t>
      </w:r>
      <w:r>
        <w:rPr>
          <w:rFonts w:ascii="Times New Roman" w:cs="Times New Roman" w:eastAsia="Times New Roman" w:hAnsi="Times New Roman"/>
          <w:sz w:val="16"/>
          <w:szCs w:val="16"/>
          <w:color w:val="auto"/>
        </w:rPr>
        <w:t>. A replay of the call will be available until December 14, 2016. To access the replay, dial (877)-660-6853 domestically or (201)-612-7415 internationally and reference Conference ID: 13647429.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Imprimis Pharmaceuticals</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Imprimis Pharmaceuticals, Inc. (NASDAQ: IMMY) is a pharmaceutical company dedicated to producing and dispensing high quality innovative compounded medications in all 50 states. The company’s unique business model drives patient access and affordability to many critical medicines. Headquartered in San Diego, California, Imprimis owns and operates three dispensing facilities located in California, New Jersey and Pennsylvania. For more information about Imprimis, please visit the corporate website at www.ImprimisRx.com.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72618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603" w:right="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6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Source: Imprimis Pharmaceuticals,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Imprimis 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Paul Rabin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paul@pascalecommunications.com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516.503.0271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Imprimis 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Bonnie Ortega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bortega@imprimispharma.com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249555</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601" w:right="219" w:bottom="1440" w:gutter="0" w:footer="0" w:header="0"/>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5527675</wp:posOffset>
            </wp:positionV>
            <wp:extent cx="726186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271780</wp:posOffset>
            </wp:positionV>
            <wp:extent cx="7261860" cy="5454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271780</wp:posOffset>
            </wp:positionV>
            <wp:extent cx="7261860" cy="5454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5423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2020-01-21T20:28:37Z</dcterms:created>
  <dcterms:modified xsi:type="dcterms:W3CDTF">2020-01-21T20:28:37Z</dcterms:modified>
</cp:coreProperties>
</file>