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80" w:right="1960" w:hanging="3972"/>
        <w:spacing w:after="0" w:line="501" w:lineRule="auto"/>
        <w:tabs>
          <w:tab w:leader="none" w:pos="30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2016</w:t>
      </w:r>
    </w:p>
    <w:p>
      <w:pPr>
        <w:ind w:left="3320" w:right="2000" w:hanging="3312"/>
        <w:spacing w:after="0" w:line="501" w:lineRule="auto"/>
        <w:tabs>
          <w:tab w:leader="none" w:pos="1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0"/>
              </w:rPr>
              <w:t>12264 El Camino Real, Suite 350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San Diego, CA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92130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(858) 704-4040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420"/>
          </w:cols>
          <w:pgMar w:left="240" w:top="747" w:right="239" w:bottom="1440" w:gutter="0" w:footer="0" w:header="0"/>
        </w:sectPr>
      </w:pPr>
    </w:p>
    <w:p>
      <w:pPr>
        <w:spacing w:after="0" w:line="237"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 (Do not check if a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10" w:lineRule="exact"/>
        <w:rPr>
          <w:sz w:val="24"/>
          <w:szCs w:val="24"/>
          <w:color w:val="auto"/>
        </w:rPr>
      </w:pPr>
    </w:p>
    <w:p>
      <w:pPr>
        <w:sectPr>
          <w:pgSz w:w="11900" w:h="16838" w:orient="portrait"/>
          <w:cols w:equalWidth="0" w:num="4">
            <w:col w:w="1920" w:space="720"/>
            <w:col w:w="4080" w:space="720"/>
            <w:col w:w="2460" w:space="720"/>
            <w:col w:w="800"/>
          </w:cols>
          <w:pgMar w:left="240" w:top="747"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ISSUERS INVOLVED IN BANKRUPTCY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PROCEEDINGS DURING THE PRECEDING FIVE YEARS</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filed all documents and reports required to be filed by Section 12, 13, or 15(d) of the Exchange Act of 1934 subsequent to the distribution of securities under a plan confirmed by a court. Yes [ ] No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August 12, 2016, 13,180,678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60" w:type="dxa"/>
            <w:vAlign w:val="bottom"/>
            <w:gridSpan w:val="5"/>
          </w:tcPr>
          <w:p>
            <w:pPr>
              <w:jc w:val="center"/>
              <w:ind w:right="2880"/>
              <w:spacing w:after="0"/>
              <w:rPr>
                <w:sz w:val="20"/>
                <w:szCs w:val="20"/>
                <w:color w:val="auto"/>
              </w:rPr>
            </w:pPr>
            <w:r>
              <w:rPr>
                <w:rFonts w:ascii="Arial" w:cs="Arial" w:eastAsia="Arial" w:hAnsi="Arial"/>
                <w:sz w:val="18"/>
                <w:szCs w:val="18"/>
                <w:b w:val="1"/>
                <w:bCs w:val="1"/>
                <w:color w:val="auto"/>
              </w:rPr>
              <w:t>IMPRIMIS PHARMACEUTICALS,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60" w:type="dxa"/>
            <w:vAlign w:val="bottom"/>
            <w:gridSpan w:val="5"/>
          </w:tcPr>
          <w:p>
            <w:pPr>
              <w:jc w:val="center"/>
              <w:ind w:right="286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31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4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Part I</w:t>
            </w:r>
          </w:p>
        </w:tc>
        <w:tc>
          <w:tcPr>
            <w:tcW w:w="9720" w:type="dxa"/>
            <w:vAlign w:val="bottom"/>
            <w:gridSpan w:val="16"/>
            <w:shd w:val="clear" w:color="auto" w:fill="CCEEFF"/>
          </w:tcPr>
          <w:p>
            <w:pPr>
              <w:ind w:left="80"/>
              <w:spacing w:after="0" w:line="15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w:t>
            </w:r>
          </w:p>
        </w:tc>
        <w:tc>
          <w:tcPr>
            <w:tcW w:w="972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2.</w:t>
            </w:r>
          </w:p>
        </w:tc>
        <w:tc>
          <w:tcPr>
            <w:tcW w:w="972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3.</w:t>
            </w:r>
          </w:p>
        </w:tc>
        <w:tc>
          <w:tcPr>
            <w:tcW w:w="972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4.</w:t>
            </w:r>
          </w:p>
        </w:tc>
        <w:tc>
          <w:tcPr>
            <w:tcW w:w="972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72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w:t>
            </w:r>
          </w:p>
        </w:tc>
        <w:tc>
          <w:tcPr>
            <w:tcW w:w="972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1A.</w:t>
            </w:r>
          </w:p>
        </w:tc>
        <w:tc>
          <w:tcPr>
            <w:tcW w:w="972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2.</w:t>
            </w:r>
          </w:p>
        </w:tc>
        <w:tc>
          <w:tcPr>
            <w:tcW w:w="972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3.</w:t>
            </w:r>
          </w:p>
        </w:tc>
        <w:tc>
          <w:tcPr>
            <w:tcW w:w="972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4.</w:t>
            </w:r>
          </w:p>
        </w:tc>
        <w:tc>
          <w:tcPr>
            <w:tcW w:w="972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5.</w:t>
            </w:r>
          </w:p>
        </w:tc>
        <w:tc>
          <w:tcPr>
            <w:tcW w:w="972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6.</w:t>
            </w:r>
          </w:p>
        </w:tc>
        <w:tc>
          <w:tcPr>
            <w:tcW w:w="972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460" w:type="dxa"/>
            <w:vAlign w:val="bottom"/>
            <w:tcBorders>
              <w:top w:val="single" w:sz="8" w:color="CCEEFF"/>
              <w:bottom w:val="single" w:sz="8" w:color="auto"/>
            </w:tcBorders>
            <w:gridSpan w:val="11"/>
          </w:tcPr>
          <w:p>
            <w:pPr>
              <w:jc w:val="center"/>
              <w:ind w:left="3090"/>
              <w:spacing w:after="0"/>
              <w:rPr>
                <w:sz w:val="20"/>
                <w:szCs w:val="20"/>
                <w:color w:val="auto"/>
              </w:rPr>
            </w:pPr>
            <w:r>
              <w:rPr>
                <w:rFonts w:ascii="Arial" w:cs="Arial" w:eastAsia="Arial" w:hAnsi="Arial"/>
                <w:sz w:val="18"/>
                <w:szCs w:val="18"/>
                <w:color w:val="auto"/>
                <w:w w:val="79"/>
              </w:rPr>
              <w:t>2</w:t>
            </w:r>
          </w:p>
        </w:tc>
        <w:tc>
          <w:tcPr>
            <w:tcW w:w="1240" w:type="dxa"/>
            <w:vAlign w:val="bottom"/>
            <w:tcBorders>
              <w:top w:val="single" w:sz="8" w:color="CCEEFF"/>
              <w:bottom w:val="single" w:sz="8" w:color="auto"/>
            </w:tcBorders>
          </w:tcPr>
          <w:p>
            <w:pPr>
              <w:spacing w:after="0"/>
              <w:rPr>
                <w:sz w:val="24"/>
                <w:szCs w:val="24"/>
                <w:color w:val="auto"/>
              </w:rPr>
            </w:pPr>
          </w:p>
        </w:tc>
        <w:tc>
          <w:tcPr>
            <w:tcW w:w="31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jc w:val="right"/>
              <w:ind w:right="760"/>
              <w:spacing w:after="0"/>
              <w:rPr>
                <w:sz w:val="20"/>
                <w:szCs w:val="20"/>
                <w:color w:val="auto"/>
              </w:rPr>
            </w:pPr>
            <w:r>
              <w:rPr>
                <w:rFonts w:ascii="Arial" w:cs="Arial" w:eastAsia="Arial" w:hAnsi="Arial"/>
                <w:sz w:val="18"/>
                <w:szCs w:val="18"/>
                <w:color w:val="auto"/>
              </w:rPr>
              <w:t>June 30, 2016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December 31, 2015</w:t>
            </w:r>
          </w:p>
        </w:tc>
      </w:tr>
      <w:tr>
        <w:trPr>
          <w:trHeight w:val="216"/>
        </w:trPr>
        <w:tc>
          <w:tcPr>
            <w:tcW w:w="7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5,441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Restricted short-term investments</w:t>
            </w:r>
          </w:p>
        </w:tc>
        <w:tc>
          <w:tcPr>
            <w:tcW w:w="24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1,441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1,412</w:t>
            </w:r>
          </w:p>
        </w:tc>
        <w:tc>
          <w:tcPr>
            <w:tcW w:w="80" w:type="dxa"/>
            <w:vAlign w:val="bottom"/>
          </w:tcPr>
          <w:p>
            <w:pPr>
              <w:spacing w:after="0"/>
              <w:rPr>
                <w:sz w:val="18"/>
                <w:szCs w:val="18"/>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489</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21"/>
                <w:szCs w:val="21"/>
                <w:color w:val="auto"/>
              </w:rPr>
            </w:pPr>
          </w:p>
        </w:tc>
      </w:tr>
      <w:tr>
        <w:trPr>
          <w:trHeight w:val="203"/>
        </w:trPr>
        <w:tc>
          <w:tcPr>
            <w:tcW w:w="732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9,443</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5,873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3,087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2,466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2,466</w:t>
            </w:r>
          </w:p>
        </w:tc>
        <w:tc>
          <w:tcPr>
            <w:tcW w:w="80" w:type="dxa"/>
            <w:vAlign w:val="bottom"/>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Plant, furniture and equipment, net</w:t>
            </w:r>
          </w:p>
        </w:tc>
        <w:tc>
          <w:tcPr>
            <w:tcW w:w="24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7,053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80" w:type="dxa"/>
            <w:vAlign w:val="bottom"/>
            <w:shd w:val="clear" w:color="auto" w:fill="CCEEFF"/>
          </w:tcPr>
          <w:p>
            <w:pPr>
              <w:spacing w:after="0"/>
              <w:rPr>
                <w:sz w:val="21"/>
                <w:szCs w:val="21"/>
                <w:color w:val="auto"/>
              </w:rPr>
            </w:pPr>
          </w:p>
        </w:tc>
      </w:tr>
      <w:tr>
        <w:trPr>
          <w:trHeight w:val="257"/>
        </w:trPr>
        <w:tc>
          <w:tcPr>
            <w:tcW w:w="732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22,049</w:t>
            </w:r>
          </w:p>
        </w:tc>
        <w:tc>
          <w:tcPr>
            <w:tcW w:w="34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14,131</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73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LIABILITIES AND STOCKHOLDERS’ EQUITY (DEFICIT)</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3,956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4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1,132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Current portion of deferred acquisition obligation and accrued interest</w:t>
            </w:r>
          </w:p>
        </w:tc>
        <w:tc>
          <w:tcPr>
            <w:tcW w:w="24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contingent acquisition obligation</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24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 obligation, net of current portion</w:t>
            </w: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Accrued expenses, net of current portion</w:t>
            </w:r>
          </w:p>
        </w:tc>
        <w:tc>
          <w:tcPr>
            <w:tcW w:w="24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Note payable and paid-in-kind interest, net of unamortized debt discount</w:t>
            </w:r>
          </w:p>
        </w:tc>
        <w:tc>
          <w:tcPr>
            <w:tcW w:w="24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8,655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8,336</w:t>
            </w:r>
          </w:p>
        </w:tc>
        <w:tc>
          <w:tcPr>
            <w:tcW w:w="80" w:type="dxa"/>
            <w:vAlign w:val="bottom"/>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 payable, net of unamortized debt discount</w:t>
            </w:r>
          </w:p>
        </w:tc>
        <w:tc>
          <w:tcPr>
            <w:tcW w:w="24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16,441</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15,516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732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$0.001 par value, 90,000,000 shares authorized, 13,180,678 and 9,755,678</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shares issued and outstanding at June 30, 2016 and December 31, 2015, respectively</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72,494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56,369</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0"/>
                <w:szCs w:val="20"/>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(66,899)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(57,764)</w:t>
            </w:r>
          </w:p>
        </w:tc>
      </w:tr>
      <w:tr>
        <w:trPr>
          <w:trHeight w:val="236"/>
        </w:trPr>
        <w:tc>
          <w:tcPr>
            <w:tcW w:w="7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7"/>
        </w:trPr>
        <w:tc>
          <w:tcPr>
            <w:tcW w:w="732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 (DEFICIT)</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22,049</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the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Three Months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Three Months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Six Months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Six Months</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Ended</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June 30, 2016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June 30, 2015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June 30, 2016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June 30, 2015</w:t>
            </w:r>
          </w:p>
        </w:tc>
        <w:tc>
          <w:tcPr>
            <w:tcW w:w="0" w:type="dxa"/>
            <w:vAlign w:val="bottom"/>
          </w:tcPr>
          <w:p>
            <w:pPr>
              <w:spacing w:after="0"/>
              <w:rPr>
                <w:sz w:val="1"/>
                <w:szCs w:val="1"/>
                <w:color w:val="auto"/>
              </w:rPr>
            </w:pPr>
          </w:p>
        </w:tc>
      </w:tr>
      <w:tr>
        <w:trPr>
          <w:trHeight w:val="216"/>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4,902</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1,917</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9,283</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4,907</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1,967</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9,288</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3,530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2,735</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917</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4,867</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1,473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2,270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1,630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4,170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(4,008</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(3,481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(7,762</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(6,598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(1,260)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(6,823</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390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Basic and diluted net loss per share of common</w:t>
            </w: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(0.77)</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Weighted average number of shares of common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0"/>
                <w:szCs w:val="20"/>
                <w:color w:val="auto"/>
              </w:rPr>
            </w:pPr>
            <w:r>
              <w:rPr>
                <w:rFonts w:ascii="Arial" w:cs="Arial" w:eastAsia="Arial" w:hAnsi="Arial"/>
                <w:sz w:val="18"/>
                <w:szCs w:val="18"/>
                <w:color w:val="auto"/>
              </w:rPr>
              <w:t>stock outstanding, basic and diluted</w:t>
            </w:r>
          </w:p>
        </w:tc>
        <w:tc>
          <w:tcPr>
            <w:tcW w:w="200" w:type="dxa"/>
            <w:vAlign w:val="bottom"/>
          </w:tcPr>
          <w:p>
            <w:pPr>
              <w:spacing w:after="0"/>
              <w:rPr>
                <w:sz w:val="22"/>
                <w:szCs w:val="22"/>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13,332,645</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9,501,730</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11,870,037</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9,419,956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Six Months Ended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June 30, 2016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June 30,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of furniture and equipment</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Paid-in-kind added to principal of note payable</w:t>
            </w:r>
          </w:p>
        </w:tc>
        <w:tc>
          <w:tcPr>
            <w:tcW w:w="16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gain on contingent acquisition obligation</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Change in fair value of derivative liabilities</w:t>
            </w:r>
          </w:p>
        </w:tc>
        <w:tc>
          <w:tcPr>
            <w:tcW w:w="16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Changes in assets and liabilities, net of effects from acquisitions: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1,570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liabilities</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Deferred revenue and customer deposits</w:t>
            </w:r>
          </w:p>
        </w:tc>
        <w:tc>
          <w:tcPr>
            <w:tcW w:w="160" w:type="dxa"/>
            <w:vAlign w:val="bottom"/>
          </w:tcPr>
          <w:p>
            <w:pPr>
              <w:spacing w:after="0"/>
              <w:rPr>
                <w:sz w:val="20"/>
                <w:szCs w:val="20"/>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Park Compounding, net of cash</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Payments on Pharmacy Creations contingent acquisition obligation</w:t>
            </w:r>
          </w:p>
        </w:tc>
        <w:tc>
          <w:tcPr>
            <w:tcW w:w="16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patent and trademark assets</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Purchases of plant, furniture and equipment</w:t>
            </w:r>
          </w:p>
        </w:tc>
        <w:tc>
          <w:tcPr>
            <w:tcW w:w="160" w:type="dxa"/>
            <w:vAlign w:val="bottom"/>
          </w:tcPr>
          <w:p>
            <w:pPr>
              <w:spacing w:after="0"/>
              <w:rPr>
                <w:sz w:val="20"/>
                <w:szCs w:val="20"/>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(5,745)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capital lease obligations</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Net proceeds from public equity offering</w:t>
            </w:r>
          </w:p>
        </w:tc>
        <w:tc>
          <w:tcPr>
            <w:tcW w:w="16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11,088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Park deferred acquisition obligation</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Proceeds from notes payable, net of issuance costs and fees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9,303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convertible note, net of issuance costs</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Net proceeds from exercise of warrants and stock options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6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2,756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1,840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tcBorders>
              <w:top w:val="single" w:sz="8" w:color="CCEEFF"/>
              <w:bottom w:val="single" w:sz="8" w:color="CCEEFF"/>
            </w:tcBorders>
          </w:tcPr>
          <w:p>
            <w:pPr>
              <w:ind w:left="16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5,441</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Cash paid for interest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616</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30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SUPPLEMENTAL DISCLOSURES OF NON-CASH INVESTING AND FINANCING</w:t>
            </w: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w w:val="97"/>
              </w:rPr>
              <w:t>Fair value of embedded conversion feature recorded as debt discount and derivative liability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2,322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300" w:type="dxa"/>
            <w:vAlign w:val="bottom"/>
            <w:tcBorders>
              <w:top w:val="single" w:sz="8" w:color="CCEEFF"/>
            </w:tcBorders>
            <w:shd w:val="clear" w:color="auto" w:fill="CCEEFF"/>
          </w:tcPr>
          <w:p>
            <w:pPr>
              <w:ind w:left="160"/>
              <w:spacing w:after="0" w:line="156" w:lineRule="exact"/>
              <w:rPr>
                <w:sz w:val="20"/>
                <w:szCs w:val="20"/>
                <w:color w:val="auto"/>
              </w:rPr>
            </w:pPr>
            <w:r>
              <w:rPr>
                <w:rFonts w:ascii="Arial" w:cs="Arial" w:eastAsia="Arial" w:hAnsi="Arial"/>
                <w:sz w:val="18"/>
                <w:szCs w:val="18"/>
                <w:color w:val="auto"/>
              </w:rPr>
              <w:t>Reclassification of the fair value of the embedded conversion feature derivative liability to</w:t>
            </w:r>
          </w:p>
        </w:tc>
        <w:tc>
          <w:tcPr>
            <w:tcW w:w="16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 upon closing of the public equity offering</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Reclassification of the fair value of the LSAF warrant from additional paid-in capital to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7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derivative liability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675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300" w:type="dxa"/>
            <w:vAlign w:val="bottom"/>
            <w:tcBorders>
              <w:top w:val="single" w:sz="8" w:color="CCEEFF"/>
            </w:tcBorders>
            <w:shd w:val="clear" w:color="auto" w:fill="CCEEFF"/>
          </w:tcPr>
          <w:p>
            <w:pPr>
              <w:ind w:left="160"/>
              <w:spacing w:after="0" w:line="156" w:lineRule="exact"/>
              <w:rPr>
                <w:sz w:val="20"/>
                <w:szCs w:val="20"/>
                <w:color w:val="auto"/>
              </w:rPr>
            </w:pPr>
            <w:r>
              <w:rPr>
                <w:rFonts w:ascii="Arial" w:cs="Arial" w:eastAsia="Arial" w:hAnsi="Arial"/>
                <w:sz w:val="18"/>
                <w:szCs w:val="18"/>
                <w:color w:val="auto"/>
                <w:w w:val="98"/>
              </w:rPr>
              <w:t>Reclassification of the fair value of the LSAF warrant derivative liability to additional paid-in</w:t>
            </w:r>
          </w:p>
        </w:tc>
        <w:tc>
          <w:tcPr>
            <w:tcW w:w="16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upon closing of the public equity offering</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w w:val="94"/>
              </w:rPr>
              <w:t>Issuance of common stock to settle contingent acquisition obligation related to the purchase of</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7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300" w:type="dxa"/>
            <w:vAlign w:val="bottom"/>
            <w:tcBorders>
              <w:top w:val="single" w:sz="8" w:color="CCEEFF"/>
            </w:tcBorders>
            <w:shd w:val="clear" w:color="auto" w:fill="CCEEFF"/>
          </w:tcPr>
          <w:p>
            <w:pPr>
              <w:ind w:left="160"/>
              <w:spacing w:after="0" w:line="156" w:lineRule="exact"/>
              <w:rPr>
                <w:sz w:val="20"/>
                <w:szCs w:val="20"/>
                <w:color w:val="auto"/>
              </w:rPr>
            </w:pPr>
            <w:r>
              <w:rPr>
                <w:rFonts w:ascii="Arial" w:cs="Arial" w:eastAsia="Arial" w:hAnsi="Arial"/>
                <w:sz w:val="18"/>
                <w:szCs w:val="18"/>
                <w:color w:val="auto"/>
              </w:rPr>
              <w:t>Issuance of common stock and fair value of deferred acquisition obligations related to the</w:t>
            </w:r>
          </w:p>
        </w:tc>
        <w:tc>
          <w:tcPr>
            <w:tcW w:w="16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Park Compounding</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w w:val="98"/>
              </w:rPr>
              <w:t>Issuance of stock options for consulting services included in accounts payable and accrued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7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expenses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Final fee on notes payable recorded as debt discount and included in accrued expenses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160"/>
              <w:spacing w:after="0"/>
              <w:rPr>
                <w:sz w:val="20"/>
                <w:szCs w:val="20"/>
                <w:color w:val="auto"/>
              </w:rPr>
            </w:pPr>
            <w:r>
              <w:rPr>
                <w:rFonts w:ascii="Arial" w:cs="Arial" w:eastAsia="Arial" w:hAnsi="Arial"/>
                <w:sz w:val="18"/>
                <w:szCs w:val="18"/>
                <w:color w:val="auto"/>
              </w:rPr>
              <w:t>Estimated relative fair value of warrants issued in connection with note payable</w:t>
            </w: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w w:val="93"/>
              </w:rPr>
              <w:t>Purchase of plant, furniture and equipment included in accounts payable and accrued expenses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Imprimis Pharmaceuticals, Inc. (together with its subsidiaries, unless the context indicates or otherwise requires, the “Company” or “Imprimis”) is a national leader in the development, production and dispensing of novel compounded pharmaceuticals. The Company is focused on patient outcomes and affordability by offering high quality customizable compounded drugs in all 50 states. Imprimis is headquartered in San Diego, California and operates four pharmacy facilities located in California, Texas, New Jersey and Pennsylvania, which may be referred hereinafter collectively as our “ImprimisRx compounding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six months ended June 30, 2016 are not necessarily indicative of the results that may be expected for the year ending December 31, 2016 or for any other period. For further information, refer to the Company’s audited consolidated financial statements and footnotes thereto included in the Company’s Annual Report on Form 10-K for the year ended December 31, 2015.</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an update for the six months ended June 30, 2016 to the significant accounting policies described in the Company’s Annual Report on Form 10-K for the year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doubtful accounts and contractual adjustments, realizability of inventories, valuation of deferred taxes, goodwill and intangible assets, recoverability of long-lived assets and goodwill, valuation of contingent acquisition obligations and deferred acquisition obligations, valuation of notes payable and derivative liabilities, and valuation of stock-based compensation issued to employees and non-employees.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incurred significant operating losses and negative cash flows from operations since its inception. The Company incurred net losses of $9,135 and $6,823 for the six months ended June 30, 2016 and 2015, respectively, and had an accumulated deficit of $66,899 and $57,764 as of June 30, 2016 and December 31, 2015, respectively. In addition, the Company used cash in operating activities of $5,068 and $5,447 for the six months ended June 30, 2016 and 2015,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t>While there is no assurance, the Company believes its existing cash resources and restricted investments of approximately $5,591 at June 30, 2016, along with $2,000 in gross proceeds received from the sale and leaseback of equipment in August 2016 (see Note 13),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seek to increase liquidity and capital resources by one or more measures, to the extent necessary. These measures may include, but are not limited to, the following: obtaining financing through the issuance of equity, debt, or convertible securities; sale and leaseback arrangements; entering into leasing facilities; and working to increase revenue growth through pharmacy sales. There is no guarantee that the Company will be able to obtain capital when needed on terms it deems as acceptable, or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up to $250 per owner. At June 30, 2016, the Company had approximately $5,191 in cash deposits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Accounts receivable are stated net of allowances for doubtful accounts and contractual adjustments. The accounts receivable balance primarily includes amounts due from customers the Company has invoiced or from third-party providers (e.g., insurance companies and governmental agencies), but for which payment has not been received. Charges to bad debt are based on both historical write-offs and specifically identified receivables. Contractual adjustments are determined by the amount expected to be collected from third-party providers. Accounts receivable are presented net of allowances for doubtful accounts and contractual adjustments in the amount of $278 and $180 as of June 30, 2016 and December 31, 2015,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revenues when all of the following criteria have been met: (1) persuasive evidence of an arrangement exists; (2) delivery has occurred; (3) the selling price is fixed and determinable; and (4) collectability is reasonably assured. The Company’s revenues consist of sales of certain of the Company’s proprietary compounded drug formulations and non-proprietary formulations and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Debt Issuance Costs and Debt Discount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and the debt discount are recorded net of notes payable in the condensed consolidated balance sheets. Amortization expense of debt issuance costs and the debt discount is calculated using the effective interest method over the term of the debt and is recorded in interest expense in the accompanying condensed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right="20" w:hanging="332"/>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6"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2016 and December 31, 2015, the Company did not have any financial assets or liabilities that are measured on a recurring basis. At June 30, 2016 and December 31, 2015, the Company’s financial instruments included cash and cash equivalents, restricted short-term investments, accounts receivable, accounts payable and accrued expenses, accrued payroll and related liabilities, customer deposits, deferred acquisition obligations, notes payable and capital leases. The carrying amount of these financial instruments, except for deferred acquisition obligations and notes payable, approximates fair value due to the short-term maturities of these instruments. The Company’s restricted short-term investments are carried at amortized cost, which approximates fair value. Based on borrowing rates currently available to the Company, the carrying values of the deferred acquisition obligations and notes payable, approximate their respective fair values.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accounts for free-standing derivative instruments and hybrid instruments that contain embedded derivative features as either assets or liabilities in the condensed consolidated balance sheets and are measured at fair value with gains or losses recognized in earnings. Embedded derivatives that are not clearly and closely related to the host contract are bifurcated and are recognized at fair value with changes in fair value recognized as either a gain or loss in earnings. The Company determines the fair value of derivative instruments and hybrid instruments based on available market data using appropriate valuation models, giving consideration to all of the rights and obligations of each instrument.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jc w:val="both"/>
        <w:spacing w:after="0" w:line="270" w:lineRule="auto"/>
        <w:rPr>
          <w:sz w:val="20"/>
          <w:szCs w:val="20"/>
          <w:color w:val="auto"/>
        </w:rPr>
      </w:pPr>
      <w:r>
        <w:rPr>
          <w:rFonts w:ascii="Arial" w:cs="Arial" w:eastAsia="Arial" w:hAnsi="Arial"/>
          <w:sz w:val="17"/>
          <w:szCs w:val="17"/>
          <w:color w:val="auto"/>
        </w:rPr>
        <w:t>The Company estimates the fair value of derivative instruments and hybrid instruments using various techniques (and combinations thereof) that are considered to be consistent with the objective of measuring fair value. In selecting the appropriate technique, the Company considers, among other factors, the nature of the instrument, the market risks that it embodies and the expected means of settlement. The Company generally uses the Black-Scholes-Merton option pricing model, adjusted for the effect of dilution, because it embodies all of the requisite assumptions (including trading volatility, estimated terms, dilution and risk-free rates) necessary to fair value these instruments. Estimating the fair value of derivative financial instruments requires the development of significant and subjective estimates that may, and are likely to, change over the duration of the instrument with related changes in internal and external market factors. Increases in the trading price of the Company’s common stock and increases in fair value during a given financial quarter result in the application of non-cash derivative expense. Conversely, decreases in the trading price of the Company’s common stock and decreases in fair value during a given financial quarter would result in the application of non-cash derivative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Billing and Collection Agreements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its acquisition of South Coast Specialty Compounding, Inc. D/B/A Park Compounding (“Park”), the Company entered into a billing and collection agreement with a third party to assist in the billing and collection of workers’ compensation claims. Under the terms of the agreement, the Company is obligated to pay a fixed fee to the third party equal to 55% of the amounts billed and collected under the workers’ compensation claims. The Company accrues for such fees in accounts payable and accrued expenses in the accompanying condensed consolidated balance sheets. Total billing and collection management expense under this agreement for the three and six months ended June 30, 2016 were $7 and $22, respectively, and $15 and $21, for the three and six months ended June 30, 2015, respectively, and is included in selling and marketing expenses in the accompanying condensed consolidated statements of operations. The amounts due under the agreement as of June 30, 2016 and December 31, 2015 was $39 and $81,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stock-based payments to employees, directors and consultants, including grants of stock options, warrants, restricted stock units (“RSUs”) and restricted stock, are recognized in the condensed consolidated financial statements based upon their estimated fair values. The Company uses the Black-Scholes-Merton option pricing model and Monte Carlo Simulation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of the equity instruments. The measurement date for the estimated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estimated fair value of the equity instrument is primarily recognized over the term of the consulting agreement. According to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estimated fair value of nonforfeitable equity instruments issued for future consulting services as prepaid stock-based consulting expenses in its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accounts for income taxes under the provisions of FASB Accounting Standards Codification (“ASC”) 740, </w:t>
      </w:r>
      <w:r>
        <w:rPr>
          <w:rFonts w:ascii="Arial" w:cs="Arial" w:eastAsia="Arial" w:hAnsi="Arial"/>
          <w:sz w:val="17"/>
          <w:szCs w:val="17"/>
          <w:i w:val="1"/>
          <w:iCs w:val="1"/>
          <w:color w:val="auto"/>
        </w:rPr>
        <w:t>Income Taxes</w:t>
      </w:r>
      <w:r>
        <w:rPr>
          <w:rFonts w:ascii="Arial" w:cs="Arial" w:eastAsia="Arial" w:hAnsi="Arial"/>
          <w:sz w:val="17"/>
          <w:szCs w:val="17"/>
          <w:color w:val="auto"/>
        </w:rPr>
        <w:t>, or ASC 740. As of June 30, 2016, there were no unrecognized tax benefits included in the condensed consolidated balance sheet that would, if recognized, affect the effective tax rate. The Company’s practice is to recognize interest and/or penalties related to income tax matters in income tax expense. The Company had no accrual for interest or penalties in its condensed consolidated balance sheets at June 30, 2016 and December 31, 2015, and has not recognized interest and/or penalties in the condensed consolidated statements of operations for the three and six months ended June 30, 2016 and 2015. The Company is subject to taxation in the United States, New Jersey, Texas, Pennsylvania and California. The Company’s tax years since 2000 are subject to examination by the federal and state tax authorities due to the carryforward of unutilized net operating losses.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and diluted net loss per share is computed using the weighted average number of shares of common stock outstanding during the period. Common stock equivalents (using the treasury stock or “if converted” method) from deferred acquisition obligations, convertible note payable, stock options, unvested RSUs and warrants were 4,341,044 and 3,014,919 at June 30, 2016 and 2015, respectively, and are excluded from the calculation of diluted net loss per share for all periods presented because the effect is anti-dilutive. Included in the basic and diluted net loss per share calculation were RSUs awarded to our CEO, Mark Baum, that have vested, but issuance and delivery of shares has not occurred and RSUs awarded to directors that had vested, but the issuance and delivery of the shares are deferred until the director resigns. The number of shares underlying these vested RSUs at June 30, 2016 and 2015 was 266,621 and 28,633, respectively.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computation of basic and diluted net loss per share of common stock for the three and six months ended June 30, 2016 and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For the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Three Months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Three Months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Six Months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June 30, 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June 30, 2015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30,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(3,730)</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(9,135)</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5"/>
              </w:rPr>
              <w:t>Denominator – weighted average number of shares</w:t>
            </w: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3960" w:type="dxa"/>
            <w:vAlign w:val="bottom"/>
            <w:gridSpan w:val="2"/>
          </w:tcPr>
          <w:p>
            <w:pPr>
              <w:spacing w:after="0"/>
              <w:rPr>
                <w:sz w:val="20"/>
                <w:szCs w:val="20"/>
                <w:color w:val="auto"/>
              </w:rPr>
            </w:pPr>
            <w:r>
              <w:rPr>
                <w:rFonts w:ascii="Arial" w:cs="Arial" w:eastAsia="Arial" w:hAnsi="Arial"/>
                <w:sz w:val="18"/>
                <w:szCs w:val="18"/>
                <w:color w:val="auto"/>
              </w:rPr>
              <w:t>outstanding, basic and diluted</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13,332,645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9,501,730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11,870,037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9,419,956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loss per share, basic and diluted</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Recently Issued Accounting Pronouncements</w:t>
            </w: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May 2014, the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This updated guidance supersedes the current revenue recognition guidance, including industry-specific guidance. The updated guidance introduces a five-step model to achieve its core principal of the entity recognizing revenue to depict the transfer of goods or services to customers at an amount that reflects the consideration to which the entity expects to be entitled in exchange for those goods or services. The updated guidance is effective for interim and annual periods beginning after December 15, 2016, and early adoption is not permitted. In July 2015, the FASB decided to delay the effective date of ASU 2014-09 until December 15, 2017. The FASB also agreed to allow entities to choose to adopt the standard as of the original effective date. The Company is currently evaluating which transition method it will adopt and the expected impact of the updated guidance, but does not believe the adoption of the updated guidance will have a significant impact on its condensed consolidated financial statements.</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requires the lease rights and obligations arising from lease contracts, including existing and new arrangements, to be recognized as assets and liabilities on the balance sheet. ASU 2016-02 is effective for reporting periods beginning after December 15, 2018 with early adoption permitted. While the Company is still evaluating ASU 2016-02, the Company expects the adoption of ASU 2016-02 to have a material effect on the Company’s consolidated financial condition due to the recognition of the lease rights and obligations as assets and liabilities. The Company does not expect ASU 2016-02 to have a material effect on the Company’s results of operations and cash flows.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Recognition and Measurement of Financial Assets and Financial Liabilities</w:t>
      </w:r>
      <w:r>
        <w:rPr>
          <w:rFonts w:ascii="Arial" w:cs="Arial" w:eastAsia="Arial" w:hAnsi="Arial"/>
          <w:sz w:val="18"/>
          <w:szCs w:val="18"/>
          <w:color w:val="auto"/>
        </w:rPr>
        <w:t>, which addresses certain aspects of recognition, measurement, presentation and disclosure of financial statements. This guidance will be effective in the first quarter of fiscal year 2019 and early adoption is not permitted. The Company is currently evaluating the impact that this guidance will have on its condensed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addresses certain aspects of accounting for share-based payment award transactions. This guidance will be effective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2017 and early adoption is permitted. The Company is currently evaluating the impact that this guidance will have on its condensed consolidated financial statements.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xml:space="preserve"> which requires entities to measure most inventory “at the lower of cost and net realizable value (“NRV”),” thereby simplifying the current guidance under which an entity must measure inventory at the lower of cost or market. Under the new guidance, inventory is “measured at the lower of cost and net realizable value,” which eliminates the need to determine replacement cost and evaluate whether it is above the ceiling (NRV) or below the floor (NRV less a normal profit margin). The guidance defines NRV as the “estimated selling prices in the ordinary course of business, less reasonably predictable costs of completion, disposal, and transportation.” The guidance is effective for annual periods beginning after December 15, 2016, and interim periods therein. Early application is permitted. The Company is evaluating the impact of adoption of this guidance on its financial position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RESTRICTED SHORT-TERM INVESTMENTS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restricted short-term investments at June 30, 2016 and December 31, 2015 consist of certificates of deposit, which are classified as held-to-maturity. At June 30, 2016 and December 31, 2015, the restricted short-term investments were recorded at amortized cost, which approximates fair value.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2016 and December 31, 2015, the certificates of deposit of $150 were classified as a current asset. These certificates of deposit are required as collateral under the Company’s corporate credit card agreement and additional security for the Company’s office space lease, and they automatically renew every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June 30, 2016 and December 31, 2015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2016</w:t>
            </w:r>
          </w:p>
        </w:tc>
        <w:tc>
          <w:tcPr>
            <w:tcW w:w="12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2015</w:t>
            </w:r>
          </w:p>
        </w:tc>
        <w:tc>
          <w:tcPr>
            <w:tcW w:w="2280" w:type="dxa"/>
            <w:vAlign w:val="bottom"/>
          </w:tcPr>
          <w:p>
            <w:pPr>
              <w:spacing w:after="0"/>
              <w:rPr>
                <w:sz w:val="20"/>
                <w:szCs w:val="20"/>
                <w:color w:val="auto"/>
              </w:rPr>
            </w:pP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19"/>
                <w:szCs w:val="19"/>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9"/>
                <w:szCs w:val="19"/>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637</w:t>
            </w:r>
          </w:p>
        </w:tc>
        <w:tc>
          <w:tcPr>
            <w:tcW w:w="2280" w:type="dxa"/>
            <w:vAlign w:val="bottom"/>
          </w:tcPr>
          <w:p>
            <w:pPr>
              <w:spacing w:after="0"/>
              <w:rPr>
                <w:sz w:val="19"/>
                <w:szCs w:val="19"/>
                <w:color w:val="auto"/>
              </w:rPr>
            </w:pPr>
          </w:p>
        </w:tc>
      </w:tr>
      <w:tr>
        <w:trPr>
          <w:trHeight w:val="216"/>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20"/>
        </w:trPr>
        <w:tc>
          <w:tcPr>
            <w:tcW w:w="5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gridSpan w:val="7"/>
          </w:tcPr>
          <w:p>
            <w:pPr>
              <w:spacing w:after="0"/>
              <w:rPr>
                <w:sz w:val="20"/>
                <w:szCs w:val="20"/>
                <w:color w:val="auto"/>
              </w:rPr>
            </w:pPr>
            <w:r>
              <w:rPr>
                <w:rFonts w:ascii="Arial" w:cs="Arial" w:eastAsia="Arial" w:hAnsi="Arial"/>
                <w:sz w:val="18"/>
                <w:szCs w:val="18"/>
                <w:b w:val="1"/>
                <w:bCs w:val="1"/>
                <w:color w:val="auto"/>
              </w:rPr>
              <w:t>NOTE 5. PREPAID EXPENSES AND OTHER CURRENT ASSETS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20" w:type="dxa"/>
            <w:vAlign w:val="bottom"/>
            <w:gridSpan w:val="4"/>
          </w:tcPr>
          <w:p>
            <w:pPr>
              <w:spacing w:after="0"/>
              <w:rPr>
                <w:sz w:val="20"/>
                <w:szCs w:val="20"/>
                <w:color w:val="auto"/>
              </w:rPr>
            </w:pPr>
            <w:r>
              <w:rPr>
                <w:rFonts w:ascii="Arial" w:cs="Arial" w:eastAsia="Arial" w:hAnsi="Arial"/>
                <w:sz w:val="18"/>
                <w:szCs w:val="18"/>
                <w:color w:val="auto"/>
                <w:w w:val="90"/>
              </w:rPr>
              <w:t>Prepaid expenses and other current assets consisted of the following:</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 2016</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8"/>
          </w:tcPr>
          <w:p>
            <w:pPr>
              <w:ind w:left="14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216"/>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297</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388</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370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5"/>
              </w:rPr>
              <w:t>Deposits and other current assets</w:t>
            </w:r>
          </w:p>
        </w:tc>
        <w:tc>
          <w:tcPr>
            <w:tcW w:w="1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119</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3"/>
          </w:tcPr>
          <w:p>
            <w:pPr>
              <w:spacing w:after="0" w:line="203" w:lineRule="exact"/>
              <w:rPr>
                <w:sz w:val="20"/>
                <w:szCs w:val="20"/>
                <w:color w:val="auto"/>
              </w:rPr>
            </w:pPr>
            <w:r>
              <w:rPr>
                <w:rFonts w:ascii="Arial" w:cs="Arial" w:eastAsia="Arial" w:hAnsi="Arial"/>
                <w:sz w:val="18"/>
                <w:szCs w:val="18"/>
                <w:color w:val="auto"/>
              </w:rPr>
              <w:t>Total prepaid expenses and other current assets</w:t>
            </w:r>
          </w:p>
        </w:tc>
        <w:tc>
          <w:tcPr>
            <w:tcW w:w="6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489</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650"/>
              <w:spacing w:after="0" w:line="203" w:lineRule="exact"/>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ind w:left="120"/>
              <w:spacing w:after="0" w:line="203" w:lineRule="exact"/>
              <w:rPr>
                <w:sz w:val="20"/>
                <w:szCs w:val="20"/>
                <w:color w:val="auto"/>
              </w:rPr>
            </w:pPr>
            <w:r>
              <w:rPr>
                <w:rFonts w:ascii="Arial" w:cs="Arial" w:eastAsia="Arial" w:hAnsi="Arial"/>
                <w:sz w:val="18"/>
                <w:szCs w:val="18"/>
                <w:color w:val="auto"/>
                <w:w w:val="86"/>
              </w:rPr>
              <w:t>786</w:t>
            </w:r>
          </w:p>
        </w:tc>
        <w:tc>
          <w:tcPr>
            <w:tcW w:w="80" w:type="dxa"/>
            <w:vAlign w:val="bottom"/>
            <w:tcBorders>
              <w:top w:val="single" w:sz="8" w:color="CCEEFF"/>
            </w:tcBorders>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6. INTANGIBLE ASSETS AND GOODWILL</w:t>
            </w: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gridSpan w:val="7"/>
          </w:tcPr>
          <w:p>
            <w:pPr>
              <w:spacing w:after="0"/>
              <w:rPr>
                <w:sz w:val="20"/>
                <w:szCs w:val="20"/>
                <w:color w:val="auto"/>
              </w:rPr>
            </w:pPr>
            <w:r>
              <w:rPr>
                <w:rFonts w:ascii="Arial" w:cs="Arial" w:eastAsia="Arial" w:hAnsi="Arial"/>
                <w:sz w:val="18"/>
                <w:szCs w:val="18"/>
                <w:color w:val="auto"/>
              </w:rPr>
              <w:t>The Company’s intangible assets at June 30, 2016 consisted of the following:</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580" w:type="dxa"/>
            <w:vAlign w:val="bottom"/>
          </w:tcPr>
          <w:p>
            <w:pPr>
              <w:spacing w:after="0"/>
              <w:rPr>
                <w:sz w:val="24"/>
                <w:szCs w:val="2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Amortization</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periods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5"/>
          </w:tcPr>
          <w:p>
            <w:pPr>
              <w:jc w:val="right"/>
              <w:ind w:right="500"/>
              <w:spacing w:after="0"/>
              <w:rPr>
                <w:sz w:val="20"/>
                <w:szCs w:val="20"/>
                <w:color w:val="auto"/>
              </w:rPr>
            </w:pPr>
            <w:r>
              <w:rPr>
                <w:rFonts w:ascii="Arial" w:cs="Arial" w:eastAsia="Arial" w:hAnsi="Arial"/>
                <w:sz w:val="18"/>
                <w:szCs w:val="18"/>
                <w:color w:val="auto"/>
                <w:w w:val="94"/>
              </w:rPr>
              <w:t>Accumulated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w w:val="97"/>
              </w:rPr>
              <w:t>Cost</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w w:val="97"/>
              </w:rPr>
              <w:t>amortization</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Carrying 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17-19 years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Trademarks</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Indefinite</w:t>
            </w:r>
          </w:p>
        </w:tc>
        <w:tc>
          <w:tcPr>
            <w:tcW w:w="66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3-15 years</w:t>
            </w: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Trade name</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5 years</w:t>
            </w:r>
          </w:p>
        </w:tc>
        <w:tc>
          <w:tcPr>
            <w:tcW w:w="6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7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3-4 years</w:t>
            </w:r>
          </w:p>
        </w:tc>
        <w:tc>
          <w:tcPr>
            <w:tcW w:w="6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25 years</w:t>
            </w:r>
          </w:p>
        </w:tc>
        <w:tc>
          <w:tcPr>
            <w:tcW w:w="6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8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three and six months ended June 30, 2016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jc w:val="center"/>
              <w:ind w:left="150"/>
              <w:spacing w:after="0"/>
              <w:rPr>
                <w:sz w:val="20"/>
                <w:szCs w:val="20"/>
                <w:color w:val="auto"/>
              </w:rPr>
            </w:pPr>
            <w:r>
              <w:rPr>
                <w:rFonts w:ascii="Arial" w:cs="Arial" w:eastAsia="Arial" w:hAnsi="Arial"/>
                <w:sz w:val="18"/>
                <w:szCs w:val="18"/>
                <w:color w:val="auto"/>
                <w:w w:val="87"/>
              </w:rPr>
              <w:t>For the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155"/>
              <w:spacing w:after="0"/>
              <w:rPr>
                <w:sz w:val="20"/>
                <w:szCs w:val="20"/>
                <w:color w:val="auto"/>
              </w:rPr>
            </w:pPr>
            <w:r>
              <w:rPr>
                <w:rFonts w:ascii="Arial" w:cs="Arial" w:eastAsia="Arial" w:hAnsi="Arial"/>
                <w:sz w:val="18"/>
                <w:szCs w:val="18"/>
                <w:color w:val="auto"/>
                <w:w w:val="91"/>
              </w:rPr>
              <w:t>For the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left="175"/>
              <w:spacing w:after="0"/>
              <w:rPr>
                <w:sz w:val="20"/>
                <w:szCs w:val="20"/>
                <w:color w:val="auto"/>
              </w:rPr>
            </w:pPr>
            <w:r>
              <w:rPr>
                <w:rFonts w:ascii="Arial" w:cs="Arial" w:eastAsia="Arial" w:hAnsi="Arial"/>
                <w:sz w:val="18"/>
                <w:szCs w:val="18"/>
                <w:color w:val="auto"/>
                <w:w w:val="91"/>
              </w:rPr>
              <w:t>For the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For the</w:t>
            </w:r>
          </w:p>
        </w:tc>
      </w:tr>
      <w:tr>
        <w:trPr>
          <w:trHeight w:val="216"/>
        </w:trPr>
        <w:tc>
          <w:tcPr>
            <w:tcW w:w="3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jc w:val="center"/>
              <w:ind w:left="150"/>
              <w:spacing w:after="0"/>
              <w:rPr>
                <w:sz w:val="20"/>
                <w:szCs w:val="20"/>
                <w:color w:val="auto"/>
              </w:rPr>
            </w:pPr>
            <w:r>
              <w:rPr>
                <w:rFonts w:ascii="Arial" w:cs="Arial" w:eastAsia="Arial" w:hAnsi="Arial"/>
                <w:sz w:val="18"/>
                <w:szCs w:val="18"/>
                <w:color w:val="auto"/>
                <w:w w:val="91"/>
              </w:rPr>
              <w:t>Three Months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175"/>
              <w:spacing w:after="0"/>
              <w:rPr>
                <w:sz w:val="20"/>
                <w:szCs w:val="20"/>
                <w:color w:val="auto"/>
              </w:rPr>
            </w:pPr>
            <w:r>
              <w:rPr>
                <w:rFonts w:ascii="Arial" w:cs="Arial" w:eastAsia="Arial" w:hAnsi="Arial"/>
                <w:sz w:val="18"/>
                <w:szCs w:val="18"/>
                <w:color w:val="auto"/>
                <w:w w:val="91"/>
              </w:rPr>
              <w:t>Three Months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left="175"/>
              <w:spacing w:after="0"/>
              <w:rPr>
                <w:sz w:val="20"/>
                <w:szCs w:val="20"/>
                <w:color w:val="auto"/>
              </w:rPr>
            </w:pPr>
            <w:r>
              <w:rPr>
                <w:rFonts w:ascii="Arial" w:cs="Arial" w:eastAsia="Arial" w:hAnsi="Arial"/>
                <w:sz w:val="18"/>
                <w:szCs w:val="18"/>
                <w:color w:val="auto"/>
                <w:w w:val="94"/>
              </w:rPr>
              <w:t>Six Months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Six Months</w:t>
            </w:r>
          </w:p>
        </w:tc>
      </w:tr>
      <w:tr>
        <w:trPr>
          <w:trHeight w:val="216"/>
        </w:trPr>
        <w:tc>
          <w:tcPr>
            <w:tcW w:w="3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jc w:val="center"/>
              <w:ind w:left="150"/>
              <w:spacing w:after="0"/>
              <w:rPr>
                <w:sz w:val="20"/>
                <w:szCs w:val="20"/>
                <w:color w:val="auto"/>
              </w:rPr>
            </w:pPr>
            <w:r>
              <w:rPr>
                <w:rFonts w:ascii="Arial" w:cs="Arial" w:eastAsia="Arial" w:hAnsi="Arial"/>
                <w:sz w:val="18"/>
                <w:szCs w:val="18"/>
                <w:color w:val="auto"/>
                <w:w w:val="88"/>
              </w:rPr>
              <w:t>Ended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175"/>
              <w:spacing w:after="0"/>
              <w:rPr>
                <w:sz w:val="20"/>
                <w:szCs w:val="20"/>
                <w:color w:val="auto"/>
              </w:rPr>
            </w:pPr>
            <w:r>
              <w:rPr>
                <w:rFonts w:ascii="Arial" w:cs="Arial" w:eastAsia="Arial" w:hAnsi="Arial"/>
                <w:sz w:val="18"/>
                <w:szCs w:val="18"/>
                <w:color w:val="auto"/>
                <w:w w:val="88"/>
              </w:rPr>
              <w:t>Ended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left="195"/>
              <w:spacing w:after="0"/>
              <w:rPr>
                <w:sz w:val="20"/>
                <w:szCs w:val="20"/>
                <w:color w:val="auto"/>
              </w:rPr>
            </w:pPr>
            <w:r>
              <w:rPr>
                <w:rFonts w:ascii="Arial" w:cs="Arial" w:eastAsia="Arial" w:hAnsi="Arial"/>
                <w:sz w:val="18"/>
                <w:szCs w:val="18"/>
                <w:color w:val="auto"/>
                <w:w w:val="88"/>
              </w:rPr>
              <w:t>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Ended</w:t>
            </w:r>
          </w:p>
        </w:tc>
      </w:tr>
      <w:tr>
        <w:trPr>
          <w:trHeight w:val="237"/>
        </w:trPr>
        <w:tc>
          <w:tcPr>
            <w:tcW w:w="3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80" w:type="dxa"/>
            <w:vAlign w:val="bottom"/>
          </w:tcPr>
          <w:p>
            <w:pPr>
              <w:jc w:val="center"/>
              <w:ind w:left="150"/>
              <w:spacing w:after="0"/>
              <w:rPr>
                <w:sz w:val="20"/>
                <w:szCs w:val="20"/>
                <w:color w:val="auto"/>
              </w:rPr>
            </w:pPr>
            <w:r>
              <w:rPr>
                <w:rFonts w:ascii="Arial" w:cs="Arial" w:eastAsia="Arial" w:hAnsi="Arial"/>
                <w:sz w:val="18"/>
                <w:szCs w:val="18"/>
                <w:color w:val="auto"/>
                <w:w w:val="89"/>
              </w:rPr>
              <w:t>June 30, 2016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left="155"/>
              <w:spacing w:after="0"/>
              <w:rPr>
                <w:sz w:val="20"/>
                <w:szCs w:val="20"/>
                <w:color w:val="auto"/>
              </w:rPr>
            </w:pPr>
            <w:r>
              <w:rPr>
                <w:rFonts w:ascii="Arial" w:cs="Arial" w:eastAsia="Arial" w:hAnsi="Arial"/>
                <w:sz w:val="18"/>
                <w:szCs w:val="18"/>
                <w:color w:val="auto"/>
                <w:w w:val="87"/>
              </w:rPr>
              <w:t>June 30, 2015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ind w:left="175"/>
              <w:spacing w:after="0"/>
              <w:rPr>
                <w:sz w:val="20"/>
                <w:szCs w:val="20"/>
                <w:color w:val="auto"/>
              </w:rPr>
            </w:pPr>
            <w:r>
              <w:rPr>
                <w:rFonts w:ascii="Arial" w:cs="Arial" w:eastAsia="Arial" w:hAnsi="Arial"/>
                <w:sz w:val="18"/>
                <w:szCs w:val="18"/>
                <w:color w:val="auto"/>
                <w:w w:val="87"/>
              </w:rPr>
              <w:t>June 30, 2016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June 30, 2015</w:t>
            </w:r>
          </w:p>
        </w:tc>
      </w:tr>
      <w:tr>
        <w:trPr>
          <w:trHeight w:val="216"/>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19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3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Non-competition clause</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r>
      <w:tr>
        <w:trPr>
          <w:trHeight w:val="23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r>
      <w:tr>
        <w:trPr>
          <w:trHeight w:val="203"/>
        </w:trPr>
        <w:tc>
          <w:tcPr>
            <w:tcW w:w="300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1190"/>
              <w:spacing w:after="0" w:line="203"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119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13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6"/>
              </w:rPr>
              <w:t>183</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June 30, 2016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2016</w:t>
            </w:r>
          </w:p>
        </w:tc>
        <w:tc>
          <w:tcPr>
            <w:tcW w:w="700" w:type="dxa"/>
            <w:vAlign w:val="bottom"/>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2017</w:t>
            </w:r>
          </w:p>
        </w:tc>
        <w:tc>
          <w:tcPr>
            <w:tcW w:w="7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370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2019</w:t>
            </w:r>
          </w:p>
        </w:tc>
        <w:tc>
          <w:tcPr>
            <w:tcW w:w="7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Thereafter</w:t>
            </w:r>
          </w:p>
        </w:tc>
        <w:tc>
          <w:tcPr>
            <w:tcW w:w="7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1,884</w:t>
            </w:r>
          </w:p>
        </w:tc>
      </w:tr>
      <w:tr>
        <w:trPr>
          <w:trHeight w:val="216"/>
        </w:trPr>
        <w:tc>
          <w:tcPr>
            <w:tcW w:w="50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the carrying value of the Company’s goodwill during the three and six months ended June 30,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w w:val="99"/>
              </w:rPr>
              <w:t>NOTE 7. ACCOUNTS PAYABLE AND ACCRUED EXPENSES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060" w:type="dxa"/>
            <w:vAlign w:val="bottom"/>
          </w:tcPr>
          <w:p>
            <w:pPr>
              <w:spacing w:after="0"/>
              <w:rPr>
                <w:sz w:val="20"/>
                <w:szCs w:val="20"/>
                <w:color w:val="auto"/>
              </w:rPr>
            </w:pPr>
            <w:r>
              <w:rPr>
                <w:rFonts w:ascii="Arial" w:cs="Arial" w:eastAsia="Arial" w:hAnsi="Arial"/>
                <w:sz w:val="18"/>
                <w:szCs w:val="18"/>
                <w:color w:val="auto"/>
                <w:w w:val="93"/>
              </w:rPr>
              <w:t>Accounts payable and accrued expenses consisted of the following:</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5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June 30, 2016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 2015</w:t>
            </w:r>
          </w:p>
        </w:tc>
      </w:tr>
      <w:tr>
        <w:trPr>
          <w:trHeight w:val="216"/>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(see Note 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Accrued exit fee for note payable (see Note 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Building lease liability(1)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Other accrued expenses (2)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r>
      <w:tr>
        <w:trPr>
          <w:trHeight w:val="216"/>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Less: Current portion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(3,407)</w:t>
            </w:r>
          </w:p>
        </w:tc>
      </w:tr>
      <w:tr>
        <w:trPr>
          <w:trHeight w:val="216"/>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accrued expenses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80" w:hanging="324"/>
        <w:spacing w:after="0" w:line="25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September 2014, the Company relocated its primary operations to a 7,565 square foot office facility in San Diego, California. In February 2015, the Company entered into a sublease agreement to sublet 3,874 square feet of its previously occupied offices through the remaining term of the lease at a monthly rent amount of $8. The Company recognized a loss of approximately $117 during the year ended December 31, 2014 related to the estimated remaining lease liability, net of expected sublease income, of the previously occupied offices. The obligations were discounted based on current prevailing market rates.</w:t>
      </w:r>
    </w:p>
    <w:p>
      <w:pPr>
        <w:spacing w:after="0" w:line="18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consists of a $23 stock-based compensation accrual at December 31, 2015 related to stock options to be granted for consulting services provided. The stock options were granted during the six months ended June 30, 2016 and the $23 was recorded to additional paid-in-capital.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 - 2015</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11, 2015, the Company entered into a loan and security agreement (the “Loan Agreement”) with IMMY Funding LLC, an affiliate of Life Sciences Alternative Funding LLC (the “Lender”), as lender and collateral agent. Pursuant to the terms of the Loan Agreement, as amended in January 2016, the Lender made available to the Company a term loan in the aggregate principal amount of up to $10,000, all of which was drawn on May 11, 2015. The term loans bear interest at a fixed per-annum rate of 12.5% and allows for 2% of the interest to be paid-in-kind until either February 2017 or May 2017, depending upon the Company’s ability to meet certain revenue or cash balance measures. The Company is permitted to pay interest only for the first three years and after the end of the interest-only period, the Company will be required to pay interest, plus repayments of the principal amount of the term loans, in 36 equal monthly installments. The interest-only period may be reduced to 20 months if the Company does not meet certain minimum revenue or cash balance requirements and the Company would be required to pay interest, plus repayments of the principal amount of the term loan, in 24 equal monthly installments. All amounts owed under the Loan Agreement, including a final fee of 5% of the aggregate principal amount of the term loan, will be due on the earlier of May 11, 2021, or 24 months after the end of the interest-only period. The Company incurred expenses of approximately $735 in connection with the Loan Agreement. The final fee and expenses are being amortized as interest expense over the term of the debt using the interest method and the related liability of $500 for the final fee is included in accrued expenses (see Note 7) in the accompanying condensed consolidated balance sheets.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6"/>
          <w:szCs w:val="16"/>
          <w:color w:val="auto"/>
        </w:rPr>
        <w:t>Pursuant to the terms of the Loan Agreement, the Company is bound by certain affirmative covenants setting forth actions that the Company must take during the term of the Loan Agreement, including, among others, certain information delivery requirements, obligations to maintain certain insurance and certain notice requirements. Additionally, the Company is bound by certain negative covenants setting forth actions that the Company may not take during the term of the Loan Agreement without the Lender’s consent, including, among others, disposing of certain of the Company’s or its subsidiaries’ business or property, incurring certain additional indebtedness, entering into certain merger, acquisition or change of control transactions, paying certain dividends or distributions on or repurchasing any of the Company’s capital stock, or incurring any lien or other encumbrance on the Company’s or its subsidiaries’ assets, subject to certain permitted exceptions. Upon the occurrence of an event of default under the Loan Agreement (subject to cure periods for certain events of default), all amounts owed by the Company thereunder may be declared immediately due and payable by the Lender. Events of default include, among others, the following: the occurrence of certain bankruptcy events; the failure to make payments under the Loan Agreement when due; the occurrence of a material adverse change in the business, operations or condition of the Company or any of its subsidiaries; the breach by the Company or its subsidiaries of certain of their material agreements with third parties; the initiation of certain regulatory enforcement actions against the Company or its subsidiaries; the rendering of certain types of fines or judgments against the Company or its subsidiaries; any breach by the Company or its subsidiaries of any covenant (subject to cure periods for certain covenants) made in the Loan Agreement; and the failure of any representation or warranty made by the Company or its subsidiaries in connection with the Loan Agreement to be correct in any material respect when made.</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obligations under the Loan Agreement are guaranteed on a secured basis by its wholly owned subsidiaries. Each of the Company and its subsidiaries has granted the Lender a security interest in substantially all of its personal property, rights and assets, including intellectual property rights and equity ownership, to secure the payment of all amounts owed under the Loan Agreement.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Loan Agreement, the Company has issued to the Lender a warrant to purchase up to 125,000 shares of the Company’s common stock, which is exercisable immediately, had an exercise price of $7.85 per share upon issuance and has a term of 10 years. The relative fair value of the warrants was approximately $840 and was estimated using the Black-Scholes-Merton option pricing model with the following assumptions: fair value of the Company’s common stock at issuance of $7.97 per share; ten-year contractual term; 109% volatility; 0% dividend rate; and a risk-free interest rate of 1.25%. The relative fair value of the warrants was recorded as a debt discount, decreasing notes payable and increasing additional paid-in capital on the accompanying condensed consolidated balance sheet. The debt discount is being amortized to interest expense over the term of the debt using the interest method. As described further, this warrant was amended in January 2016. For the three and six months ended June 30, 2016 and 2015, debt discount amortization related to the Loan Agreement was $109 and $217 and $70 and $70,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 – 2016</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22, 2016, the Company entered into a note purchase agreement (the “NPA”) with, and issued an 8.00% Convertible Senior Secured Note in the principal amount of $3,000 (the “Convertible Note”) to, the Lender. Pursuant to the terms of the NPA, on the date thereof, the Company issued the Convertible Note to the Lender and, as consideration therefor, the Lender paid the Company in cash the full principal amount of the Convertible Note. The Company incurred expenses of approximately $228 in connection with the Convertible Note and was recorded as a debt discount. The debt discount is being amortized as interest expense over the term of the debt using the interest method.</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terms of the Convertible Note, the Company is obligated to pay interest on the principal amount of the Convertible Note monthly in cash at a fixed per-annum rate of 8.00%, and the Company is obligated to repay the full principal amount of the Convertible Note in cash on May 11, 2021. The Company is permitted to redeem the Convertible Note prior to its maturity at any time on or after March 1, 2018 for cash purchase prices equal to 109% - 105% of the outstanding principal amount of the Convertible Note, depending on the date of redemption. The Convertible Note was initially convertible by the holder at any time into shares of the Company’s common stock at an effective conversion price of approximately $5.90 and subject to anti-dilution adjustment upon the Company’s first equity financing while the Convertible Note is outstanding in which it receives gross proceeds of at least $3,000, if such equity financing is completed at a per share price that is less than the conversion rate of the Convertible Note, and also subject to adjustment upon stock combinations or splits, certain recapitalizations, stock or cash dividends or other distributions of property or equity rights. Additionally, in the event of certain change of control events affecting the Company, the Company may be required, at the option of the Lender, to repurchase the Convertible Note in cash for the greater of 105% of the outstanding principal amount of the Convertible Note or the value of the shares of common stock issuable upon conversion of the Convertible Note. The relative fair value of the conversion feature was $2,322 and was recorded as a debt discount, decreasing notes payable and increasing additional paid-in capital on the accompanying condensed consolidated balance sheet (see also Note 10). The debt discount is being amortized to interest expense over the term of the debt using the interest method. For the three and six months ended June 30, 2016, debt discount amortization related to the Convertible Note was $155 and $309, respectively.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In connection and concurrently with the execution of the NPA and the issuance of the Convertible Note, the Company and the Lender also entered into an amendment (the “Loan Agreement Amendment”) to the Loan Agreement (see above). The Loan Agreement Amendment modifies the terms of the Loan Agreement in order to eliminate the potential borrowing of a second term loan thereunder and to permit the Company to issue the Convertible Note. Additionally, the Company and the Lender entered into an amendment (the “Warrant Amendment”) to the warrants that were issued to the Lender in connection with the Loan Agreement. The Warrant Amendment modifies the terms of the warrants in order to reduce the exercise price thereof to $5.90 per share, which is consistent with the initial conversion rate of the Convertible Note, and to add an anti-dilution adjustment provision that is consistent with the same such provision in the Convertible Note.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2016, upon the closing of the Offering (see Note 9) and pursuant to the anti-dilution adjustment provisions of the Convertible Note and the Warrant Amendment, the effective conversion price of the Convertible Note was adjusted to approximately $3.60, and the exercise price of the warrants was adjusted to $3.60 per share (see also Note 10 for further accounting discussion of the warrant exercise price and conversion provisions and related derivative liabilities).</w:t>
      </w:r>
    </w:p>
    <w:p>
      <w:pPr>
        <w:sectPr>
          <w:pgSz w:w="11900" w:h="16838" w:orient="portrait"/>
          <w:cols w:equalWidth="0" w:num="1">
            <w:col w:w="11420"/>
          </w:cols>
          <w:pgMar w:left="240" w:top="692"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at June 30, 2016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434784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Senior Note - 2015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Convertible Senior Note - 2016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 Interest paid-in-kind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34784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Less: Discount on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34784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Less: Current portion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Long-term portion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payments as of June 30, 2016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left="341"/>
        <w:spacing w:after="0"/>
        <w:rPr>
          <w:sz w:val="20"/>
          <w:szCs w:val="20"/>
          <w:color w:val="auto"/>
        </w:rPr>
      </w:pPr>
      <w:r>
        <w:rPr>
          <w:rFonts w:ascii="Arial" w:cs="Arial" w:eastAsia="Arial" w:hAnsi="Arial"/>
          <w:sz w:val="18"/>
          <w:szCs w:val="18"/>
          <w:b w:val="1"/>
          <w:bCs w:val="1"/>
          <w:color w:val="auto"/>
        </w:rPr>
        <w:t>June 30, 2016</w:t>
      </w:r>
    </w:p>
    <w:p>
      <w:pPr>
        <w:spacing w:after="0" w:line="40" w:lineRule="exact"/>
        <w:rPr>
          <w:sz w:val="20"/>
          <w:szCs w:val="20"/>
          <w:color w:val="auto"/>
        </w:rPr>
      </w:pPr>
    </w:p>
    <w:p>
      <w:pPr>
        <w:ind w:left="1241" w:hanging="1241"/>
        <w:spacing w:after="0"/>
        <w:tabs>
          <w:tab w:leader="none" w:pos="1241" w:val="left"/>
        </w:tabs>
        <w:numPr>
          <w:ilvl w:val="0"/>
          <w:numId w:val="5"/>
        </w:numPr>
        <w:rPr>
          <w:rFonts w:ascii="Arial" w:cs="Arial" w:eastAsia="Arial" w:hAnsi="Arial"/>
          <w:sz w:val="17"/>
          <w:szCs w:val="17"/>
          <w:color w:val="auto"/>
        </w:rPr>
      </w:pPr>
      <w:r>
        <w:rPr>
          <w:rFonts w:ascii="Arial" w:cs="Arial" w:eastAsia="Arial" w:hAnsi="Arial"/>
          <w:sz w:val="17"/>
          <w:szCs w:val="17"/>
          <w:color w:val="auto"/>
        </w:rPr>
        <w:t>10,000</w:t>
      </w:r>
    </w:p>
    <w:p>
      <w:pPr>
        <w:spacing w:after="0" w:line="34" w:lineRule="exact"/>
        <w:rPr>
          <w:rFonts w:ascii="Arial" w:cs="Arial" w:eastAsia="Arial" w:hAnsi="Arial"/>
          <w:sz w:val="17"/>
          <w:szCs w:val="17"/>
          <w:color w:val="auto"/>
        </w:rPr>
      </w:pPr>
    </w:p>
    <w:p>
      <w:pPr>
        <w:ind w:left="1321"/>
        <w:spacing w:after="0"/>
        <w:rPr>
          <w:rFonts w:ascii="Arial" w:cs="Arial" w:eastAsia="Arial" w:hAnsi="Arial"/>
          <w:sz w:val="17"/>
          <w:szCs w:val="17"/>
          <w:color w:val="auto"/>
        </w:rPr>
      </w:pPr>
      <w:r>
        <w:rPr>
          <w:rFonts w:ascii="Arial" w:cs="Arial" w:eastAsia="Arial" w:hAnsi="Arial"/>
          <w:sz w:val="18"/>
          <w:szCs w:val="18"/>
          <w:color w:val="auto"/>
        </w:rPr>
        <w:t>3,000</w:t>
      </w:r>
    </w:p>
    <w:p>
      <w:pPr>
        <w:spacing w:after="0" w:line="9" w:lineRule="exact"/>
        <w:rPr>
          <w:rFonts w:ascii="Arial" w:cs="Arial" w:eastAsia="Arial" w:hAnsi="Arial"/>
          <w:sz w:val="17"/>
          <w:szCs w:val="17"/>
          <w:color w:val="auto"/>
        </w:rPr>
      </w:pPr>
    </w:p>
    <w:p>
      <w:pPr>
        <w:ind w:left="1461"/>
        <w:spacing w:after="0"/>
        <w:rPr>
          <w:rFonts w:ascii="Arial" w:cs="Arial" w:eastAsia="Arial" w:hAnsi="Arial"/>
          <w:sz w:val="17"/>
          <w:szCs w:val="17"/>
          <w:color w:val="auto"/>
        </w:rPr>
      </w:pPr>
      <w:r>
        <w:rPr>
          <w:rFonts w:ascii="Arial" w:cs="Arial" w:eastAsia="Arial" w:hAnsi="Arial"/>
          <w:sz w:val="18"/>
          <w:szCs w:val="18"/>
          <w:color w:val="auto"/>
        </w:rPr>
        <w:t>231</w:t>
      </w:r>
    </w:p>
    <w:p>
      <w:pPr>
        <w:spacing w:after="0" w:line="9" w:lineRule="exact"/>
        <w:rPr>
          <w:sz w:val="20"/>
          <w:szCs w:val="20"/>
          <w:color w:val="auto"/>
        </w:rPr>
      </w:pPr>
    </w:p>
    <w:p>
      <w:pPr>
        <w:jc w:val="right"/>
        <w:ind w:right="4580"/>
        <w:spacing w:after="0"/>
        <w:rPr>
          <w:sz w:val="20"/>
          <w:szCs w:val="20"/>
          <w:color w:val="auto"/>
        </w:rPr>
      </w:pPr>
      <w:r>
        <w:rPr>
          <w:rFonts w:ascii="Arial" w:cs="Arial" w:eastAsia="Arial" w:hAnsi="Arial"/>
          <w:sz w:val="18"/>
          <w:szCs w:val="18"/>
          <w:color w:val="auto"/>
        </w:rPr>
        <w:t>(3,818)</w:t>
      </w:r>
    </w:p>
    <w:p>
      <w:pPr>
        <w:spacing w:after="0" w:line="35" w:lineRule="exact"/>
        <w:rPr>
          <w:sz w:val="20"/>
          <w:szCs w:val="20"/>
          <w:color w:val="auto"/>
        </w:rPr>
      </w:pPr>
    </w:p>
    <w:p>
      <w:pPr>
        <w:jc w:val="right"/>
        <w:ind w:right="464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1321" w:hanging="1321"/>
        <w:spacing w:after="0"/>
        <w:tabs>
          <w:tab w:leader="none" w:pos="1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9,413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979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979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649" w:lineRule="exact"/>
        <w:rPr>
          <w:sz w:val="20"/>
          <w:szCs w:val="20"/>
          <w:color w:val="auto"/>
        </w:rPr>
      </w:pPr>
    </w:p>
    <w:p>
      <w:pPr>
        <w:sectPr>
          <w:pgSz w:w="11900" w:h="16838" w:orient="portrait"/>
          <w:cols w:equalWidth="0" w:num="2">
            <w:col w:w="4500" w:space="559"/>
            <w:col w:w="6361"/>
          </w:cols>
          <w:pgMar w:left="240" w:top="692" w:right="239" w:bottom="1440" w:gutter="0" w:footer="0" w:header="0"/>
          <w:type w:val="continuous"/>
        </w:sectPr>
      </w:pPr>
    </w:p>
    <w:p>
      <w:pPr>
        <w:spacing w:after="0" w:line="58" w:lineRule="exact"/>
        <w:rPr>
          <w:sz w:val="20"/>
          <w:szCs w:val="20"/>
          <w:color w:val="auto"/>
        </w:rPr>
      </w:pPr>
    </w:p>
    <w:p>
      <w:pPr>
        <w:ind w:left="7700"/>
        <w:spacing w:after="0"/>
        <w:rPr>
          <w:sz w:val="20"/>
          <w:szCs w:val="20"/>
          <w:color w:val="auto"/>
        </w:rPr>
      </w:pP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31750</wp:posOffset>
            </wp:positionV>
            <wp:extent cx="13290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9055"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Remainder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Thereafter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minimum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9755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amount representing interest and interest paid-in-kind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Notes payable,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9755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 interest paid-in-kind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unamortized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Note payable and interest paid-in-kind, net of unamortized debt discount</w:t>
      </w:r>
    </w:p>
    <w:p>
      <w:pPr>
        <w:spacing w:after="0" w:line="266"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40" w:type="dxa"/>
            <w:vAlign w:val="bottom"/>
            <w:gridSpan w:val="2"/>
          </w:tcPr>
          <w:p>
            <w:pPr>
              <w:jc w:val="right"/>
              <w:ind w:right="665"/>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4,423</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4,424</w:t>
            </w:r>
          </w:p>
        </w:tc>
        <w:tc>
          <w:tcPr>
            <w:tcW w:w="6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19,634</w:t>
            </w:r>
          </w:p>
        </w:tc>
        <w:tc>
          <w:tcPr>
            <w:tcW w:w="60" w:type="dxa"/>
            <w:vAlign w:val="bottom"/>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(6,634)</w:t>
            </w:r>
          </w:p>
        </w:tc>
      </w:tr>
      <w:tr>
        <w:trPr>
          <w:trHeight w:val="202"/>
        </w:trPr>
        <w:tc>
          <w:tcPr>
            <w:tcW w:w="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13,000</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(3,818)</w:t>
            </w:r>
          </w:p>
        </w:tc>
      </w:tr>
      <w:tr>
        <w:trPr>
          <w:trHeight w:val="223"/>
        </w:trPr>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9,413</w:t>
            </w:r>
          </w:p>
        </w:tc>
        <w:tc>
          <w:tcPr>
            <w:tcW w:w="60" w:type="dxa"/>
            <w:vAlign w:val="bottom"/>
          </w:tcPr>
          <w:p>
            <w:pPr>
              <w:spacing w:after="0"/>
              <w:rPr>
                <w:sz w:val="19"/>
                <w:szCs w:val="19"/>
                <w:color w:val="auto"/>
              </w:rPr>
            </w:pPr>
          </w:p>
        </w:tc>
      </w:tr>
    </w:tbl>
    <w:p>
      <w:pPr>
        <w:sectPr>
          <w:pgSz w:w="11900" w:h="16838" w:orient="portrait"/>
          <w:cols w:equalWidth="0" w:num="2">
            <w:col w:w="6240" w:space="720"/>
            <w:col w:w="4460"/>
          </w:cols>
          <w:pgMar w:left="240" w:top="692"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9. STOCKHOLDERS’ EQUITY (DEFICIT)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2016, the Company entered into an underwriting agreement (the “Underwriting Agreement”) with National Securities Corporation (the “Representative”), as the representative of the several underwriters named therein (collectively, the “Underwriters”), pursuant to which the Company agreed to sell to the Underwriters, and the Underwriters agreed, severally and not jointly, to purchase from the Company, in a firm-commitment public offering (the “Offering”), 2,900,000 shares of the Company’s common stock and up to an additional 435,000 shares of the Company’s common stock within 45 days from the date of the Underwriting Agreement to cover over-allotments, if any. Pursuant to the terms of the Underwriting Agreement, the Underwriters sold the shares of Common Stock to the public at a public offering price of $3.60 per share. The Offering, including the Underwriters’ exercise of the over-allotment option, closed on March 16, 2016. Upon the closing of the Offering, the Company sold 3,335,000 shares of common stock and received net proceeds of $11,088, after deducting the underwriting discount and the offering expenses payable by the Company.</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November 2015, the Company entered into a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(the “Sales Agreement”) with Cantor Fitzgerald &amp; Co., as agent (“Cantor Fitzgerald”), pursuant to which the Company may offer and sell, from time to time through Cantor Fitzgerald, shares of our common stock having an aggregate offering price as set forth in the Sales Agreement and a related prospectus supplement filed with the Securities and Exchange Commission. The Company agreed to pay Cantor Fitzgerald a cash commission of 3.0% of the aggregate gross proceeds from each sale of shares under the Sales Agreement. In March 2016, in connection with the Offering, the Company reduced the amount available for sale pursuant to the Sales Agreement with Cantor Fitzgerald to shares of its common stock having an aggregate offering price of $2,625. There were no sales of stock under the Sales Agreement during the six months ended June 30, 2016, leaving an aggregate of $2,096 available for future sales of shares thereunder as of June 30, 2016.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2016, 200,000 shares of the Company’s common stock underlying RSUs issued to its CEO, Mark L. Baum vested, but delivery of these shares has not yet occurred.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2016, we issued 75,000 shares of the Company’s common stock, with a fair value of $302, as a contingent payment related to the acquisition of PC (defined below) (see also Note 11).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2016, 19,317 shares of the Company’s common stock underlying RSUs issued to directors vested, but the issuance and delivery of these shares are deferred until the director resigns.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2016, the Company issued a total of 15,000 shares of common stock as a result of option exercises. The Company received $55 in cash proceeds for the issuance of the shares of common stock upon the exercise pursuant to exercise provisions of stock options to purchase 15,000 shares of common stock with exercise price of $3.68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June 30, 2016, the Company had 5,000,000 shares of preferred stock, $0.001 par value, authorized and no shares of preferred stock issued and outstanding.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“Plan”). As of June 30, 2016, the Plan provides for the issuance of a maximum of 5,000,000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restricted stock units and restricted stock. The Plan is administered by the Compensation Committee of the Company’s Board of Directors.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60" w:type="dxa"/>
            <w:vAlign w:val="bottom"/>
            <w:gridSpan w:val="7"/>
          </w:tcPr>
          <w:p>
            <w:pPr>
              <w:spacing w:after="0"/>
              <w:rPr>
                <w:sz w:val="20"/>
                <w:szCs w:val="20"/>
                <w:color w:val="auto"/>
              </w:rPr>
            </w:pPr>
            <w:r>
              <w:rPr>
                <w:rFonts w:ascii="Arial" w:cs="Arial" w:eastAsia="Arial" w:hAnsi="Arial"/>
                <w:sz w:val="18"/>
                <w:szCs w:val="18"/>
                <w:color w:val="auto"/>
                <w:w w:val="98"/>
              </w:rPr>
              <w:t>A summary of stock option activity under the Plan for the six months ended June 30, 2016 is as follows:</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Weighted Avg.</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Weighted Avg.</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Aggregate Intrinsic</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Number of 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Contractual Life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2016</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1,544,026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Options granted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412,850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(47,441)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8.03</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June 30, 2016</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1,894,435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w:t>
            </w:r>
          </w:p>
        </w:tc>
        <w:tc>
          <w:tcPr>
            <w:tcW w:w="15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w:t>
            </w:r>
          </w:p>
        </w:tc>
        <w:tc>
          <w:tcPr>
            <w:tcW w:w="420" w:type="dxa"/>
            <w:vAlign w:val="bottom"/>
            <w:tcBorders>
              <w:top w:val="single" w:sz="8" w:color="CCEEFF"/>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6.34</w:t>
            </w:r>
          </w:p>
        </w:tc>
        <w:tc>
          <w:tcPr>
            <w:tcW w:w="15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5.88</w:t>
            </w:r>
          </w:p>
        </w:tc>
        <w:tc>
          <w:tcPr>
            <w:tcW w:w="42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724,072</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gridSpan w:val="2"/>
            <w:vMerge w:val="continue"/>
          </w:tcPr>
          <w:p>
            <w:pPr>
              <w:spacing w:after="0"/>
              <w:rPr>
                <w:sz w:val="20"/>
                <w:szCs w:val="20"/>
                <w:color w:val="auto"/>
              </w:rPr>
            </w:pPr>
          </w:p>
        </w:tc>
        <w:tc>
          <w:tcPr>
            <w:tcW w:w="1580" w:type="dxa"/>
            <w:vAlign w:val="bottom"/>
            <w:tcBorders>
              <w:bottom w:val="single" w:sz="8" w:color="CCEEFF"/>
            </w:tcBorders>
            <w:gridSpan w:val="2"/>
            <w:vMerge w:val="continue"/>
          </w:tcPr>
          <w:p>
            <w:pPr>
              <w:spacing w:after="0"/>
              <w:rPr>
                <w:sz w:val="20"/>
                <w:szCs w:val="20"/>
                <w:color w:val="auto"/>
              </w:rPr>
            </w:pPr>
          </w:p>
        </w:tc>
        <w:tc>
          <w:tcPr>
            <w:tcW w:w="420" w:type="dxa"/>
            <w:vAlign w:val="bottom"/>
            <w:tcBorders>
              <w:bottom w:val="single" w:sz="8" w:color="CCEEFF"/>
            </w:tcBorders>
            <w:gridSpan w:val="2"/>
            <w:vMerge w:val="continue"/>
          </w:tcPr>
          <w:p>
            <w:pPr>
              <w:spacing w:after="0"/>
              <w:rPr>
                <w:sz w:val="20"/>
                <w:szCs w:val="20"/>
                <w:color w:val="auto"/>
              </w:rPr>
            </w:pPr>
          </w:p>
        </w:tc>
        <w:tc>
          <w:tcPr>
            <w:tcW w:w="12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1,777,399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gridSpan w:val="2"/>
            <w:shd w:val="clear" w:color="auto" w:fill="CCEEFF"/>
          </w:tcPr>
          <w:p>
            <w:pPr>
              <w:jc w:val="right"/>
              <w:ind w:right="220"/>
              <w:spacing w:after="0" w:line="190" w:lineRule="exact"/>
              <w:rPr>
                <w:sz w:val="20"/>
                <w:szCs w:val="20"/>
                <w:color w:val="auto"/>
              </w:rPr>
            </w:pPr>
            <w:r>
              <w:rPr>
                <w:rFonts w:ascii="Arial" w:cs="Arial" w:eastAsia="Arial" w:hAnsi="Arial"/>
                <w:sz w:val="18"/>
                <w:szCs w:val="18"/>
                <w:color w:val="auto"/>
              </w:rPr>
              <w:t>6.37</w:t>
            </w:r>
          </w:p>
        </w:tc>
        <w:tc>
          <w:tcPr>
            <w:tcW w:w="1580" w:type="dxa"/>
            <w:vAlign w:val="bottom"/>
            <w:tcBorders>
              <w:bottom w:val="single" w:sz="8" w:color="CCEEFF"/>
            </w:tcBorders>
            <w:gridSpan w:val="2"/>
            <w:shd w:val="clear" w:color="auto" w:fill="CCEEFF"/>
          </w:tcPr>
          <w:p>
            <w:pPr>
              <w:jc w:val="right"/>
              <w:ind w:right="120"/>
              <w:spacing w:after="0" w:line="190" w:lineRule="exact"/>
              <w:rPr>
                <w:sz w:val="20"/>
                <w:szCs w:val="20"/>
                <w:color w:val="auto"/>
              </w:rPr>
            </w:pPr>
            <w:r>
              <w:rPr>
                <w:rFonts w:ascii="Arial" w:cs="Arial" w:eastAsia="Arial" w:hAnsi="Arial"/>
                <w:sz w:val="18"/>
                <w:szCs w:val="18"/>
                <w:color w:val="auto"/>
              </w:rPr>
              <w:t>6.34</w:t>
            </w:r>
          </w:p>
        </w:tc>
        <w:tc>
          <w:tcPr>
            <w:tcW w:w="420" w:type="dxa"/>
            <w:vAlign w:val="bottom"/>
            <w:tcBorders>
              <w:bottom w:val="single" w:sz="8" w:color="CCEEFF"/>
            </w:tcBorders>
            <w:gridSpan w:val="2"/>
            <w:shd w:val="clear" w:color="auto" w:fill="CCEEFF"/>
          </w:tcPr>
          <w:p>
            <w:pPr>
              <w:jc w:val="right"/>
              <w:ind w:right="150"/>
              <w:spacing w:after="0" w:line="19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June 30, 2016, based on the closing price of the Company’s common stock of $3.76 on that date. The aggregate intrinsic value of stock options exercised during the six months ended June 30, 2016 was approximately $29.</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six months ended June 30, 2016, the Company granted stock options to certain employees and consultants.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six months ended June 30, 2016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volatility is based on the historical volatilities of the common stock of the Company and comparable publicly traded companies based on the Company’s belief that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5.81 - 6.11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101 - 107%</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1.22 - 1.70%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consultants: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48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June 30,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Options Outstanding</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6"/>
          </w:tcPr>
          <w:p>
            <w:pPr>
              <w:ind w:left="840"/>
              <w:spacing w:after="0"/>
              <w:rPr>
                <w:sz w:val="20"/>
                <w:szCs w:val="20"/>
                <w:color w:val="auto"/>
              </w:rPr>
            </w:pPr>
            <w:r>
              <w:rPr>
                <w:rFonts w:ascii="Arial" w:cs="Arial" w:eastAsia="Arial" w:hAnsi="Arial"/>
                <w:sz w:val="18"/>
                <w:szCs w:val="18"/>
                <w:color w:val="auto"/>
              </w:rPr>
              <w:t>Options Exercisable</w:t>
            </w:r>
          </w:p>
        </w:tc>
      </w:tr>
      <w:tr>
        <w:trPr>
          <w:trHeight w:val="202"/>
        </w:trPr>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jc w:val="center"/>
              <w:ind w:right="100"/>
              <w:spacing w:after="0" w:line="201" w:lineRule="exact"/>
              <w:rPr>
                <w:sz w:val="20"/>
                <w:szCs w:val="20"/>
                <w:color w:val="auto"/>
              </w:rPr>
            </w:pPr>
            <w:r>
              <w:rPr>
                <w:rFonts w:ascii="Arial" w:cs="Arial" w:eastAsia="Arial" w:hAnsi="Arial"/>
                <w:sz w:val="18"/>
                <w:szCs w:val="18"/>
                <w:color w:val="auto"/>
                <w:w w:val="89"/>
              </w:rPr>
              <w:t>Weighted</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Weighted</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Weighted</w:t>
            </w: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Average</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w w:val="98"/>
              </w:rPr>
              <w:t>Range of</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Number</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Exercise</w:t>
            </w:r>
          </w:p>
        </w:tc>
        <w:tc>
          <w:tcPr>
            <w:tcW w:w="15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Number</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w w:val="90"/>
              </w:rPr>
              <w:t>Exercise Prices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Life in Years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Price</w:t>
            </w:r>
          </w:p>
        </w:tc>
        <w:tc>
          <w:tcPr>
            <w:tcW w:w="156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Exercisable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Price</w:t>
            </w:r>
          </w:p>
        </w:tc>
      </w:tr>
      <w:tr>
        <w:trPr>
          <w:trHeight w:val="216"/>
        </w:trPr>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w w:val="79"/>
              </w:rPr>
              <w:t>5.58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3.96</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 $4.50</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588,623</w:t>
            </w:r>
          </w:p>
        </w:tc>
        <w:tc>
          <w:tcPr>
            <w:tcW w:w="1780" w:type="dxa"/>
            <w:vAlign w:val="bottom"/>
            <w:gridSpan w:val="2"/>
          </w:tcPr>
          <w:p>
            <w:pPr>
              <w:ind w:left="1360"/>
              <w:spacing w:after="0"/>
              <w:rPr>
                <w:sz w:val="20"/>
                <w:szCs w:val="20"/>
                <w:color w:val="auto"/>
              </w:rPr>
            </w:pPr>
            <w:r>
              <w:rPr>
                <w:rFonts w:ascii="Arial" w:cs="Arial" w:eastAsia="Arial" w:hAnsi="Arial"/>
                <w:sz w:val="18"/>
                <w:szCs w:val="18"/>
                <w:color w:val="auto"/>
              </w:rPr>
              <w:t>7.84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4.07</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162,754</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$7.99</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954,415</w:t>
            </w:r>
          </w:p>
        </w:tc>
        <w:tc>
          <w:tcPr>
            <w:tcW w:w="17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5.52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7.54</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223,924</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8.06</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 $8.99</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221,367</w:t>
            </w:r>
          </w:p>
        </w:tc>
        <w:tc>
          <w:tcPr>
            <w:tcW w:w="1780" w:type="dxa"/>
            <w:vAlign w:val="bottom"/>
            <w:gridSpan w:val="2"/>
          </w:tcPr>
          <w:p>
            <w:pPr>
              <w:ind w:left="1360"/>
              <w:spacing w:after="0"/>
              <w:rPr>
                <w:sz w:val="20"/>
                <w:szCs w:val="20"/>
                <w:color w:val="auto"/>
              </w:rPr>
            </w:pPr>
            <w:r>
              <w:rPr>
                <w:rFonts w:ascii="Arial" w:cs="Arial" w:eastAsia="Arial" w:hAnsi="Arial"/>
                <w:sz w:val="18"/>
                <w:szCs w:val="18"/>
                <w:color w:val="auto"/>
              </w:rPr>
              <w:t>6.47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8.90</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207,364</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8.94</w:t>
            </w:r>
          </w:p>
        </w:tc>
      </w:tr>
      <w:tr>
        <w:trPr>
          <w:trHeight w:val="250"/>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42.80</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5,030</w:t>
            </w:r>
          </w:p>
        </w:tc>
        <w:tc>
          <w:tcPr>
            <w:tcW w:w="17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4.12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42.80</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5,030</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r>
      <w:tr>
        <w:trPr>
          <w:trHeight w:val="217"/>
        </w:trPr>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1,894,435</w:t>
            </w:r>
          </w:p>
        </w:tc>
        <w:tc>
          <w:tcPr>
            <w:tcW w:w="2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gridSpan w:val="2"/>
          </w:tcPr>
          <w:p>
            <w:pPr>
              <w:ind w:left="1360"/>
              <w:spacing w:after="0"/>
              <w:rPr>
                <w:sz w:val="20"/>
                <w:szCs w:val="20"/>
                <w:color w:val="auto"/>
              </w:rPr>
            </w:pPr>
            <w:r>
              <w:rPr>
                <w:rFonts w:ascii="Arial" w:cs="Arial" w:eastAsia="Arial" w:hAnsi="Arial"/>
                <w:sz w:val="18"/>
                <w:szCs w:val="18"/>
                <w:color w:val="auto"/>
              </w:rPr>
              <w:t>6.35</w:t>
            </w:r>
          </w:p>
        </w:tc>
        <w:tc>
          <w:tcPr>
            <w:tcW w:w="340" w:type="dxa"/>
            <w:vAlign w:val="bottom"/>
            <w:tcBorders>
              <w:top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6.37</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724,072</w:t>
            </w:r>
          </w:p>
        </w:tc>
        <w:tc>
          <w:tcPr>
            <w:tcW w:w="20" w:type="dxa"/>
            <w:vAlign w:val="bottom"/>
            <w:tcBorders>
              <w:top w:val="single" w:sz="8" w:color="CCEEFF"/>
              <w:bottom w:val="single" w:sz="8" w:color="auto"/>
            </w:tcBorders>
          </w:tcPr>
          <w:p>
            <w:pPr>
              <w:spacing w:after="0"/>
              <w:rPr>
                <w:sz w:val="18"/>
                <w:szCs w:val="18"/>
                <w:color w:val="auto"/>
              </w:rPr>
            </w:pPr>
          </w:p>
        </w:tc>
        <w:tc>
          <w:tcPr>
            <w:tcW w:w="380" w:type="dxa"/>
            <w:vAlign w:val="bottom"/>
            <w:tcBorders>
              <w:top w:val="single" w:sz="8" w:color="CCEEFF"/>
            </w:tcBorders>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6.34</w:t>
            </w:r>
          </w:p>
        </w:tc>
      </w:tr>
      <w:tr>
        <w:trPr>
          <w:trHeight w:val="20"/>
        </w:trPr>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2016, there was approximately $5,155 of total unrecognized compensation expense related to unvested stock options granted under the Plan. That expense is expected to be recognized over the weighted-average remaining vesting period of 3.4 years. The stock-based compensation for all stock options was $643 and $1,301 during the three and six months ended June 30,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jc w:val="both"/>
        <w:spacing w:after="0" w:line="272" w:lineRule="auto"/>
        <w:rPr>
          <w:sz w:val="20"/>
          <w:szCs w:val="20"/>
          <w:color w:val="auto"/>
        </w:rPr>
      </w:pPr>
      <w:r>
        <w:rPr>
          <w:rFonts w:ascii="Arial" w:cs="Arial" w:eastAsia="Arial" w:hAnsi="Arial"/>
          <w:sz w:val="17"/>
          <w:szCs w:val="17"/>
          <w:color w:val="auto"/>
        </w:rPr>
        <w:t>In April 2016, the Company granted performance-based RSU awards to its CEO, Mark L. Baum, of up to 1,050,000 performance stock units and to its CFO, Andrew R. Boll, of up to 157,500 performance units. The performance stock units will vest on the fifth anniversary of the grant date, subject to Mr. Baum’s and Mr. Boll’s continued employment with the Company, respectively, and may vest earlier if the Company achieves and maintains certain stock price targets during the five year period following the grant date or upon a change in control if the performance-based equity award is not assumed, continued or substituted for by the acquiring entity. The market-based accelerated vesting criteria are broken into five equal tranches and require that the Company achieve and maintain certain stock price targets ranging from $9 per share to $15 per share during the five-year period following the grant date. These market-based accelerated vesting conditions and share amounts (in aggregate) are set forth below:</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80" w:type="dxa"/>
            <w:vAlign w:val="bottom"/>
            <w:gridSpan w:val="3"/>
          </w:tcPr>
          <w:p>
            <w:pPr>
              <w:jc w:val="right"/>
              <w:ind w:right="2350"/>
              <w:spacing w:after="0"/>
              <w:rPr>
                <w:sz w:val="20"/>
                <w:szCs w:val="20"/>
                <w:color w:val="auto"/>
              </w:rPr>
            </w:pPr>
            <w:r>
              <w:rPr>
                <w:rFonts w:ascii="Arial" w:cs="Arial" w:eastAsia="Arial" w:hAnsi="Arial"/>
                <w:sz w:val="18"/>
                <w:szCs w:val="18"/>
                <w:color w:val="auto"/>
                <w:w w:val="93"/>
              </w:rPr>
              <w:t>Tranche</w:t>
            </w:r>
          </w:p>
        </w:tc>
        <w:tc>
          <w:tcPr>
            <w:tcW w:w="2720" w:type="dxa"/>
            <w:vAlign w:val="bottom"/>
          </w:tcPr>
          <w:p>
            <w:pPr>
              <w:ind w:left="120"/>
              <w:spacing w:after="0"/>
              <w:rPr>
                <w:sz w:val="20"/>
                <w:szCs w:val="20"/>
                <w:color w:val="auto"/>
              </w:rPr>
            </w:pPr>
            <w:r>
              <w:rPr>
                <w:rFonts w:ascii="Arial" w:cs="Arial" w:eastAsia="Arial" w:hAnsi="Arial"/>
                <w:sz w:val="18"/>
                <w:szCs w:val="18"/>
                <w:color w:val="auto"/>
              </w:rPr>
              <w:t>Number of shares</w:t>
            </w:r>
          </w:p>
        </w:tc>
        <w:tc>
          <w:tcPr>
            <w:tcW w:w="260" w:type="dxa"/>
            <w:vAlign w:val="bottom"/>
          </w:tcPr>
          <w:p>
            <w:pPr>
              <w:spacing w:after="0"/>
              <w:rPr>
                <w:sz w:val="20"/>
                <w:szCs w:val="20"/>
                <w:color w:val="auto"/>
              </w:rPr>
            </w:pPr>
          </w:p>
        </w:tc>
        <w:tc>
          <w:tcPr>
            <w:tcW w:w="2280" w:type="dxa"/>
            <w:vAlign w:val="bottom"/>
          </w:tcPr>
          <w:p>
            <w:pPr>
              <w:ind w:left="500"/>
              <w:spacing w:after="0"/>
              <w:rPr>
                <w:sz w:val="20"/>
                <w:szCs w:val="20"/>
                <w:color w:val="auto"/>
              </w:rPr>
            </w:pPr>
            <w:r>
              <w:rPr>
                <w:rFonts w:ascii="Arial" w:cs="Arial" w:eastAsia="Arial" w:hAnsi="Arial"/>
                <w:sz w:val="18"/>
                <w:szCs w:val="18"/>
                <w:color w:val="auto"/>
              </w:rPr>
              <w:t>Target share price</w:t>
            </w:r>
          </w:p>
        </w:tc>
      </w:tr>
      <w:tr>
        <w:trPr>
          <w:trHeight w:val="216"/>
        </w:trPr>
        <w:tc>
          <w:tcPr>
            <w:tcW w:w="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Tranche 1</w:t>
            </w:r>
          </w:p>
        </w:tc>
        <w:tc>
          <w:tcPr>
            <w:tcW w:w="1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3"/>
              </w:rPr>
              <w:t>230,000 shares</w:t>
            </w:r>
          </w:p>
        </w:tc>
        <w:tc>
          <w:tcPr>
            <w:tcW w:w="2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$9.00 or greater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93"/>
              </w:rPr>
              <w:t>Tranche 2</w:t>
            </w:r>
          </w:p>
        </w:tc>
        <w:tc>
          <w:tcPr>
            <w:tcW w:w="1520" w:type="dxa"/>
            <w:vAlign w:val="bottom"/>
          </w:tcPr>
          <w:p>
            <w:pPr>
              <w:spacing w:after="0"/>
              <w:rPr>
                <w:sz w:val="18"/>
                <w:szCs w:val="18"/>
                <w:color w:val="auto"/>
              </w:rPr>
            </w:pP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230,000 shares</w:t>
            </w:r>
          </w:p>
        </w:tc>
        <w:tc>
          <w:tcPr>
            <w:tcW w:w="2720" w:type="dxa"/>
            <w:vAlign w:val="bottom"/>
          </w:tcPr>
          <w:p>
            <w:pPr>
              <w:spacing w:after="0"/>
              <w:rPr>
                <w:sz w:val="18"/>
                <w:szCs w:val="18"/>
                <w:color w:val="auto"/>
              </w:rPr>
            </w:pPr>
          </w:p>
        </w:tc>
        <w:tc>
          <w:tcPr>
            <w:tcW w:w="2540" w:type="dxa"/>
            <w:vAlign w:val="bottom"/>
            <w:gridSpan w:val="2"/>
          </w:tcPr>
          <w:p>
            <w:pPr>
              <w:ind w:left="260"/>
              <w:spacing w:after="0"/>
              <w:rPr>
                <w:sz w:val="20"/>
                <w:szCs w:val="20"/>
                <w:color w:val="auto"/>
              </w:rPr>
            </w:pPr>
            <w:r>
              <w:rPr>
                <w:rFonts w:ascii="Arial" w:cs="Arial" w:eastAsia="Arial" w:hAnsi="Arial"/>
                <w:sz w:val="18"/>
                <w:szCs w:val="18"/>
                <w:color w:val="auto"/>
              </w:rPr>
              <w:t>$10.00 or greater</w:t>
            </w: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3"/>
              </w:rPr>
              <w:t>Tranche 3</w:t>
            </w:r>
          </w:p>
        </w:tc>
        <w:tc>
          <w:tcPr>
            <w:tcW w:w="15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230,000 shares</w:t>
            </w:r>
          </w:p>
        </w:tc>
        <w:tc>
          <w:tcPr>
            <w:tcW w:w="27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$12.00 or greater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93"/>
              </w:rPr>
              <w:t>Tranche 4</w:t>
            </w:r>
          </w:p>
        </w:tc>
        <w:tc>
          <w:tcPr>
            <w:tcW w:w="1520" w:type="dxa"/>
            <w:vAlign w:val="bottom"/>
          </w:tcPr>
          <w:p>
            <w:pPr>
              <w:spacing w:after="0"/>
              <w:rPr>
                <w:sz w:val="18"/>
                <w:szCs w:val="18"/>
                <w:color w:val="auto"/>
              </w:rPr>
            </w:pP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230,000 shares</w:t>
            </w:r>
          </w:p>
        </w:tc>
        <w:tc>
          <w:tcPr>
            <w:tcW w:w="2720" w:type="dxa"/>
            <w:vAlign w:val="bottom"/>
          </w:tcPr>
          <w:p>
            <w:pPr>
              <w:spacing w:after="0"/>
              <w:rPr>
                <w:sz w:val="18"/>
                <w:szCs w:val="18"/>
                <w:color w:val="auto"/>
              </w:rPr>
            </w:pPr>
          </w:p>
        </w:tc>
        <w:tc>
          <w:tcPr>
            <w:tcW w:w="2540" w:type="dxa"/>
            <w:vAlign w:val="bottom"/>
            <w:gridSpan w:val="2"/>
          </w:tcPr>
          <w:p>
            <w:pPr>
              <w:ind w:left="260"/>
              <w:spacing w:after="0"/>
              <w:rPr>
                <w:sz w:val="20"/>
                <w:szCs w:val="20"/>
                <w:color w:val="auto"/>
              </w:rPr>
            </w:pPr>
            <w:r>
              <w:rPr>
                <w:rFonts w:ascii="Arial" w:cs="Arial" w:eastAsia="Arial" w:hAnsi="Arial"/>
                <w:sz w:val="18"/>
                <w:szCs w:val="18"/>
                <w:color w:val="auto"/>
              </w:rPr>
              <w:t>$14.00 or greater</w:t>
            </w: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3"/>
              </w:rPr>
              <w:t>Tranche 5</w:t>
            </w:r>
          </w:p>
        </w:tc>
        <w:tc>
          <w:tcPr>
            <w:tcW w:w="15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287,500 shares</w:t>
            </w:r>
          </w:p>
        </w:tc>
        <w:tc>
          <w:tcPr>
            <w:tcW w:w="27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$15.00 or greater</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the executive must be in service with the Company through the date of vesting.</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Concurrent with the issuance of the performance-based restricted stock unit awards, Mr. Baum agreed to forfeit 1,050,000 RSUs subject to performance-based vesting granted to him in May 2013 and Mr. Boll agreed to forfeit 157,500 RSUs subject to performance-based vesting granted to him in February 2015. As a result, the issuance of the performance-based RSUs awarded in April 2016 have been treated as modifications of the RSUs granted to Mr. Baum in May 2013 and Mr. Boll in February 2015 for accounting purposes. The Company used a lattice binomial model to estimate a derived service period of 33 months related to the performance-based vesting grants and used the following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Market price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Contractual terms (in years)</w:t>
            </w:r>
          </w:p>
        </w:tc>
        <w:tc>
          <w:tcPr>
            <w:tcW w:w="48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six months ended June 30, 2016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 Average Grant</w:t>
            </w:r>
          </w:p>
        </w:tc>
      </w:tr>
      <w:tr>
        <w:trPr>
          <w:trHeight w:val="237"/>
        </w:trPr>
        <w:tc>
          <w:tcPr>
            <w:tcW w:w="5980" w:type="dxa"/>
            <w:vAlign w:val="bottom"/>
          </w:tcPr>
          <w:p>
            <w:pPr>
              <w:spacing w:after="0"/>
              <w:rPr>
                <w:sz w:val="20"/>
                <w:szCs w:val="20"/>
                <w:color w:val="auto"/>
              </w:rPr>
            </w:pPr>
          </w:p>
        </w:tc>
        <w:tc>
          <w:tcPr>
            <w:tcW w:w="2140" w:type="dxa"/>
            <w:vAlign w:val="bottom"/>
            <w:gridSpan w:val="2"/>
          </w:tcPr>
          <w:p>
            <w:pPr>
              <w:jc w:val="right"/>
              <w:ind w:right="540"/>
              <w:spacing w:after="0"/>
              <w:rPr>
                <w:sz w:val="20"/>
                <w:szCs w:val="20"/>
                <w:color w:val="auto"/>
              </w:rPr>
            </w:pPr>
            <w:r>
              <w:rPr>
                <w:rFonts w:ascii="Arial" w:cs="Arial" w:eastAsia="Arial" w:hAnsi="Arial"/>
                <w:sz w:val="18"/>
                <w:szCs w:val="18"/>
                <w:color w:val="auto"/>
              </w:rPr>
              <w:t>Number of RSUs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Date Fair Value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2016</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1,487,961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RSUs 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1,270,950</w:t>
            </w:r>
          </w:p>
        </w:tc>
        <w:tc>
          <w:tcPr>
            <w:tcW w:w="180" w:type="dxa"/>
            <w:vAlign w:val="bottom"/>
          </w:tcPr>
          <w:p>
            <w:pPr>
              <w:spacing w:after="0"/>
              <w:rPr>
                <w:sz w:val="18"/>
                <w:szCs w:val="18"/>
                <w:color w:val="auto"/>
              </w:rPr>
            </w:pP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2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(219,317)</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RSUs cancelled/forfeit</w:t>
            </w:r>
          </w:p>
        </w:tc>
        <w:tc>
          <w:tcPr>
            <w:tcW w:w="2140" w:type="dxa"/>
            <w:vAlign w:val="bottom"/>
            <w:gridSpan w:val="2"/>
          </w:tcPr>
          <w:p>
            <w:pPr>
              <w:jc w:val="right"/>
              <w:ind w:right="120"/>
              <w:spacing w:after="0"/>
              <w:rPr>
                <w:sz w:val="20"/>
                <w:szCs w:val="20"/>
                <w:color w:val="auto"/>
              </w:rPr>
            </w:pPr>
            <w:r>
              <w:rPr>
                <w:rFonts w:ascii="Arial" w:cs="Arial" w:eastAsia="Arial" w:hAnsi="Arial"/>
                <w:sz w:val="18"/>
                <w:szCs w:val="18"/>
                <w:color w:val="auto"/>
              </w:rPr>
              <w:t>(1,207,500)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r>
      <w:tr>
        <w:trPr>
          <w:trHeight w:val="23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June 30, 2016</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1,332,094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2016, the total unrecognized compensation expense related to unvested RSUs was approximately $3,874, which is expected to be recognized over a weighted-average period of 2.2 years, based on estimated and actual vesting schedules of the applicable RSUs. The stock-based compensation for RSUs during the three and six months ended June 30, 2016 was $518 and $924,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(see Note 8), underwriters and other non-employees for services rendered or to be rendered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warrant activity for the six months ended June 30, 2016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w w:val="89"/>
              </w:rPr>
              <w:t>Number of Shares Subject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Weighted Avg. Exercise</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w w:val="94"/>
              </w:rPr>
              <w:t>to Warrants Outstanding</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 January 1, 2016</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240,688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Expired/forfeited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-June 30, 2016</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240,688</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remaining contractual life of the outstanding warrants in</w:t>
            </w:r>
          </w:p>
        </w:tc>
        <w:tc>
          <w:tcPr>
            <w:tcW w:w="1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980" w:type="dxa"/>
            <w:vAlign w:val="bottom"/>
            <w:vMerge w:val="continue"/>
          </w:tcPr>
          <w:p>
            <w:pPr>
              <w:spacing w:after="0"/>
              <w:rPr>
                <w:sz w:val="13"/>
                <w:szCs w:val="13"/>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5.49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years -June 30, 2016</w:t>
            </w:r>
          </w:p>
        </w:tc>
        <w:tc>
          <w:tcPr>
            <w:tcW w:w="196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warrant is estimated on the date of grant using the Black-Scholes-Merton option pricing model.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list of the warrants outstanding as of June 30, 2016 is included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w w:val="91"/>
              </w:rPr>
              <w:t>Warrants Outstanding</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gridSpan w:val="5"/>
          </w:tcPr>
          <w:p>
            <w:pPr>
              <w:ind w:left="920"/>
              <w:spacing w:after="0"/>
              <w:rPr>
                <w:sz w:val="20"/>
                <w:szCs w:val="20"/>
                <w:color w:val="auto"/>
              </w:rPr>
            </w:pPr>
            <w:r>
              <w:rPr>
                <w:rFonts w:ascii="Arial" w:cs="Arial" w:eastAsia="Arial" w:hAnsi="Arial"/>
                <w:sz w:val="18"/>
                <w:szCs w:val="18"/>
                <w:color w:val="auto"/>
              </w:rPr>
              <w:t>Warrants Exercisable</w:t>
            </w:r>
          </w:p>
        </w:tc>
      </w:tr>
      <w:tr>
        <w:trPr>
          <w:trHeight w:val="215"/>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0"/>
              </w:rPr>
              <w:t>Warrants</w:t>
            </w: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89"/>
              </w:rPr>
              <w:t>Exercise</w:t>
            </w:r>
          </w:p>
        </w:tc>
        <w:tc>
          <w:tcPr>
            <w:tcW w:w="120" w:type="dxa"/>
            <w:vAlign w:val="bottom"/>
          </w:tcPr>
          <w:p>
            <w:pPr>
              <w:spacing w:after="0"/>
              <w:rPr>
                <w:sz w:val="18"/>
                <w:szCs w:val="18"/>
                <w:color w:val="auto"/>
              </w:rPr>
            </w:pPr>
          </w:p>
        </w:tc>
        <w:tc>
          <w:tcPr>
            <w:tcW w:w="160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7"/>
              </w:rPr>
              <w:t>Warrants</w:t>
            </w: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8"/>
                <w:szCs w:val="18"/>
                <w:color w:val="auto"/>
              </w:rPr>
            </w:pPr>
          </w:p>
        </w:tc>
      </w:tr>
      <w:tr>
        <w:trPr>
          <w:trHeight w:val="237"/>
        </w:trPr>
        <w:tc>
          <w:tcPr>
            <w:tcW w:w="2640" w:type="dxa"/>
            <w:vAlign w:val="bottom"/>
            <w:gridSpan w:val="2"/>
          </w:tcPr>
          <w:p>
            <w:pPr>
              <w:spacing w:after="0"/>
              <w:rPr>
                <w:sz w:val="20"/>
                <w:szCs w:val="20"/>
                <w:color w:val="auto"/>
              </w:rPr>
            </w:pPr>
            <w:r>
              <w:rPr>
                <w:rFonts w:ascii="Arial" w:cs="Arial" w:eastAsia="Arial" w:hAnsi="Arial"/>
                <w:sz w:val="18"/>
                <w:szCs w:val="18"/>
                <w:color w:val="auto"/>
              </w:rPr>
              <w:t>Warrant Series</w:t>
            </w:r>
          </w:p>
        </w:tc>
        <w:tc>
          <w:tcPr>
            <w:tcW w:w="1600" w:type="dxa"/>
            <w:vAlign w:val="bottom"/>
            <w:gridSpan w:val="2"/>
          </w:tcPr>
          <w:p>
            <w:pPr>
              <w:ind w:left="360"/>
              <w:spacing w:after="0"/>
              <w:rPr>
                <w:sz w:val="20"/>
                <w:szCs w:val="20"/>
                <w:color w:val="auto"/>
              </w:rPr>
            </w:pPr>
            <w:r>
              <w:rPr>
                <w:rFonts w:ascii="Arial" w:cs="Arial" w:eastAsia="Arial" w:hAnsi="Arial"/>
                <w:sz w:val="18"/>
                <w:szCs w:val="18"/>
                <w:color w:val="auto"/>
              </w:rPr>
              <w:t>Issue Date</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Outstanding</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center"/>
              <w:ind w:right="540"/>
              <w:spacing w:after="0"/>
              <w:rPr>
                <w:sz w:val="20"/>
                <w:szCs w:val="20"/>
                <w:color w:val="auto"/>
              </w:rPr>
            </w:pPr>
            <w:r>
              <w:rPr>
                <w:rFonts w:ascii="Arial" w:cs="Arial" w:eastAsia="Arial" w:hAnsi="Arial"/>
                <w:sz w:val="18"/>
                <w:szCs w:val="18"/>
                <w:color w:val="auto"/>
                <w:w w:val="87"/>
              </w:rPr>
              <w:t>Price</w:t>
            </w:r>
          </w:p>
        </w:tc>
        <w:tc>
          <w:tcPr>
            <w:tcW w:w="16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Exercisable</w:t>
            </w:r>
          </w:p>
        </w:tc>
        <w:tc>
          <w:tcPr>
            <w:tcW w:w="2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w:t>
            </w:r>
          </w:p>
        </w:tc>
      </w:tr>
      <w:tr>
        <w:trPr>
          <w:trHeight w:val="216"/>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 (see Note 8)</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5/11/2015</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5/11/2025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Underwriter Warrants</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2/7/2013</w:t>
            </w:r>
          </w:p>
        </w:tc>
        <w:tc>
          <w:tcPr>
            <w:tcW w:w="12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55,688</w:t>
            </w:r>
          </w:p>
        </w:tc>
        <w:tc>
          <w:tcPr>
            <w:tcW w:w="340" w:type="dxa"/>
            <w:vAlign w:val="bottom"/>
            <w:gridSpan w:val="2"/>
          </w:tcPr>
          <w:p>
            <w:pPr>
              <w:jc w:val="right"/>
              <w:ind w:right="145"/>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55,688</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2/7/2018</w:t>
            </w:r>
          </w:p>
        </w:tc>
      </w:tr>
      <w:tr>
        <w:trPr>
          <w:trHeight w:val="202"/>
        </w:trPr>
        <w:tc>
          <w:tcPr>
            <w:tcW w:w="2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Warrants issued to investor</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4"/>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relations consultant</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7/19/2013</w:t>
            </w:r>
          </w:p>
        </w:tc>
        <w:tc>
          <w:tcPr>
            <w:tcW w:w="1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60,000</w:t>
            </w:r>
          </w:p>
        </w:tc>
        <w:tc>
          <w:tcPr>
            <w:tcW w:w="3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7/19/2018</w:t>
            </w:r>
          </w:p>
        </w:tc>
      </w:tr>
      <w:tr>
        <w:trPr>
          <w:trHeight w:val="217"/>
        </w:trPr>
        <w:tc>
          <w:tcPr>
            <w:tcW w:w="2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240,688</w:t>
            </w: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jc w:val="right"/>
              <w:ind w:right="145"/>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5.20</w:t>
            </w:r>
          </w:p>
        </w:tc>
        <w:tc>
          <w:tcPr>
            <w:tcW w:w="120" w:type="dxa"/>
            <w:vAlign w:val="bottom"/>
            <w:tcBorders>
              <w:top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240,688</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For the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the</w:t>
            </w:r>
          </w:p>
        </w:tc>
      </w:t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Three Months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Three Months</w:t>
            </w:r>
          </w:p>
        </w:tc>
        <w:tc>
          <w:tcPr>
            <w:tcW w:w="18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Six Months</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Six Months</w:t>
            </w:r>
          </w:p>
        </w:tc>
      </w:t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r>
      <w:tr>
        <w:trPr>
          <w:trHeight w:val="237"/>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June 30, 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June 30, 2015</w:t>
            </w:r>
          </w:p>
        </w:tc>
        <w:tc>
          <w:tcPr>
            <w:tcW w:w="180" w:type="dxa"/>
            <w:vAlign w:val="bottom"/>
          </w:tcPr>
          <w:p>
            <w:pPr>
              <w:spacing w:after="0"/>
              <w:rPr>
                <w:sz w:val="20"/>
                <w:szCs w:val="20"/>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June 30, 2016</w:t>
            </w: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June 30, 2015</w:t>
            </w:r>
          </w:p>
        </w:tc>
      </w:tr>
      <w:tr>
        <w:trPr>
          <w:trHeight w:val="216"/>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and marketing</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Employees - general and administrative</w:t>
            </w: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516</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1,865</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Directors - general and administrative</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Consultants - selling and marketing</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10. DERIVATIVE INSTRUMENTS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six months ended June 30, 2016, the Company modified certain common stock purchase warrants issued in conjunction with debt which are detachable, or free standing, instruments. The warrants were considered a derivative liability upon modification and the estimated fair value of the warrants was reclassified from equity to liabilities. In addition, the Company recorded a derivative liability and debt discount associated with the estimated fair value of the embedded conversion feature in the Convertible Note (see Note 8). Both instruments contained a provision which allowed for one-time adjustments to their exercise or conversion prices. The one-time adjustment occurred upon the closing of the Company’s underwritten public offering of its common stock (see Note 9), on March 16, 2016, whereby the conversion and exercise prices were adjusted from $5.90 to $3.60 per share. At the time of the one-time adjustment, the Company reclassified the derivative liabilities to equity based on their estimated fair value at that time. The Company estimated the fair value of the derivative liabilities utilizing Level 3 inputs. The Company used the Black-Scholes-Merton option pricing model as it embodies all of the requisite assumptions (including trading volatility, remaining term to maturity, market price, strike price, and risk-free rates) necessary to value these instruments.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derivative liabilities: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0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103 - 111%</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40" w:type="dxa"/>
            <w:vAlign w:val="bottom"/>
            <w:gridSpan w:val="2"/>
          </w:tcPr>
          <w:p>
            <w:pPr>
              <w:jc w:val="right"/>
              <w:ind w:right="20"/>
              <w:spacing w:after="0"/>
              <w:rPr>
                <w:sz w:val="20"/>
                <w:szCs w:val="20"/>
                <w:color w:val="auto"/>
              </w:rPr>
            </w:pPr>
            <w:r>
              <w:rPr>
                <w:rFonts w:ascii="Arial" w:cs="Arial" w:eastAsia="Arial" w:hAnsi="Arial"/>
                <w:sz w:val="18"/>
                <w:szCs w:val="18"/>
                <w:color w:val="auto"/>
              </w:rPr>
              <w:t>1.22 - 1.70%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estimated expected terms based on the remaining contractual life of the instruments on the date of the fair value measurement. The warrant expires on May 11, 2025 and the convertible note matures on May 11,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all liabilities measured at fair value using Level 3 significant unobservable inputs: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derivative liability:</w:t>
            </w:r>
          </w:p>
        </w:tc>
        <w:tc>
          <w:tcPr>
            <w:tcW w:w="3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Balance at January 1, 2016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Modification of warrant and reclassification from equity to liabilities</w:t>
            </w:r>
          </w:p>
        </w:tc>
        <w:tc>
          <w:tcPr>
            <w:tcW w:w="3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Change in fair value</w:t>
            </w:r>
          </w:p>
        </w:tc>
        <w:tc>
          <w:tcPr>
            <w:tcW w:w="380" w:type="dxa"/>
            <w:vAlign w:val="bottom"/>
          </w:tcPr>
          <w:p>
            <w:pPr>
              <w:spacing w:after="0"/>
              <w:rPr>
                <w:sz w:val="18"/>
                <w:szCs w:val="18"/>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from liabilities to equity upon closing of public equity offering</w:t>
            </w:r>
          </w:p>
        </w:tc>
        <w:tc>
          <w:tcPr>
            <w:tcW w:w="38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380" w:type="dxa"/>
            <w:vAlign w:val="bottom"/>
            <w:tcBorders>
              <w:bottom w:val="single" w:sz="8" w:color="auto"/>
            </w:tcBorders>
            <w:shd w:val="clear" w:color="auto" w:fill="000000"/>
          </w:tcPr>
          <w:p>
            <w:pPr>
              <w:spacing w:after="0" w:line="20" w:lineRule="exact"/>
              <w:rPr>
                <w:sz w:val="1"/>
                <w:szCs w:val="1"/>
                <w:color w:val="auto"/>
              </w:rPr>
            </w:pPr>
          </w:p>
        </w:tc>
        <w:tc>
          <w:tcPr>
            <w:tcW w:w="19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820" w:type="dxa"/>
            <w:vAlign w:val="bottom"/>
            <w:gridSpan w:val="2"/>
          </w:tcPr>
          <w:p>
            <w:pPr>
              <w:spacing w:after="0" w:line="203" w:lineRule="exact"/>
              <w:rPr>
                <w:sz w:val="20"/>
                <w:szCs w:val="20"/>
                <w:color w:val="auto"/>
              </w:rPr>
            </w:pPr>
            <w:r>
              <w:rPr>
                <w:rFonts w:ascii="Arial" w:cs="Arial" w:eastAsia="Arial" w:hAnsi="Arial"/>
                <w:sz w:val="18"/>
                <w:szCs w:val="18"/>
                <w:color w:val="auto"/>
              </w:rPr>
              <w:t>Balance at June 30, 2016</w:t>
            </w: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Embedded conversion feature derivative liability:</w:t>
            </w: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Embedded conversion feature in Convertible Note issued</w:t>
            </w:r>
          </w:p>
        </w:tc>
        <w:tc>
          <w:tcPr>
            <w:tcW w:w="38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3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Reclassification from liabilities to equity upon closing of public equity offering</w:t>
            </w:r>
          </w:p>
        </w:tc>
        <w:tc>
          <w:tcPr>
            <w:tcW w:w="380" w:type="dxa"/>
            <w:vAlign w:val="bottom"/>
          </w:tcPr>
          <w:p>
            <w:pPr>
              <w:spacing w:after="0"/>
              <w:rPr>
                <w:sz w:val="20"/>
                <w:szCs w:val="20"/>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Acquisition Obligation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1, 2014, the Company acquired all of the outstanding membership interests of Pharmacy Creations, LLC (“PC”). The sellers of PC, are entitled to receive certain payments, including contingent consideration upon certain conditions, if PC earns revenue of between $3,500 and $7,500 during the 12 month period ending March 31, 2016, an aggregate of that number of shares of Imprimis common stock equal to the amount that such revenue exceeds $3,500 divided by 18.5882, rounded down to the lower whole number (not to exceed 215,190 shares). The estimated fair value of the contingent acquisition obligation was $483 and included in the contingent acquisition obligation in the accompanying condensed balance sheet at December 31, 2015. During May 2016, the Company paid the sellers of PC $100 in cash and 75,000 shares of its common stock with a fair value of $302, as payment in full related to the contingent acquisition obligation. Related to the payment of the contingent acquisition obligation the Company recorded a gain of $81 during the three and six months ended June 30, 2016, which is included in other income in the accompanying condensed consolidated statement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Urigen, et. al, Litigation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2014, the Company entered into a license agreement (the “Urigen License”) with Urigen Pharmaceuticals, Inc. (“Urigen”) for a license of certain U.S. patents and patent applications to develop and sell in the U.S. Urigen’s URG101 product, a heparin and alkalinized lidocaine compounded formulation for the prevention or treatment of disorders of the lower urinary tract. The Company, as the plaintiff, filed a civil action in the San Diego Superior Court against Urigen in December 2015, wherein the Company outlined serious concerns regarding material failures and inaccuracies of the representation and warranties provided by Urigen in the Urigen License, which have affected the Company’s ability to realize the expected benefit of the Urigen License. Urigen filed a cross-complaint in April 2016 for breach of contract asserting unpaid royalties totaling $698 and requesting a decree to cancel the Urigen Agreement. The Company filed another complaint in May 2016 with the U.S. District Court for the Southern District of California for declaratory judgment of the invalidity of the core patent filing related to Urigen’s URG 101. In June 2016, the Company received notice from Urigen of their election to terminate the Urigen License. The Company has made accruals related to the contractual terms of Urigen License, however the outcome of these claim may have a material effect on the Company’s consolidated financial position and results of operations that differ from those accruals, although such amount cannot be reasonably estimated at this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Corwin, Kammer, et. al. Litigation</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February 2014, Robert Kammer (“Kammer”), the Company’s Chairman of the Board, filed a lawsuit in the San Diego Superior Court against Merlyn Corwin (“Corwin”) to enforce his contract rights related to a settlement agreement the parties had previously entered into involving shares of the Company’s common stock. Corwin filed an answer to the complaint in March 2014 and in June 2014 filed the first amended cross complaint adding the Company as a cross-defendant. In August 2014, Corwin filed a seconded amended cross complaint (the “SACC”) which added Mark Baum (“Baum”), the Company’s Chief Executive Officer, and an individual who previously provided consulting services to the Company as additional cross-defendants. The SACC alleged numerous causes of action including securities fraud, concealment, misrepresentations, inducement of misrepresentations, rescission – undue influence, intentional infliction of emotional distress and declaratory relief of invalidity of the settlement agreement. In September 2014, the Company and Baum filed an anti-strategic lawsuit against public participation motion (“Anti-SLAPP”), arguing all allegations in the SACC were based on protected activity under the litigation privilege. Kammer also filed an Anti-SLAPP motion in October 2014. In November 2014, the Company, Baum and Kammer were granted both Anti-SLAPP motions, with the ruling judge deciding that the parties successfully demonstrated that the allegations arose from activity protected by the litigation privilege. The judge further found that the evidence Corwin relied upon in her arguments failed to demonstrate a probability that she could prevail on any of the claims. The court then ordered Corwin to pay the Company’s and Baum’s attorney fees and the case was dismissed. In May 2015, Corwin filed an appeal and in November 2015, the appellate court reversed the Anti-SLAPP decision of the trial court. In April 2016, the Company and Baum filed a demurrer to the SACC. The court ordered a ruling on the demurrer in June 2016, dismissing most of the causes of action against Baum and the Company, but leaving the claim for fraud by concealment and intentional infliction of emotional distress. At all times relevant to this matter, the Company and Baum have never met with, spoken to, emailed, text messaged or otherwise communicated with Corwin. The Company expects a summary judgement motion will likely be filed later this year. The Company has previously and continues to dispute all claims against it and intends to vigorously defend these allegations.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contractual disputes and other commercial disputes. Any of these claims could subject the Company to litigation. Management believes the outcomes of currently pending claims are not likely to have a material effect on the Company’s consolidated financial position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Claims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2016, the Company’s Texas based facility was damaged related to a malfunction with the property’s sprinkler system. The Company commenced restoration efforts and filed claims for damages under its insurance policies, including claims related to business interruption. If the Company is not fully reimbursed for its damages through these insurance claims, there may be a material adverse effect on the Company’s consolidated financial position and results of operations, although such amount cannot be reasonably estimated at this time, and no accruals related to these claims have been recorded.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License and Commission Agreements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acquired intellectual property rights related to certain proprietary innovations from certain inventors (the “Inventors”) through multiple asset purchase, license and commission agreements. In consideration for the acquisition of the intellectual property rights, the Company is obligated to make certain milestone payments related to patent and regulatory filings to the Inventors and also make payments, in one instance a minimum annual amount, based on certain percentages of revenues and net sales amounts, as defined within the respective agreements. During the three and six months ended June 30, 2016 and 2015 the Company recognized $91 and $452, respectively, and $48 and $50, respectively, in expense amounts related to these agreements. Such amounts are included in cost of sales and sales and marketing expenses in the accompanying condensed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 AND CONCENTRATIONS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its business on the basis of a single reportable segment, which is the business of developing proprietary drug therapies and providing such therapies through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categorizes revenues by geographic area based on selling location. All operations are currently located in the U.S.; therefore, total revenues for 2016 and 2015 are attributed to the U.S. All long-lived assets at June 30, 2016 and December 31, 2015 are located in the U.S.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three and six months ended June 30, 2016 and 2015.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86% and 71% during the three and six months ended June 30, 2016, respectively, and 51% and 57% during the three and six months ended June 30, 2015, respectively, of active pharmaceutical ingredient purchases.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June 30, 2016 through the filing date of this Quarterly Report. Based on its evaluation, nothing other than the events described below needs to be disclosed.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2016, the Company entered into an equipment sale-leaseback agreement (the “Lease Agreement”) with Essex Capital Corporation (“Essex”). Pursuant to the terms of the Lease Agreement, the Company sold certain equipment (the “Equipment”) to Essex for a total purchase price of approximately $2,000, which was leased back to the Company under a thirty-six (36) month term net basis lease with monthly payments of approximately $64. The lease term may be extended for an additional twelve (12) month period in the event the Company’s achieves certain financial milestones. The Company has the right to purchase the Equipment from Essex upon the expiration of the Lease Agreement for a purchase price equal to the Equipment’s then fair market value, with such fair market value not to exceed fifteen percent (15%) of the original Equipment cost. If the equipment is not purchased, the Company may automatically extend the lease on a month-to-month basis or return the equipment and terminate the Lease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2015 and subsequent reports on Form 8-K, which discuss our business in greater detail. Unless the context indicates otherwise, the “Company”, “we”, “us”, and “our</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Item 2 and elsewhere in this Quarterly Report refer to Imprimis Pharmaceuticals, Inc., a Delaware corporation, and its consolidated subsidiaries.</w:t>
      </w:r>
    </w:p>
    <w:p>
      <w:pPr>
        <w:spacing w:after="0" w:line="1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acquisitions of Pharmacy Creations, LLC (“Pharmacy Creations”), South Coast Specialty Compounding, Inc. D/B/A Park Compounding (“Park”), JT Pharmacy, Inc. D/B/A Central Allen Pharmacy (“CAP”), Thousand Oaks Holding Company’s wholly-owned subsidiaries Topical Apothecary Group, LLC (d/b/a TAG Pharmacy), Aerosol Science Laboratories, Inc. (d/b/a ASL Pharmacy), SinuTopic, Inc. (d/b/a Sinus Dynamics Pharmacy) and Mycotoxins, LLC (collectively “ImprimisRx PA”),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 national leader in the development, production and dispensing of innovative proprietary compounded pharmaceuticals that we make available to physicians and patients at affordable prices. All of the drugs we make require a physician’s prescription. Under our Imprimis Cares program, we own, market and dispense a portfolio of lower-cost compounded alternatives to higher-priced FDA-approved drugs in several therapeutic areas, including ophthalmology, urology, dermatology and infectious diseases. We believe our proprietary formulations may offer competitive advantages and serve unmet needs in the marketplace. We plan to expand our Imprimis Cares program by introducing additional customizable compounded drug formulations in order to provide patients with access to alternatives to increasingly expensive FDA-approved medications. Our Imprimis Cares program aligns with our corporate mission, vision and values of providing physicians and their patients with high-quality individualized compounded medications at accessible prices.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4" w:name="page25"/>
    <w:bookmarkEnd w:id="24"/>
    <w:p>
      <w:pPr>
        <w:jc w:val="both"/>
        <w:ind w:firstLine="648"/>
        <w:spacing w:after="0" w:line="259" w:lineRule="auto"/>
        <w:rPr>
          <w:sz w:val="20"/>
          <w:szCs w:val="20"/>
          <w:color w:val="auto"/>
        </w:rPr>
      </w:pPr>
      <w:r>
        <w:rPr>
          <w:rFonts w:ascii="Arial" w:cs="Arial" w:eastAsia="Arial" w:hAnsi="Arial"/>
          <w:sz w:val="18"/>
          <w:szCs w:val="18"/>
          <w:color w:val="auto"/>
        </w:rPr>
        <w:t>In addition to the Imprimis Cares program, we also make and dispense a portfolio of non-proprietary compounded drugs in therapeutic areas that may be overlooked by commercial pharmaceutical companies. We offer customizable compounding products that consist of sterile injectable and non-sterile integrative medicine therapies that are used in various therapeutic areas, including oncology, autoimmunity, chronic infectious diseases and endocrine and metabolic diseases.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own four ImprimisRx compounding facilities, based in New Jersey, California, Texas and Pennsylvania, through which we make, dispense and sell our proprietary compounded formulations and other non-proprietary products. All of our customized formulations are made in the United States of America.</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of our proprietary compounded formulations are born from the clinical experience of a network of inventors, including physician prescribers, clinical researchers and pharmacist formulators, who develop and prescribe customized medicines based on individual patient needs. We pursue a development pathway for formulation candidates that involves working collaboratively with inventors to identify and evaluate intellectual property related to a formulation, assess relevant markets for the formulation, and seek to validate the clinical experience relating to the formulation with the objective of investing in commercialization activities. Although our business is focused on a compounding commercialization strategy, we may also consider other commercialization pathways, including pursuing FDA approval to market and sell or license a drug formulation or technology.</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incurred recurring operating losses and have had negative operating cash flows since July 24, 1998 (inception). In addition, we have an accumulated deficit of approximately $66,899 at June 30, 2016. Beginning on April 1, 2014, when we acquired our first ImprimisRx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produce and sell a portfolio of compounded formulations in the ophthalmology, otolaryngology, urology and infectious diseases therapeutic areas. Many of our core formulations are patent-pending. We dispense and sell these formulations through our four ImprimisRx compounding pharmacy facilities. Our Texas facility is registered with the FDA as an outsourcing facility under Section 503B of the Federal Food, Drug &amp; Cosmetic Act. Our New Jersey and California facilities, which make and dispense both sterile and non-sterile compounded drugs are licensed as pharmacies operating under Section 503A of the Drug Quality &amp; Security Act (DQSA) passed in November of 2013. Our Pennsylvania facility, which makes and dispenses non-sterile compounded drugs, is also a licensed pharmacy under Section 503A of the DQSA.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Compounded Formulations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Ophthalmic Formulations</w:t>
      </w:r>
    </w:p>
    <w:p>
      <w:pPr>
        <w:spacing w:after="0" w:line="22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In 2013, we acquired intellectual property trademarked as SSP Technology</w:t>
      </w:r>
      <w:r>
        <w:rPr>
          <w:rFonts w:ascii="Arial" w:cs="Arial" w:eastAsia="Arial" w:hAnsi="Arial"/>
          <w:sz w:val="30"/>
          <w:szCs w:val="30"/>
          <w:color w:val="auto"/>
          <w:vertAlign w:val="superscript"/>
        </w:rPr>
        <w:t>®</w:t>
      </w:r>
      <w:r>
        <w:rPr>
          <w:rFonts w:ascii="Arial" w:cs="Arial" w:eastAsia="Arial" w:hAnsi="Arial"/>
          <w:sz w:val="18"/>
          <w:szCs w:val="18"/>
          <w:color w:val="auto"/>
        </w:rPr>
        <w:t>, which relates to compounded formulations for the combination and administration of anti-inflammatory and anti-bacterial agents after the completion of an ocular surgery. SSP Technology allows for increased solubility of active pharmaceutical ingredients and the creation of small, uniform particle sizes, which enables these compounded formulations to be used as an intraoperative injectable or as a topical eye drop. Since the acquisition of our SSP Technology, we have continued the development of the platform to include additional active pharmaceutical ingredients, such as NSAIDs.</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Our Dropless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Therapy formulations are available in single, injectable intraocular doses administered following ocular surgery. Ophthalmologists have reported that use of our Dropless Therapy formulations has substantially reduced or eliminated the need for patient-administered eye drops following ocular surgery, thereby largely eliminating patient non-compliance and dosing errors associated with post-operative self-administered eye drop care regimens. Since launching these formulations in April 2014, multiple investigator initiated studies have been completed and their positive findings published in trade and peer reviewed publications. Nearly 1,000 ophthalmologists have adopted our Dropless Therapy formulations and a growing number of high-volume cataract surgery practices, hospitals and ambulatory surgery centers throughout the U.S. have become Dropless Therapy customers.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jc w:val="both"/>
        <w:ind w:firstLine="648"/>
        <w:spacing w:after="0" w:line="231" w:lineRule="auto"/>
        <w:rPr>
          <w:sz w:val="20"/>
          <w:szCs w:val="20"/>
          <w:color w:val="auto"/>
        </w:rPr>
      </w:pPr>
      <w:r>
        <w:rPr>
          <w:rFonts w:ascii="Arial" w:cs="Arial" w:eastAsia="Arial" w:hAnsi="Arial"/>
          <w:sz w:val="18"/>
          <w:szCs w:val="18"/>
          <w:color w:val="auto"/>
        </w:rPr>
        <w:t>Our LessDrops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topical formulations, initially introduced during first quarter 2015, combine eye drop formulations for patients following laser refractive surgery, including LASIK and photorefractive keratectomy (PRK), cataract and other ocular surgeries. We estimate that our LessDrops combination eye drop formulations may require the administration of up to 50% fewer drops by patients post-surgery and may cost up to 75% less than other currently available post-surgery drops regimens. We plan to add to our portfolio of LessDrops topical formulations in order to deliver additional eye drop choices for our ophthalmologist customers.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Imprimis Cares Compounded Therapeutic Alternatives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Under our Imprimis Cares platform, we own and sell a portfolio of compounded pharmaceuticals in several therapeutic areas. In October 2015, we introduced our compounded pyrimethamine and leucovorin formulations, a lower-cost therapeutic alternative to FDA-approved Daraprim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toxoplasmosis. Toxoplasmosis can be of major concern for patients with weakened immune systems such as patients with HIV/AIDS, pregnant women and children. Our pyrimethamine and leucovorin formulations are now offered by Express Scripts, the largest pharmacy benefit manager in the U.S., and by many other hospitals and healthcare organizations. In May 2016, we introduced our patent-pending tiopronin delayed-release compounded formulations that may be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prescribed by physicians as a lower-cost alternative to FDA-approved Thiola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cystinuria patients. We also offer delayed-release formulations of tiopronin, the active drug ingredient in Thiola and potassium citrate, which is commonly prescribed and taken separately as an alkalizing agent. Cystinuria is an inherited disease that causes stones made of the amino acid cystine to form in the kidneys, bladder and/or urethra. We also offer proprietary formulations under our Imprimis Cares platform commonly prescribed by dermatologists and intend to launch new formulations over the next twelve months within other therapeutic areas.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Proprietary Formulations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2016, we launched our patent-pending IV Free MKO Melt™ conscious sedation formulation. The MKO Melt is administered sublingually to sedate patients undergoing ocular surgeries and may have uses for other surgical procedures outside of ophthalmology. In October 2015, we acquired the assets of a leading U.S. provider of topical compounded sinus formulations, delivery systems and patented packaging. Our topical delivery platform delivers sinusitis medications locally to the sinonasal mucosa, which is typically the direct site and probable source of the problem. We also offer proprietary formulations for patients suffering from interstitial cystitis, also known as painful bladder syndrome.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Non-proprietary Compounded Formulations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portfolio of non-proprietary compounded medications include sterile injectable and non-sterile integrative therapies in therapeutic areas that may be overlooked by commercial pharmaceutical companies, such as oncology, autoimmunity, chronic infectious diseases, and endocrine and metabolic diseases. We also offer customizable hormone replacement therapies and a variety of weight loss and dermatology compounded formulations. Many of these formulations are offered in different formats than other available alternatives, such as in suspension or lyophilized, which we believe may provide differentiating and potentially beneficial factors as compared to competing therapies.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Facilities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One of our key strategies is the use of compounding pharmacies to formulate our proprietary compounded drug formulations and distribute them to physicians and patients. Generally, compounding pharmacies combine different ingredients, most of which may be FDA-approved, to create specialized preparations prescribed by a physician to treat an individually identified patient. Often this is because a standard medication approved by the FDA is not appropriate for a particular patient’s needs. Examples of compounded formulations include medications with alternative dosage strengths or unique dosage forms, such as topical creams or gels, suspensions, or solutions with more tolerable drug delivery vehicles. A compounding pharmacy is only permitted to compound or prepare a patient-specific formulation upon receipt of a physician prescription for an individual patient. Our four ImprimisRx compounding pharmacies make, dispense and sell our proprietary and non-proprietary compounded formulations and are collectively licensed to distribute to 50 states.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26" w:name="page27"/>
    <w:bookmarkEnd w:id="26"/>
    <w:p>
      <w:pPr>
        <w:jc w:val="both"/>
        <w:ind w:firstLine="648"/>
        <w:spacing w:after="0" w:line="287" w:lineRule="auto"/>
        <w:rPr>
          <w:sz w:val="20"/>
          <w:szCs w:val="20"/>
          <w:color w:val="auto"/>
        </w:rPr>
      </w:pPr>
      <w:r>
        <w:rPr>
          <w:rFonts w:ascii="Arial" w:cs="Arial" w:eastAsia="Arial" w:hAnsi="Arial"/>
          <w:sz w:val="16"/>
          <w:szCs w:val="16"/>
          <w:color w:val="auto"/>
        </w:rPr>
        <w:t>In April 2016, we registered our Texas facility with the FDA as a Section 503B outsourcing facility. An outsourcing facility is an entity permitted to compound large quantities of certain drug formulations without a prescription and distribute them out of state without limitation. An outsourcing facility is required to comply with certain additional requirements that do not apply to compounding pharmacies, including adherence to current good manufacturing practices (cGMP). In June 2016, our Texas facility was damaged related to a faulty sprinkler head. We immediately commenced restoration efforts, notified our insurance carrier and filed claims for damages under our insurance policies, including claims related to business interruption. Restoration and reconstruction efforts were completed in July 2016, and we have begun the quality assurance activities required to meet cGMP. We believe following completion of our quality assurance activities, we will begin dispensing our formulations from our Texas outsourcing facility in October 2016. In addition, we have finalized constructions efforts of our pharmacy in New Jersey and may elect to register it with the FDA as our second outsourcing facility, however, we have not yet made that determination as of this date. We estimate that our capital expenditures to build and equip the New Jersey facility are approximately $4,900, of which, we have paid approximately $4,595 as of June 30, 2016. We also intend to invest approximately $500 to improve and add capacity to our California based pharmacy. We expect efforts related to the improvement of our Irvine pharmacy to be completed in October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believe the primary factors affecting our performance are our ability to increase sales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urology and other assets that we have not yet made commercially available as compounded formulations. All of these activities will require significant costs and other resources, which we may not have or be able to obtain from operations or other sources. See “—Liquidity and Capital Resources” below.</w:t>
      </w:r>
      <w:r>
        <w:rPr>
          <w:rFonts w:ascii="Arial" w:cs="Arial" w:eastAsia="Arial" w:hAnsi="Arial"/>
          <w:sz w:val="16"/>
          <w:szCs w:val="16"/>
          <w:b w:val="1"/>
          <w:bCs w:val="1"/>
          <w:i w:val="1"/>
          <w:iCs w:val="1"/>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and Development of Formulations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as part of our Imprimis Cares initiative. 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 Additionally, we will need to rely on relationships with third parties, including pharmacists, physicians and other inventors, to assist in the identification, research, development and assessment of such formulations, which exposes us to risks. Moreover, we may be unable to identify attractive acquisition opportunities and negotiate agreements with their owners that are acceptable to us, particularly if such assets involve competition among several purchasers, and we have limited resources to invest in or acquire additional potential product development assets and integrate them into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Strategy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currently make, dispense and sell our commercially available proprietary compounded formulations and certain other non-proprietary products through our compounding pharmacies pursuant to a prescription for an individually identified patient. Additionally, we are in the process of developing and registering our New Jersey facility as an outsourcing facility. We are working to expand our pharmacy operations and personnel and develop our facilities into a unified compounding pharmacy network. For instance, we have begun developing “ImprimisRx” as a uniform brand for our compounding facilities, with the intent of renaming all of our compounding facilities under this name. These efforts may also entail seeking to acquire new pharmacies or outsourcing facilities to add to our existing infrastructure, as opportunities arise. However, we have limited experience acquiring, building or operating compounding pharmacies or other prescription dispensing facilities or commercializing our formulations through ownership of or licensing arrangements with pharmacies. As a result, we may experience difficulties implementing our compounding pharmacy network strategy, including difficulties that arise as a result of our lack of experience, and we may be unsuccessful.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Reimbursement Options and Pricing Optimization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ophthalmic formulations. An economic study conducted in 2015 by researchers at Andrew Chang &amp; Co, LLC and co-sponsored by us demonstrated that, assuming the cost of Dropless Therapy is $100 per dose (dollar amount not expressed in thousands), our Dropless Therapy formulations could provide collective savings to Medicare, Medicaid and patients of up to $13 billion, with a most likely savings estimate of $8.7 billion, over a 10-year period. Based on this research, we believe optimized pricing for our Dropless Therapy formulations could be nearly $100 per dose (dollar amount not expressed in thousands). Any efforts to attain optimized pricing for our Dropless Therapy or any of our other proprietary formulations could fail, which could make our products less attractive or unavailable to some patients or could reduce our margins.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Efforts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Although we have engaged distributors for certain of our proprietary compounded formulations in certain non-U.S. markets and have out-licensed certain of our technology in international markets, such as Canada, we expect to continue to focus our efforts on our U.S. commercial opportunities during 2016. Our sales and marketing efforts are currently organized into two departments, one of which focuses on our ophthalmology formulations and the other of which focuses on our available formulations in other therapeutic areas. We have also begun to establish a sales and marketing team focused on our non-ophthalmology business. Our sales and marketing activities consist primarily of efforts to educate doctors, ambulatory surgery centers, healthcare systems, hospitals and other users throughout the U.S. about our formulations. We expect that we may experience growth in the sales of our proprietary compounded formulations in future periods, particularly in light of our recent launches of new formulations and commercialization campaigns. However,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 Further, we are dependent upon market acceptance of compounded formulations generally, and some physicians may be hesitant to prescribe, and some patients may be hesitant to purchase and use, these non-FDA approved formulations, particularly when an FDA-approved alternative is available.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describes certain developments in 2016 to date that are important to understand our financial condition and results of operations. See the notes to our condensed consolidated financial statements included in this report for additional information about each of these developments. Dollar amounts are expressed in thousands.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Lease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2016, we entered into an equipment sale-leaseback agreement (the “Lease Agreement”) with Essex Capital Corporation (“Essex”). Pursuant to the terms of the Lease Agreement, we sold certain equipment (the “Equipment”) to Essex for a total purchase price of approximately $2,000, which was leased back to us under a thirty-six (36) month term net basis lease with monthly payments of approximately $64. The lease term may be extended for an additional twelve (12) month period in the event we achieve certain financial milestones. We have the right to purchase the Equipment from Essex upon the expiration of the Lease Agreement for a purchase price equal to the Equipment’s then fair market value, with such fair market value not to exceed fifteen percent (15%) of the original Equipment cost. If the equipment is not purchased, we may automatically extend the lease on a month-to-month basis or return the equipment and terminate the Lease Agreement.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Public Equity Offerings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16, 2016, we closed an underwritten public offering of 3,335,000 shares of our common stock at a per share price to the public of $3.60, and we received net proceeds of $11,088 after deducting the underwriter discount and other offering expenses. We are using the net proceeds from the offering for working capital and general corporate purchases.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7"/>
          <w:szCs w:val="17"/>
          <w:color w:val="auto"/>
        </w:rPr>
        <w:t>On November 27, 2015, we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(Sales Agreement) with Cantor Fitzgerald &amp; Co., as agent (Cantor Fitzgerald), pursuant to which we may offer and sell, from time to time through Cantor Fitzgerald, shares of our common stock having an aggregate offering price as set forth in the Sales Agreement and a related prospectus supplement we have filed with the Securities and Exchange Commission. We have agreed to pay Cantor Fitzgerald a cash commission of 3.0% of the aggregate gross proceeds from each sale of shares under the Sales Agreement and to reimburse Cantor Fitzgerald for certain fees and expenses in an amount not to exceed $50. As of August 12, 2016, shares having an aggregate offering price of $2,096 remain available for future sale under the Sales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and Loan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22, 2016, we received gross proceeds of $3,000 upon our issuance of an 8.00% Convertible Senior Secured Note in the principal amount of $3,000 (Convertible Note) to IMMY Funding LLC (LSAF), an affiliate of Life Sciences Alternative Funding LLC. We are obligated to pay interest on the principal amount of the Convertible Note monthly in cash at a fixed per-annum rate of 8.00%, and we are obligated to repay the full principal amount of the Convertible Note in cash on May 11, 2021. The Convertible Note is convertible into shares of our common stock by the holder at any time at an effective conversion price of approximately $3.60, subject to adjustment upon certain events.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11, 2015, we entered into a loan agreement with LSAF, pursuant to which we have received a term loan in the principal amount of $10,000 (the “LSAF Loan”). The LSAF Loan bears interest at a fixed per-annum rate of 12.5% and we are permitted to pay interest only for the first three years or, if we do not meet certain minimum revenue or cash balance requirements, the first 20 months. The LSAF Loan, plus a final fee of 5% of the aggregate principal amount of the LSAF Loan, will be due on the earlier of May 11, 2021 or 24 months after the end of the interest-only period. As of June 30, 2016, our interest payment obligations to date relating to the LSAF Loan totaled approximately $1,212; we expect our interest payment obligations relating to the LSAF Loan and the Convertible Note to collectively total $1,303 in 2016.</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agreements governing the LSAF Loan and the Convertible Note include financial and operating covenants that impose restrictions on our certain of activities. The amounts owed under the LSAF Loan and the Convertible Note are secured by substantially all of our personal property, rights and assets, including our intellectual property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period-to-period comparisons of our financial results are not necessarily indicative of results for the current period or any future period. In particular, we acquired or opened three pharmacies during the calendar 2015 year, results of operations in the periods after commencement of these additional pharmacies, including aggregate revenue and expense amounts and the apportionment of expenses among categories, have changed and are expected to continue to change as we further develop these operations. Further, as a result of our acquisitions of our ImprimisRx compounding pharmacies, and any additional pharmacy acquisitions or other such transactions we may pursue, we may experience large expenditures specific to the transactions that are not incident to our operations. Dollar amounts are expressed in thousands (except share and per share data).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Comparison of three and six months ended June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and six months ended June 30,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gridSpan w:val="5"/>
          </w:tcPr>
          <w:p>
            <w:pPr>
              <w:ind w:left="80"/>
              <w:spacing w:after="0"/>
              <w:rPr>
                <w:sz w:val="20"/>
                <w:szCs w:val="20"/>
                <w:color w:val="auto"/>
              </w:rPr>
            </w:pPr>
            <w:r>
              <w:rPr>
                <w:rFonts w:ascii="Arial" w:cs="Arial" w:eastAsia="Arial" w:hAnsi="Arial"/>
                <w:sz w:val="18"/>
                <w:szCs w:val="18"/>
                <w:b w:val="1"/>
                <w:bCs w:val="1"/>
                <w:color w:val="auto"/>
              </w:rPr>
              <w:t>For the Three Months Ended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5"/>
          </w:tcPr>
          <w:p>
            <w:pPr>
              <w:ind w:left="120"/>
              <w:spacing w:after="0"/>
              <w:rPr>
                <w:sz w:val="20"/>
                <w:szCs w:val="20"/>
                <w:color w:val="auto"/>
              </w:rPr>
            </w:pPr>
            <w:r>
              <w:rPr>
                <w:rFonts w:ascii="Arial" w:cs="Arial" w:eastAsia="Arial" w:hAnsi="Arial"/>
                <w:sz w:val="18"/>
                <w:szCs w:val="18"/>
                <w:b w:val="1"/>
                <w:bCs w:val="1"/>
                <w:color w:val="auto"/>
              </w:rPr>
              <w:t>For the Six Months Ended</w:t>
            </w:r>
          </w:p>
        </w:tc>
        <w:tc>
          <w:tcPr>
            <w:tcW w:w="220" w:type="dxa"/>
            <w:vAlign w:val="bottom"/>
          </w:tcPr>
          <w:p>
            <w:pPr>
              <w:spacing w:after="0"/>
              <w:rPr>
                <w:sz w:val="19"/>
                <w:szCs w:val="19"/>
                <w:color w:val="auto"/>
              </w:rPr>
            </w:pPr>
          </w:p>
        </w:tc>
        <w:tc>
          <w:tcPr>
            <w:tcW w:w="10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Variance</w:t>
            </w:r>
          </w:p>
        </w:tc>
        <w:tc>
          <w:tcPr>
            <w:tcW w:w="20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640" w:type="dxa"/>
            <w:vAlign w:val="bottom"/>
            <w:tcBorders>
              <w:top w:val="single" w:sz="8" w:color="CCEEFF"/>
            </w:tcBorders>
            <w:shd w:val="clear" w:color="auto" w:fill="CCEEFF"/>
          </w:tcPr>
          <w:p>
            <w:pPr>
              <w:jc w:val="right"/>
              <w:ind w:right="1830"/>
              <w:spacing w:after="0"/>
              <w:rPr>
                <w:sz w:val="20"/>
                <w:szCs w:val="20"/>
                <w:color w:val="auto"/>
              </w:rPr>
            </w:pPr>
            <w:r>
              <w:rPr>
                <w:rFonts w:ascii="Arial" w:cs="Arial" w:eastAsia="Arial" w:hAnsi="Arial"/>
                <w:sz w:val="18"/>
                <w:szCs w:val="18"/>
                <w:b w:val="1"/>
                <w:bCs w:val="1"/>
                <w:color w:val="auto"/>
                <w:w w:val="83"/>
              </w:rPr>
              <w:t>Sales,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9,283</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right"/>
              <w:ind w:right="1250"/>
              <w:spacing w:after="0"/>
              <w:rPr>
                <w:sz w:val="20"/>
                <w:szCs w:val="20"/>
                <w:color w:val="auto"/>
              </w:rPr>
            </w:pPr>
            <w:r>
              <w:rPr>
                <w:rFonts w:ascii="Arial" w:cs="Arial" w:eastAsia="Arial" w:hAnsi="Arial"/>
                <w:sz w:val="18"/>
                <w:szCs w:val="18"/>
                <w:b w:val="1"/>
                <w:bCs w:val="1"/>
                <w:color w:val="auto"/>
                <w:w w:val="84"/>
              </w:rPr>
              <w:t>License revenues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640" w:type="dxa"/>
            <w:vAlign w:val="bottom"/>
            <w:tcBorders>
              <w:top w:val="single" w:sz="8" w:color="CCEEFF"/>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revenue between periods was mostly attributable to increased sales of our proprietary formulations and introduction of new proprietary formulations throughout calendar 2015, including our LessDrops formulations and urology based formulations. Our ophthalmology related revenues attributed approximately $2,617 and $4,405 during the three and six months ended June 30, 2016, compared to $612 and $933 during the same periods last year,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and six months ended June 30,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For the Three Months Ended</w:t>
            </w:r>
          </w:p>
        </w:tc>
        <w:tc>
          <w:tcPr>
            <w:tcW w:w="200" w:type="dxa"/>
            <w:vAlign w:val="bottom"/>
          </w:tcPr>
          <w:p>
            <w:pPr>
              <w:spacing w:after="0"/>
              <w:rPr>
                <w:sz w:val="19"/>
                <w:szCs w:val="19"/>
                <w:color w:val="auto"/>
              </w:rPr>
            </w:pPr>
          </w:p>
        </w:tc>
        <w:tc>
          <w:tcPr>
            <w:tcW w:w="1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1"/>
              </w:rPr>
              <w:t>For the Six Months Ended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Variance</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Variance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Cost of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our cost of sales between periods was largely attributable to an increase in the volume of unit sales of our formulations and products and our associated costs of such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selling and marketing expenses consist of costs associated with our marketing activities and sales of our proprietary compounded formulations and other non-proprietary pharmacy products and formulations, which include associated personnel costs, including wages and stock-based compensation.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and marketing expenses for the three and six months ended June 30,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For the Three Months Ended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1"/>
              </w:rPr>
              <w:t>For the Six Months Ended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Variance</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Variance</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Selling and marketing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30</w:t>
            </w: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vMerge w:val="continue"/>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30" w:name="page31"/>
    <w:bookmarkEnd w:id="30"/>
    <w:p>
      <w:pPr>
        <w:jc w:val="both"/>
        <w:ind w:firstLine="648"/>
        <w:spacing w:after="0" w:line="264" w:lineRule="auto"/>
        <w:rPr>
          <w:sz w:val="20"/>
          <w:szCs w:val="20"/>
          <w:color w:val="auto"/>
        </w:rPr>
      </w:pPr>
      <w:r>
        <w:rPr>
          <w:rFonts w:ascii="Arial" w:cs="Arial" w:eastAsia="Arial" w:hAnsi="Arial"/>
          <w:sz w:val="18"/>
          <w:szCs w:val="18"/>
          <w:color w:val="auto"/>
        </w:rPr>
        <w:t>The increase in selling and marketing expenses between periods was primarily attributable to the expansion of our sales and marketing efforts, which included additional commercialization personnel, attendance at trade conferences and implementation of other various marketing activities, all related to our commercialization efforts for our proprietary and certain non-proprietary compounded formulations.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include personnel costs, including wages and stock-based compensation, corporate facility expenses, and investor relations, consulting, insurance, filing, legal and accounting fees and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general and administrative expenses for the three and six months ended June 30,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For the Three Months Ended</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Six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23"/>
        </w:trPr>
        <w:tc>
          <w:tcPr>
            <w:tcW w:w="26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Variance</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Variance</w:t>
            </w:r>
          </w:p>
        </w:tc>
        <w:tc>
          <w:tcPr>
            <w:tcW w:w="100" w:type="dxa"/>
            <w:vAlign w:val="bottom"/>
            <w:tcBorders>
              <w:bottom w:val="single" w:sz="8" w:color="CCEEFF"/>
            </w:tcBorders>
          </w:tcPr>
          <w:p>
            <w:pPr>
              <w:spacing w:after="0"/>
              <w:rPr>
                <w:sz w:val="19"/>
                <w:szCs w:val="19"/>
                <w:color w:val="auto"/>
              </w:rPr>
            </w:pPr>
          </w:p>
        </w:tc>
      </w:tr>
      <w:tr>
        <w:trPr>
          <w:trHeight w:val="243"/>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00" w:type="dxa"/>
            <w:vAlign w:val="bottom"/>
            <w:shd w:val="clear" w:color="auto" w:fill="CCEEFF"/>
          </w:tcPr>
          <w:p>
            <w:pPr>
              <w:spacing w:after="0"/>
              <w:rPr>
                <w:sz w:val="21"/>
                <w:szCs w:val="2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increase in general and administrative expenses between periods was largely attributable to additional expenses resulting from the opening and acquisition of additional compounding facilities, as well as the general increase of our operations to support growth in sales, including hiring additional personnel, obtaining and maintaining state pharmacy licenses, incurring increased professional fees and other related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and six months ended June 30,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1"/>
              </w:rPr>
              <w:t>For the Six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6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June 30,</w:t>
            </w:r>
          </w:p>
        </w:tc>
        <w:tc>
          <w:tcPr>
            <w:tcW w:w="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23"/>
        </w:trPr>
        <w:tc>
          <w:tcPr>
            <w:tcW w:w="26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Variance</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Variance</w:t>
            </w:r>
          </w:p>
        </w:tc>
        <w:tc>
          <w:tcPr>
            <w:tcW w:w="100" w:type="dxa"/>
            <w:vAlign w:val="bottom"/>
            <w:tcBorders>
              <w:bottom w:val="single" w:sz="8" w:color="CCEEFF"/>
            </w:tcBorders>
          </w:tcPr>
          <w:p>
            <w:pPr>
              <w:spacing w:after="0"/>
              <w:rPr>
                <w:sz w:val="19"/>
                <w:szCs w:val="19"/>
                <w:color w:val="auto"/>
              </w:rPr>
            </w:pPr>
          </w:p>
        </w:tc>
      </w:tr>
      <w:tr>
        <w:trPr>
          <w:trHeight w:val="243"/>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76</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variance in research and development expenses between periods was primarily attributable to change in timing of our sponsorship of investigator-initiated evaluations related to certain of our proprietary compounded formulations.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was $6 and $8 for the three and six months ended June 30, 2016, respectively, compared to $4 and $6 for the same periods in the prior year.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was $637 and $1,268 for the three and six months ended June 30, 2016, respectively, compared to $253 and $262 for the same periods in the prior year, respectively. The increase was primarily due to interest expense recognition related to the LSAF Loan and Convertible Note, as well as capital leases and deferred acquisition obligations related to our acquisition of Park.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loss for the three and six months ended June 30, 2016 was $(4,639) and $(9,135), or $(0.35) and $(0.77) basic and diluted net loss per share, respectively, compared to a net loss for the same periods in the prior year of $(3,730) and $(6,823), or $(0.39) and $(0.72), basic and diluted net loss per share,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cash on hand at June 30, 2016 was $5,441, compared to $2,685 at December 31, 2015. The increase in cash on hand was primarily attributable to our underwritten public offering in 2016 of 3,335,000 shares of our common stock at a per share price to the public of $3.60, in which we received net proceeds of $11,088 after deducting the underwriter discount and other offering expenses. We are using the net proceeds from the offering for working capital and general corporate purchases.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the date of this Quarterly Report, we believe that cash and cash equivalents and restricted investments of approximately $5,591 at June 30, 2016, $2,000 in gross proceeds from our equipment lease which closed in August 2016, and expected future revenues, will be sufficient to sustain our planned level of operations and capital expenditures for at least the next 12 months. However, our plans for this period may change, our estimates of our operating expenses, capital expenditures and working capital requirements could be inaccurate, we may pursue acquisitions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expect to use our current cash position and funds generated from our operations to pursue our business plan, which includes developing and commercializing compounded formulations and technologies, integrating and expanding our compounding operations, including capital expenditures related to construction efforts to improve our California and Pennsylvania pharmacies,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product candidate for which we pursue FDA approval, to pursue additional development programs or to explore other development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six months ended June 30,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For the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For the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Six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June 30, 2015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(5,980)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(3,213)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13,804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2,756</w:t>
            </w: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1,840</w:t>
            </w:r>
          </w:p>
        </w:tc>
        <w:tc>
          <w:tcPr>
            <w:tcW w:w="10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Cash and cash equivalents at end of the year</w:t>
            </w:r>
          </w:p>
        </w:tc>
        <w:tc>
          <w:tcPr>
            <w:tcW w:w="126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5,441</w:t>
            </w: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10,051</w:t>
            </w:r>
          </w:p>
        </w:tc>
        <w:tc>
          <w:tcPr>
            <w:tcW w:w="10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7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for the six months ended June 30, 2016 was $(5,068), as compared to $(5,447) used in operating activities during the same period in the prior year. The net cash used in operating activities was mainly attributed to expanding our operations, including hiring additional personnel, commercialization and marketing activities related to our proprietary formulations, prescription fulfillment activities and other related undertakings.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for the six months ended June 30, 2016 and 2015 was $(5,980) and $(3,213), respectively. Cash used in investing activities in 2016 was primarily related to construction efforts and equipment purchases for our New Jersey and Texas facilities. Cash used in investing activities in 2015 was primarily related to our acquisition of Park.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Net cash provided by financing activities for the six months ended June 30, 2016 and 2015 was $13,804 and $10,500, respectively. Cash provided by financing activities in 2016 was primarily attributable to proceeds received in January 2016 from the LSAF Convertible Note and proceeds received from the underwritten public offering and sale of shares of common stock in March 2016. The cash provided by financing activities during the six months ended June 30, 2015 is primarily attributable to proceeds from the LSAF Loan entered in May 2015, and the proceeds received from cash exercises of warrants.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principal sources of cash consist of cash provided by financing activities, including: (a) gross proceeds of $3,000 received in January 2016 from the Convertible Note issuance; (b) net proceeds, after deducting underwriting discounts and offering expenses payable by us of $11,088 from our sale of 3,335,000 shares of common stock in our March 2016 public offering; and (c) gross proceeds of $2,000 from our sale and leaseback of certain equipment in August 2016. We also obtain capital from product and formulation sales, but we do not presently receive sufficient revenues to support our operations.</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need significant additional capital to support our business plan and fund our proposed business operations. We are eligible to receive $2,096 in additional gross proceeds from future sales of our common stock under the Sales Agreement, although we do not expect to receive any such proceeds until at least August 2016 as a result of certain lock-up restrictions on sales of our common stock in connection with our March 2016 public equity offering.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LSAF Loan and the Convertible Note.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free-standing derivative instruments and hybrid instruments that contain embedded derivative features as either assets or liabilities in the balance sheet and are measured at fair values with gains or losses recognized in earnings. Embedded derivatives that are not clearly and closely related to the host contract are bifurcated and are recognized at fair value with changes in fair value recognized as either a gain or loss in earnings. We determine the fair value of derivative instruments and hybrid instruments based on available market data using appropriate valuation models, giving consideration to all of the rights and obligations of each instrument.</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estimate the fair value of derivative instruments and hybrid instruments using various techniques (and combinations thereof) that are considered to be consistent with the objective of measuring fair value. In selecting the appropriate technique, we consider, among other factors, the nature of the instrument, the market risks that it embodies and the expected means of settlement. We generally use the Black-Scholes-Merton option pricing model, adjusted for the effect of dilution, because it embodies all of the requisite assumptions (including trading volatility, estimated terms, dilution and risk-free rates) necessary to estimate the fair value these instruments. Estimating the fair value of derivative financial instruments requires the development of significant and subjective estimates that may, and are likely to, change over the duration of the instrument with related changes in internal and external market factors. Increases in the trading price of our common stock and increases in fair value during a given financial quarter result in the application of non-cash derivative expense. Conversely, decreases in the trading price of our common stock and decreases in fair value during a given financial quarter would result in the application of non-cash derivative income.</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six months ended June 30, 2016, there were no other material changes to the “Critical Accounting Policies” discussed in Part II, Item 7 (Management’s Discussion and Analysis of Financial Condition and Results of Operations) of our 2015 10-K.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Securities and Exchange Commission (the “SEC”), and that such information is accumulated and communicated to our management, including our principal executive officer and principal financial officer, as appropriate, to allow for timely decisions regarding required disclosure.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June 30, 2016. Based on this evaluation, our principal executive officer and principal financial officer have concluded that our disclosure controls and procedures were effective to achieve their stated purpose as of June 30, 2016,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June 30, 2016, that has materially affected, or is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Urigen, et. al, Litigation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October 2014, we entered into a license agreement (the “Urigen License”) with Urigen Pharmaceuticals, Inc. (“Urigen”) for a license for certain U.S. patents and patent applications to develop and sell in the U.S. Urigen’s URG101 product, a heparin and alkalinized lidocaine compounded formulation for the prevention or treatment of disorders of the lower urinary tract. We, as the plaintiff, filed a civil action in the San Diego Superior Court against Urigen in December 2015, wherein we outlined serious concerns regarding material failures and inaccuracies of the representation and warranties provided by Urigen in the Urigen License, which have affected our ability to realize the expected benefit of the Urigen License. Urigen filed a cross-complaint in April 2016 for breach of contract asserting unpaid royalties totaling $698 and requesting a decree to cancel the Urigen Agreement. We filed another complaint in May 2016 with the U.S. District Court for the Southern District of California for declaratory judgment of the invalidity of the core patent filing related to Urigen’s URG 101 product. In June 2016, we received notice from Urigen of their election to terminate the Urigen License. We have made accruals related to the contractual terms of Urigen License, however the outcome of these claim may have a material effect on our consolidated financial position and results of operations that differ from those accruals, although such amount cannot be reasonably estimated at this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Corwin, Kammer, et. al. Litigation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February 2014, Robert Kammer (“Kammer”), our Chairman of the Board, filed a lawsuit in the San Diego Superior Court against Merlyn Corwin (“Corwin”) to enforce his contract rights related to a settlement agreement the parties had previously entered into involving shares of our common stock. Corwin filed an answer to the complaint in March 2014 and in June 2014 filed the first amended cross complaint adding the Company as a cross-defendant. In August 2014, Corwin filed a seconded amended cross complaint (the “SACC”) which added Mark Baum (“Baum”), our Chief Executive Officer, and an individual who previously provided consulting services to the Company as additional cross-defendants. The SACC alleged numerous causes of action including securities fraud, concealment, misrepresentations, inducement of misrepresentations, rescission – undue influence, intentional infliction of emotional distress and declaratory relief of invalidity of the settlement agreement. In September 2014, the Company and Baum filed an anti-strategic lawsuit against public participation motion (“Anti-SLAPP”), arguing all allegations in the SACC were based on protected activity under the litigation privilege. Kammer also filed an Anti-SLAPP motion in October 2014. In November 2014, the Company, Baum and Kammer were granted both Anti-SLAPP motions, with the ruling judge deciding that the parties successfully demonstrated that the allegations arose from activity protected by the litigation privilege. The judge further found that the evidence Corwin relied upon in her arguments failed to demonstrate a probability that she could prevail on any of the claims. The court then ordered Corwin to pay the Company’s and Baum’s attorney fees and the case was dismissed. In May 2015, Corwin filed an appeal and in November 2015, the appellate court reversed the Anti-SLAPP decision of the trial court. In April 2016, the Company and Baum filed a demurrer to the SACC. The court ordered a ruling on the demurrer in June 2016, dismissing most of the causes of action against Baum and the Company, but leaving the claims for fraud by concealment and intentional infliction of emotional distress. At all times relevant to this matter, the Company and Baum have never met with, spoken to, emailed, text messaged or otherwise communicated with Corwin. The Company expects a summary judgement motion will likely be filed later this year. The Company has previously and continues to dispute all claims against it and intends to vigorously defend these allegations.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litigation described above, we are not aware of any pending legal proceedings to which we are a party or of which any of our property is subject the adverse outcome of which, individually or in the aggregate, is likely to have a material adverse effect on our financial position or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 Dollar amounts are express in thousands.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become profitable.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incurred losses in every year of our operations, including net losses of $(15,899) and $(10,118) for the years ended December 31, 2015 and 2014, respectively. We continue to have losses in the current quarter aggregating $(4,639) and $(9,135) for the three and six months ended June 30, 2016. A of June 30, 2016, our accumulated deficit was $(66,899). A substantial amount of the accumulated deficit was the result of our now-abandoned activities to obtain FDA approval of a drug candidate. We expect to incur increasing operating losses in the foreseeable future for our commercialization activities, research and development and our pharmacy operations. Although we have been generating some revenue from our pharmacy operations, our ability to generate significant revenues and achieve profitability will depend on many factors, including those discussed in this “Risk Factors” section. Our business plan and strategies involve costly activities that are susceptible to failure, and, therefore, we may never be able to generate sufficient revenue to support our business or reach the level of sales and revenues necessary to achieve and sustain profitability.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business plan involves the preparation and sale of our proprietary formulations through a network of unified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through our network. Although we have established and plan to grow our internal sales teams to market and sell our proprietary formulations and other non-proprietary products through our network,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other pharmacies or prescription dispensing facilities we acquire or develop and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aim to sell certain of our proprietary formulations primarily through a unified network of compounding pharmacies, but we may not be successful in our efforts to establish such a network or integrate these businesses into our operations.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business strategy includes establishing a unified compounding pharmacy network, whether through acquisitions, establishing new pharmacies or entering into licensing arrangements with third-party pharmacies, to market and sell our proprietary formulations and other non-proprietary products in all 50 states.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7" w:name="page38"/>
    <w:bookmarkEnd w:id="37"/>
    <w:p>
      <w:pPr>
        <w:jc w:val="both"/>
        <w:ind w:firstLine="648"/>
        <w:spacing w:after="0" w:line="270" w:lineRule="auto"/>
        <w:rPr>
          <w:sz w:val="20"/>
          <w:szCs w:val="20"/>
          <w:color w:val="auto"/>
        </w:rPr>
      </w:pPr>
      <w:r>
        <w:rPr>
          <w:rFonts w:ascii="Arial" w:cs="Arial" w:eastAsia="Arial" w:hAnsi="Arial"/>
          <w:sz w:val="17"/>
          <w:szCs w:val="17"/>
          <w:color w:val="auto"/>
        </w:rPr>
        <w:t>We acquired our New Jersey, California, Texas and Pennsylvania compounding pharmacies in April 2014, January 2015, August 2015 and October 2015, respectively. In February 2015, we leased space in New Jersey and began construction of a new outsourcing facility to replace our current facility, which we expect to be completed near the end of the third quarter of 2016. In October 2015, we began construction on our Texas compounding pharmacy with plans to register it with the FDA as a Section 503B outsourcing facility, which we registered in April 2016. We will consider acquiring new pharmacies or outsourcing facilities to add to our existing infrastructure, as opportunities arise. We plan to expand our pharmacy operations and personnel and developing our facilities into a unified compounding pharmacy network. We have begun developing “ImprimisRx” as a uniform brand for our compounding facilities and plan to bring our compounding facilities under this name. We have limited experience acquiring, building or operating compounding pharmacies or other prescription dispensing facilities or commercializing our formulations through ownership of or licensing arrangements with pharmacies. As a result, we may experience difficulties implementing our compounding pharmacy network strategy, including difficulties that arise as a result of our lack of experience, and we may be unsuccessful. For instance,</w:t>
      </w:r>
    </w:p>
    <w:p>
      <w:pPr>
        <w:spacing w:after="0" w:line="17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experienced delays and increased costs in our outsourcing facility construction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successful in completing our construction plans on a timely basis or within budget;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not be successful in our efforts to integrate, manage or otherwise realize the benefits we expect from our acquisitions of our ImprimisRx compounding pharmacies or any additional pharmacy businesses or outsourcing facilities we seek to acquire or build in the future;</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such pharmacy businesses in a timely manner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achieve a sufficient physician and patient customer base to sustain our pharmacy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compounding pharmacies generally may be curtailed or delayed;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Moreover, all such efforts to expand our pharmacy operations and establish a unified pharmacy network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this unified pharmacy network and, even if we are successful, we may be unable to generate sufficient revenue to recover our costs.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currently distribute our proprietary formulations through compounding pharmacies. Formulations prepared and dispensed by compounding pharmacies contain FDA-approved ingredients, but are not themselves approved by the FDA. Thus, our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As a result, some physicians may be hesitant to prescribe and some patients may be hesitant to purchase and use non-FDA approved compounded formulations, particularly when an FDA-approved alternative is available. For other reasons physicians may be unwilling to prescribe or patients may be unwilling to use our proprietary compounded formulations, including the following: legal proscriptions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our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product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as compared to the market available for FDA-approved drugs.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pharmacy business is impacted by federal and state laws and regulations governing the following: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ImprimisRx compounding pharmacies are in material compliance with applicable regulatory requirements. If any of our ImprimisRx compounding pharmacies fail to comply with such requirements, they could be forced to permanently or temporarily cease or limit their sterile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 503A, warning letters, injunctions, prosecution, fines and loss of required government licenses, certifications and approvals, any of which could involve significant costs and could cause us to be unable to realize the expected benefits of these pharmacies’ operations.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interstate compounding. The current draft standard MOU presented by the FDA in February 2015 would limit interstate shipments of compounded drug units to 30% of all compounded and non-compounded units dispensed or distributed by the pharmacy per month. The FDA has stated in guidance issued in February 2015 that it will not enforce interstate restrictions until after it publishes a final standard MOU and has made it available to states for signature for some designated period of time. If the final standard MOU is not signed by a particular state, then interstate shipments of compounded preparations from a pharmacy located in that state would be limited to quantities not greater than 5% of total prescription orders dispensed or distributed by the pharmacy (the 5% rule); however, we are not aware that the FDA currently enforces or has in the past enforced the 5% rule and, under current draft guidance, the FDA has stated that it will not enforce the 5% rule until a standard MOU has been made available to states for signature. The FDA has proposed a 180-day period for states to agree to the standard MOU after the final version is presented, after which it would begin to enforce the 5% rule. Until a final MOU is issued and presented to states to consider, the extent of interstate dispensing restrictions imposed by Section 503A is unknown. However, if the final standard MOU contains a 30% limit on interstate distribution or if the FDA begins to enforce the 5% rule, our pharmacy operations could be materially limited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There are many competitive risks related to marketing and selling our proprietary formulations and operating our compounding pharmacy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jc w:val="both"/>
        <w:ind w:firstLine="648"/>
        <w:spacing w:after="0" w:line="269" w:lineRule="auto"/>
        <w:rPr>
          <w:sz w:val="20"/>
          <w:szCs w:val="20"/>
          <w:color w:val="auto"/>
        </w:rPr>
      </w:pPr>
      <w:r>
        <w:rPr>
          <w:rFonts w:ascii="Arial" w:cs="Arial" w:eastAsia="Arial" w:hAnsi="Arial"/>
          <w:sz w:val="17"/>
          <w:szCs w:val="17"/>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payors.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Currently, our ImprimisRx compounding pharmacies operate on mostly a cash-pay basis and do not submit large amounts of claims for reimbursement through Medicare, Medicaid or other third-party payors.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product candidate in November 2013, our acquisitions of the ImprimisRx compounding pharmacies and various product development opportunities in 2014 and 2015, and the expenses in developing our Texas and New Jersey-based pharmacy facilities into outsourcing facilities and registering them as such with the FDA. We have limited experience operating a pharmacy business and commercializing compounded formulations, and we may not accurately estimate expenses and potential revenue associated with these activities.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plan to pursue the development of new proprietary compounded formulations in the ophthalmology, urology, otolaryngology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as part of our Imprimis Cares initiative. However, we expect our acquisitions of our ImprimisRx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ImprimisRx compounding pharmacies and current and future relationships with pharmacists, physicians and other inventors to provide us with additional development opportunities, our growth and prospects could be limited.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be unable to successfully develop and commercialize our proprietary formulations or any other assets we may acquire.</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product candidate, we develop a commercialization strategy for it, which may include marketing and selling the formulation in compounded form through compounding pharmacies or outsourcing facilities, or pursuing FDA approval of the product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May 11, 2015, we incurred $10,000 of indebtedness under a loan agreement with IMMY Funding LLC (LSAF), an affiliate of Life Sciences Alternative Funding LLC, and on January 22, 2016, we incurred an additional $3,000 of indebtedness under a convertible note we issued to LSAF.</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LSAF debt instruments contain various restrictive covenants, including, among others, our obligation to deliver to LSAF certain financial and other information, our obligation to comply with certain notice and insurance requirements, and our inability, without LSAF’s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LSAF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only recently started generating cash from operations, but we do not presently receive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over $26,000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product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and convertible note with LSAF.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product candidates, technologies or businesses.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seek FDA approval to market and sell any of our proprietary formulations, we may be unable to demonstrate the necessary safety and efficacy to obtain such FDA approval.</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current business strategy is focused on developing and commercializing product opportunities as compounded formulations. In the future we, alone or with project partners, may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product candidate on a timely basis or at all. Before we obtain FDA approval for the sale of any potential product candidates, we will be required to demonstrate through preclinical studies and clinical trials that it is safe and effective for each intended use, which we may not be able to do. A failure to demonstrate safety and efficacy of a product candidate to the FDA’s satisfaction would result in our failure to obtain FDA approval. Moreover, even if the FDA were to grant regulatory approval of a product candidate, the approval may be limited to specific therapeutic areas or limited as to its distribution, which could reduce revenue potential, and we will be subject to extensive and costly post-approval requirements and oversight with respect to commercialization of the product candidate.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product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product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product candidates may be limited or eliminated, which may prevent us from recouping our investment in research and development efforts for the product candidate and would have a material adverse effect on our business, results of operations, financial condition and prospects.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Even if we successfully develop any product candidate into an FDA-approved drug, failure to comply with continuing federal and state regulations could result in the loss of approvals to market the drug.</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successfully develop any product candidate into an FDA-approved drug, we will be subject to extensive continuing regulatory requirements and review, including review of adverse drug experiences and clinical results from any post-marketing tests or continued actions required as a condition of approval. The manufacturer and manufacturing facilities we use to produce any drug preparations will be subject to periodic review and inspection by the FDA. We will be reliant on third parties to maintain their manufacturing processes in compliance with FDA and all other applicable regulatory requirements. Any changes to a product that has been approval, including the way it is manufactured or promoted, will often require FDA approval again before the product, as modified, may be marketed and sold. In addition, we and the manufacturers of the drug will be subject to ongoing FDA requirements for submission of safety and other post-market information. If we or the manufacturers of the drug failed to comply with these or any other applicable regulatory requirements, a regulatory agency may, among other things, issue warning letters, impose civil or criminal penalties, suspend or withdraw regulatory approval, impose restrictions on our operations, close the facilities of the manufacturers, seize or detain products or require a product recall.</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Regulatory review also covers a company’s activities in the promotion of its FDA-approved drugs, with significant potential penalties and restrictions for promotion of a drug for an unapproved use. Sales and marketing programs are under scrutiny for compliance with various mandated requirements, such as illegal promotions to health care professionals. Failure to comply with these requirements could expose us to negative publicity, fines and penalties that could harm our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Currently, we own 25 U.S. patent applications, including 18 utility and seven provisional patent applications, and we own three international patent applications filed under the Patent Cooperation Treaty and 19 foreign patent applications.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6" w:name="page47"/>
    <w:bookmarkEnd w:id="46"/>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dependent on our Chief Executive Officer, Mark L. Baum, for the continued growth and development of our Company.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Chief Executive Officer,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maintain key man insurance for Mr. Baum.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for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have an adverse impact on our business.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healthcare industry is changing rapidly as consumers, governments, medical professionals and the pharmaceutical industry examine ways to broaden medical coverage while controlling the increase in healthcare costs. Such changes could include changes to make the government’s Medicare and Medicaid reimbursement programs more restrictive, which could limit or curtail the potential for our proprietary formulations to obtain eligibility for reimbursement from such payors, or changes to expand the reach of HIPAA or other health privacy laws, which could make compliance with these laws more costly and burdensome. Further, the Health Reform Law may have a considerable impact on the existing U.S. system for the delivery and financing of health care and conceivably could have a material effect on our business. Any changes to laws and regulations affecting the healthcare industry could impose significant additional costs on our operations in order to maintain compliance or could otherwise negatively affect our business, operations or financial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Because of their significant stock ownership, some of our existing stockholders are able to exert control over us and our significant corporate decisions.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August 12, 2016, approximately 15% of our common stock that would be outstanding following such issuances. In addition, five individual stockholders collectively own, or have the right to acquire within 60 days after August 12, 2016, an additional approximately 34%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results. If we cannot provide reliable financial results, our financial statements could be misstated, our reputation may be harmed and the trading price of our common stock could decline. As we discussed in Item 9A of our 2015 Annual Report, our management concluded that our internal controls over financial reporting were effective as of December 31, 2015.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Although we have no shares of preferred stock issued and outstanding and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LSAF loan agreement and convertible note,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Offers or availability for sale of a substantial number of shares of our common stock may cause the price of our common stock to decline.</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such as those agreed to in connection with our March 2016 public offering, upon our issuance of shares upon the exercise of outstanding options or warrants, or upon our issuance of shares pursuant offerings of our equity securities, such as the pursuant to our March 2016 public offering or our Controlled Equity Offering™ sales agreement with Cantor Fitzgerald &amp; Co.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0760" w:type="dxa"/>
            <w:vAlign w:val="bottom"/>
            <w:gridSpan w:val="3"/>
          </w:tcPr>
          <w:p>
            <w:pPr>
              <w:spacing w:after="0"/>
              <w:rPr>
                <w:sz w:val="20"/>
                <w:szCs w:val="20"/>
                <w:color w:val="auto"/>
              </w:rPr>
            </w:pPr>
            <w:r>
              <w:rPr>
                <w:rFonts w:ascii="Arial" w:cs="Arial" w:eastAsia="Arial" w:hAnsi="Arial"/>
                <w:sz w:val="18"/>
                <w:szCs w:val="18"/>
                <w:color w:val="auto"/>
              </w:rPr>
              <w:t>None.</w:t>
            </w:r>
          </w:p>
        </w:tc>
      </w:tr>
      <w:tr>
        <w:trPr>
          <w:trHeight w:val="432"/>
        </w:trPr>
        <w:tc>
          <w:tcPr>
            <w:tcW w:w="1142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r>
      <w:tr>
        <w:trPr>
          <w:trHeight w:val="414"/>
        </w:trPr>
        <w:tc>
          <w:tcPr>
            <w:tcW w:w="6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241"/>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Number</w:t>
            </w:r>
          </w:p>
        </w:tc>
        <w:tc>
          <w:tcPr>
            <w:tcW w:w="2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10.1#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Employment Agreement, dated as of April 25, 2016, by and between Imprimis Pharmaceuticals, Inc. and Mark L. Baum (incorporated herein</w:t>
            </w:r>
          </w:p>
        </w:tc>
      </w:tr>
      <w:tr>
        <w:trPr>
          <w:trHeight w:val="216"/>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by reference to Exhibit 10.1 to the Current Report on Form 8-K of Imprimis Pharmaceuticals, Inc. filed with the Securities and Exchange</w:t>
            </w:r>
          </w:p>
        </w:tc>
      </w:tr>
      <w:tr>
        <w:trPr>
          <w:trHeight w:val="230"/>
        </w:trPr>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Commission on April 26, 2016)</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10.2#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Performance Stock Units Agreement, effective as of April 25, 2016, by and between Imprimis Pharmaceuticals, Inc. and Mark L. Baum</w:t>
            </w:r>
          </w:p>
        </w:tc>
      </w:tr>
      <w:tr>
        <w:trPr>
          <w:trHeight w:val="216"/>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(incorporated herein by reference to Exhibit 10.2 to the Current Report on Form 8-K of Imprimis Pharmaceuticals, Inc. filed with the</w:t>
            </w:r>
          </w:p>
        </w:tc>
      </w:tr>
      <w:tr>
        <w:trPr>
          <w:trHeight w:val="230"/>
        </w:trPr>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Securities and Exchange Commission on April 26, 2016)</w:t>
            </w:r>
          </w:p>
        </w:tc>
      </w:tr>
    </w:tbl>
    <w:p>
      <w:pPr>
        <w:spacing w:after="0" w:line="184" w:lineRule="exact"/>
        <w:rPr>
          <w:sz w:val="20"/>
          <w:szCs w:val="20"/>
          <w:color w:val="auto"/>
        </w:rPr>
      </w:pPr>
    </w:p>
    <w:p>
      <w:pPr>
        <w:sectPr>
          <w:pgSz w:w="11900" w:h="16838" w:orient="portrait"/>
          <w:cols w:equalWidth="0" w:num="1">
            <w:col w:w="11420"/>
          </w:cols>
          <w:pgMar w:left="240" w:top="688" w:right="239" w:bottom="0" w:gutter="0" w:footer="0" w:header="0"/>
        </w:sectPr>
      </w:pPr>
    </w:p>
    <w:p>
      <w:pPr>
        <w:spacing w:after="0"/>
        <w:rPr>
          <w:sz w:val="20"/>
          <w:szCs w:val="20"/>
          <w:color w:val="auto"/>
        </w:rPr>
      </w:pPr>
      <w:r>
        <w:rPr>
          <w:rFonts w:ascii="Arial" w:cs="Arial" w:eastAsia="Arial" w:hAnsi="Arial"/>
          <w:sz w:val="16"/>
          <w:szCs w:val="16"/>
          <w:b w:val="1"/>
          <w:bCs w:val="1"/>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10.4#</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Retention Letter Agreement, dated April 25, 2016, by and between Imprimis Pharmaceuticals, Inc. and Mark L. Baum (incorporated herein by reference to Exhibit 10.3 to the Current Report on Form 8-K of Imprimis Pharmaceuticals, Inc. filed with the Securities and Exchange Commission on April 26, 2016)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Employment Agreement, dated as of April 25, 2016, by and between Imprimis Pharmaceuticals, Inc. and Andrew R. Boll (incorporated herein by reference to Exhibit 10.4 to the Current Report on Form 8-K of Imprimis Pharmaceuticals, Inc. filed with the Securities and Exchange Commission on April 26, 2016)</w:t>
      </w:r>
    </w:p>
    <w:p>
      <w:pPr>
        <w:spacing w:after="0" w:line="164" w:lineRule="exact"/>
        <w:rPr>
          <w:sz w:val="20"/>
          <w:szCs w:val="20"/>
          <w:color w:val="auto"/>
        </w:rPr>
      </w:pPr>
    </w:p>
    <w:p>
      <w:pPr>
        <w:sectPr>
          <w:pgSz w:w="11900" w:h="16838" w:orient="portrait"/>
          <w:cols w:equalWidth="0" w:num="2">
            <w:col w:w="440" w:space="720"/>
            <w:col w:w="10260"/>
          </w:cols>
          <w:pgMar w:left="240" w:top="688"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31.2*</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101.INS*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101.SCH*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101.CAL*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101.DEF*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101.LAB*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101.PRE*</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Performance Stock Units Award Agreement, effective as of April 25, 2016, by and between Imprimis Pharmaceuticals, Inc. and Andrew R. Boll (incorporated herein by reference to Exhibit 10.5 to the Current Report on Form 8-K of Imprimis Pharmaceuticals, Inc. filed with the Securities and Exchange Commission on April 26, 2016)</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Retention Letter Agreement, dated April 25, 2016, by and between Imprimis Pharmaceuticals, Inc. and Andrew R. Boll (incorporated herein by reference to Exhibit 10.6 to the Current Report on Form 8-K of Imprimis Pharmaceuticals, Inc. filed with the Securities and Exchange Commission on April 26, 2016)</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Employment Agreement, dated as of April 25, 2016, by and between Imprimis Pharmaceuticals, Inc. and John P. Saharek (incorporated herein by reference to Exhibit 10.7 to the Current Report on Form 8-K of Imprimis Pharmaceuticals, Inc. filed with the Securities and Exchange Commission on April 26, 2016)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Retention Letter Agreement, dated April 25, 2016, by and between Imprimis Pharmaceuticals, Inc. and John P. Saharek (incorporated herein by reference to Exhibit 10.8 to the Current Report on Form 8-K of Imprimis Pharmaceuticals, Inc. filed with the Securities and Exchange Commission on April 26, 2016)</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Certification of Mark L. Baum, principal executive officer, pursuant to Rule 13a-14(a) or 15d-14(a) of the Securities and Exchange Act of 1934, as adopted pursuant to Section 302 of the Sarbanes- Oxley Act of 2002.</w:t>
      </w:r>
    </w:p>
    <w:p>
      <w:pPr>
        <w:spacing w:after="0" w:line="15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Certification of Andrew R. Boll, principal financial and accounting officer, pursuant to Rule 13a-14(a) or 15d-14(a) of the Securities and Exchange Act of 1934, as adopted pursuant to Section 302 of the Sarbanes- 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 executed by Mark 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Baum, principal executive officer, and Andrew R. Boll, principal financial and accounting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w:t>
      </w:r>
    </w:p>
    <w:p>
      <w:pPr>
        <w:sectPr>
          <w:pgSz w:w="11900" w:h="16838" w:orient="portrait"/>
          <w:cols w:equalWidth="0" w:num="2">
            <w:col w:w="800" w:space="360"/>
            <w:col w:w="10260"/>
          </w:cols>
          <w:pgMar w:left="240" w:top="688" w:right="239" w:bottom="0" w:gutter="0" w:footer="0" w:header="0"/>
          <w:type w:val="continuous"/>
        </w:sectPr>
      </w:pPr>
    </w:p>
    <w:bookmarkStart w:id="50" w:name="page51"/>
    <w:bookmarkEnd w:id="50"/>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11"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15, 2016</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Mark L. Baum, certify that:</w:t>
      </w:r>
    </w:p>
    <w:p>
      <w:pPr>
        <w:spacing w:after="0" w:line="2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15, 2016</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Andrew R. Boll, certify that:</w:t>
      </w:r>
    </w:p>
    <w:p>
      <w:pPr>
        <w:spacing w:after="0" w:line="22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15, 2016</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June 30, 2016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Mark L. Baum </w:t>
      </w: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Andrew R. Boll </w:t>
      </w: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2020-01-21T02:21:58Z</dcterms:created>
  <dcterms:modified xsi:type="dcterms:W3CDTF">2020-01-21T02:21:58Z</dcterms:modified>
</cp:coreProperties>
</file>