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820" w:right="1880" w:hanging="3812"/>
        <w:spacing w:after="0" w:line="484" w:lineRule="auto"/>
        <w:tabs>
          <w:tab w:leader="none" w:pos="2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 w:lineRule="exact"/>
        <w:rPr>
          <w:sz w:val="24"/>
          <w:szCs w:val="24"/>
          <w:color w:val="auto"/>
        </w:rPr>
      </w:pPr>
    </w:p>
    <w:p>
      <w:pPr>
        <w:ind w:left="3240" w:right="1860" w:hanging="3232"/>
        <w:spacing w:after="0" w:line="500" w:lineRule="auto"/>
        <w:tabs>
          <w:tab w:leader="none" w:pos="2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62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2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62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gridSpan w:val="2"/>
          </w:tcPr>
          <w:p>
            <w:pPr>
              <w:jc w:val="center"/>
              <w:ind w:left="93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62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9"/>
              </w:rPr>
              <w:t>102 Woodmont Blvd., Suite 610</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0"/>
        </w:trPr>
        <w:tc>
          <w:tcPr>
            <w:tcW w:w="462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5"/>
              </w:rPr>
              <w:t>Nashville, Tennessee</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30"/>
              <w:spacing w:after="0"/>
              <w:rPr>
                <w:sz w:val="20"/>
                <w:szCs w:val="20"/>
                <w:color w:val="auto"/>
              </w:rPr>
            </w:pPr>
            <w:r>
              <w:rPr>
                <w:rFonts w:ascii="Arial" w:cs="Arial" w:eastAsia="Arial" w:hAnsi="Arial"/>
                <w:sz w:val="18"/>
                <w:szCs w:val="18"/>
                <w:b w:val="1"/>
                <w:bCs w:val="1"/>
                <w:color w:val="auto"/>
              </w:rPr>
              <w:t>37205</w:t>
            </w:r>
          </w:p>
        </w:tc>
      </w:tr>
      <w:tr>
        <w:trPr>
          <w:trHeight w:val="230"/>
        </w:trPr>
        <w:tc>
          <w:tcPr>
            <w:tcW w:w="4620" w:type="dxa"/>
            <w:vAlign w:val="bottom"/>
            <w:gridSpan w:val="2"/>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3"/>
              </w:rPr>
              <w:t>(Zip code)</w:t>
            </w:r>
          </w:p>
        </w:tc>
      </w:tr>
      <w:tr>
        <w:trPr>
          <w:trHeight w:val="418"/>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jc w:val="right"/>
              <w:ind w:right="590"/>
              <w:spacing w:after="0"/>
              <w:rPr>
                <w:sz w:val="20"/>
                <w:szCs w:val="20"/>
                <w:color w:val="auto"/>
              </w:rPr>
            </w:pPr>
            <w:r>
              <w:rPr>
                <w:rFonts w:ascii="Arial" w:cs="Arial" w:eastAsia="Arial" w:hAnsi="Arial"/>
                <w:sz w:val="18"/>
                <w:szCs w:val="18"/>
                <w:b w:val="1"/>
                <w:bCs w:val="1"/>
                <w:color w:val="auto"/>
              </w:rPr>
              <w:t>(615) 733-4730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7600" w:type="dxa"/>
            <w:vAlign w:val="bottom"/>
            <w:gridSpan w:val="5"/>
          </w:tcPr>
          <w:p>
            <w:pPr>
              <w:jc w:val="center"/>
              <w:ind w:left="355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spacing w:after="0"/>
              <w:rPr>
                <w:sz w:val="20"/>
                <w:szCs w:val="20"/>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53"/>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98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Trading Symbol(s)</w:t>
            </w:r>
          </w:p>
        </w:tc>
        <w:tc>
          <w:tcPr>
            <w:tcW w:w="3640" w:type="dxa"/>
            <w:vAlign w:val="bottom"/>
          </w:tcPr>
          <w:p>
            <w:pPr>
              <w:jc w:val="center"/>
              <w:ind w:right="550"/>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HROW</w:t>
            </w:r>
          </w:p>
        </w:tc>
        <w:tc>
          <w:tcPr>
            <w:tcW w:w="1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30"/>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8.625% Senior Notes due 2026</w:t>
            </w:r>
          </w:p>
        </w:tc>
        <w:tc>
          <w:tcPr>
            <w:tcW w:w="2980" w:type="dxa"/>
            <w:vAlign w:val="bottom"/>
            <w:gridSpan w:val="3"/>
          </w:tcPr>
          <w:p>
            <w:pPr>
              <w:jc w:val="center"/>
              <w:ind w:right="720"/>
              <w:spacing w:after="0"/>
              <w:rPr>
                <w:sz w:val="20"/>
                <w:szCs w:val="20"/>
                <w:color w:val="auto"/>
              </w:rPr>
            </w:pPr>
            <w:r>
              <w:rPr>
                <w:rFonts w:ascii="Arial" w:cs="Arial" w:eastAsia="Arial" w:hAnsi="Arial"/>
                <w:sz w:val="18"/>
                <w:szCs w:val="18"/>
                <w:color w:val="auto"/>
                <w:w w:val="98"/>
              </w:rPr>
              <w:t>HROWL</w:t>
            </w:r>
          </w:p>
        </w:tc>
        <w:tc>
          <w:tcPr>
            <w:tcW w:w="3640" w:type="dxa"/>
            <w:vAlign w:val="bottom"/>
          </w:tcPr>
          <w:p>
            <w:pPr>
              <w:jc w:val="center"/>
              <w:ind w:right="530"/>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a smaller reporting company, or an emerging growth company. </w:t>
      </w:r>
      <w:r>
        <w:rPr>
          <w:rFonts w:ascii="Arial" w:cs="Arial" w:eastAsia="Arial" w:hAnsi="Arial"/>
          <w:sz w:val="18"/>
          <w:szCs w:val="18"/>
          <w:color w:val="221E1F"/>
        </w:rPr>
        <w:t>See the definitions of “large accelerated filer,” “accelerated filer,” “smaller reporting company,” and “emerging growth</w:t>
      </w:r>
      <w:r>
        <w:rPr>
          <w:rFonts w:ascii="Arial" w:cs="Arial" w:eastAsia="Arial" w:hAnsi="Arial"/>
          <w:sz w:val="18"/>
          <w:szCs w:val="18"/>
          <w:color w:val="auto"/>
        </w:rPr>
        <w:t xml:space="preserve"> </w:t>
      </w:r>
      <w:r>
        <w:rPr>
          <w:rFonts w:ascii="Arial" w:cs="Arial" w:eastAsia="Arial" w:hAnsi="Arial"/>
          <w:sz w:val="18"/>
          <w:szCs w:val="18"/>
          <w:color w:val="221E1F"/>
        </w:rPr>
        <w:t>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3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ind w:left="144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10, 2021, there were 26,582,215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4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HARROW HEALTH, INC.</w:t>
            </w:r>
          </w:p>
        </w:tc>
        <w:tc>
          <w:tcPr>
            <w:tcW w:w="640" w:type="dxa"/>
            <w:vAlign w:val="bottom"/>
          </w:tcPr>
          <w:p>
            <w:pPr>
              <w:spacing w:after="0"/>
              <w:rPr>
                <w:sz w:val="20"/>
                <w:szCs w:val="20"/>
                <w:color w:val="auto"/>
              </w:rPr>
            </w:pPr>
          </w:p>
        </w:tc>
      </w:tr>
      <w:tr>
        <w:trPr>
          <w:trHeight w:val="391"/>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60"/>
        </w:trPr>
        <w:tc>
          <w:tcPr>
            <w:tcW w:w="9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98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Part I</w:t>
            </w:r>
          </w:p>
        </w:tc>
        <w:tc>
          <w:tcPr>
            <w:tcW w:w="9620" w:type="dxa"/>
            <w:vAlign w:val="bottom"/>
            <w:gridSpan w:val="16"/>
            <w:shd w:val="clear" w:color="auto" w:fill="CCEEFF"/>
          </w:tcPr>
          <w:p>
            <w:pPr>
              <w:spacing w:after="0" w:line="142" w:lineRule="exact"/>
              <w:rPr>
                <w:rFonts w:ascii="Arial" w:cs="Arial" w:eastAsia="Arial" w:hAnsi="Arial"/>
                <w:sz w:val="16"/>
                <w:szCs w:val="16"/>
                <w:color w:val="0000EE"/>
              </w:rPr>
            </w:pPr>
            <w:hyperlink w:anchor="page3">
              <w:r>
                <w:rPr>
                  <w:rFonts w:ascii="Arial" w:cs="Arial" w:eastAsia="Arial" w:hAnsi="Arial"/>
                  <w:sz w:val="16"/>
                  <w:szCs w:val="16"/>
                  <w:color w:val="0000EE"/>
                </w:rPr>
                <w:t>FINANCIAL INFORMATION</w:t>
              </w:r>
            </w:hyperlink>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1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6"/>
        </w:trPr>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45">
              <w:r>
                <w:rPr>
                  <w:rFonts w:ascii="Arial" w:cs="Arial" w:eastAsia="Arial" w:hAnsi="Arial"/>
                  <w:sz w:val="18"/>
                  <w:szCs w:val="18"/>
                  <w:color w:val="0000EE"/>
                  <w:w w:val="85"/>
                </w:rPr>
                <w:t>Signatures</w:t>
              </w:r>
            </w:hyperlink>
          </w:p>
        </w:tc>
        <w:tc>
          <w:tcPr>
            <w:tcW w:w="886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r>
      <w:tr>
        <w:trPr>
          <w:trHeight w:val="439"/>
        </w:trPr>
        <w:tc>
          <w:tcPr>
            <w:tcW w:w="9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4"/>
          </w:tcPr>
          <w:p>
            <w:pPr>
              <w:jc w:val="center"/>
              <w:ind w:left="3911"/>
              <w:spacing w:after="0"/>
              <w:rPr>
                <w:sz w:val="20"/>
                <w:szCs w:val="20"/>
                <w:color w:val="auto"/>
              </w:rPr>
            </w:pPr>
            <w:r>
              <w:rPr>
                <w:rFonts w:ascii="Arial" w:cs="Arial" w:eastAsia="Arial" w:hAnsi="Arial"/>
                <w:sz w:val="18"/>
                <w:szCs w:val="18"/>
                <w:color w:val="auto"/>
                <w:w w:val="79"/>
              </w:rPr>
              <w:t>2</w:t>
            </w:r>
          </w:p>
        </w:tc>
        <w:tc>
          <w:tcPr>
            <w:tcW w:w="1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March 31, 2021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December 31, 2020</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6,504</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Investment in Eton Pharmaceuticals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25,620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28,455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4,496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40,636</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40,131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6,651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Investment in Surface Ophthalmics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5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5,176</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3,932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paycheck protection program loan payable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Current portion of loan payable, net of unamortized debt discount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2,659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6,496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payable, net of current portion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Loan payable, net of current portion and unamortized debt discount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10,996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11,670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360"/>
              <w:spacing w:after="0" w:line="201" w:lineRule="exact"/>
              <w:rPr>
                <w:sz w:val="20"/>
                <w:szCs w:val="20"/>
                <w:color w:val="auto"/>
              </w:rPr>
            </w:pPr>
            <w:r>
              <w:rPr>
                <w:rFonts w:ascii="Arial" w:cs="Arial" w:eastAsia="Arial" w:hAnsi="Arial"/>
                <w:sz w:val="18"/>
                <w:szCs w:val="18"/>
                <w:color w:val="auto"/>
                <w:w w:val="98"/>
              </w:rPr>
              <w:t>Common stock, $0.001 par value, 50,000,000 shares authorized, 25,983,676 and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w w:val="92"/>
              </w:rPr>
              <w:t>25,749,875 shares issued and outstanding at March 31, 2021 and December 31, 2020,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105,382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(77,183)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HARROW HEALTH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ind w:left="360"/>
              <w:spacing w:after="0" w:line="203" w:lineRule="exact"/>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56,252</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57,474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 Three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161"/>
              <w:spacing w:after="0"/>
              <w:rPr>
                <w:sz w:val="20"/>
                <w:szCs w:val="20"/>
                <w:color w:val="auto"/>
              </w:rPr>
            </w:pPr>
            <w:r>
              <w:rPr>
                <w:rFonts w:ascii="Arial" w:cs="Arial" w:eastAsia="Arial" w:hAnsi="Arial"/>
                <w:sz w:val="18"/>
                <w:szCs w:val="18"/>
                <w:color w:val="auto"/>
                <w:w w:val="90"/>
              </w:rPr>
              <w:t>For the Three Months</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center"/>
              <w:ind w:right="141"/>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31, 2021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center"/>
              <w:ind w:right="161"/>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14,948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1"/>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4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15,443</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11,817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(3,770)</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8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11,673</w:t>
            </w: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8,191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8,164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5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8,756</w:t>
            </w: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22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Investment loss from Melt Pharmaceuticals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Surface Ophthalmics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(2,835)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(10,850)</w:t>
            </w:r>
          </w:p>
        </w:tc>
        <w:tc>
          <w:tcPr>
            <w:tcW w:w="0" w:type="dxa"/>
            <w:vAlign w:val="bottom"/>
          </w:tcPr>
          <w:p>
            <w:pPr>
              <w:spacing w:after="0"/>
              <w:rPr>
                <w:sz w:val="1"/>
                <w:szCs w:val="1"/>
                <w:color w:val="auto"/>
              </w:rPr>
            </w:pPr>
          </w:p>
        </w:tc>
      </w:tr>
      <w:tr>
        <w:trPr>
          <w:trHeight w:val="24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debt</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net</w:t>
            </w:r>
          </w:p>
        </w:tc>
        <w:tc>
          <w:tcPr>
            <w:tcW w:w="8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(2,700)</w:t>
            </w: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(12,295)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0" w:type="dxa"/>
            <w:vAlign w:val="bottom"/>
          </w:tcPr>
          <w:p>
            <w:pPr>
              <w:spacing w:after="0"/>
              <w:rPr>
                <w:sz w:val="1"/>
                <w:szCs w:val="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income (loss) including noncontrolling interests</w:t>
            </w: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20" w:type="dxa"/>
            <w:vAlign w:val="bottom"/>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Harrow Health, Inc.</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Basic net income (loss) per share of common stock</w:t>
            </w:r>
          </w:p>
        </w:tc>
        <w:tc>
          <w:tcPr>
            <w:tcW w:w="8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22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income (loss) per share of common stock</w:t>
            </w: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outstanding, basic</w:t>
            </w: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2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26,019,255</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25,867,568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of common stock outstanding, diluted</w:t>
            </w: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27,480,622</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25,867,568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data)</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2019</w:t>
      </w:r>
    </w:p>
    <w:p>
      <w:pPr>
        <w:spacing w:after="0" w:line="225" w:lineRule="exact"/>
        <w:rPr>
          <w:sz w:val="20"/>
          <w:szCs w:val="20"/>
          <w:color w:val="auto"/>
        </w:rPr>
      </w:pPr>
    </w:p>
    <w:p>
      <w:pPr>
        <w:jc w:val="both"/>
        <w:ind w:left="180" w:hanging="179"/>
        <w:spacing w:after="0" w:line="255" w:lineRule="auto"/>
        <w:rPr>
          <w:sz w:val="20"/>
          <w:szCs w:val="20"/>
          <w:color w:val="auto"/>
        </w:rPr>
      </w:pPr>
      <w:r>
        <w:rPr>
          <w:rFonts w:ascii="Arial" w:cs="Arial" w:eastAsia="Arial" w:hAnsi="Arial"/>
          <w:sz w:val="18"/>
          <w:szCs w:val="18"/>
          <w:color w:val="auto"/>
        </w:rPr>
        <w:t>Issuance of common stock in connection with: Issuance of common stock related to vesting of RSUs</w:t>
      </w:r>
    </w:p>
    <w:p>
      <w:pPr>
        <w:spacing w:after="0" w:line="3" w:lineRule="exact"/>
        <w:rPr>
          <w:sz w:val="20"/>
          <w:szCs w:val="20"/>
          <w:color w:val="auto"/>
        </w:rPr>
      </w:pPr>
    </w:p>
    <w:p>
      <w:pPr>
        <w:ind w:right="820"/>
        <w:spacing w:after="0" w:line="257" w:lineRule="auto"/>
        <w:rPr>
          <w:sz w:val="20"/>
          <w:szCs w:val="20"/>
          <w:color w:val="auto"/>
        </w:rPr>
      </w:pPr>
      <w:r>
        <w:rPr>
          <w:rFonts w:ascii="Arial" w:cs="Arial" w:eastAsia="Arial" w:hAnsi="Arial"/>
          <w:sz w:val="18"/>
          <w:szCs w:val="18"/>
          <w:color w:val="auto"/>
        </w:rPr>
        <w:t>Stock-based compensation expense Net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Harrow Health,</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1940" w:type="dxa"/>
            <w:vAlign w:val="bottom"/>
            <w:gridSpan w:val="5"/>
          </w:tcPr>
          <w:p>
            <w:pPr>
              <w:ind w:left="300"/>
              <w:spacing w:after="0"/>
              <w:rPr>
                <w:sz w:val="20"/>
                <w:szCs w:val="20"/>
                <w:color w:val="auto"/>
              </w:rPr>
            </w:pPr>
            <w:r>
              <w:rPr>
                <w:rFonts w:ascii="Arial" w:cs="Arial" w:eastAsia="Arial" w:hAnsi="Arial"/>
                <w:sz w:val="18"/>
                <w:szCs w:val="18"/>
                <w:color w:val="auto"/>
              </w:rPr>
              <w:t>Common Stock</w:t>
            </w:r>
          </w:p>
        </w:tc>
        <w:tc>
          <w:tcPr>
            <w:tcW w:w="880" w:type="dxa"/>
            <w:vAlign w:val="bottom"/>
            <w:gridSpan w:val="3"/>
          </w:tcPr>
          <w:p>
            <w:pPr>
              <w:ind w:left="2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Inc.</w:t>
            </w:r>
          </w:p>
        </w:tc>
        <w:tc>
          <w:tcPr>
            <w:tcW w:w="1400" w:type="dxa"/>
            <w:vAlign w:val="bottom"/>
            <w:gridSpan w:val="4"/>
          </w:tcPr>
          <w:p>
            <w:pPr>
              <w:jc w:val="center"/>
              <w:ind w:right="61"/>
              <w:spacing w:after="0"/>
              <w:rPr>
                <w:sz w:val="20"/>
                <w:szCs w:val="20"/>
                <w:color w:val="auto"/>
              </w:rPr>
            </w:pPr>
            <w:r>
              <w:rPr>
                <w:rFonts w:ascii="Arial" w:cs="Arial" w:eastAsia="Arial" w:hAnsi="Arial"/>
                <w:sz w:val="18"/>
                <w:szCs w:val="18"/>
                <w:color w:val="auto"/>
                <w:w w:val="95"/>
              </w:rPr>
              <w:t>Noncontrolling</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5"/>
        </w:trPr>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85"/>
              </w:rPr>
              <w:t>Par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Stockholders’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21"/>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8"/>
                <w:szCs w:val="18"/>
                <w:color w:val="auto"/>
              </w:rPr>
            </w:pPr>
          </w:p>
        </w:tc>
        <w:tc>
          <w:tcPr>
            <w:tcW w:w="6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Total</w:t>
            </w:r>
          </w:p>
        </w:tc>
      </w:tr>
      <w:tr>
        <w:trPr>
          <w:trHeight w:val="237"/>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Equity</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20"/>
                <w:szCs w:val="20"/>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Equity</w:t>
            </w:r>
          </w:p>
        </w:tc>
      </w:tr>
      <w:tr>
        <w:trPr>
          <w:trHeight w:val="230"/>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25,526,931</w:t>
            </w:r>
          </w:p>
        </w:tc>
        <w:tc>
          <w:tcPr>
            <w:tcW w:w="2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101,728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35"/>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91,987</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16"/>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8"/>
                <w:szCs w:val="18"/>
                <w:color w:val="auto"/>
              </w:rPr>
            </w:pPr>
          </w:p>
        </w:tc>
      </w:tr>
      <w:tr>
        <w:trPr>
          <w:trHeight w:val="251"/>
        </w:trPr>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(12,923)</w:t>
            </w:r>
          </w:p>
        </w:tc>
      </w:tr>
      <w:tr>
        <w:trPr>
          <w:trHeight w:val="22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25,618,918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102,261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(86,950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15,028</w:t>
            </w:r>
          </w:p>
        </w:tc>
        <w:tc>
          <w:tcPr>
            <w:tcW w:w="4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-1165225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-882650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-471170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-179070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240"/>
            <w:col w:w="7620"/>
          </w:cols>
          <w:pgMar w:left="320" w:top="66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25,749,875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104,557</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(77,400)</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27,183</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26,828</w:t>
            </w:r>
          </w:p>
        </w:tc>
        <w:tc>
          <w:tcPr>
            <w:tcW w:w="8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8"/>
              </w:rPr>
              <w:t>Issuance of common stock in connection with:</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employee options</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r>
      <w:tr>
        <w:trPr>
          <w:trHeight w:val="202"/>
        </w:trPr>
        <w:tc>
          <w:tcPr>
            <w:tcW w:w="3620" w:type="dxa"/>
            <w:vAlign w:val="bottom"/>
          </w:tcPr>
          <w:p>
            <w:pPr>
              <w:ind w:left="180"/>
              <w:spacing w:after="0" w:line="201" w:lineRule="exact"/>
              <w:rPr>
                <w:sz w:val="20"/>
                <w:szCs w:val="20"/>
                <w:color w:val="auto"/>
              </w:rPr>
            </w:pPr>
            <w:r>
              <w:rPr>
                <w:rFonts w:ascii="Arial" w:cs="Arial" w:eastAsia="Arial" w:hAnsi="Arial"/>
                <w:sz w:val="18"/>
                <w:szCs w:val="18"/>
                <w:color w:val="auto"/>
                <w:w w:val="96"/>
              </w:rPr>
              <w:t>Issuance of common stock related to vesting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of RSUs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230,000</w:t>
            </w:r>
          </w:p>
        </w:tc>
        <w:tc>
          <w:tcPr>
            <w:tcW w:w="26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3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withheld related to net share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equity awards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w:t>
            </w:r>
          </w:p>
        </w:tc>
        <w:tc>
          <w:tcPr>
            <w:tcW w:w="2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8"/>
                <w:szCs w:val="18"/>
                <w:color w:val="auto"/>
              </w:rPr>
            </w:pPr>
          </w:p>
        </w:tc>
      </w:tr>
      <w:tr>
        <w:trPr>
          <w:trHeight w:val="25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1"/>
                <w:szCs w:val="21"/>
                <w:color w:val="auto"/>
              </w:rPr>
            </w:pPr>
          </w:p>
        </w:tc>
      </w:tr>
      <w:tr>
        <w:trPr>
          <w:trHeight w:val="216"/>
        </w:trPr>
        <w:tc>
          <w:tcPr>
            <w:tcW w:w="3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25,983,676</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105,382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(77,183</w:t>
            </w:r>
          </w:p>
        </w:tc>
        <w:tc>
          <w:tcPr>
            <w:tcW w:w="14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28,225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27,870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481"/>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461"/>
              <w:spacing w:after="0"/>
              <w:rPr>
                <w:sz w:val="20"/>
                <w:szCs w:val="20"/>
                <w:color w:val="auto"/>
              </w:rPr>
            </w:pPr>
            <w:r>
              <w:rPr>
                <w:rFonts w:ascii="Arial" w:cs="Arial" w:eastAsia="Arial" w:hAnsi="Arial"/>
                <w:sz w:val="18"/>
                <w:szCs w:val="18"/>
                <w:color w:val="auto"/>
                <w:w w:val="91"/>
              </w:rPr>
              <w:t>Three Months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Three Months</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center"/>
              <w:ind w:right="461"/>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center"/>
              <w:ind w:right="461"/>
              <w:spacing w:after="0"/>
              <w:rPr>
                <w:sz w:val="20"/>
                <w:szCs w:val="20"/>
                <w:color w:val="auto"/>
              </w:rPr>
            </w:pPr>
            <w:r>
              <w:rPr>
                <w:rFonts w:ascii="Arial" w:cs="Arial" w:eastAsia="Arial" w:hAnsi="Arial"/>
                <w:sz w:val="18"/>
                <w:szCs w:val="18"/>
                <w:color w:val="auto"/>
                <w:w w:val="91"/>
              </w:rPr>
              <w:t>March 31, 2021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March 31, 2020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 (loss) (including noncontrolling interests)</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217</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(12,923)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plant and equipment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Provision for bad debt expense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Gain on forgiveness of debt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Investment loss from Surface Ophthalmics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loss from Melt Pharmaceuticals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1,105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3,208</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Investment in patent and trademark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color w:val="auto"/>
              </w:rPr>
              <w:t>Payments on finance lease obligations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SWK loan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0" w:type="dxa"/>
            <w:vAlign w:val="bottom"/>
          </w:tcPr>
          <w:p>
            <w:pPr>
              <w:ind w:left="180"/>
              <w:spacing w:after="0" w:line="201" w:lineRule="exact"/>
              <w:rPr>
                <w:sz w:val="20"/>
                <w:szCs w:val="20"/>
                <w:color w:val="auto"/>
              </w:rPr>
            </w:pPr>
            <w:r>
              <w:rPr>
                <w:rFonts w:ascii="Arial" w:cs="Arial" w:eastAsia="Arial" w:hAnsi="Arial"/>
                <w:sz w:val="18"/>
                <w:szCs w:val="18"/>
                <w:color w:val="auto"/>
                <w:w w:val="93"/>
              </w:rPr>
              <w:t>Net proceeds from exercise of stock options, net of taxes remitted upon vesting of RSU’s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800" w:type="dxa"/>
            <w:vAlign w:val="bottom"/>
          </w:tcPr>
          <w:p>
            <w:pPr>
              <w:ind w:left="180"/>
              <w:spacing w:after="0"/>
              <w:rPr>
                <w:sz w:val="20"/>
                <w:szCs w:val="20"/>
                <w:color w:val="auto"/>
              </w:rPr>
            </w:pPr>
            <w:r>
              <w:rPr>
                <w:rFonts w:ascii="Arial" w:cs="Arial" w:eastAsia="Arial" w:hAnsi="Arial"/>
                <w:sz w:val="18"/>
                <w:szCs w:val="18"/>
                <w:color w:val="auto"/>
              </w:rPr>
              <w:t>and options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gridSpan w:val="2"/>
          </w:tcPr>
          <w:p>
            <w:pPr>
              <w:jc w:val="right"/>
              <w:ind w:right="18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80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2,203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(825)</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beginning of period</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4,301</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0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CASH, CASH EQUIVALENTS AND RESTRICTED CASH, end of period</w:t>
            </w:r>
          </w:p>
        </w:tc>
        <w:tc>
          <w:tcPr>
            <w:tcW w:w="1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CASH, CASH EQUIVALENTS AND RESTRICTED CASH</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6,304</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80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8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Cash paid for interest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obtained in exchange for lease obligation</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Changes in accrued property and equipment purchases</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dollar amounts are expressed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Harrow Health, Inc. (together with its subsidiaries, partially owned companies and royalty arrangements unless the context indicates or otherwise requires, the “Company” or “Harrow”) specializes in the development, production and sale of innovative medications that offer unique competitive advantages and serve unmet needs in the marketplace through its subsidiaries and deconsolidated companies. The Company owns one of the nation’s leading ophthalmology-focused pharmaceutical businesses, ImprimisRx. In addition to wholly owning ImprimisRx, the Company also has equity positions in Eton Pharmaceuticals, Inc. (“Eton”), Surface Ophthalmics, Inc. (“Surface”), and Melt Pharmaceuticals, Inc. (“Melt”), all companies that began as subsidiaries of Harrow. In 2020, Harrow created Visionology, Inc. (“Visionology”), which will launch an online eye health platform business. Harrow also owns royalty rights in various drug candidates being developed by Surface and Melt.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2021 are not necessarily indicative of the results that may be expected for the year ending December 31, 2021 or for any other period. For further information, refer to the Company’s audited consolidated financial statements and footnotes thereto included in the Company’s Annual Report on Form 10-K for the year ended December 31, 2020.</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and majority-owned subsidiaries. All inter-company accounts and transactions have been eliminated in consolidation.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Harrow consolidates entities in which it has a controlling financial interest. The Company consolidates subsidiaries in which it holds and/or controls, directly or indirectly, more than 50% of the voting rights. All intercompany accounts and transactions have been eliminated in consolidation.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balance sheets at March 31, 2021 and December 31, 2020 and the condensed consolidated statements of operations, stockholders’ equity and cash flows for the periods ended March 31, 2021 and 2020 include our accounts and those of our wholly owned subsidiaries, as well as our inactive majority owned subsidiaries Mayfield Pharmaceuticals, Inc. and Stowe Pharmaceuticals,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2021 to the significant accounting policies described in the Company’s Annual Report on Form 10-K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Uncertainties and Liquidity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certain regulatory standards,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operating decision-maker is its Chief Executive Officer who makes resource allocation decisions and assesses performance based on financial information of our operating segments. The Company has identified two operating segments as reportable segments. See Note 16 for more information regarding the Company’s reportable segments.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any noncontrolling interest as a separate line item in equity in the condensed consolidated financial statements. A noncontrolling interest represents the portion of equity ownership in a less-than-wholly-owned subsidiary not attributable to the Company. Generally, any interest that holds less than 50% of the outstanding voting shares is deemed to be a noncontrolling interest; however, there are other factors, such as decision-making rights, that are considered as well. The Company includes the amount of net income (loss) attributable to noncontrolling interests in consolidated net income (loss) on the face of the condensed consolidated statements of operations.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provides in the condensed consolidated statements of stockholders’ equity a reconciliation at the beginning and the end of the period of the carrying amount of total equity, equity attributable to the parent, and equity attributable to the noncontrolling interest that separately discloses:</w:t>
      </w:r>
    </w:p>
    <w:p>
      <w:pPr>
        <w:spacing w:after="0" w:line="1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or loss;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with owners acting in their capacity as owners, showing separately contributions from and distributions to owners;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component of other income or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stockholders for the period by the weighted average number of common shares outstanding during the period. Diluted net income (loss) per share is computed by dividing the net income (loss) attributable to common stockholders for the period by the weighted average number of common and common equivalent shares, such as stock options, unvested restricted stock units (“RSUs”) and warrants, outstanding during the period.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income (loss) per share is computed using the weighted average number of shares of common stock outstanding during the period. Common equivalent shares (using the treasury stock or “if converted” method) from stock options, RSUs and warrants were 5,486,678 and 5,253,638 at March 31, 2021 and 2020, respectively. For the three months ended March 31, 2020, the common equivalent shares are excluded in the calculation of diluted net loss per share because the effect is anti-dilutive. Included in the basic and diluted net income (loss) per share calculation were RSUs awarded to directors that had vested, but the issuance and delivery of the shares are deferred until the director resigns. The number of shares underlying vested RSUs at March 31, 2021 and 2020 was 223,219 and 244,460,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net income (loss) per share of common stock for the three months ended March 31, 2021 and 2020:</w:t>
      </w:r>
    </w:p>
    <w:p>
      <w:pPr>
        <w:spacing w:after="0" w:line="200" w:lineRule="exact"/>
        <w:rPr>
          <w:sz w:val="20"/>
          <w:szCs w:val="20"/>
          <w:color w:val="auto"/>
        </w:rPr>
      </w:pPr>
    </w:p>
    <w:p>
      <w:pPr>
        <w:spacing w:after="0" w:line="291"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26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 Harrow Health, Inc.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shd w:val="clear" w:color="auto" w:fill="CCEEFF"/>
          </w:tcPr>
          <w:p>
            <w:pPr>
              <w:spacing w:after="0"/>
              <w:rPr>
                <w:sz w:val="18"/>
                <w:szCs w:val="18"/>
                <w:color w:val="auto"/>
              </w:rPr>
            </w:pP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Denominator – weighted average number of shares outstanding, basic</w:t>
            </w:r>
          </w:p>
        </w:tc>
        <w:tc>
          <w:tcPr>
            <w:tcW w:w="38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26,019,255</w:t>
            </w:r>
          </w:p>
        </w:tc>
        <w:tc>
          <w:tcPr>
            <w:tcW w:w="380" w:type="dxa"/>
            <w:vAlign w:val="bottom"/>
          </w:tcPr>
          <w:p>
            <w:pPr>
              <w:spacing w:after="0"/>
              <w:rPr>
                <w:sz w:val="20"/>
                <w:szCs w:val="20"/>
                <w:color w:val="auto"/>
              </w:rPr>
            </w:pPr>
          </w:p>
        </w:tc>
        <w:tc>
          <w:tcPr>
            <w:tcW w:w="1420" w:type="dxa"/>
            <w:vAlign w:val="bottom"/>
            <w:gridSpan w:val="2"/>
          </w:tcPr>
          <w:p>
            <w:pPr>
              <w:jc w:val="right"/>
              <w:ind w:right="21"/>
              <w:spacing w:after="0"/>
              <w:rPr>
                <w:sz w:val="20"/>
                <w:szCs w:val="20"/>
                <w:color w:val="auto"/>
              </w:rPr>
            </w:pPr>
            <w:r>
              <w:rPr>
                <w:rFonts w:ascii="Arial" w:cs="Arial" w:eastAsia="Arial" w:hAnsi="Arial"/>
                <w:sz w:val="18"/>
                <w:szCs w:val="18"/>
                <w:color w:val="auto"/>
              </w:rPr>
              <w:t>25,867,568</w:t>
            </w:r>
          </w:p>
        </w:tc>
      </w:tr>
      <w:tr>
        <w:trPr>
          <w:trHeight w:val="230"/>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basic</w:t>
            </w: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For the three months ended March 31, 2021, the Company computed diluted net income per share using the weighted-average number of common shares and dilutive common equivalent shares outstanding during the period. Diluted common equivalent shares for the three months ended March 31, 2021, consisted of the following: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00" w:type="dxa"/>
            <w:vAlign w:val="bottom"/>
            <w:gridSpan w:val="2"/>
          </w:tcPr>
          <w:p>
            <w:pPr>
              <w:ind w:left="300"/>
              <w:spacing w:after="0"/>
              <w:rPr>
                <w:sz w:val="20"/>
                <w:szCs w:val="20"/>
                <w:color w:val="auto"/>
              </w:rPr>
            </w:pPr>
            <w:r>
              <w:rPr>
                <w:rFonts w:ascii="Arial" w:cs="Arial" w:eastAsia="Arial" w:hAnsi="Arial"/>
                <w:sz w:val="18"/>
                <w:szCs w:val="18"/>
                <w:b w:val="1"/>
                <w:bCs w:val="1"/>
                <w:color w:val="auto"/>
              </w:rPr>
              <w:t xml:space="preserve">March 31, </w:t>
            </w:r>
            <w:r>
              <w:rPr>
                <w:rFonts w:ascii="Arial" w:cs="Arial" w:eastAsia="Arial" w:hAnsi="Arial"/>
                <w:sz w:val="18"/>
                <w:szCs w:val="18"/>
                <w:color w:val="auto"/>
              </w:rPr>
              <w:t>2021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related to:</w:t>
            </w:r>
          </w:p>
        </w:tc>
        <w:tc>
          <w:tcPr>
            <w:tcW w:w="40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576,275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885,092</w:t>
            </w:r>
          </w:p>
        </w:tc>
        <w:tc>
          <w:tcPr>
            <w:tcW w:w="100" w:type="dxa"/>
            <w:vAlign w:val="bottom"/>
            <w:shd w:val="clear" w:color="auto" w:fill="CCEEFF"/>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Dilutive common equivalent shares</w:t>
            </w:r>
          </w:p>
        </w:tc>
        <w:tc>
          <w:tcPr>
            <w:tcW w:w="4000" w:type="dxa"/>
            <w:vAlign w:val="bottom"/>
            <w:tcBorders>
              <w:top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1,461,367</w:t>
            </w:r>
          </w:p>
        </w:tc>
        <w:tc>
          <w:tcPr>
            <w:tcW w:w="100" w:type="dxa"/>
            <w:vAlign w:val="bottom"/>
            <w:tcBorders>
              <w:top w:val="single" w:sz="8" w:color="CCEE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00" w:type="dxa"/>
            <w:vAlign w:val="bottom"/>
            <w:vMerge w:val="restart"/>
          </w:tcPr>
          <w:p>
            <w:pPr>
              <w:jc w:val="right"/>
              <w:ind w:right="2750"/>
              <w:spacing w:after="0"/>
              <w:rPr>
                <w:sz w:val="20"/>
                <w:szCs w:val="20"/>
                <w:color w:val="auto"/>
              </w:rPr>
            </w:pPr>
            <w:r>
              <w:rPr>
                <w:rFonts w:ascii="Arial" w:cs="Arial" w:eastAsia="Arial" w:hAnsi="Arial"/>
                <w:sz w:val="18"/>
                <w:szCs w:val="18"/>
                <w:color w:val="auto"/>
              </w:rPr>
              <w:t>8</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vMerge w:val="continue"/>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The following table shows the computation of diluted net income (loss) per share using the weighted-average number of common shares and dilutive common equivalent shares outstanding for the three months ended March 31, 2021 and 2020:</w:t>
      </w:r>
    </w:p>
    <w:p>
      <w:pPr>
        <w:spacing w:after="0" w:line="193"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 net income (loss)</w:t>
            </w:r>
          </w:p>
        </w:tc>
        <w:tc>
          <w:tcPr>
            <w:tcW w:w="6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basic</w:t>
            </w: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26,019,255</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25,867,568</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equivalent shares</w:t>
            </w:r>
          </w:p>
        </w:tc>
        <w:tc>
          <w:tcPr>
            <w:tcW w:w="6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1,461,367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Denominator – number of shares used for diluted earnings per share computation</w:t>
            </w:r>
          </w:p>
        </w:tc>
        <w:tc>
          <w:tcPr>
            <w:tcW w:w="6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27,480,622</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25,867,568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diluted</w:t>
            </w:r>
          </w:p>
        </w:tc>
        <w:tc>
          <w:tcPr>
            <w:tcW w:w="6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Eton Pharmaceuticals,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of March 31, 2021, the Company owned 3,500,000 shares of Eton common stock, which represented approximately 14.3% of the equity interests of Eton. At March 31, 2021, the fair market value of Eton’s common stock was $7.32 per share. In accordance with the Accounting Standards Update (“ASU”) 2016-01, </w:t>
      </w:r>
      <w:r>
        <w:rPr>
          <w:rFonts w:ascii="Arial" w:cs="Arial" w:eastAsia="Arial" w:hAnsi="Arial"/>
          <w:sz w:val="18"/>
          <w:szCs w:val="18"/>
          <w:i w:val="1"/>
          <w:iCs w:val="1"/>
          <w:color w:val="auto"/>
        </w:rPr>
        <w:t>Financial Instruments-Overall (Subtopic 825-10): Recognition and Measurement of Financial Assets and Financial Liabilities</w:t>
      </w:r>
      <w:r>
        <w:rPr>
          <w:rFonts w:ascii="Arial" w:cs="Arial" w:eastAsia="Arial" w:hAnsi="Arial"/>
          <w:sz w:val="18"/>
          <w:szCs w:val="18"/>
          <w:color w:val="auto"/>
        </w:rPr>
        <w:t>, the Company recorded an unrealized investment loss from its Eton common stock position of $2,835 and $10,850 during the three months ended March 31, 2021 and 2020, respectively, related to the change in fair market value of its investment in Eton during the measurement period. As of March 31, 2021, the fair market value of the Company’s investment in Eton was $25,620.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Mark L. Baum, the Company’s Chief Executive Officer, resigned as a member of the board of directors of Eton. In April 2021, the Company sold 1,518,000 shares of its Eton common stock (see Note 17 for more information related to this subsequent event). In light of these events, the Company has determined that Eton is no longer a related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Melt Pharmaceuticals, Inc. – Related Party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owns 3,500,000 common shares (which is approximately 44% of the equity interests as of March 31, 2021) of Melt and uses the equity method of accounting for this investment, as management has determined that the Company has the ability to exercise significant influence over the operating and financial decisions of Melt. Under this method, the Company recognizes earnings and losses in Melt in its condensed consolidated financial statements and adjusts the carrying amount of its investment in Melt accordingly. The Company’s share of earnings and losses are based on the Company’s ownership interest of Melt. Any intra-entity profits and losses are eliminated. During the three months ended March 31, 2021 and 2020, the Company recorded equity in the net losses of Melt of $470 and $546, respectively. As of March 31, 2021 and December 31, 2020, the Company’s investment in Melt was $2,056 and $2,506, respectively, which includes $881 and $851, respectively, due from Melt for reimbursable expenses and amounts due under a Management Services Agreement between the Company and Melt (the “Melt MSA”).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more information and related party disclosure regarding Melt.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Surface Ophthalmics, Inc.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owns 3,500,000 common shares (which is approximately 30% of the equity interests as of March 31, 2021) of Surface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condensed consolidated financial statements and adjusts the carrying amount of its investment in Surface accordingly. The Company’s share of earnings and losses are based on the Company’s ownership interest of Surface. Any intra-entity profits and losses are eliminated. The Company recorded equity in the net losses of Surface of $849 and $339 during the three months ended March 31, 2021 and 2020, respectively. As of March 31, 2021 and December 31, 2020, the Company’s investment in Surface was $465 and $1,314,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more information and related party disclosure regarding Surface.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Simplifying the Accounting for Income Taxes</w:t>
      </w:r>
      <w:r>
        <w:rPr>
          <w:rFonts w:ascii="Arial" w:cs="Arial" w:eastAsia="Arial" w:hAnsi="Arial"/>
          <w:sz w:val="18"/>
          <w:szCs w:val="18"/>
          <w:color w:val="auto"/>
        </w:rPr>
        <w:t>, which simplifies the accounting for income taxes. This guidance became effective for the Company on January 1, 2021 on a prospective basis. Adoption of this ASU did not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accounts for contracts with customers in accordance with ASC 606,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The Company has three primary streams of revenue: (1) revenue recognized from our sale of products within our pharmacy services, (2) revenue recognized from a commission agreement with a third party and (3) revenue recognized from intellectual property license and asset purchase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ASC 606, we have identified the following:</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Identify the contract(s) with a customer: A contract exists with a customer at the time the prescription or order is received by the Company.</w:t>
      </w:r>
    </w:p>
    <w:p>
      <w:pPr>
        <w:spacing w:after="0" w:line="248" w:lineRule="exact"/>
        <w:rPr>
          <w:rFonts w:ascii="Arial" w:cs="Arial" w:eastAsia="Arial" w:hAnsi="Arial"/>
          <w:sz w:val="16"/>
          <w:szCs w:val="16"/>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year ended December 31, 2020, the Company entered into an agreement whereby it is paid a fee calculated based on sales it generates from a pharmaceutical product that is owned by a third party. The revenue earned from this arrangement is recognized at the time a customer has ordered the pharmaceutical product and it has shipped from the third party (or one of its distributors or affiliates), at which point there is no future performance obligation required by the Company and no consequential continuing involvement on the part of the Company to recognize the associated revenue.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we are party to four intellectual property licenses and asset purchase agreements in which we have agreed to grant a license and which provide a customer with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at which the performance obligation is met.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months ended March 31, 2021 and 2020, consists of the following:</w:t>
      </w:r>
    </w:p>
    <w:p>
      <w:pPr>
        <w:spacing w:after="0" w:line="23"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For the Three Months</w:t>
      </w:r>
    </w:p>
    <w:p>
      <w:pPr>
        <w:spacing w:after="0" w:line="9" w:lineRule="exact"/>
        <w:rPr>
          <w:sz w:val="20"/>
          <w:szCs w:val="20"/>
          <w:color w:val="auto"/>
        </w:rPr>
      </w:pPr>
    </w:p>
    <w:p>
      <w:pPr>
        <w:jc w:val="center"/>
        <w:ind w:left="586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96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6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Commissions</w:t>
            </w:r>
          </w:p>
        </w:tc>
        <w:tc>
          <w:tcPr>
            <w:tcW w:w="13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3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r>
      <w:tr>
        <w:trPr>
          <w:trHeight w:val="217"/>
        </w:trPr>
        <w:tc>
          <w:tcPr>
            <w:tcW w:w="59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15,443</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and customer deposits at March 31, 2021 and December 31, 2020, were $3 and $66, respectively. All deferred revenue and customer deposit amounts at December 31, 2020 were recognized as revenue during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MELT PHARMACEUTICALS, INC. - RELATED PARTY TRANSACTIONS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December 2018, the Company entered into an asset purchase agreement with Melt (the “Melt Asset Purchase Agreement”). Pursuant to the terms of the Melt Asset Purchase Agreement, Melt was assigned certain intellectual property and related rights from the Company to develop, formulate, make, sell, and sub-license certain Company conscious sedation and analgesia related formulations (collectively, the “Melt Products”). Under the terms of the Melt Asset Purchase Agreement, Melt is required to make mid-single-digit royalty payments to the Company on net sales of the Melt Products while any patent rights remain outstanding, as well as other conditions. In January and March 2019, the Company entered into the Melt Series A Preferred Stock Agreement. See also Note 2, under the subheading </w:t>
      </w:r>
      <w:r>
        <w:rPr>
          <w:rFonts w:ascii="Arial" w:cs="Arial" w:eastAsia="Arial" w:hAnsi="Arial"/>
          <w:sz w:val="17"/>
          <w:szCs w:val="17"/>
          <w:i w:val="1"/>
          <w:iCs w:val="1"/>
          <w:color w:val="auto"/>
        </w:rPr>
        <w:t>Investment in Melt Pharmaceuticals, Inc.</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February 2019, the Company and Melt entered into the Melt MSA, whereby the Company provides to Melt certain administrative services and support, including bookkeeping, web services and human resources related activities, and Melt is required to pay the Company a monthly amount of $10.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 Company was due $881 and $851, respectively, from Melt for reimbursable expenses and amounts due under the Melt MSA. Melt did not make any payments to the Company during the three months ended March 31,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Chief Executive Officer, Mark L. Baum, and Chief Medical Officer, Larry Dillaha, M.D. are members of the Melt board of directors, and several employees of the Company (including Mr. Baum, Dr. Dillaha and the Company’s Chief Financial Officer, Andrew R. Boll) entered into consulting agreements and provide consulting services to Melt.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6"/>
              </w:rPr>
              <w:t>The unaudited condensed results of operations information of Melt is summarized below:</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gridSpan w:val="6"/>
          </w:tcPr>
          <w:p>
            <w:pPr>
              <w:jc w:val="right"/>
              <w:ind w:right="761"/>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March 31, 2020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0"/>
                <w:szCs w:val="20"/>
                <w:color w:val="auto"/>
              </w:rPr>
            </w:pPr>
          </w:p>
        </w:tc>
        <w:tc>
          <w:tcPr>
            <w:tcW w:w="1720" w:type="dxa"/>
            <w:vAlign w:val="bottom"/>
            <w:gridSpan w:val="2"/>
          </w:tcPr>
          <w:p>
            <w:pPr>
              <w:jc w:val="right"/>
              <w:ind w:right="61"/>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The unaudited condensed balance sheet information of Melt is summarized below:</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2"/>
            <w:vMerge w:val="restart"/>
          </w:tcPr>
          <w:p>
            <w:pPr>
              <w:jc w:val="right"/>
              <w:ind w:right="461"/>
              <w:spacing w:after="0"/>
              <w:rPr>
                <w:sz w:val="20"/>
                <w:szCs w:val="20"/>
                <w:color w:val="auto"/>
              </w:rPr>
            </w:pPr>
            <w:r>
              <w:rPr>
                <w:rFonts w:ascii="Arial" w:cs="Arial" w:eastAsia="Arial" w:hAnsi="Arial"/>
                <w:sz w:val="18"/>
                <w:szCs w:val="18"/>
                <w:b w:val="1"/>
                <w:bCs w:val="1"/>
                <w:color w:val="auto"/>
              </w:rPr>
              <w:t>At March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At December 31,</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0"/>
                <w:szCs w:val="20"/>
                <w:color w:val="auto"/>
              </w:rPr>
            </w:pPr>
          </w:p>
        </w:tc>
        <w:tc>
          <w:tcPr>
            <w:tcW w:w="1720" w:type="dxa"/>
            <w:vAlign w:val="bottom"/>
            <w:gridSpan w:val="2"/>
          </w:tcPr>
          <w:p>
            <w:pPr>
              <w:jc w:val="right"/>
              <w:ind w:right="12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720" w:type="dxa"/>
            <w:vAlign w:val="bottom"/>
            <w:gridSpan w:val="2"/>
          </w:tcPr>
          <w:p>
            <w:pPr>
              <w:jc w:val="right"/>
              <w:ind w:right="121"/>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21"/>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SURFACE OPHTHALMICS, INC.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asset purchase and license agreement with Surface in 2017 and amended it in April 2018 (the “Surface License Agreements”). Pursuant to the terms of the Surface License Agreements, the Company assigned and licensed to Surface certain intellectual property and related rights associated with Surface’s drug candidates (collectively, the “Surface Products”). Surface is required to make mid-single-digit royalty payments to the Company on net sales of the Surface Products while any patent rights remain outstanding.</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2021, the Company owned 3,500,000 shares of Surface common stock (approximately 30% of the issued and outstanding equity interests). A Company director, Richard L. Lindstrom, and the Company’s Chief Executive Officer, Mark L. Baum, are directors of Surface. Surface is required to make royalty payments to Dr. Lindstrom of 3% of net sales of certain Surface products while certain patent rights remain outstanding. Dr. Lindstrom is also a minority owner of Flying L Partners, an affiliate of the funding investor who purchased the Surface Series A Preferred Stock. Several employees and a director of the Company (including Mr. Baum and Dr. Lindstrom) entered into consulting agreements and provide consulting services to Surface.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Surface is summarized below:</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gridSpan w:val="6"/>
          </w:tcPr>
          <w:p>
            <w:pPr>
              <w:jc w:val="right"/>
              <w:ind w:right="761"/>
              <w:spacing w:after="0"/>
              <w:rPr>
                <w:sz w:val="20"/>
                <w:szCs w:val="20"/>
                <w:color w:val="auto"/>
              </w:rPr>
            </w:pPr>
            <w:r>
              <w:rPr>
                <w:rFonts w:ascii="Arial" w:cs="Arial" w:eastAsia="Arial" w:hAnsi="Arial"/>
                <w:sz w:val="18"/>
                <w:szCs w:val="18"/>
                <w:b w:val="1"/>
                <w:bCs w:val="1"/>
                <w:color w:val="auto"/>
              </w:rPr>
              <w:t>For the Three Months Ended</w:t>
            </w:r>
          </w:p>
        </w:tc>
      </w:tr>
      <w:tr>
        <w:trPr>
          <w:trHeight w:val="245"/>
        </w:trPr>
        <w:tc>
          <w:tcPr>
            <w:tcW w:w="6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8"/>
              </w:rPr>
              <w:t>March 31, 2021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March 31, 2020</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0"/>
                <w:szCs w:val="20"/>
                <w:color w:val="auto"/>
              </w:rPr>
            </w:pPr>
          </w:p>
        </w:tc>
        <w:tc>
          <w:tcPr>
            <w:tcW w:w="1740" w:type="dxa"/>
            <w:vAlign w:val="bottom"/>
            <w:gridSpan w:val="2"/>
          </w:tcPr>
          <w:p>
            <w:pPr>
              <w:jc w:val="right"/>
              <w:ind w:right="61"/>
              <w:spacing w:after="0"/>
              <w:rPr>
                <w:sz w:val="20"/>
                <w:szCs w:val="20"/>
                <w:color w:val="auto"/>
              </w:rPr>
            </w:pPr>
            <w:r>
              <w:rPr>
                <w:rFonts w:ascii="Arial" w:cs="Arial" w:eastAsia="Arial" w:hAnsi="Arial"/>
                <w:sz w:val="18"/>
                <w:szCs w:val="18"/>
                <w:color w:val="auto"/>
              </w:rPr>
              <w:t>(2,831)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(1,131)</w:t>
            </w:r>
          </w:p>
        </w:tc>
      </w:tr>
      <w:tr>
        <w:trPr>
          <w:trHeight w:val="23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Surface is summarized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At March 31,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At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84"/>
              </w:rPr>
              <w:t>6,013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 current assets</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4"/>
              </w:rPr>
              <w:t>6,057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1,328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4,729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7,453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84"/>
              </w:rPr>
              <w:t>6,057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40" w:type="dxa"/>
            <w:vAlign w:val="bottom"/>
            <w:vMerge w:val="restart"/>
          </w:tcPr>
          <w:p>
            <w:pPr>
              <w:jc w:val="right"/>
              <w:ind w:right="10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March 31, 2021 and December 31, 2020 consisted of funds held in a money market account. At March 31, 2021 and December 31, 2020,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and December 31, 2020,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2021 and December 31, 2020 was as follows:</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236"/>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2020</w:t>
            </w:r>
          </w:p>
        </w:tc>
      </w:tr>
      <w:tr>
        <w:trPr>
          <w:trHeight w:val="216"/>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4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1,981</w:t>
            </w: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21"/>
                <w:szCs w:val="21"/>
                <w:color w:val="auto"/>
              </w:rPr>
            </w:pPr>
          </w:p>
        </w:tc>
      </w:tr>
      <w:tr>
        <w:trPr>
          <w:trHeight w:val="217"/>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March 31, 2021 and December 31, 2020,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4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PROPERTY, PLANT AND EQUIPMENT</w:t>
            </w: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gridSpan w:val="5"/>
          </w:tcPr>
          <w:p>
            <w:pPr>
              <w:spacing w:after="0"/>
              <w:rPr>
                <w:sz w:val="20"/>
                <w:szCs w:val="20"/>
                <w:color w:val="auto"/>
              </w:rPr>
            </w:pPr>
            <w:r>
              <w:rPr>
                <w:rFonts w:ascii="Arial" w:cs="Arial" w:eastAsia="Arial" w:hAnsi="Arial"/>
                <w:sz w:val="18"/>
                <w:szCs w:val="18"/>
                <w:color w:val="auto"/>
              </w:rPr>
              <w:t>Property, plant and equipment at March 31, 2021 and December 31, 2020, consisted of the following:</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0"/>
                <w:szCs w:val="20"/>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1,900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4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3,436</w:t>
            </w: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5,725</w:t>
            </w: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11,483</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11,271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(7,283)</w:t>
            </w:r>
          </w:p>
        </w:tc>
        <w:tc>
          <w:tcPr>
            <w:tcW w:w="16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months ended March 31, 2021 and 2020, depreciation and amortization related to the property, plant and equipment was $464 and $448,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NOTE 10. INTANGIBLE ASSETS AND GOODWILL</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80" w:type="dxa"/>
            <w:vAlign w:val="bottom"/>
            <w:gridSpan w:val="4"/>
          </w:tcPr>
          <w:p>
            <w:pPr>
              <w:spacing w:after="0"/>
              <w:rPr>
                <w:sz w:val="20"/>
                <w:szCs w:val="20"/>
                <w:color w:val="auto"/>
              </w:rPr>
            </w:pPr>
            <w:r>
              <w:rPr>
                <w:rFonts w:ascii="Arial" w:cs="Arial" w:eastAsia="Arial" w:hAnsi="Arial"/>
                <w:sz w:val="18"/>
                <w:szCs w:val="18"/>
                <w:color w:val="auto"/>
                <w:w w:val="93"/>
              </w:rPr>
              <w:t>The Company’s intangible assets at March 31, 2021 consisted of the following:</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52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periods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88"/>
              </w:rPr>
              <w:t>Accumulated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Net carrying</w:t>
            </w:r>
          </w:p>
        </w:tc>
      </w:tr>
      <w:tr>
        <w:trPr>
          <w:trHeight w:val="241"/>
        </w:trPr>
        <w:tc>
          <w:tcPr>
            <w:tcW w:w="25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3"/>
              </w:rPr>
              <w:t>amortization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Impairment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2520" w:type="dxa"/>
            <w:vAlign w:val="bottom"/>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10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Licenses</w:t>
            </w:r>
          </w:p>
        </w:tc>
        <w:tc>
          <w:tcPr>
            <w:tcW w:w="230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3-15 years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1,519</w:t>
            </w:r>
          </w:p>
        </w:tc>
        <w:tc>
          <w:tcPr>
            <w:tcW w:w="120" w:type="dxa"/>
            <w:vAlign w:val="bottom"/>
          </w:tcPr>
          <w:p>
            <w:pPr>
              <w:spacing w:after="0"/>
              <w:rPr>
                <w:sz w:val="18"/>
                <w:szCs w:val="18"/>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(487)</w:t>
            </w:r>
          </w:p>
        </w:tc>
        <w:tc>
          <w:tcPr>
            <w:tcW w:w="11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Non-competition clause</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3-4 years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80" w:type="dxa"/>
            <w:vAlign w:val="bottom"/>
            <w:gridSpan w:val="2"/>
          </w:tcPr>
          <w:p>
            <w:pPr>
              <w:jc w:val="right"/>
              <w:ind w:right="181"/>
              <w:spacing w:after="0"/>
              <w:rPr>
                <w:sz w:val="20"/>
                <w:szCs w:val="20"/>
                <w:color w:val="auto"/>
              </w:rPr>
            </w:pPr>
            <w:r>
              <w:rPr>
                <w:rFonts w:ascii="Arial" w:cs="Arial" w:eastAsia="Arial" w:hAnsi="Arial"/>
                <w:sz w:val="18"/>
                <w:szCs w:val="18"/>
                <w:color w:val="auto"/>
              </w:rPr>
              <w:t>(50)</w:t>
            </w:r>
          </w:p>
        </w:tc>
        <w:tc>
          <w:tcPr>
            <w:tcW w:w="11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r>
      <w:tr>
        <w:trPr>
          <w:trHeight w:val="217"/>
        </w:trPr>
        <w:tc>
          <w:tcPr>
            <w:tcW w:w="25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2,521</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months ended March 31, 2021 and 2020 was as follows:</w:t>
      </w:r>
    </w:p>
    <w:p>
      <w:pPr>
        <w:spacing w:after="0" w:line="221"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3480" w:type="dxa"/>
            <w:vAlign w:val="bottom"/>
            <w:tcBorders>
              <w:bottom w:val="single" w:sz="8" w:color="CCEEFF"/>
            </w:tcBorders>
          </w:tcPr>
          <w:p>
            <w:pPr>
              <w:spacing w:after="0"/>
              <w:rPr>
                <w:sz w:val="21"/>
                <w:szCs w:val="21"/>
                <w:color w:val="auto"/>
              </w:rPr>
            </w:pPr>
          </w:p>
        </w:tc>
        <w:tc>
          <w:tcPr>
            <w:tcW w:w="174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1"/>
                <w:szCs w:val="2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Licenses</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Trade name</w:t>
            </w:r>
          </w:p>
        </w:tc>
        <w:tc>
          <w:tcPr>
            <w:tcW w:w="1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3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80" w:type="dxa"/>
            <w:vAlign w:val="bottom"/>
            <w:tcBorders>
              <w:bottom w:val="single" w:sz="8" w:color="auto"/>
            </w:tcBorders>
          </w:tcPr>
          <w:p>
            <w:pPr>
              <w:jc w:val="right"/>
              <w:ind w:right="112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2021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2024</w:t>
            </w:r>
          </w:p>
        </w:tc>
        <w:tc>
          <w:tcPr>
            <w:tcW w:w="4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1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120" w:type="dxa"/>
            <w:vAlign w:val="bottom"/>
            <w:vMerge w:val="restart"/>
          </w:tcPr>
          <w:p>
            <w:pPr>
              <w:jc w:val="right"/>
              <w:ind w:right="2330"/>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NOTE 11. ACCOUNTS PAYABLE AND ACCRUED EXPENSES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72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March 31,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2020</w:t>
            </w:r>
          </w:p>
        </w:tc>
      </w:tr>
      <w:tr>
        <w:trPr>
          <w:trHeight w:val="216"/>
        </w:trPr>
        <w:tc>
          <w:tcPr>
            <w:tcW w:w="8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exit fee for note payable</w:t>
            </w:r>
          </w:p>
        </w:tc>
        <w:tc>
          <w:tcPr>
            <w:tcW w:w="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8"/>
                <w:szCs w:val="18"/>
                <w:color w:val="auto"/>
              </w:rPr>
            </w:pPr>
          </w:p>
        </w:tc>
      </w:tr>
      <w:tr>
        <w:trPr>
          <w:trHeight w:val="237"/>
        </w:trPr>
        <w:tc>
          <w:tcPr>
            <w:tcW w:w="8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(3,932)</w:t>
            </w:r>
          </w:p>
        </w:tc>
      </w:tr>
      <w:tr>
        <w:trPr>
          <w:trHeight w:val="230"/>
        </w:trPr>
        <w:tc>
          <w:tcPr>
            <w:tcW w:w="86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Senior Note – 2017</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July 2017, the Company and several of its wholly owned subsidiaries entered into a term loan and security agreement in the principal amount of $16,000 (the “SWK Loan Agreement” or “SWK Loan”) with SWK Funding LLC and its partners (collectively, “SWK”), as lender and collateral agent. The SWK Loan Agreement was fully funded at closing with a five-year term; however, such term could be reduced to four years if certain revenue requirements were not achieved. The SWK Loan was secured by substantially all of the Company’s assets, including its intellectual property rights. The SWK Loan was subsequently amended in May 2019 and again in April 2020. The SWK Loan bore an interest rate that was equal to the three-month London Inter-Bank Offered Rate (subject to a minimum of 2.00%), plus an applicable margin of 10.00% (the “Margin Rate”); provided that, if, two days prior to a payment date, the Company provided SWK evidence that the Company has achieved a leverage ratio as of such date of less than 4.00:1:00, the Margin Rate shall equal 9.00%; and if the Company has achieved a leverage ratio as of such date of less than 3.00:1:00, the Margin Rate shall equal 7.00%. The leverage ratio means, as of any date of determination, the ratio of: (a) indebtedness as of such date to (b) EBITDA (as defined in the SWK Loan), of the Company for the immediately preceding 12-month period, adding-back (i) actual litigation expenses for the immediately preceding 12-month period, minus (ii) actual litigation expenses for the immediately preceding 3 month period multiplied by four.</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March 31, 2021, the Company completed an offering of unsecured senior notes in the aggregate principal amount of $55,000 and used a portion of the proceeds to pay off all outstanding obligations and indebtedness related to the SWK Loan (see Note 17 for additional information).</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related to the SWK Loan Agreement, as amended, amounted to $509 and $560 for the three months ended March 31, 2021 and 2020, respectively, and included amortization of debt issuance costs and discount of $96 and $160 for the three months ended March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2020, the Company entered into an unsecured promissory note and related Business Loan Agreement with Renasant Bank, as lender, for a loan (the “PPP Loan”) in the principal amount of $1,967 and received cash proceeds of the same amount, pursuant to the Paycheck Protection Program (the “PPP”) under the Federal Coronavirus Aid, Relief, and Economic Security Act (the “CARES Act”), which was enacted March 27, 2020. The PPP is administered by the U.S. Small Business Administration (the “SBA”). On March 30, 2021, the Company received a notice of forgiveness of the full balance of the PPP Loan, including all accrued interest, in accordance with the terms and conditions of the CARES Act. Related to the forgiveness, the Company recorded a gain on the forgiveness of debt for the loan balance of $1,967 in the accompanying condensed consolidated statement of operations for the period ended March 31,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At March 31, 2021, future minimum payments under the Company’s debt were as follows:</w:t>
            </w: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8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rPr>
              <w:t>Amount</w:t>
            </w:r>
          </w:p>
        </w:tc>
      </w:tr>
      <w:tr>
        <w:trPr>
          <w:trHeight w:val="216"/>
        </w:trPr>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r>
      <w:tr>
        <w:trPr>
          <w:trHeight w:val="249"/>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9,511</w:t>
            </w:r>
          </w:p>
        </w:tc>
        <w:tc>
          <w:tcPr>
            <w:tcW w:w="80" w:type="dxa"/>
            <w:vAlign w:val="bottom"/>
            <w:shd w:val="clear" w:color="auto" w:fill="CCEEFF"/>
          </w:tcPr>
          <w:p>
            <w:pPr>
              <w:spacing w:after="0"/>
              <w:rPr>
                <w:sz w:val="21"/>
                <w:szCs w:val="21"/>
                <w:color w:val="auto"/>
              </w:rPr>
            </w:pPr>
          </w:p>
        </w:tc>
      </w:tr>
      <w:tr>
        <w:trPr>
          <w:trHeight w:val="203"/>
        </w:trPr>
        <w:tc>
          <w:tcPr>
            <w:tcW w:w="8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4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16,872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48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(2,511)</w:t>
            </w:r>
          </w:p>
        </w:tc>
      </w:tr>
      <w:tr>
        <w:trPr>
          <w:trHeight w:val="203"/>
        </w:trPr>
        <w:tc>
          <w:tcPr>
            <w:tcW w:w="8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4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14,361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48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r>
      <w:tr>
        <w:trPr>
          <w:trHeight w:val="203"/>
        </w:trPr>
        <w:tc>
          <w:tcPr>
            <w:tcW w:w="8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w:t>
            </w:r>
          </w:p>
        </w:tc>
        <w:tc>
          <w:tcPr>
            <w:tcW w:w="4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13,655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48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(2,659)</w:t>
            </w:r>
          </w:p>
        </w:tc>
      </w:tr>
      <w:tr>
        <w:trPr>
          <w:trHeight w:val="217"/>
        </w:trPr>
        <w:tc>
          <w:tcPr>
            <w:tcW w:w="8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office and laboratory space under non-cancelable operating leases listed below. These lease agreements have remaining terms between one to four years and contain various clauses for renewal at the Company’s option.</w:t>
      </w:r>
    </w:p>
    <w:p>
      <w:pPr>
        <w:spacing w:after="0" w:line="170"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10,200 square feet of office space in San Diego, California that expires in December 2021, with an option to extend the term for a five-year period;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26,400 square feet of lab, warehouse and office space in Ledgewood, New Jersey that expires in July 2026, with an option to extend the term for two additional five-year periods. This includes an amendment that was made effective July 2020 that extended the term of the original lease and added 1,400 of additional square footage to the lease; and</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operating lease for 5,500 square feet of office space in Nashville, Tennessee that expires in December 2024, with an option to extend the term for two additional five-year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Arial" w:cs="Arial" w:eastAsia="Arial" w:hAnsi="Arial"/>
                <w:sz w:val="18"/>
                <w:szCs w:val="18"/>
                <w:color w:val="auto"/>
              </w:rPr>
              <w:t>Future lease payments under operating leases as of March 31, 2021 were as follows</w:t>
            </w:r>
            <w:r>
              <w:rPr>
                <w:rFonts w:ascii="Arial" w:cs="Arial" w:eastAsia="Arial" w:hAnsi="Arial"/>
                <w:sz w:val="18"/>
                <w:szCs w:val="18"/>
                <w:b w:val="1"/>
                <w:bCs w:val="1"/>
                <w:color w:val="auto"/>
              </w:rPr>
              <w:t>:</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11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Operating Leases</w:t>
            </w:r>
          </w:p>
        </w:tc>
      </w:tr>
      <w:tr>
        <w:trPr>
          <w:trHeight w:val="216"/>
        </w:trPr>
        <w:tc>
          <w:tcPr>
            <w:tcW w:w="114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2024</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w:t>
            </w:r>
          </w:p>
        </w:tc>
        <w:tc>
          <w:tcPr>
            <w:tcW w:w="80" w:type="dxa"/>
            <w:vAlign w:val="bottom"/>
            <w:tcBorders>
              <w:bottom w:val="single" w:sz="8" w:color="CCEEFF"/>
            </w:tcBorders>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80" w:type="dxa"/>
            <w:vAlign w:val="bottom"/>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(2,922)</w:t>
            </w:r>
          </w:p>
        </w:tc>
      </w:tr>
      <w:tr>
        <w:trPr>
          <w:trHeight w:val="216"/>
        </w:trPr>
        <w:tc>
          <w:tcPr>
            <w:tcW w:w="114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liabilities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Less: current portion, operating lease liabilities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r>
      <w:tr>
        <w:trPr>
          <w:trHeight w:val="230"/>
        </w:trPr>
        <w:tc>
          <w:tcPr>
            <w:tcW w:w="1140" w:type="dxa"/>
            <w:vAlign w:val="bottom"/>
          </w:tcPr>
          <w:p>
            <w:pPr>
              <w:spacing w:after="0"/>
              <w:rPr>
                <w:sz w:val="19"/>
                <w:szCs w:val="19"/>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2021, the weighted-average discount rate and the weighted-average remaining lease term for the operating leases held by the Company were 6.33% and 11.02 years, respectively.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three months ended March 31, 2021 and 2020, cash paid for amounts included for the operating lease liabilities was $251 and $271, respectively, and the Company recorded operating lease expense of $261 and $278, respectively, included in selling, general and administrative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a finance lease that is included in its lease accounting but is not considered significant.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Arial" w:cs="Arial" w:eastAsia="Arial" w:hAnsi="Arial"/>
                <w:sz w:val="18"/>
                <w:szCs w:val="18"/>
                <w:color w:val="auto"/>
                <w:w w:val="94"/>
              </w:rPr>
              <w:t>Future lease payments under the non-cancelable finance lease as of March 31, 2021 were as follows</w:t>
            </w:r>
            <w:r>
              <w:rPr>
                <w:rFonts w:ascii="Arial" w:cs="Arial" w:eastAsia="Arial" w:hAnsi="Arial"/>
                <w:sz w:val="18"/>
                <w:szCs w:val="18"/>
                <w:b w:val="1"/>
                <w:bCs w:val="1"/>
                <w:color w:val="auto"/>
                <w:w w:val="94"/>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Finance Leases</w:t>
            </w:r>
          </w:p>
        </w:tc>
      </w:tr>
      <w:tr>
        <w:trPr>
          <w:trHeight w:val="216"/>
        </w:trPr>
        <w:tc>
          <w:tcPr>
            <w:tcW w:w="114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14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Less: current portion, finance lease obligation</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9"/>
        </w:trPr>
        <w:tc>
          <w:tcPr>
            <w:tcW w:w="1140" w:type="dxa"/>
            <w:vAlign w:val="bottom"/>
          </w:tcPr>
          <w:p>
            <w:pPr>
              <w:spacing w:after="0"/>
              <w:rPr>
                <w:sz w:val="19"/>
                <w:szCs w:val="19"/>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obligation, net of current portion</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the weighted average incremental borrowing rate and the weighted average remaining lease term for the finance lease held by the Company were 6.36% and 2.83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depreciation expense related to the equipment held under the finance lease obligation was $2.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2021, cash paid and expense recognized for interest expense related to the finance lease obligation was $1.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 Company issued 11,301 shares of its common stock upon the exercise of options to purchase 11,301 shares of common stock, with exercise prices ranging between $1.70 to $3.96 per share and received net proceeds of $27.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the Company issued 200,000 shares of its common stock to Mark L. Baum, its CEO, related to the vesting of 200,000 performance-based restricted stock units.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the Company issued 22,500 shares of common stock to Andrew R. Boll, its CFO, related to the vesting of 30,000 performance-based restricted stock units. The Company withheld issuance of 7,500 shares of common stock to Mr. Boll for payroll tax purposes valued at $57.</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22,755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2021 and 2020, the Company had 5,000,000 shares of preferred stock, $0.001 par value, authorized and no shares of preferred stock issued and outstanding.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March 31, 2021, the Company sold 440,000 shares of Series B Cumulative Preferred Stock for gross proceeds of $11,000 (see Note 17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March 31, 2021, the 2017 Plan provides for the issuance of a maximum of 2,000,000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 The Company had 4,077 shares available for future issuances under the 2017 Plan at March 31,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7"/>
          </w:tcPr>
          <w:p>
            <w:pPr>
              <w:spacing w:after="0"/>
              <w:rPr>
                <w:sz w:val="20"/>
                <w:szCs w:val="20"/>
                <w:color w:val="auto"/>
              </w:rPr>
            </w:pPr>
            <w:r>
              <w:rPr>
                <w:rFonts w:ascii="Arial" w:cs="Arial" w:eastAsia="Arial" w:hAnsi="Arial"/>
                <w:sz w:val="18"/>
                <w:szCs w:val="18"/>
                <w:color w:val="auto"/>
                <w:w w:val="94"/>
              </w:rPr>
              <w:t>A summary of stock option activity under the Plans for the three months ended March 31, 2021 is as follows: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Weighted Avg.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Avg.</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Contractual Life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3,030,033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Options 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67,000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8.07</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(28,195)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5.45</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5.50</w:t>
            </w:r>
          </w:p>
        </w:tc>
        <w:tc>
          <w:tcPr>
            <w:tcW w:w="15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w:t>
            </w:r>
          </w:p>
        </w:tc>
        <w:tc>
          <w:tcPr>
            <w:tcW w:w="2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4.85</w:t>
            </w: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5.04</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2,169,441</w:t>
            </w: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580" w:type="dxa"/>
            <w:vAlign w:val="bottom"/>
            <w:tcBorders>
              <w:bottom w:val="single" w:sz="8" w:color="CCEEFF"/>
            </w:tcBorders>
            <w:gridSpan w:val="2"/>
            <w:vMerge w:val="continue"/>
          </w:tcPr>
          <w:p>
            <w:pPr>
              <w:spacing w:after="0"/>
              <w:rPr>
                <w:sz w:val="20"/>
                <w:szCs w:val="20"/>
                <w:color w:val="auto"/>
              </w:rPr>
            </w:pPr>
          </w:p>
        </w:tc>
        <w:tc>
          <w:tcPr>
            <w:tcW w:w="1500" w:type="dxa"/>
            <w:vAlign w:val="bottom"/>
            <w:tcBorders>
              <w:bottom w:val="single" w:sz="8" w:color="CCEEFF"/>
            </w:tcBorders>
            <w:gridSpan w:val="2"/>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2,968,979</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320"/>
              <w:spacing w:after="0" w:line="190" w:lineRule="exact"/>
              <w:rPr>
                <w:sz w:val="20"/>
                <w:szCs w:val="20"/>
                <w:color w:val="auto"/>
              </w:rPr>
            </w:pPr>
            <w:r>
              <w:rPr>
                <w:rFonts w:ascii="Arial" w:cs="Arial" w:eastAsia="Arial" w:hAnsi="Arial"/>
                <w:sz w:val="18"/>
                <w:szCs w:val="18"/>
                <w:color w:val="auto"/>
              </w:rPr>
              <w:t>5.45</w:t>
            </w:r>
          </w:p>
        </w:tc>
        <w:tc>
          <w:tcPr>
            <w:tcW w:w="150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5.50</w:t>
            </w:r>
          </w:p>
        </w:tc>
        <w:tc>
          <w:tcPr>
            <w:tcW w:w="260" w:type="dxa"/>
            <w:vAlign w:val="bottom"/>
            <w:tcBorders>
              <w:bottom w:val="single" w:sz="8" w:color="CCEEFF"/>
            </w:tcBorders>
            <w:gridSpan w:val="2"/>
            <w:shd w:val="clear" w:color="auto" w:fill="CCEEFF"/>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2021, based on the closing price of the Company’s common stock of $6.75 on that date.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2021, the Company granted stock options to certain employees and a consultant.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2021 were as follows: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 below illustrates the fair value per share determined using the Black-Scholes-Merton option pricing model with the following assumptions used for valuing options granted to employees: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0.39-0.45%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1"/>
              </w:rPr>
              <w:t>Weighted</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Weighted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3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rPr>
              <w:t>Average</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Range of Exercise Prices</w:t>
            </w:r>
          </w:p>
        </w:tc>
        <w:tc>
          <w:tcPr>
            <w:tcW w:w="1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Outstanding</w:t>
            </w:r>
          </w:p>
        </w:tc>
        <w:tc>
          <w:tcPr>
            <w:tcW w:w="30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Life in Years</w:t>
            </w:r>
          </w:p>
        </w:tc>
        <w:tc>
          <w:tcPr>
            <w:tcW w:w="40" w:type="dxa"/>
            <w:vAlign w:val="bottom"/>
          </w:tcPr>
          <w:p>
            <w:pPr>
              <w:spacing w:after="0"/>
              <w:rPr>
                <w:sz w:val="20"/>
                <w:szCs w:val="20"/>
                <w:color w:val="auto"/>
              </w:rPr>
            </w:pPr>
          </w:p>
        </w:tc>
        <w:tc>
          <w:tcPr>
            <w:tcW w:w="1560" w:type="dxa"/>
            <w:vAlign w:val="bottom"/>
            <w:gridSpan w:val="4"/>
          </w:tcPr>
          <w:p>
            <w:pPr>
              <w:ind w:left="20"/>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7"/>
              </w:rPr>
              <w:t>Exercisable</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$1.47 - $2.60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760,318</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2.06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750,557</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$2.76 - $4.66</w:t>
            </w:r>
          </w:p>
        </w:tc>
        <w:tc>
          <w:tcPr>
            <w:tcW w:w="2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513,628</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5.51</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442,498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$5.49 - $6.36</w:t>
            </w: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470,350</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$6.64 - $8.99</w:t>
            </w:r>
          </w:p>
        </w:tc>
        <w:tc>
          <w:tcPr>
            <w:tcW w:w="24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1,313,241</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5.18</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656,363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$1.47 - $8.99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3,057,537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5.54</w:t>
            </w:r>
          </w:p>
        </w:tc>
        <w:tc>
          <w:tcPr>
            <w:tcW w:w="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2,169,441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there was approximately $2,582 of total unrecognized compensation expense related to unvested stock options granted under the Plans. That expense is expected to be recognized over the weighted-average remaining vesting period of 4.59 years. The stock-based compensation for all stock options was $452 and $263 during the three months ended March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intrinsic value of options exercised during the three months ended March 31, 2021 was $63.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300,000 RSUs with a fair market value of $2,670 were issued to certain employees; the RSUs vest in full on the third anniversary of the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2021 is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 Fair</w:t>
            </w:r>
          </w:p>
        </w:tc>
      </w:tr>
      <w:tr>
        <w:trPr>
          <w:trHeight w:val="241"/>
        </w:trPr>
        <w:tc>
          <w:tcPr>
            <w:tcW w:w="5220" w:type="dxa"/>
            <w:vAlign w:val="bottom"/>
          </w:tcPr>
          <w:p>
            <w:pPr>
              <w:spacing w:after="0"/>
              <w:rPr>
                <w:sz w:val="20"/>
                <w:szCs w:val="20"/>
                <w:color w:val="auto"/>
              </w:rPr>
            </w:pPr>
          </w:p>
        </w:tc>
        <w:tc>
          <w:tcPr>
            <w:tcW w:w="1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 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2021</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1,601,509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RSUs 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r>
      <w:tr>
        <w:trPr>
          <w:trHeight w:val="237"/>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r>
      <w:tr>
        <w:trPr>
          <w:trHeight w:val="229"/>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1,648,754</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total unrecognized compensation expense related to unvested RSUs was approximately $3,687, which is expected to be recognized over a weighted-average period of 0.82 years, based on estimated and actual vesting schedules of the applicable RSUs. The stock-based compensation for RSUs during the three months ended March 31, 2021 and 2020 was $346 and $259,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and other non-employees for services rendered or to be rendered in the future, or pursuant to settlement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warrant activity for the three months ended March 31,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Number of Shares Subject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Avg. Exercise</w:t>
            </w:r>
          </w:p>
        </w:tc>
        <w:tc>
          <w:tcPr>
            <w:tcW w:w="0" w:type="dxa"/>
            <w:vAlign w:val="bottom"/>
          </w:tcPr>
          <w:p>
            <w:pPr>
              <w:spacing w:after="0"/>
              <w:rPr>
                <w:sz w:val="1"/>
                <w:szCs w:val="1"/>
                <w:color w:val="auto"/>
              </w:rPr>
            </w:pPr>
          </w:p>
        </w:tc>
      </w:tr>
      <w:tr>
        <w:trPr>
          <w:trHeight w:val="241"/>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to Warrants 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9"/>
              </w:rPr>
              <w:t>Warrants outstanding - January 1, 2021</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60" w:type="dxa"/>
            <w:vAlign w:val="bottom"/>
            <w:gridSpan w:val="3"/>
          </w:tcPr>
          <w:p>
            <w:pPr>
              <w:spacing w:after="0"/>
              <w:rPr>
                <w:sz w:val="20"/>
                <w:szCs w:val="20"/>
                <w:color w:val="auto"/>
              </w:rPr>
            </w:pPr>
            <w:r>
              <w:rPr>
                <w:rFonts w:ascii="Arial" w:cs="Arial" w:eastAsia="Arial" w:hAnsi="Arial"/>
                <w:sz w:val="18"/>
                <w:szCs w:val="18"/>
                <w:color w:val="auto"/>
              </w:rPr>
              <w:t>Expired</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2021</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760" w:type="dxa"/>
            <w:vAlign w:val="bottom"/>
            <w:gridSpan w:val="8"/>
            <w:vMerge w:val="restart"/>
          </w:tcPr>
          <w:p>
            <w:pPr>
              <w:spacing w:after="0" w:line="195" w:lineRule="exact"/>
              <w:rPr>
                <w:sz w:val="20"/>
                <w:szCs w:val="20"/>
                <w:color w:val="auto"/>
              </w:rPr>
            </w:pPr>
            <w:r>
              <w:rPr>
                <w:rFonts w:ascii="Arial" w:cs="Arial" w:eastAsia="Arial" w:hAnsi="Arial"/>
                <w:sz w:val="18"/>
                <w:szCs w:val="18"/>
                <w:color w:val="auto"/>
                <w:w w:val="95"/>
              </w:rPr>
              <w:t>Weighted average remaining contractual life of the outstanding warrants in years - March</w:t>
            </w: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60" w:type="dxa"/>
            <w:vAlign w:val="bottom"/>
            <w:gridSpan w:val="8"/>
            <w:vMerge w:val="continue"/>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0"/>
                <w:szCs w:val="20"/>
                <w:color w:val="auto"/>
              </w:rPr>
            </w:pPr>
            <w:r>
              <w:rPr>
                <w:rFonts w:ascii="Arial" w:cs="Arial" w:eastAsia="Arial" w:hAnsi="Arial"/>
                <w:sz w:val="18"/>
                <w:szCs w:val="18"/>
                <w:color w:val="auto"/>
              </w:rPr>
              <w:t>31, 2021</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gridSpan w:val="8"/>
            <w:vMerge w:val="restart"/>
          </w:tcPr>
          <w:p>
            <w:pPr>
              <w:spacing w:after="0"/>
              <w:rPr>
                <w:sz w:val="20"/>
                <w:szCs w:val="20"/>
                <w:color w:val="auto"/>
              </w:rPr>
            </w:pPr>
            <w:r>
              <w:rPr>
                <w:rFonts w:ascii="Arial" w:cs="Arial" w:eastAsia="Arial" w:hAnsi="Arial"/>
                <w:sz w:val="18"/>
                <w:szCs w:val="18"/>
                <w:color w:val="auto"/>
              </w:rPr>
              <w:t>Warrants outstanding and exercisable as of March 31, 2021 are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6760" w:type="dxa"/>
            <w:vAlign w:val="bottom"/>
            <w:gridSpan w:val="8"/>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41"/>
        </w:trPr>
        <w:tc>
          <w:tcPr>
            <w:tcW w:w="2860" w:type="dxa"/>
            <w:vAlign w:val="bottom"/>
            <w:gridSpan w:val="3"/>
          </w:tcPr>
          <w:p>
            <w:pPr>
              <w:spacing w:after="0"/>
              <w:rPr>
                <w:sz w:val="20"/>
                <w:szCs w:val="20"/>
                <w:color w:val="auto"/>
              </w:rPr>
            </w:pPr>
            <w:r>
              <w:rPr>
                <w:rFonts w:ascii="Arial" w:cs="Arial" w:eastAsia="Arial" w:hAnsi="Arial"/>
                <w:sz w:val="18"/>
                <w:szCs w:val="18"/>
                <w:b w:val="1"/>
                <w:bCs w:val="1"/>
                <w:color w:val="auto"/>
              </w:rPr>
              <w:t>Warrant Series</w:t>
            </w:r>
          </w:p>
        </w:tc>
        <w:tc>
          <w:tcPr>
            <w:tcW w:w="16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Issue Date</w:t>
            </w:r>
          </w:p>
        </w:tc>
        <w:tc>
          <w:tcPr>
            <w:tcW w:w="2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right="490"/>
              <w:spacing w:after="0"/>
              <w:rPr>
                <w:sz w:val="20"/>
                <w:szCs w:val="20"/>
                <w:color w:val="auto"/>
              </w:rPr>
            </w:pPr>
            <w:r>
              <w:rPr>
                <w:rFonts w:ascii="Arial" w:cs="Arial" w:eastAsia="Arial" w:hAnsi="Arial"/>
                <w:sz w:val="18"/>
                <w:szCs w:val="18"/>
                <w:color w:val="auto"/>
                <w:w w:val="89"/>
              </w:rPr>
              <w:t>5/11/2015</w:t>
            </w: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5/11/2025</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Settlement warrants</w:t>
            </w:r>
          </w:p>
        </w:tc>
        <w:tc>
          <w:tcPr>
            <w:tcW w:w="1420" w:type="dxa"/>
            <w:vAlign w:val="bottom"/>
          </w:tcPr>
          <w:p>
            <w:pPr>
              <w:jc w:val="center"/>
              <w:ind w:right="490"/>
              <w:spacing w:after="0"/>
              <w:rPr>
                <w:sz w:val="20"/>
                <w:szCs w:val="20"/>
                <w:color w:val="auto"/>
              </w:rPr>
            </w:pPr>
            <w:r>
              <w:rPr>
                <w:rFonts w:ascii="Arial" w:cs="Arial" w:eastAsia="Arial" w:hAnsi="Arial"/>
                <w:sz w:val="18"/>
                <w:szCs w:val="18"/>
                <w:color w:val="auto"/>
                <w:w w:val="89"/>
              </w:rPr>
              <w:t>8/16/2016</w:t>
            </w:r>
          </w:p>
        </w:tc>
        <w:tc>
          <w:tcPr>
            <w:tcW w:w="24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5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92"/>
              </w:rPr>
              <w:t>8/16/2021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1420" w:type="dxa"/>
            <w:vAlign w:val="bottom"/>
            <w:shd w:val="clear" w:color="auto" w:fill="CCEEFF"/>
          </w:tcPr>
          <w:p>
            <w:pPr>
              <w:jc w:val="center"/>
              <w:ind w:right="490"/>
              <w:spacing w:after="0"/>
              <w:rPr>
                <w:sz w:val="20"/>
                <w:szCs w:val="20"/>
                <w:color w:val="auto"/>
              </w:rPr>
            </w:pPr>
            <w:r>
              <w:rPr>
                <w:rFonts w:ascii="Arial" w:cs="Arial" w:eastAsia="Arial" w:hAnsi="Arial"/>
                <w:sz w:val="18"/>
                <w:szCs w:val="18"/>
                <w:color w:val="auto"/>
                <w:w w:val="89"/>
              </w:rPr>
              <w:t>7/19/2017</w:t>
            </w:r>
          </w:p>
        </w:tc>
        <w:tc>
          <w:tcPr>
            <w:tcW w:w="2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615,386</w:t>
            </w:r>
          </w:p>
        </w:tc>
        <w:tc>
          <w:tcPr>
            <w:tcW w:w="1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7/19/2024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780,386</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227"/>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$57 in stock-based compensation expense related to subsidiary stock options during the three months ended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1"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530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5715</wp:posOffset>
            </wp:positionV>
            <wp:extent cx="22199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19960" cy="17145"/>
                    </a:xfrm>
                    <a:prstGeom prst="rect">
                      <a:avLst/>
                    </a:prstGeom>
                    <a:noFill/>
                  </pic:spPr>
                </pic:pic>
              </a:graphicData>
            </a:graphic>
          </wp:anchor>
        </w:drawing>
      </w:r>
    </w:p>
    <w:p>
      <w:pPr>
        <w:spacing w:after="0" w:line="2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216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0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Directors - selling, general and administrative</w:t>
            </w:r>
          </w:p>
        </w:tc>
        <w:tc>
          <w:tcPr>
            <w:tcW w:w="10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tcPr>
          <w:p>
            <w:pPr>
              <w:spacing w:after="0"/>
              <w:rPr>
                <w:sz w:val="20"/>
                <w:szCs w:val="20"/>
                <w:color w:val="auto"/>
              </w:rPr>
            </w:pPr>
          </w:p>
        </w:tc>
      </w:tr>
      <w:tr>
        <w:trPr>
          <w:trHeight w:val="230"/>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0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the Company in the U.S. District Court of Delaware asserting claims for breach of contract. The claims stem from an asset purchase agreement between the Company and NDS entered into in 2013. In July 2019, NDS filed a second amended complaint which added a claim related to its purported termination of the APA. In October 2019, NDS voluntarily dismissed all claims related to breach of contract, leaving only claims related to the scope of the post-termination obligations to be litigated. On October 29, 2020, at a hearing on the various dispositive motions before it, the Court found that there were triable issues of fact and reopened discovery for limited purposes. NDS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and it could result in substantial costs, losses and a diversion of management’s resources and attention, which could harm the Company’s business and the value of its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2018, John Erick and Deborah Ferrell, successors-in-interest and heirs of Jade Erick, (collectively “Erick”) filed a lawsuit in the San Diego County Superior against Kim Kelly, ND, MPH asserting claims related to the death of Jade Erick. In April 2018, Erick filed an amendment to the lawsuit, naming us as a co-defendant. In September 2018, co-defendant Dr. Kelly filed a cross-complaint against the Company and various entities affiliated with Spectrum Laboratory Products, Inc., Spectrum Chemical Manufacturing Corp. and Spectrum Pharmacy Products, Inc. (collectively “Spectrum”). The cross-complaint seeks indemnity and contribution from the Company and Spectrum. The Company answered the claims filed by Dr. Kelly in October 2018. The case is currently in the discovery phase. Erick is seeking unspecified damages, interest, attorney’s fees and other costs. The Company believes the claims are meritless and has previously and will continue to dispute all claims asserted against it and intends to vigorously defend against these allegations. Nonetheless, the Company cannot predict the eventual outcome of this litigation, it could result in substantial costs, losses and a diversion of management’s resources and attention, which could harm the Company’s business and the value of its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it may, from time to time, make claims or take legal actions to assert its rights, including intellectual property disputes, contractual disputes and other commercial disputes. Any of these claims could subject the Company to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governing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in April 2017 and as amended in April 2018,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designed to protect and rehabilitate the ocular surface (the “Klarity Product”).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Payments totaling $35 and $55 were made during the three months ended March 31, 2021 and 2020, respectively. $35 and $29 was incurred as royalty expense during the three months ended March 31, 2021 and 2020, respectively, and included in accounts payable to Dr. Lindstrom.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Injectable Asset Purchase Agreement – Related Party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the Company entered into an asset purchase agreement (the “Lindstrom APA”) with Dr. Lindstrom, a member of its Board of Directors. Pursuant to the terms of the Lindstrom APA, the Company acquired certain intellectual property and related rights from Dr. Lindstrom to develop, formulate, make, sell, and sub-license an ophthalmic injectable product (the “Lindstrom Product”).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Lindstrom APA, the Company is required to make royalty payments to Dr. Lindstrom ranging from 2% to 3% of net sales, dependent upon the final formulation and patent protection of the Lindstrom Product sold. In addition, the Company is required to make certain milestone payments to Dr. Lindstrom including an initial payment of $33 upon execution of the Lindstrom APA. Dr. Lindstrom was paid $7 and $7 in cash during the three months ended March 31, 2021 and 2020, respectively. The Company incurred $7 and $38 for royalty expenses related to the Lindstrom APA during the three months ended March 31,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Eyepoint Commercial Alliance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2020, the Company, through its wholly owned subsidiary ImprimisRx, LLC, entered into a Commercial Alliance Agreement (the “Dexycu Agreement”) with Eyepoint Pharmaceuticals, Inc. (“Eyepoint”), pursuant to which Eyepoint granted the Company the non-exclusive right to co-promote</w:t>
      </w:r>
    </w:p>
    <w:p>
      <w:pPr>
        <w:jc w:val="both"/>
        <w:spacing w:after="0" w:line="227" w:lineRule="auto"/>
        <w:rPr>
          <w:sz w:val="20"/>
          <w:szCs w:val="20"/>
          <w:color w:val="auto"/>
        </w:rPr>
      </w:pPr>
      <w:r>
        <w:rPr>
          <w:rFonts w:ascii="Arial" w:cs="Arial" w:eastAsia="Arial" w:hAnsi="Arial"/>
          <w:sz w:val="18"/>
          <w:szCs w:val="18"/>
          <w:color w:val="auto"/>
        </w:rPr>
        <w:t>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 Pursuant to the Dexycu Agreement, Eyepoint will pay the Company a fee calculated based on the quarterly sales of DEXYCU in excess of predefined volumes to specific customers of the Company in the U.S. Under the terms of the Dexycu Agreement, the Company shall use commercially reasonable efforts to promote and market DEXYCU in the U.S.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Subject to early termination, the Dexycu Agreement expires on August 1, 2025, subject to specified notice periods and specified limitations, either party may terminate the Dexycu Agreement in the event of (i) uncured material breach by the other party or (ii) if DEXYCU ceases to have “pass-through” payment status. In addition, subject to certain limitations, the Company may terminate the Dexycu Agreement (i) for convenience subject to an extended specified notice period or (ii) in the event Eyepoint undergoes a change of control. Eyepoint may terminate the Dexycu Agreement, subject to specified notice periods and specified limitations, if the Company fails to achieve certain minimum sales levels during specified periods. During the three months ended March 31, 2021, the Company recorded $485 in commission revenues related to the Dexycu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generally, required to make commission payments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$0 and $83 of stock-based payments were recorded and $804 and $603 were incurred under these agreements for commission expenses during the three months ended March 31, 2021 and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Related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acquired and sourced intellectual property rights related to certain proprietary innovations from certain inventors and related parties (the “Inventors”) through multiple asset purchase agreements, license agreements, strategic agreements and commission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$232 and $144 were incurred under these agreements as royalty expenses and included in accounts payable at March 31, 2021 and 2020,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 AND CONCENTRATIONS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its two operating segments is based on segment contribution. The Company’s reportable segments consist of (i) its commercial stage pharmaceutical business known as ImprimisRx; and (ii) its start-up operations associated with pharmaceutical drug development business (Pharmaceutical Drug Development). Segment contribution for the segments represents net revenues less cost of sales, research and development, selling and marketing expenses, and select general and administrative expenses. The Company does not evaluate the following items at the segment level:</w:t>
      </w:r>
    </w:p>
    <w:p>
      <w:pPr>
        <w:spacing w:after="0" w:line="188" w:lineRule="exact"/>
        <w:rPr>
          <w:sz w:val="20"/>
          <w:szCs w:val="20"/>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Selling, general and administrative expenses that result from shared infrastructure, including certain expenses associated with legal matters, public company costs (e.g. investor relations), board of directors and principal executive officers and other like shared expenses.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defines segment net revenues as pharmaceutical compounded drug sales, licenses, commissions and other revenue derived from related agreements.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spacing w:after="0" w:line="258" w:lineRule="auto"/>
        <w:rPr>
          <w:sz w:val="20"/>
          <w:szCs w:val="20"/>
          <w:color w:val="auto"/>
        </w:rPr>
      </w:pPr>
      <w:r>
        <w:rPr>
          <w:rFonts w:ascii="Arial" w:cs="Arial" w:eastAsia="Arial" w:hAnsi="Arial"/>
          <w:sz w:val="18"/>
          <w:szCs w:val="18"/>
          <w:color w:val="auto"/>
        </w:rPr>
        <w:t>Segment net revenues, segment operating expenses and segment contribution information consisted of the following for the three months ended March 31, 2021:</w:t>
      </w:r>
    </w:p>
    <w:tbl>
      <w:tblPr>
        <w:tblLayout w:type="fixed"/>
        <w:tblInd w:w="0" w:type="dxa"/>
        <w:tblCellMar>
          <w:top w:w="0" w:type="dxa"/>
          <w:left w:w="0" w:type="dxa"/>
          <w:bottom w:w="0" w:type="dxa"/>
          <w:right w:w="0" w:type="dxa"/>
        </w:tblCellMar>
      </w:tblPr>
      <w:tr>
        <w:trPr>
          <w:trHeight w:val="199"/>
        </w:trPr>
        <w:tc>
          <w:tcPr>
            <w:tcW w:w="4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gridSpan w:val="5"/>
          </w:tcPr>
          <w:p>
            <w:pPr>
              <w:jc w:val="center"/>
              <w:ind w:left="1270"/>
              <w:spacing w:after="0" w:line="199" w:lineRule="exact"/>
              <w:rPr>
                <w:sz w:val="20"/>
                <w:szCs w:val="20"/>
                <w:color w:val="auto"/>
              </w:rPr>
            </w:pPr>
            <w:r>
              <w:rPr>
                <w:rFonts w:ascii="Arial" w:cs="Arial" w:eastAsia="Arial" w:hAnsi="Arial"/>
                <w:sz w:val="18"/>
                <w:szCs w:val="18"/>
                <w:b w:val="1"/>
                <w:bCs w:val="1"/>
                <w:color w:val="auto"/>
                <w:w w:val="91"/>
              </w:rPr>
              <w:t>For the Three Months Ended</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401"/>
              <w:spacing w:after="0"/>
              <w:rPr>
                <w:sz w:val="20"/>
                <w:szCs w:val="20"/>
                <w:color w:val="auto"/>
              </w:rPr>
            </w:pPr>
            <w:r>
              <w:rPr>
                <w:rFonts w:ascii="Arial" w:cs="Arial" w:eastAsia="Arial" w:hAnsi="Arial"/>
                <w:sz w:val="18"/>
                <w:szCs w:val="18"/>
                <w:b w:val="1"/>
                <w:bCs w:val="1"/>
                <w:color w:val="auto"/>
                <w:w w:val="93"/>
              </w:rPr>
              <w:t>March 31, 2021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361"/>
              <w:spacing w:after="0" w:line="198" w:lineRule="exact"/>
              <w:rPr>
                <w:sz w:val="20"/>
                <w:szCs w:val="20"/>
                <w:color w:val="auto"/>
              </w:rPr>
            </w:pPr>
            <w:r>
              <w:rPr>
                <w:rFonts w:ascii="Arial" w:cs="Arial" w:eastAsia="Arial" w:hAnsi="Arial"/>
                <w:sz w:val="18"/>
                <w:szCs w:val="18"/>
                <w:b w:val="1"/>
                <w:bCs w:val="1"/>
                <w:color w:val="auto"/>
                <w:w w:val="90"/>
              </w:rPr>
              <w:t>Pharmaceutical</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ImprimisRx</w:t>
            </w:r>
          </w:p>
        </w:tc>
        <w:tc>
          <w:tcPr>
            <w:tcW w:w="188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89"/>
              </w:rPr>
              <w:t>Drug Development</w:t>
            </w: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15,443</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20"/>
                <w:szCs w:val="20"/>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57"/>
        </w:trPr>
        <w:tc>
          <w:tcPr>
            <w:tcW w:w="42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5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3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2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0" w:type="dxa"/>
            <w:vAlign w:val="bottom"/>
            <w:gridSpan w:val="5"/>
            <w:vMerge w:val="restart"/>
          </w:tcPr>
          <w:p>
            <w:pPr>
              <w:jc w:val="center"/>
              <w:ind w:left="1270"/>
              <w:spacing w:after="0"/>
              <w:rPr>
                <w:sz w:val="20"/>
                <w:szCs w:val="20"/>
                <w:color w:val="auto"/>
              </w:rPr>
            </w:pPr>
            <w:r>
              <w:rPr>
                <w:rFonts w:ascii="Arial" w:cs="Arial" w:eastAsia="Arial" w:hAnsi="Arial"/>
                <w:sz w:val="18"/>
                <w:szCs w:val="18"/>
                <w:b w:val="1"/>
                <w:bCs w:val="1"/>
                <w:color w:val="auto"/>
                <w:w w:val="91"/>
              </w:rPr>
              <w:t>For the Three Months Ended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401"/>
              <w:spacing w:after="0"/>
              <w:rPr>
                <w:sz w:val="20"/>
                <w:szCs w:val="20"/>
                <w:color w:val="auto"/>
              </w:rPr>
            </w:pPr>
            <w:r>
              <w:rPr>
                <w:rFonts w:ascii="Arial" w:cs="Arial" w:eastAsia="Arial" w:hAnsi="Arial"/>
                <w:sz w:val="18"/>
                <w:szCs w:val="18"/>
                <w:b w:val="1"/>
                <w:bCs w:val="1"/>
                <w:color w:val="auto"/>
                <w:w w:val="93"/>
              </w:rPr>
              <w:t>March 31, 2020</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361"/>
              <w:spacing w:after="0" w:line="198" w:lineRule="exact"/>
              <w:rPr>
                <w:sz w:val="20"/>
                <w:szCs w:val="20"/>
                <w:color w:val="auto"/>
              </w:rPr>
            </w:pPr>
            <w:r>
              <w:rPr>
                <w:rFonts w:ascii="Arial" w:cs="Arial" w:eastAsia="Arial" w:hAnsi="Arial"/>
                <w:sz w:val="18"/>
                <w:szCs w:val="18"/>
                <w:b w:val="1"/>
                <w:bCs w:val="1"/>
                <w:color w:val="auto"/>
                <w:w w:val="90"/>
              </w:rPr>
              <w:t>Pharmaceutical</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ImprimisRx</w:t>
            </w:r>
          </w:p>
        </w:tc>
        <w:tc>
          <w:tcPr>
            <w:tcW w:w="1880" w:type="dxa"/>
            <w:vAlign w:val="bottom"/>
            <w:gridSpan w:val="3"/>
          </w:tcPr>
          <w:p>
            <w:pPr>
              <w:jc w:val="center"/>
              <w:ind w:right="241"/>
              <w:spacing w:after="0"/>
              <w:rPr>
                <w:sz w:val="20"/>
                <w:szCs w:val="20"/>
                <w:color w:val="auto"/>
              </w:rPr>
            </w:pPr>
            <w:r>
              <w:rPr>
                <w:rFonts w:ascii="Arial" w:cs="Arial" w:eastAsia="Arial" w:hAnsi="Arial"/>
                <w:sz w:val="18"/>
                <w:szCs w:val="18"/>
                <w:b w:val="1"/>
                <w:bCs w:val="1"/>
                <w:color w:val="auto"/>
                <w:w w:val="89"/>
              </w:rPr>
              <w:t>Drug Development</w:t>
            </w:r>
          </w:p>
        </w:tc>
        <w:tc>
          <w:tcPr>
            <w:tcW w:w="340" w:type="dxa"/>
            <w:vAlign w:val="bottom"/>
          </w:tcPr>
          <w:p>
            <w:pPr>
              <w:spacing w:after="0"/>
              <w:rPr>
                <w:sz w:val="20"/>
                <w:szCs w:val="20"/>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Cost of sales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(3,626)</w:t>
            </w:r>
          </w:p>
        </w:tc>
        <w:tc>
          <w:tcPr>
            <w:tcW w:w="120" w:type="dxa"/>
            <w:vAlign w:val="bottom"/>
          </w:tcPr>
          <w:p>
            <w:pPr>
              <w:spacing w:after="0"/>
              <w:rPr>
                <w:sz w:val="20"/>
                <w:szCs w:val="20"/>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42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Segment contribution</w:t>
            </w:r>
          </w:p>
        </w:tc>
        <w:tc>
          <w:tcPr>
            <w:tcW w:w="152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34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665" w:right="339" w:bottom="1440" w:gutter="0" w:footer="0" w:header="0"/>
        </w:sectPr>
      </w:pPr>
    </w:p>
    <w:p>
      <w:pPr>
        <w:spacing w:after="0"/>
        <w:rPr>
          <w:sz w:val="20"/>
          <w:szCs w:val="20"/>
          <w:color w:val="auto"/>
        </w:rPr>
      </w:pPr>
      <w:r>
        <w:rPr>
          <w:rFonts w:ascii="Arial" w:cs="Arial" w:eastAsia="Arial" w:hAnsi="Arial"/>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349</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1240" w:hanging="1234"/>
        <w:spacing w:after="0"/>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(628)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994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56515</wp:posOffset>
            </wp:positionV>
            <wp:extent cx="994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840" w:space="720"/>
            <w:col w:w="1680"/>
          </w:cols>
          <w:pgMar w:left="320" w:top="665" w:right="339" w:bottom="1440" w:gutter="0" w:footer="0" w:header="0"/>
          <w:type w:val="continuous"/>
        </w:sectPr>
      </w:pP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categorizes revenues by geographic area based on selling location. All operations are currently located in the U.S.; therefore, total revenues are attributed to the U.S. All long-lived assets at March 31, 2021 and December 31, 2020 were located in the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There were no customers who comprised more than 10% of the Company’s total pharmacy sales for the three months ended March 31, 2021 and 2020.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82% and 78% of active pharmaceutical ingredient purchases during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2021 through the filing date of this Quarterly Report. Based on its evaluation, no events other than those described below need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and Exercise of Equity Awards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April 2021, the Company issued 515,871 shares of its common stock to Mark L. Baum, its Chief Executive Officer, upon the vesting of 850,000 performance-based restricted stock units. The Company withheld issuance of 334,129 shares of common stock valued at $2,760 for payroll tax purposes.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24" w:name="page25"/>
    <w:bookmarkEnd w:id="24"/>
    <w:p>
      <w:pPr>
        <w:jc w:val="both"/>
        <w:spacing w:after="0" w:line="342" w:lineRule="auto"/>
        <w:rPr>
          <w:sz w:val="20"/>
          <w:szCs w:val="20"/>
          <w:color w:val="auto"/>
        </w:rPr>
      </w:pPr>
      <w:r>
        <w:rPr>
          <w:rFonts w:ascii="Arial" w:cs="Arial" w:eastAsia="Arial" w:hAnsi="Arial"/>
          <w:sz w:val="16"/>
          <w:szCs w:val="16"/>
          <w:color w:val="auto"/>
        </w:rPr>
        <w:t>In April 2021, the Company issued 77,668 shares of common stock to Andrew R. Boll, its Chief Financial Officer, upon the vesting of 127,500 performance-based restricted stock units. The Company withheld issuance of 49,832 shares of common stock valued at $411 for payroll tax purposes.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2021, the Company issued 5,000 shares of its common stock upon the exercise of options to purchase 5,000 shares of common stock, with an exercise price of $4.29 per share, and received net proceeds of $21.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Eton Stock</w:t>
      </w:r>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2021, the Company closed the underwritten public offering of 1,518,000 shares of its Eton common stock at a public offering price of $7.00 per share (the “Eton Stock Sale”). The gross proceeds to the Company from the Eton Stock Sale were $10,626, before deducting underwriting discounts and commissions and other offering expenses payable by the Company. Following such sale, the Company owns 1,982,000 shares of Eton common stock, which represented approximately 8.1% of the equity and voting interests issued and outstanding of Eton as of April 12, 2021.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the Eton Stock Sale, the Company also agreed, for a period of 180 days, not to conduct any further sales of shares of its common stock of Eton or otherwise dispose of, directly or indirectly, any common stock of Eton (or any securities convertible into, or exercisable or exchangeable for, the common stock of Eton).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8.625% Senior Notes Due 2026</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April 2021, we closed an offering of $50,000 aggregate principal amount of 8.625% Senior Notes due 2026 (the “Notes”) and in May 2021, the underwriters exercised their option to purchase an additional $5,000 aggregate principal amount of the Notes ($55,000 in total). The Notes are senior unsecured obligations of the Company and rank equally in right of payment with all of our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commencing on July 31, 2021. The Notes will mature on April 30, 2026. Prior to February 1, 2026, the Company may, at its option, redeem the Notes, in whole at any time or in part from time to time, at a redemption price equal to 100% of the principal amount of the Notes to be redeemed, plus a make-whole amount, if any, plus accrued and unpaid interest to, but excluding, the date of redemption. 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SWK Loan Repayment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2021, the Company paid $15,540 related to all outstanding obligations to SWK under the SWK Loan, including outstanding principal, accrued interest, accrued exit fee and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Cumulative Preferred Stock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2021, the Company issued 440,000 shares of the Company’s Series B Cumulative Preferred Stock, par value $0.001 per share and liquidation preference of $25.00 per share (the “Series B Preferred Stock”), for a net purchase price of approximately $10,670. The Series B Preferred Stock is not convertible into our common stock, has no voting rights, except as required by Delaware law, and is redeemable by the Company at any time. Holders of Series B Preferred Stock, when and as authorized by the Company’s Board of Directors, are entitled to cumulative cash dividends at the rate of 9.50% of the $25.00 liquidation preference per year (equivalent to $2.375 per share per year); provided, however, that for each thirty (30) day period following May 5, 2021, the dividend rate shall be increased in increments of fifty (50) basis points, and effective September 30, 2021, the dividend rate shall be set at 12%, and for each thirty (30) day period thereafter, the dividend rate shall be increased in increments of one hundred (100) basis points except as otherwise limited by applicable law. Dividends will be payable quarterly in arrears, on or about the 15th of January, April, July and October, beginning on or about July 15, 2021. In the event of any liquidation, dissolution or winding-up of the Company, the holders of the Series B Preferred Stock will have preference to holders of our common stock at $25.00 per share plus any accrued and unpaid dividends (whether or not authorized or declared).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Mayfield Pharmaceuticals MAY-66 License Termination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TGV. Mayfield has no outstanding or remaining obligations under the TGV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 MAY-44 APA Termination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Mayfield and Harrow terminated their asset purchase agreement dated January 2020 for intellectual property rights associated with Mayfield’s drug candidate MAY-44 with Elle Pharmaceutical LLC (the “MAY-44 APA”). As part of the termination, Mayfield re-acquired 350,000 shares of its common stock from Elle. Mayfield has no outstanding or remaining obligations related to the MAY-44 APA.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License Termination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May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TGV. Stowe has no outstanding or remaining obligations under the Stowe License.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2020 and subsequent reports, which discuss our business in greater detail. As used in this discussion and analysis, unless the context indicates otherwise, the terms the “Company”, “Harrow” “we”, “us” and “our” refer to Harrow Health, Inc. and its consolidated subsidiaries, consisting of Park Compounding, Inc., ImprimisRx, LLC, ImprimisRx NJ, LLC dba ImprimisRx, Imprimis NJOF, LLC, Radley Pharmaceuticals, Inc., Mayfield Pharmaceuticals, Inc., and Stowe Pharmaceuticals, Inc. In this discussion and analysis, we refer to our consolidated subsidiaries ImprimisRx, LLC, ImprimisRx NJ, LLC and Imprimis NJOF, LLC collectively as “ImprimisRx.”</w:t>
      </w:r>
    </w:p>
    <w:p>
      <w:pPr>
        <w:spacing w:after="0" w:line="19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specializes in the development, production and sale of innovative medications that offer unique competitive advantages and serve unmet needs in the marketplace through our subsidiaries and deconsolidated companies. We own and operate one of the nation’s leading ophthalmology pharmaceutical businesses, ImprimisRx. In addition to wholly owning ImprimisRx, we also have equity positions in Eton Pharmaceuticals, Inc. (“Eton”), Surface Ophthalmics, Inc. (“Surface”), and Melt Pharmaceuticals, Inc. (“Melt”), all companies that began as subsidiaries of Harrow. In 2020, Harrow created Visionology, Inc. (“Visionology”) and will launch an online eye health platform business in certain regions. We also own royalty rights in various drug candidates being developed by Surface and Melt.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ImprimisRx is our ophthalmology focused prescription pharmaceutical business. We offer to over 10,000 physician customers and their patients critical medicines to meet their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current good manufacturing practices (or cGMPs) or other FDA-guidance documents, in our FDA-registered New Jersey outsourcing facility (“NJOF”).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Visionology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Visionology, a direct-to-consumer online eye health platform, leverages our experience in the ophthalmic pharmaceutical business as well as our relationships with eyecare professionals across the United States. We expect to launch a proof-of-concept model for Visionology within a certain region of the U.S., and if successful, will expand the launch on a nationwide basis later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Compounding Businesses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Compounding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Pharmaceutical compounding is the science of combining different active pharmaceutical ingredients (APIs), all of which are approved by the FDA (either as a finished form product or as a bulk drug ingredient) and excipients, to create specialized pharmaceutical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Almost all of our sales revenue is derived from making, selling and dispensing our compounded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Pharmaceutical compounding businesses are governed by Sections 503A and 503B of the Federal Food Drug and Cosmetic Act (the “FDCA”). Section 503A of the FDCA provides that a pharmacy is only permitted to compound a drug for an individually identified patient based on a prescription for a patient, and is only permitted to distribute the drug interstate if the pharmacy is licensed to do so in the states where it is compounded and where the medication is received.</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503B of the FDCA provides that a pharmacy engaged in preparing sterile compounded drug formulations may voluntarily elect to register as an “outsourcing facility.” Outsourcing facilities are permitted to compound large quantities of drugs without a prescription and distribute them out of state with certain limitations such as the formulation appearing on the FDA’s drug shortage list or the bulk drug substances contained in the formulations appearing on the FDA’s “clinical need” list. Entities voluntarily registering with FDA as outsourcing facilities are subject to additional requirements that do not apply to compounding pharmacies (operating under Section 503A of the FDCA), including adhering to standards such as current good manufacturing practices (cGMP) or other FDA guidance documents and being subject to regular FDA inspection.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two compounding facilities located in Ledgewood, New Jersey. Our New Jersey operations are comprised of two separate entities and facilities, one of which is registered with the FDA as an outsourcing facility (“NJOF”) under Section 503B of the FDCA. The other New Jersey facility (“RxNJ”), is a licensed pharmacy operating under Section 503A of the FDCA. All products that we sell, produce and dispense are made in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We believe that, with our current compounding pharmacy facilities and licenses and FDA registration of NJOF, we have the infrastructure to scale our business appropriately under the current regulatory landscape and meet the potential growth in demand we are targeting. We plan to invest in one or both of our facilities to further their capacity and efficiencies. Also, we may seek to access greater pharmacy and production related redundancy and markets through acquisitions, partnerships or other strategic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Development Businesses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ownership interests in Eton, Surface and Melt and hold royalty interests in some of the drug candidates of Surface and Melt. These companies are pursuing market approval for their drug candidates under the FDCA, including in some instances under the abbreviated pathway described in Section 505(b)(2) which permits the submission of a new drug application (“NDA”) where at least some of the information required for approval comes from studies not conducted by or for the applicant and for which the applicant has not obtained a right of reference.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2018 and 2019, we formed and created subsidiaries named Radley Pharmaceuticals, Inc. (“Radley”), Mayfield Pharmaceuticals, Inc. (“Mayfield”), and Stowe Pharmaceuticals, Inc. (“Stowe”). In 2020, we halted nearly all operating activities related to these subsidiaries to invest resources in other areas and may not restart any or all activities related to these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De-Consolidated Businesses (Noncontrolling Equity Interests)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Ophthalmics,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Surface is a clinical-stage pharmaceutical company focused on development and commercialization of innovative therapeutics for ocular surface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diseases.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2021, Surface announced positive top-line results from a phase 2 trial of its drug candidate SURF-201, a 0.2% betamethasone, preservative-free ophthalmic solution in the Klarity delivery vehicle for the treatment of post cataract surgery pain and inflammation.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 SURF-201 marks the first ophthalmic therapeutic in the United States to utilize betamethasone as well as being the first preservative-free unit dose therapy for the treatment of post-operative pain and inflammation.</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Also in January 2021, Surface announced the first patient dosed in a head-to-head phase 2 trial for its drug candidate SURF-100 (mycophenolate sodium and betamethasone in Klarity vehicle) for the treatment of chronic dry eye disease. The head-to-head study will compare SURF-100 against leading on-market competitors lifitegrast ophthalmic solution 5% (marketed as Xiidra®) and cyclosporine ophthalmic emulsion 0.05% (marketed as Restasis®).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2021, Surface announced the first patient dosed in a phase 2 trial for its drug candidate SURF-200 (betamethasone in Klarity vehicle) for the treatment of episodic dry eye flares. The dose ranging study for SURF-200 will be administered in two different low concentration formulations of betamethasone in the Klarity vehicle. The trial will enroll 120 to 140 patients with a primary endpoint of Symptom Improvement of one unit based on the University of North Carolina Dry Eye Management Scale by the eighth day.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2018, Surface closed on an offering of its Series A Preferred Stock. At that time, we lost our controlling interest and deconsolidated Surface from our consolidated financial statements. We own 3,500,000 shares of Surface which was approximately 30% of the equity and voting interests as of March 31, 2021. Harrow owns mid-single digit royalty rights on net sales of SURF-100, SURF-200 and SURF-201. We expect Surface to complete another round of financing within the next six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and Harrow assigned to Melt the underlying intellectual property for Melt’s current pipeline, including its lead drug candidate MELT-100. The core intellectual property Melt owns is a patented series of combination non-opioid sedation drug formulations that we estimate to have multitudinous applications.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ind w:firstLine="648"/>
        <w:spacing w:after="0" w:line="311" w:lineRule="auto"/>
        <w:rPr>
          <w:sz w:val="20"/>
          <w:szCs w:val="20"/>
          <w:color w:val="auto"/>
        </w:rPr>
      </w:pPr>
      <w:r>
        <w:rPr>
          <w:rFonts w:ascii="Arial" w:cs="Arial" w:eastAsia="Arial" w:hAnsi="Arial"/>
          <w:sz w:val="16"/>
          <w:szCs w:val="16"/>
          <w:color w:val="auto"/>
        </w:rPr>
        <w:t>MELT-100 is a novel, sublingually delivered, non-IV, opioid-free drug candidate being developed for procedural sedation. Melt filed an investigational new drug application (“IND”) with the FDA in June 2020 and began its clinical program for MELT-100. In February 2021, Melt announced data from, and the successful completion of, its phase 1 study. Melt expects to begin its phase 2 study for MELT-100 in the second half of 2021.</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2019, Melt closed an offering of its Series A Preferred Stock. At that time, we lost our controlling interest and deconsolidated Melt from our consolidated financial statements. We own 3,500,000 shares of Melt common stock, which was approximately 44% of the equity and voting interests issued and outstanding of as of March 31, 2021. We expect Melt to complete another round of financing within the next six months. Pursuant to the terms of the Melt Asset Purchase Agreement, Melt is required to make mid-single digit royalty payments to the Company on net sales of MELT-100, while any patent rights remain outstanding, subject to other conditions. Melt can require the Company to cease compounding like products at the time of FDA approval of MELT-100. If approved, we do not expect a cessation of compounding like products to have a material impact on our operations and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Eton is a commercial-stage pharmaceutical company focused on developing and commercializing innovative drug products. Its pipeline includes several products and drug candidates in various stages of development across a variety of dosage forms. In May 2017, Eton closed an offering of its Series A Preferred Stock and we lost our controlling interest in it. In November 2018, Eton completed an initial public offering of its common stock. At that time, we gave up our controlling interest and deconsolidated Eton from our consolidated financial statements. As of the date of this Quarterly Report and following our April 2021 sale, we own 1,982,000 shares of Eton common stock. We owned less than 20% of the equity and voting interests issued and outstanding of Eton as of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the primary factors affecting our performance are our ability to increase revenues of our proprietary compounded formulations and certain non-proprietary products, grow and gain operating efficiencies in our pharmacy operations, potential regulatory-related restrictions,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Options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Patient Protection and Affordable Care Act, as amended by the Health Care and Education Affordability Reconciliation Act of 2010 (collectively, the “Health Care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We are communicating with government and third-party payors in order to make our formulations available to more patients and at optimized pricing levels. However, if government and other third-party payors do not provide adequate coverage and reimbursement levels for our formulations, the market acceptance and opportunity for our formulations may be limited.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novel strain of coronavirus was first identified in Wuhan, China in December 2019. The disease caused by it, COVID-19, was declared a global pandemic by the World Health Organization in March 2020. On March 18, 2020, CMS released guidance for U.S. healthcare providers to limit all elective medical procedures in order to conserve personal protective equipment and limit exposure to COVID-19 during the pendency of the pandemic. In addition to limiting elective medical procedures, many hospitals and other healthcare providers have strictly limited access to their facilities during the pandemic. The COVID-19 pandemic has negatively impacted the global economy, disrupted global supply chains and healthcare delivery, led to social distancing recommendation, and created significant volatility in financial markets. In May 2020 and the following months, U.S. states and geographies began easing restrictions associated with the COVID-19 pandemic including those restrictions related to elective procedures. We have since seen sales of our products return to near historical norms and trends as restrictions associated with elective procedures and the COVID-19 pandemic have continued to ease.</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given the unprecedented and dynamic nature of the COVID-19 pandemic, we may not be able to reasonably estimate the impacts it may have on our financial condition, results of operations or cash flows in the future, especially if there are new restrictions in elective procedures in the future which would have an adverse impact, which may be material, on our future revenues, profitability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describes certain developments in 2021 to date that are important to understand our financial condition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notes to our condensed consolidated financial statements included in this report for additional information about each of these developments.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2020, we entered into an unsecured promissory note and related Business Loan Agreement with Renasant Bank, as lender, for a loan (the “PPP Loan”) in the principal amount of $1,967,000 and received cash proceeds of the same amount, pursuant to the Paycheck Protection Program (the “PPP”) under the Federal Coronavirus Aid, Relief, and Economic Security Act (the “CARES Act”), which was enacted March 27, 2020. The PPP is administered by the U.S. Small Business Administration. On March 30, 2021, the Company received a notice of forgiveness of the full balance of the PPP Loan, including all accrued interest, in accordance with the terms and conditions of the CARES Act and accordingly recognized a gain on forgiveness of debt of $1,967,000.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Stock Sale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2021, we closed an underwritten public offering of 1,518,000 shares of our Eton common stock at a public offering price of $7.00 per share (the “Eton Stock Sale”). The gross proceeds to us from the Eton Stock Sale were $10,626,000 before deducting underwriting discounts and commissions and other offering expenses payable by the Company. Following such sale, we own 1,982,000 shares of Eton common stock, which represented approximately 8.1% of the equity interests issued and outstanding of Eton as of April 12, 2021.</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part of the Eton Stock Sale, we also agreed, for a period of 180 days, not to conduct any further sales of shares of its common stock of Eton or otherwise dispose of, directly or indirectly, any common stock of Eton (or any securities convertible into, or exercisable or exchangeable for, the common stock of Eton). The Company expects to use the net proceeds from the Eton Stock Sale for general corporate purposes, including funding future strategic product acquisitions and related investments, making capital expenditures and funding working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8.625% Senior Notes Due 2026</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2021, we closed an offering of $50,000,000 aggregate principal amount of 8.625% Senior Notes due 2026 (the “Notes”) and in May 2021, the underwriters exercised their option to purchase an additional $5,000,000 aggregate principal amount of the Notes ($55,000,000 in total). The Notes are senior unsecured obligations of the Company and rank equally in right of payment with all of our other existing and future senior unsecured and unsubordinated indebtedness. The Notes are effectively subordinated in right of payment to all of our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commencing on July 31, 2021. The Notes will mature on April 30, 2026.</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Prior to February 1, 2026, we may, at our option, redeem the Notes, in whole at any time or in part from time to time, at a redemption price equal to 100% of the principal amount of the Notes to be redeemed, plus a make-whole amount, if any, plus accrued and unpaid interest to, but excluding, the date of redemption. We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 The Company expects to use the net proceeds from the Notes for general corporate purposes, including funding future strategic product acquisitions and related investments, making capital expenditures and funding working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Series B Cumulative Preferred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May 5, 2021, we issued 440,000 shares of Series B Cumulative Preferred Stock (“Series B Preferred Stock”) for gross proceeds of $11,000. The Series B Preferred Stock is not convertible into our common stock, has no voting rights, except as required by Delaware law, and is redeemable by us at any time. Holders of Series B Preferred Stock, when and as authorized by the our Board of Directors, are entitled to cumulative cash dividends at the rate of 9.50% of the $25.00 liquidation preference per year (equivalent to $2.375 per share per year); provided, however, that for each thirty (30) day period following May 5, 2021, the dividend rate shall be increased in increments of fifty (50) basis points, and effective September 30, 2021, the dividend rate shall be set at 12%, and for each thirty (30) day period thereafter, the dividend rate shall be increased in increments of one hundred (100) basis points except as otherwise limited by applicable law. Dividends will be payable quarterly in arrears, on or about the 15th of January, April, July and October, beginning on or about July 15, 2021. In the event of any liquidation, dissolution or winding-up of the Company, the holders of the Series B Preferred Stock will have preference to holders of our common stock at $25.00 per share plus any accrued and unpaid dividends (whether authorized or declared). The Company expects to use the net proceeds from the Series B Preferred Stock for general corporate purposes, including funding future strategic product acquisitions and related investments, making capital expenditures and funding working capital.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MAY-66 License Termination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TVG. Mayfield has no outstanding or remaining obligations under the TGV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MAY-44 APA Termination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2021, Mayfield and Harrow terminated their asset purchase agreement dated January 2020 for intellectual property rights associated with Mayfield’s drug candidate MAY-44 with Elle Pharmaceutical LLC (the “MAY-44 APA”). As part of the termination, Mayfield re-acquired 350,000 shares of its common stock from Elle for $350. Mayfield has no outstanding or remaining obligations related to the MAY-44 APA.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License Termination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May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TVG. Stowe has no outstanding or remaining obligations under the Stowe License.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following period-to-period comparisons of our financial results for the three months ended March 31, 2021 and 2020, are not necessarily indicative of results for the current period or any future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commissions from third parties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2021 and 2020:</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2"/>
              </w:rPr>
              <w:t>For the Three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14,948,000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11,810,000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revenues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495,000</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488,000</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15,443,000</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11,817,000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increase in revenues between periods was related to an increase in sales volumes of our ophthalmology products and commissions attributable to sales of Dexycu®.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2021 and 2020:</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For the Three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7"/>
              </w:rPr>
              <w:t>3,626,000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our cost of sales between periods was largely attributable to an increase in unit volumes sold.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Gross Profit and Margin</w:t>
            </w:r>
          </w:p>
        </w:tc>
        <w:tc>
          <w:tcPr>
            <w:tcW w:w="1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0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w w:val="97"/>
              </w:rPr>
              <w:t>For the 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8"/>
              </w:rPr>
              <w:t>Variance</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11,673,000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8,191,000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3,482,000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18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increase in gross margin between periods is largely attributable to increased unit volumes sold, efficiencies in our production process, including increased batch sizes and improved utilization of capacities as a result of increased output.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months ended March 31, 2021 and 2020:</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For the Three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general and administrative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8,416,000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0"/>
              </w:rPr>
              <w:t>(252,000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selling, general and administrative expenses between periods was mostly attributable to a slight decrease in sales and marketing expenses associated with our pharmacy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research and development expenses primarily include personnel costs, including wages and stock-based compensation, expenses related to the development of intellectual property, investigator-initiated research and evaluations, formulation development, and other costs related to the clinical development of our assets.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2021 and 2020:</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For the Three Months Ended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research and development expenses between periods was primarily attributable to formulation development studies for new ophthalmic formulations and clinical programs related to our drug development segment during the three months ended March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net was $513,000 for the three months ended March 31, 2021, compared to $560,000 for the same period last year. The decrease during the period ended March 31, 2021 compared to the same period in 2020 was primarily due to interest expense recognition related to a decrease in the outstanding principal amount of our debt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Investment Loss from Melt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2021 and 2020, we recorded a net loss of $470,000 and $546,000, respectively, related to our share of losses in Melt.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Surface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three months ended March 31, 2021 and 2020, we recorded a loss of $849,000 and $339,000, respectively, for our share of losses based on our ownership of Surface.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from Eton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recorded an unrealized loss of $2,835,000 and $10,850,000 related to the change in fair market value of Eton’s common stock for the three months ended March 31,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Forgiveness of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2021, we recorded gain on forgiveness of debt of $1,967,000, related to the forgiveness of our PPP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net income (loss) and per share net income (loss) for the three months ended March 31, 2021 and 2020:</w:t>
      </w:r>
    </w:p>
    <w:p>
      <w:pPr>
        <w:spacing w:after="0" w:line="233"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8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Harrow Health, Inc.</w:t>
            </w: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(12,907,000</w:t>
            </w:r>
          </w:p>
        </w:tc>
        <w:tc>
          <w:tcPr>
            <w:tcW w:w="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Net income (loss) per share, basic</w:t>
            </w:r>
          </w:p>
        </w:tc>
        <w:tc>
          <w:tcPr>
            <w:tcW w:w="9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28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diluted</w:t>
            </w:r>
          </w:p>
        </w:tc>
        <w:tc>
          <w:tcPr>
            <w:tcW w:w="12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evaluates performance of the Company based on operating segments. Segment performance for our two operating segments are based on segment contribution. Our reportable segments consist of (i) our commercial stage pharmaceutical business ImprimisRx; and (ii) the start-up operations associated with our pharmaceutical drug development business (Pharmaceutical Drug Development). Segment contribution for the segments represents net revenues less cost of sales, research and development, selling and marketing expenses, and select general and administrative expenses. We do not evaluate the following items at the segment level:</w:t>
      </w:r>
    </w:p>
    <w:p>
      <w:pPr>
        <w:spacing w:after="0" w:line="188" w:lineRule="exact"/>
        <w:rPr>
          <w:sz w:val="20"/>
          <w:szCs w:val="20"/>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Selling, general and administrative expenses that result from shared infrastructure, including certain expenses associated with litigation and other legal matters, public company costs (e.g. investor relations), board of directors and principal executive officers, and other like shared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select revenues and operating expenses including R&amp;D expenses, amortization, and asset sales and impairments, net as not all such information has been accounted for at the segment level, or such information has not been used by all segments.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including capital expenditures.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defines segment net revenues as pharmaceutical compounded drug sales, licenses and other revenue derived from related agreements.</w:t>
      </w:r>
    </w:p>
    <w:p>
      <w:pPr>
        <w:spacing w:after="0" w:line="248" w:lineRule="exact"/>
        <w:rPr>
          <w:sz w:val="20"/>
          <w:szCs w:val="20"/>
          <w:color w:val="auto"/>
        </w:rPr>
      </w:pPr>
    </w:p>
    <w:p>
      <w:pPr>
        <w:jc w:val="both"/>
        <w:ind w:firstLine="500"/>
        <w:spacing w:after="0" w:line="263" w:lineRule="auto"/>
        <w:rPr>
          <w:sz w:val="20"/>
          <w:szCs w:val="20"/>
          <w:color w:val="auto"/>
        </w:rPr>
      </w:pPr>
      <w:r>
        <w:rPr>
          <w:rFonts w:ascii="Arial" w:cs="Arial" w:eastAsia="Arial" w:hAnsi="Arial"/>
          <w:sz w:val="18"/>
          <w:szCs w:val="18"/>
          <w:color w:val="auto"/>
        </w:rPr>
        <w:t>Cost of sales within segment contribution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ind w:firstLine="500"/>
        <w:spacing w:after="0" w:line="263" w:lineRule="auto"/>
        <w:rPr>
          <w:sz w:val="20"/>
          <w:szCs w:val="20"/>
          <w:color w:val="auto"/>
        </w:rPr>
      </w:pPr>
      <w:r>
        <w:rPr>
          <w:rFonts w:ascii="Arial" w:cs="Arial" w:eastAsia="Arial" w:hAnsi="Arial"/>
          <w:sz w:val="18"/>
          <w:szCs w:val="18"/>
          <w:color w:val="auto"/>
        </w:rPr>
        <w:t>Selling, general and administrative expenses consist mainly of personnel-related costs, marketing and promotion costs, distribution costs, professional service costs, insurance, depreciation, facilities costs, transaction costs, and professional services costs which are general in nature and attributable to the segment.</w:t>
      </w:r>
    </w:p>
    <w:p>
      <w:pPr>
        <w:spacing w:after="0" w:line="184" w:lineRule="exact"/>
        <w:rPr>
          <w:sz w:val="20"/>
          <w:szCs w:val="20"/>
          <w:color w:val="auto"/>
        </w:rPr>
      </w:pPr>
    </w:p>
    <w:p>
      <w:pPr>
        <w:jc w:val="both"/>
        <w:ind w:firstLine="500"/>
        <w:spacing w:after="0" w:line="277" w:lineRule="auto"/>
        <w:rPr>
          <w:sz w:val="20"/>
          <w:szCs w:val="20"/>
          <w:color w:val="auto"/>
        </w:rPr>
      </w:pPr>
      <w:r>
        <w:rPr>
          <w:rFonts w:ascii="Arial" w:cs="Arial" w:eastAsia="Arial" w:hAnsi="Arial"/>
          <w:sz w:val="18"/>
          <w:szCs w:val="18"/>
          <w:color w:val="auto"/>
        </w:rPr>
        <w:t>See Note 16 to our condensed consolidated financial statements included in this Quarterly Report for more information about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on hand (including restricted cash) at March 31, 2021 was $6,504,000, compared to $4,301,000 at December 31, 2020.</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the date of this Quarterly Report, we believe that cash and cash equivalents of $6,304,000 and restricted investments of $200,000, totaling approximately $6,504,000 at March 31, 2021, along with gross proceeds received from the Eton Stock Sale of $10,626,000, $55,000,000 from the issuance of the Notes and $11,000,000 from the issuance of our Series B Cumulative Preferred Stock will be sufficient to sustain our planned level of operations and capital expenditures for at least the next 12 months. In addition, we may consider the sale of certain assets including, but not limited to, part of, or all of, our ownership interest in Eton, Surface, Melt, and/or any of our consolidated subsidiaries. However, our plans for this period may change, our estimates of our operating expenses, capital expenditures and working capital requirements could be inaccurate, we may pursue acquisitions of pharmacies, revenue generating products, drug candidates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operations, pursuing potential future strategic transactions as opportunities arise, including potential acquisitions of additional pharmacy, outsourcing facilities, drug company and manufacturers, drug products, drug candidates, and/or assets or technologies,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w:t>
      </w:r>
    </w:p>
    <w:p>
      <w:pPr>
        <w:spacing w:after="0" w:line="221"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0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3,208,000</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(550,000)</w:t>
            </w:r>
          </w:p>
        </w:tc>
      </w:tr>
      <w:tr>
        <w:trPr>
          <w:trHeight w:val="216"/>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(273,000)</w:t>
            </w: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(781,000)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2,203,000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4,301,000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4,949,000</w:t>
            </w:r>
          </w:p>
        </w:tc>
      </w:tr>
      <w:tr>
        <w:trPr>
          <w:trHeight w:val="23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6,504,000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cash provided by operating activities was $3,208,000 compared to net cash used in operating activities of $550,000 during the same period in the prior year. The increase in net cash provided by operating activities during the periods was mainly attributed to the increase in revenues.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three months ended March 31, 2021 and 2020 was $(224,000) and $(273,000), respectively. Cash used in investing activities in 2021 and 2020 was primarily associated with equipment and software purchases and upgrades along with investments in our intellectual property portfolio.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cash used in financing activities during the three months ended March 31, 2021 and 2020 was $(781,000) and $(2,000), respectively. Cash used in financing activities during the three months ended March 31, 2021 was related to principal payments on our SWK loan.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principal sources of cash consist of cash provided by operating activities from our pharmaceutical compounding business, in addition to proceeds received subsequent to March 31, 2021 from the sale of the Notes, Series B Preferred Stock and sale of Eton Stock. We may also sell some or all of our ownership interests in Surface, Melt or our other subsidiaries, along with the remaining portion of our Eton common stock.</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changing trends and overall economic outlook in light of the COVID-19 pandemic, including the historical interim stay-at-home orders and bans on elective surgeries, created uncertainty surrounding our operating outlook and may impact our future operating results if there is a rise in COVID-19 related cases in the US. As a result, we may need significant additional capital to support our business plan and fund our proposed business operations. We may receive additional proceeds from the exercise of stock purchase warrants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2021. Based on this evaluation, our principal executive officer and principal financial officer have concluded that our disclosure controls and procedures were effective to achieve their stated purpose as of March 31, 2021,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the quarter ended March 31, 2021, that has materially affected, or is reasonably likely to materially affect, our internal control over financial reporting. We have not experienced any material impact to our internal control over financial reporting due to the COVID-19 pandemic. We are continually monitoring and assessing the COVID-19 pandemic on our internal controls to minimize the impact on their design and operating effectiveness.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15 to our condensed consolidated financial statements included in this Quarterly Report for information on various legal proceedings, which is incorporated into this Item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You should consider all of the factors described in this section when evaluating our business as well as the risk factors and the other information in our Annual Report on Form 10-K for the year ended December 31, 2020, including our audited financial statements and the related notes and “Management’s Discussion and Analysis of Financial Condition and Results of Operations”. If any of the following risks actually occurs, our business, financial condition, results of operations and future growth prospects would likely be materially and adversely affected. In these circumstances, the market price of our common stock would likely decline and you may lose all or part of your investments. Additional risks and uncertainties not presently known to us or that we currently deem immaterial also may impair our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Need for Additional Capital and Senior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April and May 2021, we issued $55,000,000 of 8.625% senior notes due 2026. We may incur additional indebtedness in the future. 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debt instruments contain or, from time to time, may contain various restrictive covenants, including, among others, our obligation to deliver certain financial and other information, our obligation to comply with certain notice and insurance requirements, and our inability, without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lenders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firstLine="648"/>
        <w:spacing w:after="0" w:line="287" w:lineRule="auto"/>
        <w:rPr>
          <w:sz w:val="20"/>
          <w:szCs w:val="20"/>
          <w:color w:val="auto"/>
        </w:rPr>
      </w:pPr>
      <w:r>
        <w:rPr>
          <w:rFonts w:ascii="Arial" w:cs="Arial" w:eastAsia="Arial" w:hAnsi="Arial"/>
          <w:sz w:val="16"/>
          <w:szCs w:val="16"/>
          <w:color w:val="auto"/>
        </w:rPr>
        <w:t>We have raised over $65,000,000 in gross proceeds through equity and debt financings in April and May 2021. We may seek to obtain additional capital through equity or debt financings, funding from corporate partnerships or licensing arrangements, sales of assets or other financing transactions. If we issue additional equity or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that we currently have or that we may incur in the future.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under which the Notes were issued contains limited protection for holders of the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under which the Notes were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the holders of the Notes. In particular, the terms of the indenture and the Notes do not place any restrictions on our or our subsidiaries’ ability to:</w:t>
      </w:r>
    </w:p>
    <w:p>
      <w:pPr>
        <w:spacing w:after="0" w:line="187" w:lineRule="exact"/>
        <w:rPr>
          <w:sz w:val="20"/>
          <w:szCs w:val="20"/>
          <w:color w:val="auto"/>
        </w:rPr>
      </w:pP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debt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subordinated in right of payment to the Notes;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firstLine="324"/>
        <w:spacing w:after="0" w:line="255" w:lineRule="auto"/>
        <w:rPr>
          <w:sz w:val="20"/>
          <w:szCs w:val="20"/>
          <w:color w:val="auto"/>
        </w:rPr>
      </w:pPr>
      <w:r>
        <w:rPr>
          <w:rFonts w:ascii="Arial" w:cs="Arial" w:eastAsia="Arial" w:hAnsi="Arial"/>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Notes.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the holders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could result in a decrease in the value of the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general, as market interest rates rise, notes bearing interest at a fixed rate decline in value. Consequently, if the market interest rates increase, the market value of the Notes may decline. We cannot predict the future level of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the Notes may not develop, which could limit the market price of the Notes or a holder’s ability to sell them.</w:t>
      </w:r>
    </w:p>
    <w:p>
      <w:pPr>
        <w:spacing w:after="0" w:line="237"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The Notes are quoted on Nasdaq under the symbol “HROWL.” We cannot provide any assurances that an active trading market will develop for the Notes or that a holder will be able to sell the Notes. If the Notes are traded, they may trade at a discount from their initial offering price depending on prevailing interest rates, the market for similar securities, our credit ratings, general economic conditions, our financial condition, performance and prospects and other factors. The underwriters of the Notes may make a market in the Notes, but they are not obligated to do so. The underwriters may discontinue any market-making in the Notes at any time at their sole discretion. Accordingly, we cannot assure a holder that a liquid trading market will develop for the Notes, that a holder will be able to sell the Notes at a particular time or that the price received will be favorable. To the extent an active trading market does not develop, the liquidity and trading price for the Notes may be harmed. Accordingly, a holder may be required to bear the financial risk of an investment in the Notes for an indefinite period of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terms of the indenture governing the Notes, we may from time to time without notice to, or the consent of, the holders of the Notes, create and issue additional notes which will be equal in rank to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rating for the Notes could at any time be revised downward or withdrawn entirely at the discretion of the issuing rating agency.</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have obtained a rating for the Notes. Ratings only reflect the views of the issuing rating agency or agencies and such ratings could at any time be revised downward or withdrawn entirely at the discretion of the issuing rating agency. A rating is not a recommendation to purchase, sell or hold the Notes. Ratings do not reflect market prices or suitability of a security for a particular investor and the rating of the Notes may not reflect all risks related to us and our business, or the structure or market value of the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Notes.</w:t>
      </w:r>
    </w:p>
    <w:p>
      <w:pPr>
        <w:spacing w:after="0" w:line="192"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b w:val="1"/>
          <w:bCs w:val="1"/>
          <w:i w:val="1"/>
          <w:iCs w:val="1"/>
          <w:color w:val="auto"/>
        </w:rPr>
        <w:t>We could enter into various transactions that could increase the amount of our outstanding debt, or adversely affect our capital structure or credit rating.</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Subject to certain limited exceptions, the terms of the senior notes do not prevent us from entering into a variety of acquisition, divestiture, refinancing, recapitalization or other highly leveraged transactions. As a result, we could enter into any such transaction even though the transaction could increase the total amount of our outstanding indebtedness, adversely affect our capital structure or credit rating or otherwise adversely affect the holders of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the Series B 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The Series B Preferred Stock has, and any preferred stock issued in the future may have, rights, preferences and privileges superior to those of our common stock.</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authorized to issue 5,000,000 shares of “blank check” preferred stock, with such rights, preferences and privileges as may be determined from time to time by our Board of Directors. On May 5, 2021, we issued 440,000 shares of Series B Cumulative Preferred Stock. Such shares have rights, preferences and privileges superior to those of our common stock. Our Board of Directors is empowered, without stockholder approval, to issue additional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such preferred stock, depending on the rights, preferences and privileges attributable to the preferred stock, could reduce the voting rights and powers of our common stockholders and the portion of our assets allocated for distribution to holders of our Series B Preferred Stock and to common stockholders in a liquidation event, and could also result in dilution to the book value per share of our stock. The preferred stock could also be utilized, under certain circumstances, as a method for raising additional capital or discouraging, delaying or preventing a change in control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assure that quarterly dividends on, or any other payments in respect of, the Series B Preferred Stock will be made timely or at all.</w:t>
      </w:r>
    </w:p>
    <w:p>
      <w:pPr>
        <w:spacing w:after="0" w:line="248"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We cannot assure that we will be able to pay quarterly dividends on the Series B Preferred Stock or redeem the Series B Preferred Stock, if we wanted to do so. Quarterly dividends on our Series B Preferred Stock will be paid from funds legally available for such purpose when, as and if declared by our Board of Directors. Certain factors may influence our decision, or adversely affect our ability, to pay dividends on, or make other payments in respect of, our Series B Preferred Stock, including, among other things, the amount of our available cash or other liquid assets; our ability to service and refinance our current and future indebtedness; restrictions imposed by our existing, or any future, credit facilities or other debt instruments; and limitations on cash payments to stockholders under Delaware law, including limitations that require dividend payments be made out of surplus or, subject to certain limitations, out of net profits for the then-current or preceding year in the event there is no surplus.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to redeem the Series B Preferred Stock given the increasing dividends to which such shares are entitled. We may not have sufficient capital to redeem the Series B Preferred Stock if, and when, we seek to redeem the stock.</w:t>
      </w:r>
    </w:p>
    <w:p>
      <w:pPr>
        <w:spacing w:after="0" w:line="170"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7"/>
          <w:szCs w:val="17"/>
          <w:color w:val="auto"/>
        </w:rPr>
        <w:t>The shares of Series B Preferred Stock have no maturity or mandatory redemption date. However, the dividend rate for such shares increases over time and, as a result, we may seek to redeem the Series B Preferred Stock. By their terms, the Series B Preferred Stock may be redeemed by us at our option either in whole or in part at any time. Any decision we may make at any time regarding whether to redeem the Series B Preferred Stock will depend upon a wide variety of factors, including our evaluation of our capital position, our capital requirements and general market conditions at that time. However, investors should not assume that we will redeem the Series B Preferred Stock at any particular time, or at all.</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Series B Preferred Stock ranks junior to all of the Company’s indebtedness and other liabilities and are effectively junior to all indebtedness and other liabilities of the Company’s subsidiaries.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event of a bankruptcy, liquidation, dissolution or winding-up of the affairs of the Company, the Company’s assets will be available to pay obligations on the Series B Preferred Stock only after all of the Company’s indebtedness and other liabilities have been paid. The rights of holders of the Series B Preferred Stock to participate in the distribution of the Company’s assets will rank junior to the prior claims of the Company’s current and future creditors and any future series or class of preferred stock the Company may issue that ranks senior to the Series B Preferred Stock. In addition, the Series B Preferred Stock effectively ranks junior to all existing and future indebtedness and other liabilities of (as well as any preferred equity interests held by others in) the Company’s existing subsidiaries and any future subsidiaries. The Company’s existing subsidiaries are, and any future subsidiaries would be, separate legal entities and have no legal obligation to pay any amounts to the Company in respect of dividends due on the Series B Preferred Stock. If the Company is forced to liquidate its assets to pay its creditors, the Company may not have sufficient assets to pay amounts due on any or all of the Series B Preferred Stock then outstanding. The Company and its subsidiaries have incurred and may in the future incur substantial amounts of debt and other obligations that will rank senior to the Series B Preferred Stock. The Company may incur additional indebtedness and become more highly leveraged in the future, which could harm the Company’s financial position and potentially limit cash available to pay dividends. As a result, the Company may not have sufficient funds remaining to satisfy its dividend obligations relating to the Series B Preferred Stock if the Company incurs additional indebtedness. If the Company decides to issue debt or senior equity securities in the future, it is possible that these securities will be governed by an indenture or other instrument containing covenants restricting the Company’s operating flexibility.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compared to the market available for FDA-approved drugs.</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pharmacy business is impacted by federal and state laws and regulations governing the following: the purchase, distribution, management, compounding, dispensing, reimbursement, marketing and labeling of prescription drugs and related services including: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30, 2020 and separately on March 24, 2021, the FDA issued public notices for comments related to certain bulk drug substances to be removed from the 503B Bulk’s List (or Category 1 List). Included in these notices for comment were certain bulk drug substances which we currently use in some of our compounded products. In the event one or more of these bulk substances are ultimately removed from the Category 1 List, we intend to utilize commercially available versions of these substances or similar active pharmaceutical ingredients as replacements of the bulk powders contained in our sterile products. In addition, nothing in the FDA’s notice affects the dispensing of bulk powder-containing products from our 503A pharmacy. Nonetheless, if all or some of the bulk drug substances we use are removed from the 503B Bulk’s List, this may result in a disruption in our operations, revenues and cash flows.</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27, 2020, the FDA announced availability of a final Memorandum of Understanding, Addressing Certain Distributions of Compounded Human Drug Products Between the State Board of Pharmacy or Other Appropriate State Agency and the Food and Drug Administration (the “MOU”). The MOU describes the responsibilities of a state board of pharmacy, or other appropriate state agency that chooses to sign the MOU, in investigating and responding to complaints related to drug products compounded in such state and distributed outside such state and in addressing the interstate distribution of inordinate amounts of compounded human drug products. Additionally, as part of the MOU, FDA refined the definition of “inordinate amount,” a threshold for certain information identification and sharing which does not place a limit on the distribution of compounded human drug products interstate by a pharmacy located in a state that has entered into the MOU. Section 503A of the FDCA sets a five percent limit on compounded drugs distributed outside the state by a pharmacist, pharmacy or physician located in a state that has not entered into the MOU.</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States have 365 days to sign the MOU, before the FDA intends to enforce the five percent limit described in Section 503A of the FDCA in states that have not signed the MOU. Our pharmacy is based in the state of New Jersey, and we believe the state board of pharmacy in New Jersey will sign the MOU and as a result, our operations will not be materially affected by the MOU. In the event New Jersey does not sign the MOU, our pharmacy that operates under Section 503A may be materially affected, and we will transition as many prescription orders as possible to our outsourcing facility, which is not subject to the MOU.</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MAY-66 License Termination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10, 2021, Mayfield terminated the License Agreement (the “TGV License”) with TGV-Health, LLC and affiliated entities (collectively, “TGV”), pursuant to which it acquired intellectual property rights for use in the women’s health field, related to Mayfield’s proprietary drug candidate MAY-66. Concurrent with the termination, TGV returned to Mayfield 300,000 shares of Mayfield’s common stock, constituting all of the equity held by TGV. Mayfield has no outstanding or remaining obligations under the TGV License.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Mayfield Pharmaceuticals MAY-44 APA Termination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10, 2021, Mayfield and Harrow terminated their asset purchase agreement dated January 2020 for intellectual property rights associated with Mayfield’s drug candidate MAY-44 with Elle Pharmaceutical LLC (the “MAY-44 APA”). As part of the termination, Mayfield re-acquired 350,000 shares of its common stock from Elle for $350. Mayfield has no outstanding or remaining obligations related to the MAY-44 APA.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Stowe License Termination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10, 2021, Stowe terminated the License Agreement (the “Stowe License”) with TGV, pursuant to which it acquired intellectual property rights for use in the ophthalmic field, related to Stowe’s proprietary drug candidate STE-006. Concurrent with the termination, TGV returned to Stowe 1,750,000 shares of Stowe’s common stock, constituting all of the equity held by TGV. Stowe has no outstanding or remaining obligations under the Stowe License.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14"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w:t>
      </w:r>
      <w:r>
        <w:rPr>
          <w:sz w:val="20"/>
          <w:szCs w:val="20"/>
          <w:color w:val="auto"/>
        </w:rPr>
        <w:tab/>
      </w:r>
      <w:hyperlink r:id="rId58">
        <w:r>
          <w:rPr>
            <w:rFonts w:ascii="Arial" w:cs="Arial" w:eastAsia="Arial" w:hAnsi="Arial"/>
            <w:sz w:val="18"/>
            <w:szCs w:val="18"/>
            <w:u w:val="single" w:color="auto"/>
            <w:color w:val="0000EE"/>
          </w:rPr>
          <w:t>Certificate of Designation designating the Series B Cumulative Preferred Stock of the Company (incorporated herein by reference to Exhibit 3.1</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to the Current Report on Form 8-K of the Company filed with the SEC on May 5, 2021).</w:t>
        </w:r>
      </w:hyperlink>
    </w:p>
    <w:p>
      <w:pPr>
        <w:spacing w:after="0" w:line="170"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4.1</w:t>
      </w:r>
      <w:r>
        <w:rPr>
          <w:sz w:val="20"/>
          <w:szCs w:val="20"/>
          <w:color w:val="auto"/>
        </w:rPr>
        <w:tab/>
      </w:r>
      <w:hyperlink r:id="rId59">
        <w:r>
          <w:rPr>
            <w:rFonts w:ascii="Arial" w:cs="Arial" w:eastAsia="Arial" w:hAnsi="Arial"/>
            <w:sz w:val="18"/>
            <w:szCs w:val="18"/>
            <w:u w:val="single" w:color="auto"/>
            <w:color w:val="0000EE"/>
          </w:rPr>
          <w:t>Indenture, dated as of April 20, 2021, by and between the Company and U.S. Bank National Association, as Trustee (incorporated herein by</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reference to Exhibit 4.1 to the Current Report on Form 8-K of the Company filed with the SEC on April 20, 2021).</w:t>
        </w:r>
      </w:hyperlink>
    </w:p>
    <w:p>
      <w:pPr>
        <w:spacing w:after="0" w:line="170" w:lineRule="exact"/>
        <w:rPr>
          <w:sz w:val="20"/>
          <w:szCs w:val="20"/>
          <w:color w:val="auto"/>
        </w:rPr>
      </w:pPr>
    </w:p>
    <w:p>
      <w:pPr>
        <w:jc w:val="both"/>
        <w:ind w:left="78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b w:val="1"/>
          <w:bCs w:val="1"/>
          <w:color w:val="auto"/>
        </w:rPr>
        <w:t>4.2</w:t>
      </w:r>
      <w:r>
        <w:rPr>
          <w:sz w:val="20"/>
          <w:szCs w:val="20"/>
          <w:color w:val="auto"/>
        </w:rPr>
        <w:tab/>
      </w:r>
      <w:hyperlink r:id="rId60">
        <w:r>
          <w:rPr>
            <w:rFonts w:ascii="Arial" w:cs="Arial" w:eastAsia="Arial" w:hAnsi="Arial"/>
            <w:sz w:val="17"/>
            <w:szCs w:val="17"/>
            <w:u w:val="single" w:color="auto"/>
            <w:color w:val="0000EE"/>
          </w:rPr>
          <w:t>First Supplemental Indenture, dated as of April 20, 2021, by and between the Company and U.S. Bank National Association, as Trustee</w:t>
        </w:r>
      </w:hyperlink>
      <w:r>
        <w:rPr>
          <w:rFonts w:ascii="Arial" w:cs="Arial" w:eastAsia="Arial" w:hAnsi="Arial"/>
          <w:sz w:val="17"/>
          <w:szCs w:val="17"/>
          <w:u w:val="single" w:color="auto"/>
          <w:color w:val="0000EE"/>
        </w:rPr>
        <w:t xml:space="preserve"> </w:t>
      </w:r>
      <w:hyperlink r:id="rId60">
        <w:r>
          <w:rPr>
            <w:rFonts w:ascii="Arial" w:cs="Arial" w:eastAsia="Arial" w:hAnsi="Arial"/>
            <w:sz w:val="17"/>
            <w:szCs w:val="17"/>
            <w:u w:val="single" w:color="auto"/>
            <w:color w:val="0000EE"/>
          </w:rPr>
          <w:t>(incorporated herein by reference to Exhibit 4.2 to the Current Report on Form 8-K of the Company filed with the SEC on April 20, 2021).</w:t>
        </w:r>
      </w:hyperlink>
    </w:p>
    <w:p>
      <w:pPr>
        <w:spacing w:after="0" w:line="146"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4.3</w:t>
      </w:r>
      <w:r>
        <w:rPr>
          <w:sz w:val="20"/>
          <w:szCs w:val="20"/>
          <w:color w:val="auto"/>
        </w:rPr>
        <w:tab/>
      </w:r>
      <w:hyperlink r:id="rId60">
        <w:r>
          <w:rPr>
            <w:rFonts w:ascii="Arial" w:cs="Arial" w:eastAsia="Arial" w:hAnsi="Arial"/>
            <w:sz w:val="16"/>
            <w:szCs w:val="16"/>
            <w:u w:val="single" w:color="auto"/>
            <w:color w:val="0000EE"/>
          </w:rPr>
          <w:t>Form of 8.625% Senior Note due 2026 (included in Exhibit 4.2).</w:t>
        </w:r>
      </w:hyperlink>
    </w:p>
    <w:p>
      <w:pPr>
        <w:spacing w:after="0" w:line="225"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10.1</w:t>
      </w:r>
      <w:r>
        <w:rPr>
          <w:sz w:val="20"/>
          <w:szCs w:val="20"/>
          <w:color w:val="auto"/>
        </w:rPr>
        <w:tab/>
      </w:r>
      <w:hyperlink r:id="rId61">
        <w:r>
          <w:rPr>
            <w:rFonts w:ascii="Arial" w:cs="Arial" w:eastAsia="Arial" w:hAnsi="Arial"/>
            <w:sz w:val="18"/>
            <w:szCs w:val="18"/>
            <w:u w:val="single" w:color="auto"/>
            <w:color w:val="0000EE"/>
          </w:rPr>
          <w:t>Securities Purchase Agreement, dated as of May 5, 2021, by and between the Company and B. Riley Securities, Inc. (incorporated herein by</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reference to Exhibit 10.1 to the Current Report on Form 8-K of the Company filed with the SEC on May 5, 2021).</w:t>
        </w:r>
      </w:hyperlink>
    </w:p>
    <w:p>
      <w:pPr>
        <w:spacing w:after="0" w:line="170" w:lineRule="exact"/>
        <w:rPr>
          <w:sz w:val="20"/>
          <w:szCs w:val="20"/>
          <w:color w:val="auto"/>
        </w:rPr>
      </w:pPr>
    </w:p>
    <w:p>
      <w:pPr>
        <w:jc w:val="both"/>
        <w:ind w:left="780" w:hanging="768"/>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31.1*</w:t>
      </w:r>
      <w:r>
        <w:rPr>
          <w:sz w:val="20"/>
          <w:szCs w:val="20"/>
          <w:color w:val="auto"/>
        </w:rPr>
        <w:tab/>
      </w:r>
      <w:hyperlink w:anchor="page46">
        <w:r>
          <w:rPr>
            <w:rFonts w:ascii="Arial" w:cs="Arial" w:eastAsia="Arial" w:hAnsi="Arial"/>
            <w:sz w:val="18"/>
            <w:szCs w:val="18"/>
            <w:u w:val="single" w:color="auto"/>
            <w:color w:val="0000EE"/>
          </w:rPr>
          <w:t>Certification of Mark L. Baum, principal executive officer, pursuant to Rule 13a-14(a) or 15d-14(a) of the Securities and Exchange Act of 1934,</w:t>
        </w:r>
      </w:hyperlink>
      <w:r>
        <w:rPr>
          <w:rFonts w:ascii="Arial" w:cs="Arial" w:eastAsia="Arial" w:hAnsi="Arial"/>
          <w:sz w:val="18"/>
          <w:szCs w:val="18"/>
          <w:u w:val="single" w:color="auto"/>
          <w:color w:val="0000EE"/>
        </w:rPr>
        <w:t xml:space="preserve"> </w:t>
      </w:r>
      <w:hyperlink w:anchor="page46">
        <w:r>
          <w:rPr>
            <w:rFonts w:ascii="Arial" w:cs="Arial" w:eastAsia="Arial" w:hAnsi="Arial"/>
            <w:sz w:val="18"/>
            <w:szCs w:val="18"/>
            <w:u w:val="single" w:color="auto"/>
            <w:color w:val="0000EE"/>
          </w:rPr>
          <w:t>as adopted pursuant to Section 302 of the Sarbanes- Oxley Act of 2002.</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left="920" w:right="20" w:hanging="9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31.2*</w:t>
      </w:r>
      <w:r>
        <w:rPr>
          <w:sz w:val="20"/>
          <w:szCs w:val="20"/>
          <w:color w:val="auto"/>
        </w:rPr>
        <w:tab/>
      </w:r>
      <w:hyperlink w:anchor="page47">
        <w:r>
          <w:rPr>
            <w:rFonts w:ascii="Arial" w:cs="Arial" w:eastAsia="Arial" w:hAnsi="Arial"/>
            <w:sz w:val="18"/>
            <w:szCs w:val="18"/>
            <w:u w:val="single" w:color="auto"/>
            <w:color w:val="0000EE"/>
          </w:rPr>
          <w:t>Certification of Andrew R. Boll, principal financial and accounting officer, pursuant to Rule 13a-14(a) or 15d-14(a) of the Securities and</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Exchange Act of 1934, as adopted pursuant to Section 302 of the Sarbanes- Oxley Act of 2002.</w:t>
        </w:r>
      </w:hyperlink>
    </w:p>
    <w:p>
      <w:pPr>
        <w:spacing w:after="0" w:line="170"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32.1**</w:t>
      </w:r>
      <w:r>
        <w:rPr>
          <w:sz w:val="20"/>
          <w:szCs w:val="20"/>
          <w:color w:val="auto"/>
        </w:rPr>
        <w:tab/>
      </w:r>
      <w:hyperlink w:anchor="page48">
        <w:r>
          <w:rPr>
            <w:rFonts w:ascii="Arial" w:cs="Arial" w:eastAsia="Arial" w:hAnsi="Arial"/>
            <w:sz w:val="16"/>
            <w:szCs w:val="16"/>
            <w:u w:val="single" w:color="auto"/>
            <w:color w:val="0000EE"/>
          </w:rPr>
          <w:t>Certification pursuant to 18 U.S.C. Section 1350, as adopted pursuant to Section 906 of the Sarbanes-Oxley Act of 2002, executed by Mark L.</w:t>
        </w:r>
      </w:hyperlink>
    </w:p>
    <w:p>
      <w:pPr>
        <w:spacing w:after="0" w:line="27" w:lineRule="exact"/>
        <w:rPr>
          <w:sz w:val="20"/>
          <w:szCs w:val="20"/>
          <w:color w:val="auto"/>
        </w:rPr>
      </w:pPr>
    </w:p>
    <w:p>
      <w:pPr>
        <w:ind w:left="9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Baum, principal executive officer, and Andrew R. Boll, principal financial and accounting officer.</w:t>
        </w:r>
      </w:hyperlink>
    </w:p>
    <w:p>
      <w:pPr>
        <w:spacing w:after="0" w:line="207" w:lineRule="exact"/>
        <w:rPr>
          <w:sz w:val="20"/>
          <w:szCs w:val="20"/>
          <w:color w:val="auto"/>
        </w:rPr>
      </w:pPr>
    </w:p>
    <w:p>
      <w:pPr>
        <w:ind w:left="920" w:hanging="917"/>
        <w:spacing w:after="0" w:line="277" w:lineRule="auto"/>
        <w:tabs>
          <w:tab w:leader="none" w:pos="90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101.SCH*  </w:t>
      </w:r>
      <w:r>
        <w:rPr>
          <w:rFonts w:ascii="Arial" w:cs="Arial" w:eastAsia="Arial" w:hAnsi="Arial"/>
          <w:sz w:val="18"/>
          <w:szCs w:val="18"/>
          <w:color w:val="auto"/>
        </w:rPr>
        <w:t>Inline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101.CAL*  </w:t>
      </w:r>
      <w:r>
        <w:rPr>
          <w:rFonts w:ascii="Arial" w:cs="Arial" w:eastAsia="Arial" w:hAnsi="Arial"/>
          <w:sz w:val="18"/>
          <w:szCs w:val="18"/>
          <w:color w:val="auto"/>
        </w:rPr>
        <w:t>Inline XBRL Taxonomy Extension Calculation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101.LAB*  </w:t>
      </w:r>
      <w:r>
        <w:rPr>
          <w:rFonts w:ascii="Arial" w:cs="Arial" w:eastAsia="Arial" w:hAnsi="Arial"/>
          <w:sz w:val="18"/>
          <w:szCs w:val="18"/>
          <w:color w:val="auto"/>
        </w:rPr>
        <w:t>Inline XBRL Taxonomy Extension Label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9" w:lineRule="exact"/>
        <w:rPr>
          <w:sz w:val="20"/>
          <w:szCs w:val="20"/>
          <w:color w:val="auto"/>
        </w:rPr>
      </w:pPr>
    </w:p>
    <w:p>
      <w:pPr>
        <w:ind w:left="920" w:hanging="912"/>
        <w:spacing w:after="0" w:line="277" w:lineRule="auto"/>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cover page from the Company’s Quarterly Report on Form 10-Q for the quarter ended March 31, 2021, has been formatted in Inline XBRL.</w:t>
      </w:r>
    </w:p>
    <w:p>
      <w:pPr>
        <w:spacing w:after="0" w:line="17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May 11, 2021</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Harrow Health,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Harrow Health, Inc. (the “Company”), that, to the best of his knowledge, the Quarterly Report of the Company on Form 10-Q for the fiscal quarter ended March 31, 2021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58" Type="http://schemas.openxmlformats.org/officeDocument/2006/relationships/hyperlink" Target="https://www.sec.gov/Archives/edgar/data/1360214/000149315221010520/ex3-1.htm" TargetMode="External"/><Relationship Id="rId59" Type="http://schemas.openxmlformats.org/officeDocument/2006/relationships/hyperlink" Target="https://www.sec.gov/Archives/edgar/data/1360214/000149315221009249/ex4-1.htm" TargetMode="External"/><Relationship Id="rId60" Type="http://schemas.openxmlformats.org/officeDocument/2006/relationships/hyperlink" Target="https://www.sec.gov/Archives/edgar/data/1360214/000149315221009249/ex4-2.htm" TargetMode="External"/><Relationship Id="rId61" Type="http://schemas.openxmlformats.org/officeDocument/2006/relationships/hyperlink" Target="https://www.sec.gov/Archives/edgar/data/1360214/00014931522101052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2021-05-11T16:21:53Z</dcterms:created>
  <dcterms:modified xsi:type="dcterms:W3CDTF">2021-05-11T16:21:53Z</dcterms:modified>
</cp:coreProperties>
</file>