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001-35814</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45-0567010</w:t>
      </w:r>
    </w:p>
    <w:p>
      <w:pPr>
        <w:spacing w:after="0" w:line="63" w:lineRule="exact"/>
        <w:rPr>
          <w:sz w:val="24"/>
          <w:szCs w:val="24"/>
          <w:color w:val="auto"/>
        </w:rPr>
      </w:pPr>
    </w:p>
    <w:p>
      <w:pPr>
        <w:sectPr>
          <w:pgSz w:w="11900" w:h="16838" w:orient="portrait"/>
          <w:cols w:equalWidth="0" w:num="3">
            <w:col w:w="4520" w:space="720"/>
            <w:col w:w="3040" w:space="720"/>
            <w:col w:w="2240"/>
          </w:cols>
          <w:pgMar w:left="320" w:top="746" w:right="339" w:bottom="1440" w:gutter="0" w:footer="0" w:header="0"/>
          <w:type w:val="continuous"/>
        </w:sectPr>
      </w:pPr>
    </w:p>
    <w:p>
      <w:pPr>
        <w:jc w:val="center"/>
        <w:ind w:right="82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17145</wp:posOffset>
            </wp:positionV>
            <wp:extent cx="39173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1, 2020, ImprimisRx, LLC a wholly-owned subsidiary of Harrow Health, Inc. (individually or together the “Company”) entered into a Commercial Alliance Agreement (the “Agreement”) with Eyepoint Pharmaceuticals, Inc. (“Eyepoint”), pursuant to which Eyepoint granted the Company</w:t>
      </w:r>
    </w:p>
    <w:p>
      <w:pPr>
        <w:jc w:val="both"/>
        <w:spacing w:after="0" w:line="209" w:lineRule="auto"/>
        <w:rPr>
          <w:sz w:val="20"/>
          <w:szCs w:val="20"/>
          <w:color w:val="auto"/>
        </w:rPr>
      </w:pPr>
      <w:r>
        <w:rPr>
          <w:rFonts w:ascii="Arial" w:cs="Arial" w:eastAsia="Arial" w:hAnsi="Arial"/>
          <w:sz w:val="18"/>
          <w:szCs w:val="18"/>
          <w:color w:val="auto"/>
        </w:rPr>
        <w:t>the non-exclusive right to co-promote DEXYCU</w:t>
      </w:r>
      <w:r>
        <w:rPr>
          <w:rFonts w:ascii="Arial" w:cs="Arial" w:eastAsia="Arial" w:hAnsi="Arial"/>
          <w:sz w:val="29"/>
          <w:szCs w:val="29"/>
          <w:color w:val="auto"/>
          <w:vertAlign w:val="superscript"/>
        </w:rPr>
        <w:t>®</w:t>
      </w:r>
      <w:r>
        <w:rPr>
          <w:rFonts w:ascii="Arial" w:cs="Arial" w:eastAsia="Arial" w:hAnsi="Arial"/>
          <w:sz w:val="18"/>
          <w:szCs w:val="18"/>
          <w:color w:val="auto"/>
        </w:rPr>
        <w:t xml:space="preserve"> (dexamethasone intraocular suspension) 9% for the treatment of post-operative inflammation following ocular surgery in the United States.</w:t>
      </w:r>
    </w:p>
    <w:p>
      <w:pPr>
        <w:spacing w:after="0" w:line="2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Agreement, Eyepoint will pay the Company a fee calculated based on the quarterly sales of DEXCYU in excess of predefined volumes to specific customers of the Company in the U.S. The co-promotion of DEXCYU in the U.S. will be supervised by (i) a commercialization committee and (ii) a joint steering committee, each composed of an equal number of representatives from Eyepoint and the Company. Under the terms of the Agreement, the Company shall use commercially reasonable efforts to promote and market DEXCYU in the U.S.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early termination, the Agreement expires on August 1, 2025. Subject to specified notice periods and specified limitations, either party may terminate the Agreement in the event of (i) uncured material breach by the other party or (ii) if DEXCYU ceases to have “pass-through” payment status. In addition, subject to certain limitations, the Company may terminate the Agreement (i) for convenience subject to an extended specified notice period or (ii) in the event Eyepoint undergoes a change of control. Eyepoint may terminate the Agreement, subject to specified notice periods and specified limitations, if the Company fails to achieve certain minimum sales levels during specified periods.</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foregoing is a summary description of certain terms of the Agreement, is not complete and is qualified in its entirety by reference to the text of the Agreement, which the Company expects to file as an exhibit to the Company’s Quarterly Report on Form 10-Q for the quarter ending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520" w:val="left"/>
          <w:tab w:leader="none" w:pos="600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-130175</wp:posOffset>
            </wp:positionV>
            <wp:extent cx="33089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8985" cy="17145"/>
                    </a:xfrm>
                    <a:prstGeom prst="rect">
                      <a:avLst/>
                    </a:prstGeom>
                    <a:noFill/>
                  </pic:spPr>
                </pic:pic>
              </a:graphicData>
            </a:graphic>
          </wp:anchor>
        </w:drawing>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2020-08-06T16:17:28Z</dcterms:created>
  <dcterms:modified xsi:type="dcterms:W3CDTF">2020-08-06T16:17:28Z</dcterms:modified>
</cp:coreProperties>
</file>