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sz w:val="23"/>
        </w:rPr>
      </w:pPr>
      <w:bookmarkStart w:id="0" w:name="currentreport_8k.htm"/>
      <w:bookmarkStart w:id="1" w:name="kscurrentreport_8k"/>
      <w:bookmarkEnd w:id="0"/>
      <w:bookmarkEnd w:id="1"/>
      <w:r>
        <w:rPr>
          <w:b/>
          <w:sz w:val="23"/>
        </w:rPr>
        <w:t>UNITED STATES</w:t>
      </w:r>
    </w:p>
    <w:p>
      <w:pPr>
        <w:pStyle w:val="TextBody"/>
        <w:spacing w:before="0" w:after="0"/>
        <w:ind w:left="0" w:right="0" w:hanging="0"/>
        <w:jc w:val="center"/>
        <w:rPr>
          <w:b/>
          <w:sz w:val="23"/>
        </w:rPr>
      </w:pPr>
      <w:r>
        <w:rPr>
          <w:b/>
          <w:sz w:val="23"/>
        </w:rPr>
        <w:t>SECURITIES AND EXCHANGE COMMISSION</w:t>
      </w:r>
    </w:p>
    <w:p>
      <w:pPr>
        <w:pStyle w:val="TextBody"/>
        <w:spacing w:before="0" w:after="0"/>
        <w:ind w:left="0" w:right="0" w:hanging="0"/>
        <w:jc w:val="center"/>
        <w:rPr>
          <w:b/>
          <w:sz w:val="20"/>
        </w:rPr>
      </w:pPr>
      <w:r>
        <w:rPr>
          <w:b/>
          <w:sz w:val="20"/>
        </w:rPr>
        <w:t>Washington, D.C. 20549</w:t>
      </w:r>
    </w:p>
    <w:p>
      <w:pPr>
        <w:pStyle w:val="TextBody"/>
        <w:spacing w:before="0" w:after="0"/>
        <w:ind w:left="0" w:right="0" w:hanging="0"/>
        <w:jc w:val="center"/>
        <w:rPr/>
      </w:pPr>
      <w:r>
        <w:rPr/>
      </w:r>
    </w:p>
    <w:p>
      <w:pPr>
        <w:pStyle w:val="TextBody"/>
        <w:spacing w:before="0" w:after="0"/>
        <w:ind w:left="0" w:right="0" w:hanging="0"/>
        <w:jc w:val="center"/>
        <w:rPr>
          <w:b/>
          <w:sz w:val="30"/>
        </w:rPr>
      </w:pPr>
      <w:r>
        <w:rPr>
          <w:b/>
          <w:sz w:val="30"/>
        </w:rPr>
        <w:t>FORM 8-K</w:t>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CURRENT REPORT</w:t>
      </w:r>
    </w:p>
    <w:p>
      <w:pPr>
        <w:pStyle w:val="TextBody"/>
        <w:spacing w:before="0" w:after="0"/>
        <w:ind w:left="0" w:right="0" w:hanging="0"/>
        <w:jc w:val="center"/>
        <w:rPr>
          <w:b/>
          <w:sz w:val="20"/>
        </w:rPr>
      </w:pPr>
      <w:r>
        <w:rPr>
          <w:b/>
          <w:sz w:val="20"/>
        </w:rPr>
        <w:t>Pursuant to Section 13 OR 15(d) of The Securities Exchange Act of 1934</w:t>
      </w:r>
    </w:p>
    <w:p>
      <w:pPr>
        <w:pStyle w:val="TextBody"/>
        <w:spacing w:before="0" w:after="0"/>
        <w:ind w:left="0" w:right="0" w:hanging="0"/>
        <w:jc w:val="center"/>
        <w:rPr/>
      </w:pPr>
      <w:r>
        <w:rPr/>
      </w:r>
    </w:p>
    <w:p>
      <w:pPr>
        <w:pStyle w:val="TextBody"/>
        <w:spacing w:before="0" w:after="0"/>
        <w:ind w:left="0" w:right="0" w:hanging="0"/>
        <w:jc w:val="center"/>
        <w:rPr/>
      </w:pPr>
      <w:r>
        <w:rPr>
          <w:b/>
        </w:rPr>
        <w:t>Date of Report (Date of earliest event reported):  February 23, 2012</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40"/>
        </w:rPr>
      </w:pPr>
      <w:r>
        <w:rPr>
          <w:b/>
          <w:sz w:val="40"/>
        </w:rPr>
        <w:t>TRANSDEL PHARMACEUTICALS, INC.</w:t>
      </w:r>
    </w:p>
    <w:p>
      <w:pPr>
        <w:pStyle w:val="TextBody"/>
        <w:spacing w:before="0" w:after="0"/>
        <w:ind w:left="0" w:right="0" w:hanging="0"/>
        <w:jc w:val="center"/>
        <w:rPr/>
      </w:pPr>
      <w:r>
        <w:rPr/>
        <w:t>(Exact name of registrant as specified in its charter)</w:t>
      </w:r>
    </w:p>
    <w:p>
      <w:pPr>
        <w:pStyle w:val="TextBody"/>
        <w:spacing w:before="0" w:after="0"/>
        <w:ind w:left="0" w:right="0" w:hanging="0"/>
        <w:jc w:val="center"/>
        <w:rPr/>
      </w:pPr>
      <w:r>
        <w:rPr/>
      </w:r>
    </w:p>
    <w:p>
      <w:pPr>
        <w:pStyle w:val="TextBody"/>
        <w:spacing w:before="0" w:after="0"/>
        <w:ind w:left="0" w:right="0" w:hanging="0"/>
        <w:jc w:val="center"/>
        <w:rPr/>
      </w:pPr>
      <w:r>
        <w:rPr/>
      </w:r>
    </w:p>
    <w:tbl>
      <w:tblPr>
        <w:tblW w:w="9570" w:type="dxa"/>
        <w:jc w:val="left"/>
        <w:tblInd w:w="0" w:type="dxa"/>
        <w:tblCellMar>
          <w:top w:w="0" w:type="dxa"/>
          <w:left w:w="0" w:type="dxa"/>
          <w:bottom w:w="0" w:type="dxa"/>
          <w:right w:w="0" w:type="dxa"/>
        </w:tblCellMar>
      </w:tblPr>
      <w:tblGrid>
        <w:gridCol w:w="3045"/>
        <w:gridCol w:w="225"/>
        <w:gridCol w:w="3030"/>
        <w:gridCol w:w="225"/>
        <w:gridCol w:w="3045"/>
      </w:tblGrid>
      <w:tr>
        <w:trPr/>
        <w:tc>
          <w:tcPr>
            <w:tcW w:w="304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03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045" w:type="dxa"/>
            <w:tcBorders/>
            <w:shd w:fill="auto" w:val="clear"/>
            <w:vAlign w:val="center"/>
          </w:tcPr>
          <w:p>
            <w:pPr>
              <w:pStyle w:val="TableContents"/>
              <w:spacing w:before="0" w:after="283"/>
              <w:rPr>
                <w:sz w:val="4"/>
                <w:szCs w:val="4"/>
              </w:rPr>
            </w:pPr>
            <w:r>
              <w:rPr>
                <w:sz w:val="4"/>
                <w:szCs w:val="4"/>
              </w:rPr>
            </w:r>
          </w:p>
        </w:tc>
      </w:tr>
      <w:tr>
        <w:trPr/>
        <w:tc>
          <w:tcPr>
            <w:tcW w:w="3045" w:type="dxa"/>
            <w:tcBorders/>
            <w:shd w:fill="auto" w:val="clear"/>
          </w:tcPr>
          <w:p>
            <w:pPr>
              <w:pStyle w:val="TableContents"/>
              <w:spacing w:before="0" w:after="0"/>
              <w:ind w:left="0" w:right="0" w:hanging="0"/>
              <w:rPr/>
            </w:pPr>
            <w:r>
              <w:rPr/>
              <w:t> </w:t>
            </w:r>
          </w:p>
        </w:tc>
        <w:tc>
          <w:tcPr>
            <w:tcW w:w="225" w:type="dxa"/>
            <w:tcBorders/>
            <w:shd w:fill="auto" w:val="clear"/>
          </w:tcPr>
          <w:p>
            <w:pPr>
              <w:pStyle w:val="TableContents"/>
              <w:spacing w:before="0" w:after="0"/>
              <w:ind w:left="0" w:right="0" w:hanging="0"/>
              <w:rPr/>
            </w:pPr>
            <w:r>
              <w:rPr/>
              <w:t> </w:t>
            </w:r>
          </w:p>
        </w:tc>
        <w:tc>
          <w:tcPr>
            <w:tcW w:w="3030" w:type="dxa"/>
            <w:tcBorders/>
            <w:shd w:fill="auto" w:val="clear"/>
          </w:tcPr>
          <w:p>
            <w:pPr>
              <w:pStyle w:val="TableContents"/>
              <w:spacing w:before="0" w:after="0"/>
              <w:ind w:left="0" w:right="0" w:hanging="0"/>
              <w:rPr/>
            </w:pPr>
            <w:r>
              <w:rPr/>
              <w:t> </w:t>
            </w:r>
          </w:p>
        </w:tc>
        <w:tc>
          <w:tcPr>
            <w:tcW w:w="225" w:type="dxa"/>
            <w:tcBorders/>
            <w:shd w:fill="auto" w:val="clear"/>
          </w:tcPr>
          <w:p>
            <w:pPr>
              <w:pStyle w:val="TableContents"/>
              <w:spacing w:before="0" w:after="0"/>
              <w:ind w:left="0" w:right="0" w:hanging="0"/>
              <w:rPr/>
            </w:pPr>
            <w:r>
              <w:rPr/>
              <w:t> </w:t>
            </w:r>
          </w:p>
        </w:tc>
        <w:tc>
          <w:tcPr>
            <w:tcW w:w="3045" w:type="dxa"/>
            <w:tcBorders/>
            <w:shd w:fill="auto" w:val="clear"/>
          </w:tcPr>
          <w:p>
            <w:pPr>
              <w:pStyle w:val="TableContents"/>
              <w:spacing w:before="0" w:after="0"/>
              <w:ind w:left="0" w:right="0" w:hanging="0"/>
              <w:rPr/>
            </w:pPr>
            <w:r>
              <w:rPr/>
              <w:t> </w:t>
            </w:r>
          </w:p>
        </w:tc>
      </w:tr>
      <w:tr>
        <w:trPr/>
        <w:tc>
          <w:tcPr>
            <w:tcW w:w="3045"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Delaware</w:t>
            </w:r>
          </w:p>
        </w:tc>
        <w:tc>
          <w:tcPr>
            <w:tcW w:w="225" w:type="dxa"/>
            <w:tcBorders/>
            <w:shd w:fill="auto" w:val="clear"/>
          </w:tcPr>
          <w:p>
            <w:pPr>
              <w:pStyle w:val="TableContents"/>
              <w:pBdr/>
              <w:spacing w:before="0" w:after="0"/>
              <w:ind w:left="0" w:right="0" w:hanging="0"/>
              <w:rPr/>
            </w:pPr>
            <w:r>
              <w:rPr/>
              <w:t> </w:t>
            </w:r>
          </w:p>
        </w:tc>
        <w:tc>
          <w:tcPr>
            <w:tcW w:w="3030"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000-52998</w:t>
            </w:r>
          </w:p>
        </w:tc>
        <w:tc>
          <w:tcPr>
            <w:tcW w:w="225" w:type="dxa"/>
            <w:tcBorders/>
            <w:shd w:fill="auto" w:val="clear"/>
          </w:tcPr>
          <w:p>
            <w:pPr>
              <w:pStyle w:val="TableContents"/>
              <w:pBdr/>
              <w:spacing w:before="0" w:after="0"/>
              <w:ind w:left="0" w:right="0" w:hanging="0"/>
              <w:rPr/>
            </w:pPr>
            <w:r>
              <w:rPr/>
              <w:t> </w:t>
            </w:r>
          </w:p>
        </w:tc>
        <w:tc>
          <w:tcPr>
            <w:tcW w:w="3045"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45-0567010</w:t>
            </w:r>
          </w:p>
        </w:tc>
      </w:tr>
      <w:tr>
        <w:trPr/>
        <w:tc>
          <w:tcPr>
            <w:tcW w:w="3045" w:type="dxa"/>
            <w:tcBorders/>
            <w:shd w:fill="auto" w:val="clear"/>
          </w:tcPr>
          <w:p>
            <w:pPr>
              <w:pStyle w:val="TableContents"/>
              <w:spacing w:before="0" w:after="0"/>
              <w:ind w:left="0" w:right="0" w:hanging="0"/>
              <w:jc w:val="center"/>
              <w:rPr/>
            </w:pPr>
            <w:r>
              <w:rPr/>
              <w:t>(State or other jurisdiction</w:t>
            </w:r>
          </w:p>
          <w:p>
            <w:pPr>
              <w:pStyle w:val="TableContents"/>
              <w:spacing w:before="0" w:after="0"/>
              <w:ind w:left="0" w:right="0" w:hanging="0"/>
              <w:jc w:val="center"/>
              <w:rPr/>
            </w:pPr>
            <w:r>
              <w:rPr/>
              <w:t>of incorporation)</w:t>
            </w:r>
          </w:p>
        </w:tc>
        <w:tc>
          <w:tcPr>
            <w:tcW w:w="225" w:type="dxa"/>
            <w:tcBorders/>
            <w:shd w:fill="auto" w:val="clear"/>
          </w:tcPr>
          <w:p>
            <w:pPr>
              <w:pStyle w:val="TableContents"/>
              <w:pBdr/>
              <w:spacing w:before="0" w:after="0"/>
              <w:ind w:left="0" w:right="0" w:hanging="0"/>
              <w:rPr/>
            </w:pPr>
            <w:r>
              <w:rPr/>
              <w:t> </w:t>
            </w:r>
          </w:p>
        </w:tc>
        <w:tc>
          <w:tcPr>
            <w:tcW w:w="3030" w:type="dxa"/>
            <w:tcBorders/>
            <w:shd w:fill="auto" w:val="clear"/>
          </w:tcPr>
          <w:p>
            <w:pPr>
              <w:pStyle w:val="TableContents"/>
              <w:spacing w:before="0" w:after="0"/>
              <w:ind w:left="0" w:right="0" w:hanging="0"/>
              <w:jc w:val="center"/>
              <w:rPr/>
            </w:pPr>
            <w:r>
              <w:rPr/>
              <w:t>(Commission File Number)</w:t>
            </w:r>
          </w:p>
        </w:tc>
        <w:tc>
          <w:tcPr>
            <w:tcW w:w="225" w:type="dxa"/>
            <w:tcBorders/>
            <w:shd w:fill="auto" w:val="clear"/>
          </w:tcPr>
          <w:p>
            <w:pPr>
              <w:pStyle w:val="TableContents"/>
              <w:pBdr/>
              <w:spacing w:before="0" w:after="0"/>
              <w:ind w:left="0" w:right="0" w:hanging="0"/>
              <w:rPr/>
            </w:pPr>
            <w:r>
              <w:rPr/>
              <w:t> </w:t>
            </w:r>
          </w:p>
        </w:tc>
        <w:tc>
          <w:tcPr>
            <w:tcW w:w="3045" w:type="dxa"/>
            <w:tcBorders/>
            <w:shd w:fill="auto" w:val="clear"/>
          </w:tcPr>
          <w:p>
            <w:pPr>
              <w:pStyle w:val="TableContents"/>
              <w:spacing w:before="0" w:after="0"/>
              <w:ind w:left="0" w:right="0" w:hanging="0"/>
              <w:jc w:val="center"/>
              <w:rPr/>
            </w:pPr>
            <w:r>
              <w:rPr/>
              <w:t>(IRS Employer Identification No.)</w:t>
            </w:r>
          </w:p>
        </w:tc>
      </w:tr>
    </w:tbl>
    <w:p>
      <w:pPr>
        <w:pStyle w:val="TextBody"/>
        <w:spacing w:before="0" w:after="0"/>
        <w:ind w:left="0" w:right="0" w:hanging="0"/>
        <w:rPr/>
      </w:pPr>
      <w:r>
        <w:rPr/>
      </w:r>
    </w:p>
    <w:tbl>
      <w:tblPr>
        <w:tblW w:w="7095" w:type="dxa"/>
        <w:jc w:val="center"/>
        <w:tblInd w:w="0" w:type="dxa"/>
        <w:tblCellMar>
          <w:top w:w="0" w:type="dxa"/>
          <w:left w:w="0" w:type="dxa"/>
          <w:bottom w:w="0" w:type="dxa"/>
          <w:right w:w="0" w:type="dxa"/>
        </w:tblCellMar>
      </w:tblPr>
      <w:tblGrid>
        <w:gridCol w:w="4680"/>
        <w:gridCol w:w="225"/>
        <w:gridCol w:w="2190"/>
      </w:tblGrid>
      <w:tr>
        <w:trPr/>
        <w:tc>
          <w:tcPr>
            <w:tcW w:w="468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190" w:type="dxa"/>
            <w:tcBorders/>
            <w:shd w:fill="auto" w:val="clear"/>
            <w:vAlign w:val="center"/>
          </w:tcPr>
          <w:p>
            <w:pPr>
              <w:pStyle w:val="TableContents"/>
              <w:spacing w:before="0" w:after="283"/>
              <w:rPr>
                <w:sz w:val="4"/>
                <w:szCs w:val="4"/>
              </w:rPr>
            </w:pPr>
            <w:r>
              <w:rPr>
                <w:sz w:val="4"/>
                <w:szCs w:val="4"/>
              </w:rPr>
            </w:r>
          </w:p>
        </w:tc>
      </w:tr>
      <w:tr>
        <w:trPr/>
        <w:tc>
          <w:tcPr>
            <w:tcW w:w="4680" w:type="dxa"/>
            <w:tcBorders/>
            <w:shd w:fill="auto" w:val="clear"/>
          </w:tcPr>
          <w:p>
            <w:pPr>
              <w:pStyle w:val="TableContents"/>
              <w:spacing w:before="0" w:after="0"/>
              <w:ind w:left="0" w:right="0" w:hanging="0"/>
              <w:rPr/>
            </w:pPr>
            <w:r>
              <w:rPr/>
              <w:t> </w:t>
            </w:r>
          </w:p>
        </w:tc>
        <w:tc>
          <w:tcPr>
            <w:tcW w:w="225" w:type="dxa"/>
            <w:tcBorders/>
            <w:shd w:fill="auto" w:val="clear"/>
          </w:tcPr>
          <w:p>
            <w:pPr>
              <w:pStyle w:val="TableContents"/>
              <w:spacing w:before="0" w:after="0"/>
              <w:ind w:left="0" w:right="0" w:hanging="0"/>
              <w:rPr/>
            </w:pPr>
            <w:r>
              <w:rPr/>
              <w:t> </w:t>
            </w:r>
          </w:p>
        </w:tc>
        <w:tc>
          <w:tcPr>
            <w:tcW w:w="2190" w:type="dxa"/>
            <w:tcBorders/>
            <w:shd w:fill="auto" w:val="clear"/>
          </w:tcPr>
          <w:p>
            <w:pPr>
              <w:pStyle w:val="TableContents"/>
              <w:spacing w:before="0" w:after="0"/>
              <w:ind w:left="0" w:right="0" w:hanging="0"/>
              <w:rPr/>
            </w:pPr>
            <w:r>
              <w:rPr/>
              <w:t> </w:t>
            </w:r>
          </w:p>
        </w:tc>
      </w:tr>
      <w:tr>
        <w:trPr/>
        <w:tc>
          <w:tcPr>
            <w:tcW w:w="4680"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437 South Highway 101, Ste 209, Solana Beach, CA</w:t>
            </w:r>
          </w:p>
        </w:tc>
        <w:tc>
          <w:tcPr>
            <w:tcW w:w="225" w:type="dxa"/>
            <w:tcBorders/>
            <w:shd w:fill="auto" w:val="clear"/>
          </w:tcPr>
          <w:p>
            <w:pPr>
              <w:pStyle w:val="TableContents"/>
              <w:pBdr/>
              <w:spacing w:before="0" w:after="0"/>
              <w:ind w:left="0" w:right="0" w:hanging="0"/>
              <w:rPr/>
            </w:pPr>
            <w:r>
              <w:rPr/>
              <w:t> </w:t>
            </w:r>
          </w:p>
        </w:tc>
        <w:tc>
          <w:tcPr>
            <w:tcW w:w="2190"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92075</w:t>
            </w:r>
          </w:p>
        </w:tc>
      </w:tr>
      <w:tr>
        <w:trPr/>
        <w:tc>
          <w:tcPr>
            <w:tcW w:w="4680" w:type="dxa"/>
            <w:tcBorders/>
            <w:shd w:fill="auto" w:val="clear"/>
          </w:tcPr>
          <w:p>
            <w:pPr>
              <w:pStyle w:val="TableContents"/>
              <w:spacing w:before="0" w:after="0"/>
              <w:ind w:left="0" w:right="0" w:hanging="0"/>
              <w:jc w:val="center"/>
              <w:rPr/>
            </w:pPr>
            <w:r>
              <w:rPr/>
              <w:t>(Address of principal executive offices)</w:t>
            </w:r>
          </w:p>
        </w:tc>
        <w:tc>
          <w:tcPr>
            <w:tcW w:w="225" w:type="dxa"/>
            <w:tcBorders/>
            <w:shd w:fill="auto" w:val="clear"/>
          </w:tcPr>
          <w:p>
            <w:pPr>
              <w:pStyle w:val="TableContents"/>
              <w:pBdr/>
              <w:spacing w:before="0" w:after="0"/>
              <w:ind w:left="0" w:right="0" w:hanging="0"/>
              <w:rPr/>
            </w:pPr>
            <w:r>
              <w:rPr/>
              <w:t> </w:t>
            </w:r>
          </w:p>
        </w:tc>
        <w:tc>
          <w:tcPr>
            <w:tcW w:w="2190" w:type="dxa"/>
            <w:tcBorders/>
            <w:shd w:fill="auto" w:val="clear"/>
          </w:tcPr>
          <w:p>
            <w:pPr>
              <w:pStyle w:val="TableContents"/>
              <w:spacing w:before="0" w:after="0"/>
              <w:ind w:left="0" w:right="0" w:hanging="0"/>
              <w:jc w:val="center"/>
              <w:rPr/>
            </w:pPr>
            <w:r>
              <w:rPr/>
              <w:t>(Zip Code)</w:t>
            </w:r>
          </w:p>
        </w:tc>
      </w:tr>
    </w:tbl>
    <w:p>
      <w:pPr>
        <w:pStyle w:val="TextBody"/>
        <w:spacing w:before="0" w:after="0"/>
        <w:ind w:left="0" w:right="0" w:hanging="0"/>
        <w:jc w:val="center"/>
        <w:rPr/>
      </w:pPr>
      <w:r>
        <w:rPr/>
      </w:r>
    </w:p>
    <w:p>
      <w:pPr>
        <w:pStyle w:val="TextBody"/>
        <w:spacing w:before="0" w:after="0"/>
        <w:ind w:left="0" w:right="0" w:hanging="0"/>
        <w:jc w:val="center"/>
        <w:rPr/>
      </w:pPr>
      <w:r>
        <w:rPr/>
        <w:t xml:space="preserve">Registrants telephone number, including area code: </w:t>
      </w:r>
      <w:r>
        <w:rPr>
          <w:b/>
        </w:rPr>
        <w:t>(858) 433-2800</w:t>
      </w:r>
    </w:p>
    <w:p>
      <w:pPr>
        <w:pStyle w:val="TextBody"/>
        <w:spacing w:before="0" w:after="0"/>
        <w:ind w:left="0" w:right="0" w:hanging="0"/>
        <w:jc w:val="center"/>
        <w:rPr/>
      </w:pPr>
      <w:r>
        <w:rPr/>
      </w:r>
    </w:p>
    <w:tbl>
      <w:tblPr>
        <w:tblW w:w="4950" w:type="dxa"/>
        <w:jc w:val="center"/>
        <w:tblInd w:w="0" w:type="dxa"/>
        <w:tblCellMar>
          <w:top w:w="0" w:type="dxa"/>
          <w:left w:w="0" w:type="dxa"/>
          <w:bottom w:w="0" w:type="dxa"/>
          <w:right w:w="0" w:type="dxa"/>
        </w:tblCellMar>
      </w:tblPr>
      <w:tblGrid>
        <w:gridCol w:w="4950"/>
      </w:tblGrid>
      <w:tr>
        <w:trPr/>
        <w:tc>
          <w:tcPr>
            <w:tcW w:w="4950" w:type="dxa"/>
            <w:tcBorders/>
            <w:shd w:fill="auto" w:val="clear"/>
            <w:vAlign w:val="center"/>
          </w:tcPr>
          <w:p>
            <w:pPr>
              <w:pStyle w:val="TableContents"/>
              <w:spacing w:before="0" w:after="283"/>
              <w:rPr>
                <w:sz w:val="4"/>
                <w:szCs w:val="4"/>
              </w:rPr>
            </w:pPr>
            <w:r>
              <w:rPr>
                <w:sz w:val="4"/>
                <w:szCs w:val="4"/>
              </w:rPr>
            </w:r>
          </w:p>
        </w:tc>
      </w:tr>
      <w:tr>
        <w:trPr/>
        <w:tc>
          <w:tcPr>
            <w:tcW w:w="4950" w:type="dxa"/>
            <w:tcBorders>
              <w:bottom w:val="single" w:sz="2" w:space="0" w:color="000000"/>
            </w:tcBorders>
            <w:shd w:fill="auto" w:val="clear"/>
            <w:tcMar>
              <w:bottom w:w="28" w:type="dxa"/>
            </w:tcMar>
            <w:vAlign w:val="center"/>
          </w:tcPr>
          <w:p>
            <w:pPr>
              <w:pStyle w:val="TableContents"/>
              <w:spacing w:before="0" w:after="0"/>
              <w:ind w:left="0" w:right="0" w:hanging="0"/>
              <w:jc w:val="center"/>
              <w:rPr>
                <w:b/>
              </w:rPr>
            </w:pPr>
            <w:r>
              <w:rPr>
                <w:b/>
              </w:rPr>
              <w:t>N/A</w:t>
            </w:r>
          </w:p>
        </w:tc>
      </w:tr>
      <w:tr>
        <w:trPr/>
        <w:tc>
          <w:tcPr>
            <w:tcW w:w="4950" w:type="dxa"/>
            <w:tcBorders/>
            <w:shd w:fill="auto" w:val="clear"/>
            <w:vAlign w:val="center"/>
          </w:tcPr>
          <w:p>
            <w:pPr>
              <w:pStyle w:val="TableContents"/>
              <w:spacing w:before="0" w:after="0"/>
              <w:ind w:left="0" w:right="0" w:hanging="0"/>
              <w:jc w:val="center"/>
              <w:rPr/>
            </w:pPr>
            <w:r>
              <w:rPr/>
              <w:t>(Former name or former address if changed since last report.)</w:t>
            </w:r>
          </w:p>
        </w:tc>
      </w:tr>
    </w:tbl>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xml:space="preserve">Check the appropriate box below if the Form 8-K filing is intended to simultaneously satisfy the filing obligation of the registrant under any of the following provisions: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24"/>
        <w:gridCol w:w="86"/>
        <w:gridCol w:w="9695"/>
      </w:tblGrid>
      <w:tr>
        <w:trPr/>
        <w:tc>
          <w:tcPr>
            <w:tcW w:w="42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695" w:type="dxa"/>
            <w:tcBorders/>
            <w:shd w:fill="auto" w:val="clear"/>
            <w:vAlign w:val="center"/>
          </w:tcPr>
          <w:p>
            <w:pPr>
              <w:pStyle w:val="TableContents"/>
              <w:spacing w:before="0" w:after="283"/>
              <w:rPr>
                <w:sz w:val="4"/>
                <w:szCs w:val="4"/>
              </w:rPr>
            </w:pPr>
            <w:r>
              <w:rPr>
                <w:sz w:val="4"/>
                <w:szCs w:val="4"/>
              </w:rPr>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Written communications pursuant to Rule 425 under the Securities Act (17 CFR 230.425)</w:t>
            </w:r>
          </w:p>
        </w:tc>
      </w:tr>
      <w:tr>
        <w:trPr/>
        <w:tc>
          <w:tcPr>
            <w:tcW w:w="424" w:type="dxa"/>
            <w:tcBorders/>
            <w:shd w:fill="auto" w:val="clear"/>
            <w:vAlign w:val="center"/>
          </w:tcPr>
          <w:p>
            <w:pPr>
              <w:pStyle w:val="TableContents"/>
              <w:spacing w:before="0" w:after="0"/>
              <w:ind w:left="0" w:right="0" w:hanging="0"/>
              <w:rPr/>
            </w:pPr>
            <w:r>
              <w:rPr/>
              <w:t> </w:t>
            </w:r>
          </w:p>
        </w:tc>
        <w:tc>
          <w:tcPr>
            <w:tcW w:w="86" w:type="dxa"/>
            <w:tcBorders/>
            <w:shd w:fill="auto" w:val="clear"/>
            <w:vAlign w:val="center"/>
          </w:tcPr>
          <w:p>
            <w:pPr>
              <w:pStyle w:val="TableContents"/>
              <w:pBdr/>
              <w:spacing w:before="0" w:after="0"/>
              <w:ind w:left="0" w:right="0" w:hanging="0"/>
              <w:rPr/>
            </w:pPr>
            <w:r>
              <w:rPr/>
              <w:t> </w:t>
            </w:r>
          </w:p>
        </w:tc>
        <w:tc>
          <w:tcPr>
            <w:tcW w:w="9695" w:type="dxa"/>
            <w:tcBorders/>
            <w:shd w:fill="auto" w:val="clear"/>
            <w:vAlign w:val="center"/>
          </w:tcPr>
          <w:p>
            <w:pPr>
              <w:pStyle w:val="TableContents"/>
              <w:pBdr/>
              <w:spacing w:before="0" w:after="0"/>
              <w:ind w:left="0" w:right="0" w:hanging="0"/>
              <w:rPr/>
            </w:pPr>
            <w:r>
              <w:rPr/>
              <w:t> </w:t>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Soliciting material pursuant to Rule 14a-12 under the Exchange Act (17 CFR 240.14a-12)</w:t>
            </w:r>
          </w:p>
        </w:tc>
      </w:tr>
      <w:tr>
        <w:trPr/>
        <w:tc>
          <w:tcPr>
            <w:tcW w:w="424" w:type="dxa"/>
            <w:tcBorders/>
            <w:shd w:fill="auto" w:val="clear"/>
            <w:vAlign w:val="center"/>
          </w:tcPr>
          <w:p>
            <w:pPr>
              <w:pStyle w:val="TableContents"/>
              <w:spacing w:before="0" w:after="0"/>
              <w:ind w:left="0" w:right="0" w:hanging="0"/>
              <w:rPr/>
            </w:pPr>
            <w:r>
              <w:rPr/>
              <w:t> </w:t>
            </w:r>
          </w:p>
        </w:tc>
        <w:tc>
          <w:tcPr>
            <w:tcW w:w="86" w:type="dxa"/>
            <w:tcBorders/>
            <w:shd w:fill="auto" w:val="clear"/>
            <w:vAlign w:val="center"/>
          </w:tcPr>
          <w:p>
            <w:pPr>
              <w:pStyle w:val="TableContents"/>
              <w:pBdr/>
              <w:spacing w:before="0" w:after="0"/>
              <w:ind w:left="0" w:right="0" w:hanging="0"/>
              <w:rPr/>
            </w:pPr>
            <w:r>
              <w:rPr/>
              <w:t> </w:t>
            </w:r>
          </w:p>
        </w:tc>
        <w:tc>
          <w:tcPr>
            <w:tcW w:w="9695" w:type="dxa"/>
            <w:tcBorders/>
            <w:shd w:fill="auto" w:val="clear"/>
            <w:vAlign w:val="center"/>
          </w:tcPr>
          <w:p>
            <w:pPr>
              <w:pStyle w:val="TableContents"/>
              <w:pBdr/>
              <w:spacing w:before="0" w:after="0"/>
              <w:ind w:left="0" w:right="0" w:hanging="0"/>
              <w:rPr/>
            </w:pPr>
            <w:r>
              <w:rPr/>
              <w:t> </w:t>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Pre-commencement communications pursuant to Rule 14d-2(b) under the Exchange Act (17 CFR 240.14d-2(b))</w:t>
            </w:r>
          </w:p>
        </w:tc>
      </w:tr>
      <w:tr>
        <w:trPr/>
        <w:tc>
          <w:tcPr>
            <w:tcW w:w="424" w:type="dxa"/>
            <w:tcBorders/>
            <w:shd w:fill="auto" w:val="clear"/>
            <w:vAlign w:val="center"/>
          </w:tcPr>
          <w:p>
            <w:pPr>
              <w:pStyle w:val="TableContents"/>
              <w:spacing w:before="0" w:after="0"/>
              <w:ind w:left="0" w:right="0" w:hanging="0"/>
              <w:rPr/>
            </w:pPr>
            <w:r>
              <w:rPr/>
              <w:t> </w:t>
            </w:r>
          </w:p>
        </w:tc>
        <w:tc>
          <w:tcPr>
            <w:tcW w:w="86" w:type="dxa"/>
            <w:tcBorders/>
            <w:shd w:fill="auto" w:val="clear"/>
            <w:vAlign w:val="center"/>
          </w:tcPr>
          <w:p>
            <w:pPr>
              <w:pStyle w:val="TableContents"/>
              <w:pBdr/>
              <w:spacing w:before="0" w:after="0"/>
              <w:ind w:left="0" w:right="0" w:hanging="0"/>
              <w:rPr/>
            </w:pPr>
            <w:r>
              <w:rPr/>
              <w:t> </w:t>
            </w:r>
          </w:p>
        </w:tc>
        <w:tc>
          <w:tcPr>
            <w:tcW w:w="9695" w:type="dxa"/>
            <w:tcBorders/>
            <w:shd w:fill="auto" w:val="clear"/>
            <w:vAlign w:val="center"/>
          </w:tcPr>
          <w:p>
            <w:pPr>
              <w:pStyle w:val="TableContents"/>
              <w:pBdr/>
              <w:spacing w:before="0" w:after="0"/>
              <w:ind w:left="0" w:right="0" w:hanging="0"/>
              <w:rPr/>
            </w:pPr>
            <w:r>
              <w:rPr/>
              <w:t> </w:t>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Pre-commencement communications pursuant to Rule 13e-4(c) under the Exchange Act (17 CFR 240.13e-4(c))</w:t>
            </w:r>
          </w:p>
        </w:tc>
      </w:tr>
    </w:tbl>
    <w:p>
      <w:pPr>
        <w:pStyle w:val="TextBody"/>
        <w:spacing w:before="0" w:after="0"/>
        <w:ind w:left="0" w:right="0" w:hanging="0"/>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b/>
        </w:rPr>
      </w:pPr>
      <w:r>
        <w:rPr>
          <w:b/>
        </w:rPr>
        <w:t>Item 5.03.  Amendments to Articles of Incorporation or Bylaws; Change in Fiscal Year.</w:t>
      </w:r>
    </w:p>
    <w:p>
      <w:pPr>
        <w:pStyle w:val="TextBody"/>
        <w:spacing w:before="0" w:after="0"/>
        <w:ind w:left="0" w:right="0" w:hanging="0"/>
        <w:jc w:val="both"/>
        <w:rPr/>
      </w:pPr>
      <w:r>
        <w:rPr/>
      </w:r>
    </w:p>
    <w:p>
      <w:pPr>
        <w:pStyle w:val="TextBody"/>
        <w:spacing w:before="0" w:after="0"/>
        <w:ind w:left="0" w:right="0" w:firstLine="720"/>
        <w:jc w:val="both"/>
        <w:rPr/>
      </w:pPr>
      <w:r>
        <w:rPr/>
        <w:t>On February 23, 2012, the Company received a notification from Financial Industry Regulatory Authority (FINRA) that effective February 24, 2012, the Companys 1-for-8 reverse split of its common stock related to its amendment of its Certificate of Incorporation would take effect. The Delaware Secretary of State will make effective the amendments to the Companys Articles of Incorporation related to the change in the name of the Company to Imprimis Pharmaceuticals, Inc., the increase in the Companys common stock and the 1-for-8 reverse stock split on February 29, 2012.</w:t>
      </w:r>
    </w:p>
    <w:p>
      <w:pPr>
        <w:pStyle w:val="TextBody"/>
        <w:spacing w:before="0" w:after="0"/>
        <w:ind w:left="0" w:right="0" w:hanging="0"/>
        <w:jc w:val="both"/>
        <w:rPr/>
      </w:pPr>
      <w:r>
        <w:rPr/>
      </w:r>
    </w:p>
    <w:p>
      <w:pPr>
        <w:pStyle w:val="TextBody"/>
        <w:spacing w:before="0" w:after="0"/>
        <w:ind w:left="0" w:right="0" w:hanging="0"/>
        <w:jc w:val="both"/>
        <w:rPr>
          <w:b/>
        </w:rPr>
      </w:pPr>
      <w:r>
        <w:rPr>
          <w:b/>
        </w:rPr>
        <w:t>Item 8.01.  Other Events.</w:t>
      </w:r>
    </w:p>
    <w:p>
      <w:pPr>
        <w:pStyle w:val="TextBody"/>
        <w:spacing w:before="0" w:after="0"/>
        <w:ind w:left="0" w:right="0" w:hanging="0"/>
        <w:jc w:val="both"/>
        <w:rPr/>
      </w:pPr>
      <w:r>
        <w:rPr/>
      </w:r>
    </w:p>
    <w:p>
      <w:pPr>
        <w:pStyle w:val="TextBody"/>
        <w:spacing w:before="0" w:after="0"/>
        <w:ind w:left="0" w:right="0" w:firstLine="720"/>
        <w:jc w:val="both"/>
        <w:rPr/>
      </w:pPr>
      <w:r>
        <w:rPr/>
        <w:t>On February 23, 2012, the Company received a notification from FINRA that effective February 24, 2012, the Companys 1-for-8 reverse split of its common stock would take effect, and that the Companys name change to Imprimis Pharmaceuticals, Inc. would be reported on February 23, 2012 on the FINRA Daily List.  The Companys new stock symbol will temporarily be TDLPD. The D will be removed 20 business days from the FINRA effective date (February 24, 2012) and following this date, the Companys new stock symbol will be IMMY.</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firstLine="720"/>
        <w:jc w:val="center"/>
        <w:rPr>
          <w:b/>
        </w:rPr>
      </w:pPr>
      <w:r>
        <w:rPr>
          <w:b/>
        </w:rPr>
        <w:t>SIGNATURES</w:t>
      </w:r>
    </w:p>
    <w:p>
      <w:pPr>
        <w:pStyle w:val="TextBody"/>
        <w:spacing w:before="0" w:after="0"/>
        <w:ind w:left="0" w:right="0" w:hanging="0"/>
        <w:rPr/>
      </w:pPr>
      <w:r>
        <w:rPr/>
      </w:r>
    </w:p>
    <w:p>
      <w:pPr>
        <w:pStyle w:val="TextBody"/>
        <w:spacing w:before="0" w:after="0"/>
        <w:ind w:left="0" w:right="0" w:firstLine="720"/>
        <w:rPr/>
      </w:pPr>
      <w:r>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4320"/>
        <w:rPr>
          <w:b/>
        </w:rPr>
      </w:pPr>
      <w:r>
        <w:rPr>
          <w:b/>
        </w:rPr>
        <w:t>TRANSDEL PHARMACEUTICALS, INC.</w:t>
      </w:r>
    </w:p>
    <w:p>
      <w:pPr>
        <w:pStyle w:val="TextBody"/>
        <w:spacing w:before="0" w:after="0"/>
        <w:ind w:left="0" w:right="0" w:hanging="0"/>
        <w:rPr/>
      </w:pPr>
      <w:r>
        <w:rPr/>
      </w:r>
    </w:p>
    <w:p>
      <w:pPr>
        <w:pStyle w:val="TextBody"/>
        <w:spacing w:before="0" w:after="0"/>
        <w:ind w:left="0" w:right="0" w:hanging="30"/>
        <w:rPr>
          <w:i/>
          <w:u w:val="single"/>
        </w:rPr>
      </w:pPr>
      <w:r>
        <w:rPr>
          <w:i/>
          <w:u w:val="single"/>
        </w:rPr>
        <w:t>/s/  Mark L. Baum, Esq.</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7432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pPr>
                            <w:r>
                              <w:rPr/>
                              <w:t>Dated:  February 24, 2012</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Dated:  February 24, 2012</w:t>
                      </w:r>
                    </w:p>
                  </w:txbxContent>
                </v:textbox>
                <w10:wrap type="square" side="right"/>
              </v:rect>
            </w:pict>
          </mc:Fallback>
        </mc:AlternateContent>
      </w:r>
    </w:p>
    <w:p>
      <w:pPr>
        <w:pStyle w:val="TextBody"/>
        <w:spacing w:before="0" w:after="0"/>
        <w:ind w:left="0" w:right="0" w:firstLine="4320"/>
        <w:rPr/>
      </w:pPr>
      <w:r>
        <w:rPr/>
        <w:t>Name: Mark L. Baum, Esq.</w:t>
      </w:r>
    </w:p>
    <w:p>
      <w:pPr>
        <w:pStyle w:val="TextBody"/>
        <w:spacing w:before="0" w:after="0"/>
        <w:ind w:left="0" w:right="0" w:firstLine="4320"/>
        <w:rPr/>
      </w:pPr>
      <w:r>
        <w:rPr/>
        <w:t xml:space="preserve">Title: Secretary and Chairman of the Board of Directors </w:t>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firstLine="480"/>
        <w:rPr/>
      </w:pPr>
      <w:r>
        <w:rPr/>
        <w:t> </w:t>
      </w:r>
    </w:p>
    <w:p>
      <w:pPr>
        <w:pStyle w:val="TextBody"/>
        <w:spacing w:before="0" w:after="0"/>
        <w:ind w:left="0" w:right="0" w:hanging="0"/>
        <w:jc w:val="center"/>
        <w:rPr/>
      </w:pPr>
      <w:r>
        <w:rPr/>
        <w:t> </w:t>
      </w:r>
    </w:p>
    <w:p>
      <w:pPr>
        <w:pStyle w:val="TextBody"/>
        <w:spacing w:before="0" w:after="0"/>
        <w:ind w:left="0" w:right="0" w:hanging="0"/>
        <w:rPr/>
      </w:pPr>
      <w:r>
        <w:rPr/>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457</Words>
  <CharactersWithSpaces>2853</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dc:description/>
  <dc:language>en-US</dc:language>
  <cp:lastModifiedBy/>
  <cp:revision>0</cp:revision>
  <dc:subject/>
  <dc:title>Form 8-K</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02/27/2012</vt:lpwstr>
  </property>
</Properties>
</file>