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11,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001-35814</w:t>
            </w:r>
          </w:p>
        </w:tc>
        <w:tc>
          <w:tcPr>
            <w:tcW w:w="2740" w:type="dxa"/>
            <w:vAlign w:val="bottom"/>
          </w:tcPr>
          <w:p>
            <w:pPr>
              <w:jc w:val="right"/>
              <w:ind w:right="17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40" w:type="dxa"/>
            <w:vAlign w:val="bottom"/>
          </w:tcPr>
          <w:p>
            <w:pPr>
              <w:jc w:val="center"/>
              <w:ind w:right="1230"/>
              <w:spacing w:after="0"/>
              <w:rPr>
                <w:sz w:val="20"/>
                <w:szCs w:val="20"/>
                <w:color w:val="auto"/>
              </w:rPr>
            </w:pPr>
            <w:r>
              <w:rPr>
                <w:rFonts w:ascii="Arial" w:cs="Arial" w:eastAsia="Arial" w:hAnsi="Arial"/>
                <w:sz w:val="18"/>
                <w:szCs w:val="18"/>
                <w:color w:val="auto"/>
                <w:w w:val="93"/>
              </w:rPr>
              <w:t>(Commission</w:t>
            </w:r>
          </w:p>
        </w:tc>
        <w:tc>
          <w:tcPr>
            <w:tcW w:w="274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40" w:type="dxa"/>
            <w:vAlign w:val="bottom"/>
          </w:tcPr>
          <w:p>
            <w:pPr>
              <w:jc w:val="center"/>
              <w:ind w:right="1230"/>
              <w:spacing w:after="0"/>
              <w:rPr>
                <w:sz w:val="20"/>
                <w:szCs w:val="20"/>
                <w:color w:val="auto"/>
              </w:rPr>
            </w:pPr>
            <w:r>
              <w:rPr>
                <w:rFonts w:ascii="Arial" w:cs="Arial" w:eastAsia="Arial" w:hAnsi="Arial"/>
                <w:sz w:val="18"/>
                <w:szCs w:val="18"/>
                <w:color w:val="auto"/>
                <w:w w:val="94"/>
              </w:rPr>
              <w:t>File Number)</w:t>
            </w:r>
          </w:p>
        </w:tc>
        <w:tc>
          <w:tcPr>
            <w:tcW w:w="2740" w:type="dxa"/>
            <w:vAlign w:val="bottom"/>
          </w:tcPr>
          <w:p>
            <w:pPr>
              <w:jc w:val="center"/>
              <w:ind w:left="1230"/>
              <w:spacing w:after="0"/>
              <w:rPr>
                <w:sz w:val="20"/>
                <w:szCs w:val="20"/>
                <w:color w:val="auto"/>
              </w:rPr>
            </w:pPr>
            <w:r>
              <w:rPr>
                <w:rFonts w:ascii="Arial" w:cs="Arial" w:eastAsia="Arial" w:hAnsi="Arial"/>
                <w:sz w:val="18"/>
                <w:szCs w:val="18"/>
                <w:color w:val="auto"/>
                <w:w w:val="94"/>
              </w:rPr>
              <w:t>Identificatioãn No.)</w:t>
            </w:r>
          </w:p>
        </w:tc>
      </w:tr>
      <w:tr>
        <w:trPr>
          <w:trHeight w:val="418"/>
        </w:trPr>
        <w:tc>
          <w:tcPr>
            <w:tcW w:w="66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1"/>
              </w:rPr>
              <w:t>12264 El Camino Real, Suite 350 San Diego, California</w:t>
            </w:r>
          </w:p>
        </w:tc>
        <w:tc>
          <w:tcPr>
            <w:tcW w:w="2740" w:type="dxa"/>
            <w:vAlign w:val="bottom"/>
          </w:tcPr>
          <w:p>
            <w:pPr>
              <w:jc w:val="right"/>
              <w:ind w:right="39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40" w:type="dxa"/>
            <w:vAlign w:val="bottom"/>
          </w:tcPr>
          <w:p>
            <w:pPr>
              <w:spacing w:after="0"/>
              <w:rPr>
                <w:sz w:val="20"/>
                <w:szCs w:val="20"/>
                <w:color w:val="auto"/>
              </w:rPr>
            </w:pPr>
          </w:p>
        </w:tc>
        <w:tc>
          <w:tcPr>
            <w:tcW w:w="2740" w:type="dxa"/>
            <w:vAlign w:val="bottom"/>
          </w:tcPr>
          <w:p>
            <w:pPr>
              <w:jc w:val="center"/>
              <w:ind w:left="12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11, 2016, Imprimis Pharmaceuticals, Inc. (the “Company”) entered into an underwriting agreement (the “Underwriting Agreement”) with National Securities Corporation, as sole book-running manager, and Sterne Agee CRT, as co- manager (together, the “Underwriters”), relating to the public offering (the “Offering”) of 2.9 million shares of the Company’s common stock, $0.001 par value per share (the “Common Stock”), at a price to the public of $3.60 per share (the “Offering Price”). All of the shares in the Offering are being sold by the Company. Under the terms of the Underwriting Agreement, the Company also has granted the Underwriters a 45-day option to purchase up to an additional 15% of the shares of Common Stock offered in the Offering to cover over-allotments, if any, at the Offering Price. The net proceeds to the Company from the sale of the Common Stock, after deducting the Underwriters’ discounts and commissions and other estimated offering expenses payable by the Company, are expected to be approximately $9.7 million, and if the over-allotment option is exercised in full, the net proceeds will be approximately $11.1 million. The Offering is expected to close on March 16, 2016, subject to the satisfaction of customary closing conditions.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Common Stock is being offered and sold pursuant to the Company’s Prospectus, dated September 29, 2014, and the Company’s Prospectus Supplement, dated March 11, 2016, as a takedown from the Company’s effective shelf registration statement on Form S-3 (File No. 333-198675) declared effective by the Securities and Exchange Commission on September 29,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Underwriting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material terms of the Underwriting Agreement, does not purport to be a complete description of the rights and obligations of the parties thereunder, and is qualified in its entirety by reference to the Underwriting Agreement that is filed as Exhibit 1.1 to this Current Report on Form 8-K and incorporated by reference herein.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legal opinion of Golenbock Eiseman Assor Bell &amp; Peskoe LLP relating to the Common Stock being offered is filed as Exhibit 5.1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10, 2016, the Company issued a press release announcing the Offering. On March 11, 2016, the Company issued a press release announcing pricing of the Offering. Copies of the press releases are attached as Exhibits 99.1 and 99.2 to this Current Report on Form 8-K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9"/>
              </w:rPr>
              <w:t>(d) Exhibits</w:t>
            </w: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p>
        </w:tc>
      </w:tr>
      <w:tr>
        <w:trPr>
          <w:trHeight w:val="453"/>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4"/>
                <w:szCs w:val="24"/>
                <w:color w:val="auto"/>
              </w:rPr>
            </w:pPr>
          </w:p>
        </w:tc>
        <w:tc>
          <w:tcPr>
            <w:tcW w:w="1038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4"/>
              </w:rPr>
              <w:t>Underwriting Agreement, dated as of March 11, 2016, by and among Imprimis Pharmaceuticals, Inc., National Securities Corporation and</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Sterne Agee CRT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Opinion of Golenbock Eiseman Assor Bell &amp; Peskoe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Consent of Golenbock Eiseman Assor Bell &amp; Peskoe LLP (included as part of Exhibit 5.1)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Press Release issued by Imprimis Pharmaceuticals, Inc. on March 10, 2016</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Press Release issued by Imprimis Pharmaceuticals, Inc. on March 11, 2016</w:t>
            </w:r>
          </w:p>
        </w:tc>
      </w:tr>
      <w:tr>
        <w:trPr>
          <w:trHeight w:val="439"/>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March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Securities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VI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410 Park Avenue</w:t>
      </w:r>
    </w:p>
    <w:p>
      <w:pPr>
        <w:spacing w:after="0" w:line="186" w:lineRule="auto"/>
        <w:rPr>
          <w:sz w:val="20"/>
          <w:szCs w:val="20"/>
          <w:color w:val="auto"/>
        </w:rPr>
      </w:pPr>
      <w:r>
        <w:rPr>
          <w:rFonts w:ascii="Arial" w:cs="Arial" w:eastAsia="Arial" w:hAnsi="Arial"/>
          <w:sz w:val="18"/>
          <w:szCs w:val="18"/>
          <w:color w:val="auto"/>
        </w:rPr>
        <w:t>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Imprimis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subject to the terms and conditions stated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to issue and sell to the Underwriters named in Schedule VI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National Securities Corporation is acting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 aggregate of 2,900,000 authorized but unissued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and, at the election of the Underwriters, up to 435,000 additional shares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 in each case of common stock,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in an offering under its registration statement on Form S-3 (File No. 333-198675) (the Firm Shares and the Additional Shares being collectively called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Underwriters hereby confirm their agreement with respect to the purchase and sale of the Shares as follows:</w:t>
      </w:r>
    </w:p>
    <w:p>
      <w:pPr>
        <w:spacing w:after="0" w:line="225" w:lineRule="exact"/>
        <w:rPr>
          <w:sz w:val="20"/>
          <w:szCs w:val="20"/>
          <w:color w:val="auto"/>
        </w:rPr>
      </w:pPr>
    </w:p>
    <w:p>
      <w:pPr>
        <w:jc w:val="both"/>
        <w:ind w:firstLine="656"/>
        <w:spacing w:after="0" w:line="290" w:lineRule="auto"/>
        <w:tabs>
          <w:tab w:leader="none" w:pos="828" w:val="left"/>
        </w:tabs>
        <w:numPr>
          <w:ilvl w:val="0"/>
          <w:numId w:val="1"/>
        </w:numPr>
        <w:rPr>
          <w:rFonts w:ascii="Arial" w:cs="Arial" w:eastAsia="Arial" w:hAnsi="Arial"/>
          <w:sz w:val="16"/>
          <w:szCs w:val="16"/>
          <w:color w:val="010000"/>
        </w:rPr>
      </w:pPr>
      <w:r>
        <w:rPr>
          <w:rFonts w:ascii="Arial" w:cs="Arial" w:eastAsia="Arial" w:hAnsi="Arial"/>
          <w:sz w:val="16"/>
          <w:szCs w:val="16"/>
          <w:color w:val="auto"/>
        </w:rPr>
        <w:t>REGISTRATION STATEMENT AND PROSPECTUS. The Company has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on Form S-3 (File No. 333-198675)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and regulations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Commission thereunder, and such amendments to such registration statement as may have been required to the date of this Agreement. Such registration statement has been declared effective by the Commission. Such registration statement, at any given time, including amendments thereto at such time, the exhibits and any schedules thereto at such time, the documents incorporated by reference therein pursuant to Item 12 of Form S-3 under the Securities Act at such time and the documents and information otherwise deemed to be a part thereof or included therein by Rule 430B under the Securities Act or otherwise pursuant to the Rules and Regulations at such time,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firstLine="648"/>
        <w:spacing w:after="0" w:line="272" w:lineRule="auto"/>
        <w:rPr>
          <w:sz w:val="20"/>
          <w:szCs w:val="20"/>
          <w:color w:val="auto"/>
        </w:rPr>
      </w:pPr>
      <w:r>
        <w:rPr>
          <w:rFonts w:ascii="Arial" w:cs="Arial" w:eastAsia="Arial" w:hAnsi="Arial"/>
          <w:sz w:val="17"/>
          <w:szCs w:val="17"/>
          <w:color w:val="auto"/>
        </w:rPr>
        <w:t>The Company proposes to file with the Commission pursuant to Rule 424 under the Securities Act a final prospectus supplement relating to the Shares to a form of prospectus included in the Registration Statement in the form heretofore delivered to the Underwriters. Such prospectus in the form in which it appears in the Registration Statement is hereinafter called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Such supplemental form of prospectus, in the form in which it shall be filed with the Commission pursuant to Rule 424(b) (including the Base Prospectus as so supplemented) is hereinafter called the “</w:t>
      </w:r>
      <w:r>
        <w:rPr>
          <w:rFonts w:ascii="Arial" w:cs="Arial" w:eastAsia="Arial" w:hAnsi="Arial"/>
          <w:sz w:val="17"/>
          <w:szCs w:val="17"/>
          <w:u w:val="single" w:color="auto"/>
          <w:color w:val="auto"/>
        </w:rPr>
        <w:t>Prospectus</w:t>
      </w:r>
      <w:r>
        <w:rPr>
          <w:rFonts w:ascii="Arial" w:cs="Arial" w:eastAsia="Arial" w:hAnsi="Arial"/>
          <w:sz w:val="17"/>
          <w:szCs w:val="17"/>
          <w:color w:val="auto"/>
        </w:rPr>
        <w:t>.” Any preliminary form of Prospectus which is filed or used prior to filing the Prospectus is hereinafter called a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Any reference herein to the Base Prospectus, any Preliminary Prospectus or the Prospectus shall be deemed to include the documents incorporated by reference therein pursuant to Item 12 of Form S-3 under the Securities Act as of the date of such prospectus.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this Agreement, all references to the Registration Statement, the Base Prospectus, any Preliminary Prospectus, the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8"/>
          <w:szCs w:val="18"/>
          <w:u w:val="single" w:color="auto"/>
          <w:color w:val="auto"/>
        </w:rPr>
        <w:t>EDGAR</w:t>
      </w:r>
      <w:r>
        <w:rPr>
          <w:rFonts w:ascii="Arial" w:cs="Arial" w:eastAsia="Arial" w:hAnsi="Arial"/>
          <w:sz w:val="18"/>
          <w:szCs w:val="18"/>
          <w:color w:val="auto"/>
        </w:rPr>
        <w:t>”).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which is deemed to be incorporated by reference therein or otherwise deemed by the Rules and Regulations to be a part thereof.</w:t>
      </w:r>
    </w:p>
    <w:p>
      <w:pPr>
        <w:spacing w:after="0" w:line="193" w:lineRule="exact"/>
        <w:rPr>
          <w:sz w:val="20"/>
          <w:szCs w:val="20"/>
          <w:color w:val="auto"/>
        </w:rPr>
      </w:pPr>
    </w:p>
    <w:p>
      <w:pPr>
        <w:ind w:left="840" w:hanging="184"/>
        <w:spacing w:after="0"/>
        <w:tabs>
          <w:tab w:leader="none" w:pos="840" w:val="left"/>
        </w:tabs>
        <w:numPr>
          <w:ilvl w:val="0"/>
          <w:numId w:val="2"/>
        </w:numPr>
        <w:rPr>
          <w:rFonts w:ascii="Arial" w:cs="Arial" w:eastAsia="Arial" w:hAnsi="Arial"/>
          <w:sz w:val="18"/>
          <w:szCs w:val="18"/>
          <w:color w:val="010000"/>
        </w:rPr>
      </w:pPr>
      <w:r>
        <w:rPr>
          <w:rFonts w:ascii="Arial" w:cs="Arial" w:eastAsia="Arial" w:hAnsi="Arial"/>
          <w:sz w:val="18"/>
          <w:szCs w:val="18"/>
          <w:color w:val="auto"/>
        </w:rPr>
        <w:t>REPRESENTATIONS AND WARRANTIES OF THE COMPANY.</w:t>
      </w:r>
    </w:p>
    <w:p>
      <w:pPr>
        <w:spacing w:after="0" w:line="225" w:lineRule="exact"/>
        <w:rPr>
          <w:rFonts w:ascii="Arial" w:cs="Arial" w:eastAsia="Arial" w:hAnsi="Arial"/>
          <w:sz w:val="18"/>
          <w:szCs w:val="18"/>
          <w:color w:val="010000"/>
        </w:rPr>
      </w:pPr>
    </w:p>
    <w:p>
      <w:pPr>
        <w:ind w:left="1540" w:hanging="235"/>
        <w:spacing w:after="0"/>
        <w:tabs>
          <w:tab w:leader="none" w:pos="1540" w:val="left"/>
        </w:tabs>
        <w:numPr>
          <w:ilvl w:val="1"/>
          <w:numId w:val="2"/>
        </w:numPr>
        <w:rPr>
          <w:rFonts w:ascii="Arial" w:cs="Arial" w:eastAsia="Arial" w:hAnsi="Arial"/>
          <w:sz w:val="18"/>
          <w:szCs w:val="18"/>
          <w:color w:val="010000"/>
        </w:rPr>
      </w:pPr>
      <w:r>
        <w:rPr>
          <w:rFonts w:ascii="Arial" w:cs="Arial" w:eastAsia="Arial" w:hAnsi="Arial"/>
          <w:sz w:val="18"/>
          <w:szCs w:val="18"/>
          <w:color w:val="auto"/>
        </w:rPr>
        <w:t>The Company represents and warrants to, and agrees with, the Underwriters as follows:</w:t>
      </w:r>
    </w:p>
    <w:p>
      <w:pPr>
        <w:spacing w:after="0" w:line="225" w:lineRule="exact"/>
        <w:rPr>
          <w:rFonts w:ascii="Arial" w:cs="Arial" w:eastAsia="Arial" w:hAnsi="Arial"/>
          <w:sz w:val="18"/>
          <w:szCs w:val="18"/>
          <w:color w:val="010000"/>
        </w:rPr>
      </w:pPr>
    </w:p>
    <w:p>
      <w:pPr>
        <w:jc w:val="both"/>
        <w:ind w:left="660" w:firstLine="1293"/>
        <w:spacing w:after="0" w:line="272" w:lineRule="auto"/>
        <w:tabs>
          <w:tab w:leader="none" w:pos="2171" w:val="left"/>
        </w:tabs>
        <w:numPr>
          <w:ilvl w:val="2"/>
          <w:numId w:val="2"/>
        </w:numPr>
        <w:rPr>
          <w:rFonts w:ascii="Arial" w:cs="Arial" w:eastAsia="Arial" w:hAnsi="Arial"/>
          <w:sz w:val="17"/>
          <w:szCs w:val="17"/>
          <w:color w:val="010000"/>
        </w:rPr>
      </w:pPr>
      <w:r>
        <w:rPr>
          <w:rFonts w:ascii="Arial" w:cs="Arial" w:eastAsia="Arial" w:hAnsi="Arial"/>
          <w:sz w:val="17"/>
          <w:szCs w:val="17"/>
          <w:color w:val="auto"/>
        </w:rPr>
        <w:t>No order preventing or suspending the use of the Registration Statement, any Preliminary Prospectus or the Prospectus has been issued by the Commission and each such document, at the time of filing or the time of first use within the meaning of the Rules and Regulations, complied in all material respects with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except that the foregoing shall not apply to statements in or omissions from the Registration Statement, any Preliminary Prospectus or the Prospectus made in reliance upon and in conformity with written information furnished to the Company by the Representative specifically for use in the preparation thereof.</w:t>
      </w:r>
    </w:p>
    <w:p>
      <w:pPr>
        <w:spacing w:after="0" w:line="177" w:lineRule="exact"/>
        <w:rPr>
          <w:rFonts w:ascii="Arial" w:cs="Arial" w:eastAsia="Arial" w:hAnsi="Arial"/>
          <w:sz w:val="17"/>
          <w:szCs w:val="17"/>
          <w:color w:val="010000"/>
        </w:rPr>
      </w:pPr>
    </w:p>
    <w:p>
      <w:pPr>
        <w:jc w:val="both"/>
        <w:ind w:left="660" w:firstLine="1293"/>
        <w:spacing w:after="0" w:line="259" w:lineRule="auto"/>
        <w:tabs>
          <w:tab w:leader="none" w:pos="2275" w:val="left"/>
        </w:tabs>
        <w:numPr>
          <w:ilvl w:val="2"/>
          <w:numId w:val="2"/>
        </w:numPr>
        <w:rPr>
          <w:rFonts w:ascii="Arial" w:cs="Arial" w:eastAsia="Arial" w:hAnsi="Arial"/>
          <w:sz w:val="18"/>
          <w:szCs w:val="18"/>
          <w:color w:val="010000"/>
        </w:rPr>
      </w:pPr>
      <w:r>
        <w:rPr>
          <w:rFonts w:ascii="Arial" w:cs="Arial" w:eastAsia="Arial" w:hAnsi="Arial"/>
          <w:sz w:val="18"/>
          <w:szCs w:val="18"/>
          <w:color w:val="auto"/>
        </w:rPr>
        <w:t>The Company has complied to the Commission’s satisfaction with all requests of the Commission for additional or supplemental information, if any. The Registration Statement has become and remains effective as provided in Section 8 of the Securities Act.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ind w:left="4" w:firstLine="1293"/>
        <w:spacing w:after="0" w:line="285" w:lineRule="auto"/>
        <w:tabs>
          <w:tab w:leader="none" w:pos="1629" w:val="left"/>
        </w:tabs>
        <w:numPr>
          <w:ilvl w:val="1"/>
          <w:numId w:val="3"/>
        </w:numPr>
        <w:rPr>
          <w:rFonts w:ascii="Arial" w:cs="Arial" w:eastAsia="Arial" w:hAnsi="Arial"/>
          <w:sz w:val="16"/>
          <w:szCs w:val="16"/>
          <w:color w:val="010000"/>
        </w:rPr>
      </w:pPr>
      <w:r>
        <w:rPr>
          <w:rFonts w:ascii="Arial" w:cs="Arial" w:eastAsia="Arial" w:hAnsi="Arial"/>
          <w:sz w:val="16"/>
          <w:szCs w:val="16"/>
          <w:color w:val="auto"/>
        </w:rPr>
        <w:t>Each part of the Registration Statement and any post-effective amendment thereto, at the time such part became effective (including each deemed effective date with respect to the Underwriters pursuant to Rule 430B under the Securities Act), at all other subsequent times until the expiration of the Prospectus Delivery Period (as defined below), and at the Closing Date (as hereinafter defined), and the Prospectus (or any amendment or supplement to the Prospectus), at the time of filing or the time of first use within the meaning of the Rules and Regulations, at all subsequent times until expiration of the Prospectus Delivery Period, and at the Closing Date complied and will comply in all material respects with the applicable requirements and provisions of the Securities Act, the Rules and Regulations and the Exchange Act and did not and will not contain any untrue statement of a material fact or omit to state a material fact required to be stated therein or necessary to make the statements therein not misleading. The Prospectus, as amended or supplemented, as of its date, or the time of first use within the meaning of the Rules and Regulations, at all subsequent times until the expiration of the Prospectus Delivery Period, and at the Closing Date, did not and will not contain any untrue statement of a material fact or omit to state a material fact necessary in order to make the statements therein, in the light of the circumstances under which they were made, not misleading. The interactive data in eXtensible Business Reporting Language included or incorporated by reference in the Registration Statement and the Prospectus fairly presents the information called for in all material respects and is prepared in accordance with the rules and regulations of the Commission applicable thereto.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written information relating to the Underwriters furnished to the Company by the Representative specifically for use in the preparation thereof.</w:t>
      </w:r>
    </w:p>
    <w:p>
      <w:pPr>
        <w:spacing w:after="0" w:line="177" w:lineRule="exact"/>
        <w:rPr>
          <w:rFonts w:ascii="Arial" w:cs="Arial" w:eastAsia="Arial" w:hAnsi="Arial"/>
          <w:sz w:val="16"/>
          <w:szCs w:val="16"/>
          <w:color w:val="010000"/>
        </w:rPr>
      </w:pPr>
    </w:p>
    <w:p>
      <w:pPr>
        <w:jc w:val="both"/>
        <w:ind w:left="4" w:firstLine="1293"/>
        <w:spacing w:after="0" w:line="288" w:lineRule="auto"/>
        <w:tabs>
          <w:tab w:leader="none" w:pos="1605" w:val="left"/>
        </w:tabs>
        <w:numPr>
          <w:ilvl w:val="1"/>
          <w:numId w:val="3"/>
        </w:numPr>
        <w:rPr>
          <w:rFonts w:ascii="Arial" w:cs="Arial" w:eastAsia="Arial" w:hAnsi="Arial"/>
          <w:sz w:val="16"/>
          <w:szCs w:val="16"/>
          <w:color w:val="010000"/>
        </w:rPr>
      </w:pPr>
      <w:r>
        <w:rPr>
          <w:rFonts w:ascii="Arial" w:cs="Arial" w:eastAsia="Arial" w:hAnsi="Arial"/>
          <w:sz w:val="16"/>
          <w:szCs w:val="16"/>
          <w:color w:val="auto"/>
        </w:rPr>
        <w:t xml:space="preserve">Neither (A) the Issuer General Free Writing Prospectus(es) issued at or prior to the Time of Sale, the Statutory Prospectus and the information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Agreement, all considered together (collectively, the “</w:t>
      </w:r>
      <w:r>
        <w:rPr>
          <w:rFonts w:ascii="Arial" w:cs="Arial" w:eastAsia="Arial" w:hAnsi="Arial"/>
          <w:sz w:val="16"/>
          <w:szCs w:val="16"/>
          <w:u w:val="single" w:color="auto"/>
          <w:color w:val="auto"/>
        </w:rPr>
        <w:t>Time of Sale Disclosure Package</w:t>
      </w:r>
      <w:r>
        <w:rPr>
          <w:rFonts w:ascii="Arial" w:cs="Arial" w:eastAsia="Arial" w:hAnsi="Arial"/>
          <w:sz w:val="16"/>
          <w:szCs w:val="16"/>
          <w:color w:val="auto"/>
        </w:rPr>
        <w:t>”), and together with the price to the public, the number of Firm Shares and the number of Additional Shares to be included on the cover page of the Prospectus nor</w:t>
      </w:r>
    </w:p>
    <w:p>
      <w:pPr>
        <w:jc w:val="both"/>
        <w:ind w:left="4" w:hanging="4"/>
        <w:spacing w:after="0" w:line="270" w:lineRule="auto"/>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individual Issuer Limited-Use Free Writing Prospectus, when considered together with the Time of Sale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The preceding sentence does not apply to statements in or omissions from any Statutory Prospectus included in the Registration Statement or any Issuer Free Writing Prospectus made in reliance upon and in conformity with written information furnished to the Company by the Representative specifically for use in the preparation thereof. As used in this paragraph and elsewhere in this Agreement:</w:t>
      </w:r>
    </w:p>
    <w:p>
      <w:pPr>
        <w:spacing w:after="0" w:line="179" w:lineRule="exact"/>
        <w:rPr>
          <w:sz w:val="20"/>
          <w:szCs w:val="20"/>
          <w:color w:val="auto"/>
        </w:rPr>
      </w:pPr>
    </w:p>
    <w:p>
      <w:pPr>
        <w:ind w:left="5044" w:right="3620" w:hanging="3747"/>
        <w:spacing w:after="0" w:line="528" w:lineRule="auto"/>
        <w:tabs>
          <w:tab w:leader="none" w:pos="155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8:30 a.m. (Eastern time) on the date of this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-156845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8" w:name="page9"/>
    <w:bookmarkEnd w:id="8"/>
    <w:p>
      <w:pPr>
        <w:jc w:val="both"/>
        <w:ind w:left="100" w:firstLine="653"/>
        <w:spacing w:after="0" w:line="302" w:lineRule="auto"/>
        <w:tabs>
          <w:tab w:leader="none" w:pos="1043" w:val="left"/>
        </w:tabs>
        <w:numPr>
          <w:ilvl w:val="0"/>
          <w:numId w:val="6"/>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u w:val="single" w:color="auto"/>
          <w:color w:val="auto"/>
        </w:rPr>
        <w:t>Statutory Prospectus</w:t>
      </w:r>
      <w:r>
        <w:rPr>
          <w:rFonts w:ascii="Arial" w:cs="Arial" w:eastAsia="Arial" w:hAnsi="Arial"/>
          <w:sz w:val="16"/>
          <w:szCs w:val="16"/>
          <w:color w:val="auto"/>
        </w:rPr>
        <w:t>” as of any time means the Preliminary Prospectus that is included in the Registration Statement immediately prior to that time. For purposes of this definition, information contained in a form of prospectus that is deemed retroactively to be a part of the Registration Statement pursuant to Rule 430B under the Securities Act shall be considered to be included in the Statutory Prospectus as of the actual time that form of prospectus is filed with the Commission pursuant to Rule 424(b) under the Securities Act.</w:t>
      </w:r>
    </w:p>
    <w:p>
      <w:pPr>
        <w:spacing w:after="0" w:line="154" w:lineRule="exact"/>
        <w:rPr>
          <w:rFonts w:ascii="Arial" w:cs="Arial" w:eastAsia="Arial" w:hAnsi="Arial"/>
          <w:sz w:val="16"/>
          <w:szCs w:val="16"/>
          <w:color w:val="010000"/>
        </w:rPr>
      </w:pPr>
    </w:p>
    <w:p>
      <w:pPr>
        <w:jc w:val="both"/>
        <w:ind w:left="100" w:firstLine="653"/>
        <w:spacing w:after="0" w:line="257" w:lineRule="auto"/>
        <w:tabs>
          <w:tab w:leader="none" w:pos="1003" w:val="left"/>
        </w:tabs>
        <w:numPr>
          <w:ilvl w:val="0"/>
          <w:numId w:val="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8" w:lineRule="exact"/>
        <w:rPr>
          <w:rFonts w:ascii="Arial" w:cs="Arial" w:eastAsia="Arial" w:hAnsi="Arial"/>
          <w:sz w:val="18"/>
          <w:szCs w:val="18"/>
          <w:color w:val="010000"/>
        </w:rPr>
      </w:pPr>
    </w:p>
    <w:p>
      <w:pPr>
        <w:ind w:left="100" w:firstLine="653"/>
        <w:spacing w:after="0" w:line="277" w:lineRule="auto"/>
        <w:tabs>
          <w:tab w:leader="none" w:pos="1003" w:val="left"/>
        </w:tabs>
        <w:numPr>
          <w:ilvl w:val="0"/>
          <w:numId w:val="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Issuer General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its being specified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to this Agreement.</w:t>
      </w:r>
    </w:p>
    <w:p>
      <w:pPr>
        <w:spacing w:after="0" w:line="170" w:lineRule="exact"/>
        <w:rPr>
          <w:rFonts w:ascii="Arial" w:cs="Arial" w:eastAsia="Arial" w:hAnsi="Arial"/>
          <w:sz w:val="18"/>
          <w:szCs w:val="18"/>
          <w:color w:val="010000"/>
        </w:rPr>
      </w:pPr>
    </w:p>
    <w:p>
      <w:pPr>
        <w:ind w:left="100" w:firstLine="653"/>
        <w:spacing w:after="0" w:line="277" w:lineRule="auto"/>
        <w:tabs>
          <w:tab w:leader="none" w:pos="1016" w:val="left"/>
        </w:tabs>
        <w:numPr>
          <w:ilvl w:val="0"/>
          <w:numId w:val="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u w:val="single" w:color="auto"/>
          <w:color w:val="auto"/>
        </w:rPr>
        <w:t>Issuer Limited-Use Free Writing Prospectus</w:t>
      </w:r>
      <w:r>
        <w:rPr>
          <w:rFonts w:ascii="Arial" w:cs="Arial" w:eastAsia="Arial" w:hAnsi="Arial"/>
          <w:sz w:val="18"/>
          <w:szCs w:val="18"/>
          <w:color w:val="auto"/>
        </w:rPr>
        <w:t>” means any Issuer Free Writing Prospectus that is not an Issuer General Free Writing Prospectus.</w:t>
      </w:r>
    </w:p>
    <w:p>
      <w:pPr>
        <w:spacing w:after="0" w:line="170" w:lineRule="exact"/>
        <w:rPr>
          <w:sz w:val="20"/>
          <w:szCs w:val="20"/>
          <w:color w:val="auto"/>
        </w:rPr>
      </w:pPr>
    </w:p>
    <w:p>
      <w:pPr>
        <w:jc w:val="both"/>
        <w:ind w:left="-540" w:firstLine="1293"/>
        <w:spacing w:after="0" w:line="255" w:lineRule="auto"/>
        <w:tabs>
          <w:tab w:leader="none" w:pos="107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 Each Issuer Free Writing Prospectus, as of its date and at all subsequent times through the Prospectus Delivery Period or until any earlier date that the Company notified or notifies the Underwriters as described in Section 4(a)(iii)(B), did not, does not and will not include any information that conflicted, conflicts or will conflict with the information contained in the Registration Statement, any Statutory Prospectus or the Prospectus. The foregoing sentence does not apply to statements in or omissions from any Issuer Free Writing Prospectus made in reliance upon and in conformity with written information furnished to the Company by the Underwriters specifically for use in the preparation thereof.</w:t>
      </w:r>
    </w:p>
    <w:p>
      <w:pPr>
        <w:spacing w:after="0" w:line="193" w:lineRule="exact"/>
        <w:rPr>
          <w:rFonts w:ascii="Arial" w:cs="Arial" w:eastAsia="Arial" w:hAnsi="Arial"/>
          <w:sz w:val="18"/>
          <w:szCs w:val="18"/>
          <w:color w:val="010000"/>
        </w:rPr>
      </w:pPr>
    </w:p>
    <w:p>
      <w:pPr>
        <w:jc w:val="both"/>
        <w:ind w:left="-540" w:firstLine="1617"/>
        <w:spacing w:after="0" w:line="273" w:lineRule="auto"/>
        <w:tabs>
          <w:tab w:leader="none" w:pos="1366" w:val="left"/>
        </w:tabs>
        <w:numPr>
          <w:ilvl w:val="1"/>
          <w:numId w:val="7"/>
        </w:numPr>
        <w:rPr>
          <w:rFonts w:ascii="Arial" w:cs="Arial" w:eastAsia="Arial" w:hAnsi="Arial"/>
          <w:sz w:val="17"/>
          <w:szCs w:val="17"/>
          <w:color w:val="010000"/>
        </w:rPr>
      </w:pPr>
      <w:r>
        <w:rPr>
          <w:rFonts w:ascii="Arial" w:cs="Arial" w:eastAsia="Arial" w:hAnsi="Arial"/>
          <w:sz w:val="17"/>
          <w:szCs w:val="17"/>
          <w:color w:val="auto"/>
        </w:rPr>
        <w:t>At the earliest time after the filing of the Registration Statement that the Company or another offering participant made a bona fide offer (within the meaning of Rule 164(h)(2) under the Securities Act) of the Shares and at the date hereof, the Company was not and is not an “ineligible issuer,” as defined in Rule 405 under the Securities Act, including the Company or any subsidiary in the preceding three years not having been convicted of a felony or misdemeanor or having been made the subject of a judicial or administrative decree or order as described in Rule 405 (without taking account of any determination by the Commission pursuant to Rule 405 that it is not necessary that the Company be considered an ineligible issuer), nor an “excluded issuer” as defined in Rule 164 under the Securities Act.</w:t>
      </w:r>
    </w:p>
    <w:p>
      <w:pPr>
        <w:spacing w:after="0" w:line="1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9" w:name="page10"/>
    <w:bookmarkEnd w:id="9"/>
    <w:p>
      <w:pPr>
        <w:ind w:left="-540" w:right="20" w:firstLine="1617"/>
        <w:spacing w:after="0" w:line="277" w:lineRule="auto"/>
        <w:tabs>
          <w:tab w:leader="none" w:pos="1379" w:val="left"/>
        </w:tabs>
        <w:numPr>
          <w:ilvl w:val="1"/>
          <w:numId w:val="8"/>
        </w:numPr>
        <w:rPr>
          <w:rFonts w:ascii="Arial" w:cs="Arial" w:eastAsia="Arial" w:hAnsi="Arial"/>
          <w:sz w:val="18"/>
          <w:szCs w:val="18"/>
          <w:color w:val="010000"/>
        </w:rPr>
      </w:pPr>
      <w:r>
        <w:rPr>
          <w:rFonts w:ascii="Arial" w:cs="Arial" w:eastAsia="Arial" w:hAnsi="Arial"/>
          <w:sz w:val="18"/>
          <w:szCs w:val="18"/>
          <w:color w:val="auto"/>
        </w:rPr>
        <w:t>Each Issuer Free Writing Prospectus satisfied, as of its issue date and at all subsequent times through the Prospectus Delivery Period, all other conditions to use thereof as set forth in Rules 164 and 433 under the Securities Act.</w:t>
      </w:r>
    </w:p>
    <w:p>
      <w:pPr>
        <w:spacing w:after="0" w:line="170" w:lineRule="exact"/>
        <w:rPr>
          <w:rFonts w:ascii="Arial" w:cs="Arial" w:eastAsia="Arial" w:hAnsi="Arial"/>
          <w:sz w:val="18"/>
          <w:szCs w:val="18"/>
          <w:color w:val="010000"/>
        </w:rPr>
      </w:pPr>
    </w:p>
    <w:p>
      <w:pPr>
        <w:jc w:val="both"/>
        <w:ind w:left="-540" w:firstLine="1293"/>
        <w:spacing w:after="0" w:line="268" w:lineRule="auto"/>
        <w:tabs>
          <w:tab w:leader="none" w:pos="1088" w:val="left"/>
        </w:tabs>
        <w:numPr>
          <w:ilvl w:val="0"/>
          <w:numId w:val="9"/>
        </w:numPr>
        <w:rPr>
          <w:rFonts w:ascii="Arial" w:cs="Arial" w:eastAsia="Arial" w:hAnsi="Arial"/>
          <w:sz w:val="17"/>
          <w:szCs w:val="17"/>
          <w:color w:val="010000"/>
        </w:rPr>
      </w:pPr>
      <w:r>
        <w:rPr>
          <w:rFonts w:ascii="Arial" w:cs="Arial" w:eastAsia="Arial" w:hAnsi="Arial"/>
          <w:sz w:val="17"/>
          <w:szCs w:val="17"/>
          <w:color w:val="auto"/>
        </w:rPr>
        <w:t>The financial statements of the Company, together with the related notes, included or incorporated by reference in the Registration Statement, the Time of Sale Disclosure Package and the Prospectus comply in all material respects with the requirements of the Securities Act and the Exchange Act and fairly present in all material respects the consolidated financial condition of the Company and its subsidiaries as of the dates indicated and the consolidated results of operations and changes in cash flows for the periods therein specified (subject to normal year-end audit adjustments for interim financial statements) and have been prepared in conformity with generally accepted accounting principles in the United States of America consistently applied throughout the periods involved; and the supporting schedules included in the Registration Statement, if any, present fairly in all material respects the information required to be stated therein. No other financial statements or schedules are required to be included in the Registration Statement, the Time of Sale Disclosure Package or the Prospectus. There is no pro forma or as adjusted financial information which is required to be included in the Registration Statement, the Time of Sale Disclosure Package, or the Prospectus or a document incorporated by reference therein in accordance with the Securities Act and the Rules and Regulations which has not been included or incorporated as so required. To the Company’s knowledge, KMJ Corbin &amp; Company LLP, which has expressed its opinion with respect to the audited financial statements and schedules filed as a part of the Registration Statement and included in the Registration Statement, the Time of Sale Disclosure Package and the Prospectus, is an independent public accounting firm within the meaning of the Securities Act and the Rules and Regulations and such accountant is not in violation of the auditor independence requirements of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w:t>
      </w:r>
    </w:p>
    <w:p>
      <w:pPr>
        <w:spacing w:after="0" w:line="183" w:lineRule="exact"/>
        <w:rPr>
          <w:rFonts w:ascii="Arial" w:cs="Arial" w:eastAsia="Arial" w:hAnsi="Arial"/>
          <w:sz w:val="17"/>
          <w:szCs w:val="17"/>
          <w:color w:val="010000"/>
        </w:rPr>
      </w:pPr>
    </w:p>
    <w:p>
      <w:pPr>
        <w:jc w:val="both"/>
        <w:ind w:left="-540" w:firstLine="1293"/>
        <w:spacing w:after="0" w:line="254" w:lineRule="auto"/>
        <w:tabs>
          <w:tab w:leader="none" w:pos="1125"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Company and each of its subsidiaries has been duly organized under the laws of its jurisdiction of organization. The Company and each of its subsidiaries is validly existing as a corporation (or as applicable, such other legal entity) in good standing under the laws of its jurisdiction of organization. Each of the Company and its subsidiaries has the corporate (or as applicable, such other legal entity) power and authority to own its properties and conduct its business as currently being carried on and as described in the Registration Statement, the Time of Sale Disclosure Package and the Prospectus, and is duly qualified to do business as a foreign corporation (or other legal entity) in good standing in each jurisdiction in which it owns or leases real property or in which the conduct of its business makes such qualification necessary and in which the failure to so qualify would result in a Material Adverse Change (as defined below) or affect its ability to execute or perform its obligations under this Agreement.</w:t>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0" w:name="page11"/>
    <w:bookmarkEnd w:id="10"/>
    <w:p>
      <w:pPr>
        <w:jc w:val="both"/>
        <w:ind w:left="-540" w:firstLine="1293"/>
        <w:spacing w:after="0" w:line="269" w:lineRule="auto"/>
        <w:tabs>
          <w:tab w:leader="none" w:pos="1161"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Except as contemplated in the Time of Sale Disclosure Package and in the Prospectus, subsequent to the respective dates as of which information is given in the Time of Sale Disclosure Package, neither the Company nor any of its subsidiaries has incurred any liabilities or obligations, direct or contingent, which are material to the Company and its subsidiaries taken as a whole, entered into any transactions not in the ordinary course of business which are material to the Company and its subsidiaries taken as a whole, declared or paid any dividends or made any distribution of any kind with respect to its capital stock; and except as disclosed in the Time of Sale Disclosure Package and in the Prospectus, there has not been any change in the capital stock (other than a change in the number of outstanding shares of Common Stock due to the issuance of shares upon the exercise or conversion of outstanding options, warrants or convertible notes or vesting of any outstanding restricted stock units), any material change in the Company’s short-term or long-term debt except for the extinguishment thereof, any issuance of options, warrants, convertible securities or other rights to purchase the capital stock of the Company or any of its subsidiaries (other than the issuance of options, restricted stock units and other awards or shares under the Company’s equity incentive plan and employee stock purchase plan), or any material adverse change in the financial condition, business, prospects, property, operations or results of operations of the Company and its subsidiaries, taken as a whole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w:t>
      </w:r>
    </w:p>
    <w:p>
      <w:pPr>
        <w:spacing w:after="0" w:line="179" w:lineRule="exact"/>
        <w:rPr>
          <w:rFonts w:ascii="Arial" w:cs="Arial" w:eastAsia="Arial" w:hAnsi="Arial"/>
          <w:sz w:val="17"/>
          <w:szCs w:val="17"/>
          <w:color w:val="010000"/>
        </w:rPr>
      </w:pPr>
    </w:p>
    <w:p>
      <w:pPr>
        <w:jc w:val="both"/>
        <w:ind w:left="-540" w:firstLine="1293"/>
        <w:spacing w:after="0" w:line="279" w:lineRule="auto"/>
        <w:tabs>
          <w:tab w:leader="none" w:pos="1061"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Except as set forth in the Time of Sale Disclosure Package and the Prospectus, there is not pending or, to the knowledge of the Company, threatened or contemplated, any action, suit or proceeding to which the Company or any of its subsidiaries is a party or of which any property or assets of the Company or any of its subsidiaries is the subject before or by any court or governmental agency, authority or body, or any arbitrator, which, individually or in the aggregate, would result in any Material Adverse Change.</w:t>
      </w:r>
    </w:p>
    <w:p>
      <w:pPr>
        <w:spacing w:after="0" w:line="171" w:lineRule="exact"/>
        <w:rPr>
          <w:rFonts w:ascii="Arial" w:cs="Arial" w:eastAsia="Arial" w:hAnsi="Arial"/>
          <w:sz w:val="17"/>
          <w:szCs w:val="17"/>
          <w:color w:val="010000"/>
        </w:rPr>
      </w:pPr>
    </w:p>
    <w:p>
      <w:pPr>
        <w:jc w:val="both"/>
        <w:ind w:left="-540" w:firstLine="1293"/>
        <w:spacing w:after="0" w:line="285" w:lineRule="auto"/>
        <w:tabs>
          <w:tab w:leader="none" w:pos="1011"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result in a breach or violation of any of the terms and provisions of, or constitute a default under, any statute, any agreement or instrument to which the Company is a party or by which it is bound or to which any of its property is subject, or any order, rule, regulation or decree of any court or governmental agency or body having jurisdiction over the Company or any of its properties, except in each case for violations and defaults that, individually or in the aggregate, would not reasonably be expected to result in a Material Adverse Change. The execution, delivery and performance of this Agreement and the consummation of the transactions herein contemplated will not result in a breach or violation of any of the terms and provisions of, or constitute a default under, the Company’s charter or by-laws, in each case as in effect on the date hereof. No consent, approval, authorization or order of, or filing with, any court or governmental agency or body is required for the execution, delivery and performance of this Agreement or for the consummation of the transactions contemplated hereby, including the issuance or sale of the Shares by the Company, except such as have been obtained or may be required under the Securities Act, state securities or blue sky laws, or the rules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or the NASDAQ Capital Market, or consents that, if not obtained, would not, individually or in the aggregate, have a material adverse effect on the Company’s ability to consummate the transactions contemplated hereby; and the Company has the power and authority to enter into this Agreement and to authorize, issue and sell the Shares as contemplated by this Agreement.</w:t>
      </w:r>
    </w:p>
    <w:p>
      <w:pPr>
        <w:spacing w:after="0" w:line="1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1" w:name="page12"/>
    <w:bookmarkEnd w:id="11"/>
    <w:p>
      <w:pPr>
        <w:jc w:val="both"/>
        <w:ind w:left="-540" w:firstLine="1293"/>
        <w:spacing w:after="0" w:line="284" w:lineRule="auto"/>
        <w:tabs>
          <w:tab w:leader="none" w:pos="1061"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All of the issued and outstanding shares of capital stock of the Company, including the outstanding shares of Common Stock and preferred stock, if any, are duly authorized and validly issued, fully paid and non-assessable, have been issued in compliance with all federal and state securities laws, were not issued in violation of or subject to any preemptive rights or other rights to subscribe for or purchase securities that have not been waived in writing (a copy of which has been delivered to counsel to the Underwriters); the Shares which may be sold hereunder by the Company have been duly authorized for issuance and sale to the Underwriter pursuant to this Agreement, and when issued and delivered by the Company pursuant to this Agreement against payment of the consideration set forth herein, will be validly issued, fully paid and non-assessable and not subject to any preemptive or other similar rights of any security holder of the Company; and the Shares conform to the description thereof contained in the Registration Statement, in the Time of Sale Disclosure Package and in the Prospectus and such description conforms in all material respects to the rights set forth in the instruments defining the same. Except as otherwise stated in the Registration Statement, in the Time of Sale Disclosure Package and in the Prospectus, there are no preemptive rights or other rights to subscribe for or to purchase, or any restriction upon the voting or transfer of, any shares of the capital stock of the Company pursuant to the Company’s charter, by-laws or any agreement or other instrument to which the Company is a party or by which the Company is bound. The offering and sale of the Shares as contemplated by this Agreement does not give rise to any rights for or relating to the registration of any shares of Common Stock or other securities of the Company that have not been waived. All of the issued and outstanding shares of capital stock of each of the Company’s subsidiaries have been duly and validly authorized and issued and are fully paid and non-assessable, and, except as otherwise described in the Registration Statement, in the Time of Sale Disclosure Package and in the Prospectus and except for any directors’ qualifying shares, the Company owns of record and beneficially, free and clear of any material security interests, claims, liens, proxies, equities or other encumbrances, all of the issued and outstanding shares of the capital stock of each of the Company’s subsidiaries. Except as described in the Registration Statement, in the Time of Sale Disclosure Package and in the Prospectus, there are no options, warrants, agreements, contracts or other rights in existence to purchase or acquire from the Company or any subsidiary of the Company any shares of the capital stock of the Company or any subsidiary of the Company. The Company has an authorized and outstanding capitalization as set forth in the Registration Statement, in the Time of Sale Disclosure Package and in the Prospectus.</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 w:name="page13"/>
    <w:bookmarkEnd w:id="12"/>
    <w:p>
      <w:pPr>
        <w:jc w:val="both"/>
        <w:ind w:left="-540" w:firstLine="1293"/>
        <w:spacing w:after="0" w:line="253" w:lineRule="auto"/>
        <w:tabs>
          <w:tab w:leader="none" w:pos="1138"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Except as described in the Registration Statement, in the Time of Sale Disclosure Package and in the Prospectus, the Company and each of its subsidiaries holds, and is operating in compliance in all material respects with, all franchises, grants, authorizations, licenses, permits, easements, consents, certificates and orders of any governmental or self-regulatory body (including, without limitation, the United States Food and Drug Administration (“</w:t>
      </w:r>
      <w:r>
        <w:rPr>
          <w:rFonts w:ascii="Arial" w:cs="Arial" w:eastAsia="Arial" w:hAnsi="Arial"/>
          <w:sz w:val="18"/>
          <w:szCs w:val="18"/>
          <w:u w:val="single" w:color="auto"/>
          <w:color w:val="auto"/>
        </w:rPr>
        <w:t>FDA</w:t>
      </w:r>
      <w:r>
        <w:rPr>
          <w:rFonts w:ascii="Arial" w:cs="Arial" w:eastAsia="Arial" w:hAnsi="Arial"/>
          <w:sz w:val="18"/>
          <w:szCs w:val="18"/>
          <w:color w:val="auto"/>
        </w:rPr>
        <w:t>” and, collectively, “</w:t>
      </w:r>
      <w:r>
        <w:rPr>
          <w:rFonts w:ascii="Arial" w:cs="Arial" w:eastAsia="Arial" w:hAnsi="Arial"/>
          <w:sz w:val="18"/>
          <w:szCs w:val="18"/>
          <w:u w:val="single" w:color="auto"/>
          <w:color w:val="auto"/>
        </w:rPr>
        <w:t>Regulatory Authorities</w:t>
      </w:r>
      <w:r>
        <w:rPr>
          <w:rFonts w:ascii="Arial" w:cs="Arial" w:eastAsia="Arial" w:hAnsi="Arial"/>
          <w:sz w:val="18"/>
          <w:szCs w:val="18"/>
          <w:color w:val="auto"/>
        </w:rPr>
        <w:t>”)) required for the conduct of its business as described in the Registration Statement, in the Time of Sale Disclosure Package and in the Prospectus, except for such franchises, grants, authorizations, licenses, permits, easements, consents, certificates and orders the failure of which to hold or operate in compliance with would not result in a Material Adverse Change, and all such franchises, grants, authorizations, licenses, permits, easements, consents, certifications and orders are valid and in full force and effect, except in each case as would not result in a Material Adverse Change; and the Company and each of its subsidiaries is in compliance with all applicable federal, state, local and foreign laws, regulations, orders and decrees, except in each case as would not result in a Material Adverse Change.</w:t>
      </w:r>
    </w:p>
    <w:p>
      <w:pPr>
        <w:spacing w:after="0" w:line="194" w:lineRule="exact"/>
        <w:rPr>
          <w:rFonts w:ascii="Arial" w:cs="Arial" w:eastAsia="Arial" w:hAnsi="Arial"/>
          <w:sz w:val="18"/>
          <w:szCs w:val="18"/>
          <w:color w:val="010000"/>
        </w:rPr>
      </w:pPr>
    </w:p>
    <w:p>
      <w:pPr>
        <w:jc w:val="both"/>
        <w:ind w:left="-540" w:firstLine="1293"/>
        <w:spacing w:after="0" w:line="257" w:lineRule="auto"/>
        <w:tabs>
          <w:tab w:leader="none" w:pos="1188"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Except as described in the Registration Statement, in the Time of Sale Disclosure Package and in the Prospectus, the Company’s registration with any Regulatory Authorities, if any are required, specifically including the FDA, in respect of the Company’s products and services, and all supporting documentation, materials, correspondence, and information filed by it with any Regulatory Authorities, is in compliance in all material respects with all applicable laws and all rules applied by such Regulatory Authorities, including with respect to accuracy of filings with such Regulatory Authorities.</w:t>
      </w:r>
    </w:p>
    <w:p>
      <w:pPr>
        <w:spacing w:after="0" w:line="188" w:lineRule="exact"/>
        <w:rPr>
          <w:rFonts w:ascii="Arial" w:cs="Arial" w:eastAsia="Arial" w:hAnsi="Arial"/>
          <w:sz w:val="18"/>
          <w:szCs w:val="18"/>
          <w:color w:val="010000"/>
        </w:rPr>
      </w:pPr>
    </w:p>
    <w:p>
      <w:pPr>
        <w:jc w:val="both"/>
        <w:ind w:left="-540" w:firstLine="1293"/>
        <w:spacing w:after="0" w:line="285" w:lineRule="auto"/>
        <w:tabs>
          <w:tab w:leader="none" w:pos="1151"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As to each product manufactured, packaged, labeled, tested, distributed, sold, and/or marketed by the Company or any of its subsidiaries, such product is being manufactured, packaged, labeled, tested, distributed, sold and/or marketed by the Company in compliance with all applicable requirements under the Federal Food, Drug and Cosmetic Act, as amended; the Public Health Service Act, as amended; the Health Insurance Portability and Accountability Act, as amended; and the Patient Protection and Affordable Care Act, as amended, and the regulations thereunder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including the statutes and regulations of the FDA, the U.S. Federal Trade Commission, the U.S. Drug Enforcement Administration and the U.S. Consumer Product Safety Commission, except for any noncompliance that would not result in a Material Adverse Change.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(A) contests the premarket clearance, licensure, registration, or approval of, the uses of, the distribution of, the manufacturing or packaging of, the testing of, the sale of, or the labeling and promotion of any such product, (B) withdraws its approval of, requests the recall, suspension, or seizure of, or withdraws or orders the withdrawal of advertising or sales promotional materials relating to, any such product, (C) imposes a clinical hold on any clinical investigation by the Company or any of its subsidiaries, (D) enjoins production at any facility of the Company or any of its subsidiaries, (E) enters or proposes to enter into a consent decree or permanent injunction with the Company or any of its subsidiaries, or (F) otherwise alleges any violation of any laws, rules or regulations by the Company or any of its subsidiaries; except, in the case of each of clause (A) through (F), where such action, notice, warning letter or communication will not result in a Material Adverse Change. The Company has not been informed by the FDA that the FDA will prohibit the marketing, sale, license or use in the United States of any product being produced or marketed by the Company nor has the FDA expressed any concern as to approving or clearing for marketing any product being produced or marketed by the Company.</w:t>
      </w:r>
    </w:p>
    <w:p>
      <w:pPr>
        <w:spacing w:after="0" w:line="16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3" w:name="page14"/>
    <w:bookmarkEnd w:id="13"/>
    <w:p>
      <w:pPr>
        <w:jc w:val="both"/>
        <w:ind w:left="-540" w:firstLine="1293"/>
        <w:spacing w:after="0" w:line="254" w:lineRule="auto"/>
        <w:tabs>
          <w:tab w:leader="none" w:pos="1128"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The Company and its subsidiaries have good and marketable title to all personal property described in the Registration Statement, in the Time of Sale Disclosure Package and in the Prospectus as being owned by them which are material to the business of the Company, in each case free and clear of all material liens, claims, security interests, other encumbrances or defects except such as are described in the Registration Statement, in the Time of Sale Disclosure Package and in the Prospectus and except as do not interfere in any material respect with the conduct of the business of the Company or its subsidiaries and as would not result in a Material Adverse Change.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 and as would not result in a Material Adverse Change.</w:t>
      </w:r>
    </w:p>
    <w:p>
      <w:pPr>
        <w:spacing w:after="0" w:line="192" w:lineRule="exact"/>
        <w:rPr>
          <w:rFonts w:ascii="Arial" w:cs="Arial" w:eastAsia="Arial" w:hAnsi="Arial"/>
          <w:sz w:val="18"/>
          <w:szCs w:val="18"/>
          <w:color w:val="010000"/>
        </w:rPr>
      </w:pPr>
    </w:p>
    <w:p>
      <w:pPr>
        <w:jc w:val="both"/>
        <w:ind w:left="-540" w:firstLine="1293"/>
        <w:spacing w:after="0" w:line="270" w:lineRule="auto"/>
        <w:tabs>
          <w:tab w:leader="none" w:pos="1165"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Except as disclosed in the Registration Statement, in the Time of Sale Disclosure Package and in the Prospectus, to the knowledge of the Company, the Company and each of its subsidiaries owns, possesses or licenses all patents, patent applications, trademarks, service marks, tradenames, trademark registrations, service mark registrations, copyrights, licenses, inventions, trade secrets and rights necessary for the conduct of the business of the Company and its subsidiaries as currently carried on and as described in the Registration Statement, in the Time of Sale Disclosure Package and in the Prospectus, except for any such items that the failure to so own, possess or license would not result in a Material Adverse Change; except as stated in the Registration Statement, in the Time of Sale Disclosure Package and in the Prospectus, there is no pending or, to the knowledge of the Company, threatened action, suit or proceeding that the Company or any of its subsidiaries infringes or otherwise violates any patents, patent applications, trademarks, service marks, tradenames, trademark registrations, service mark registrations, copyrights, licenses, inventions, trade secrets or other similar rights of others, except for any pending or threatened action, suit or proceeding as would not result in a Material Adverse Claim.</w:t>
      </w:r>
    </w:p>
    <w:p>
      <w:pPr>
        <w:spacing w:after="0" w:line="177" w:lineRule="exact"/>
        <w:rPr>
          <w:rFonts w:ascii="Arial" w:cs="Arial" w:eastAsia="Arial" w:hAnsi="Arial"/>
          <w:sz w:val="17"/>
          <w:szCs w:val="17"/>
          <w:color w:val="010000"/>
        </w:rPr>
      </w:pPr>
    </w:p>
    <w:p>
      <w:pPr>
        <w:jc w:val="both"/>
        <w:ind w:left="-540" w:firstLine="1293"/>
        <w:spacing w:after="0" w:line="255" w:lineRule="auto"/>
        <w:tabs>
          <w:tab w:leader="none" w:pos="1215"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(A) in violation of its respective charter or by-laws, in each case as in effect on the date hereof, or (B) in breach of or otherwise in default, and, to the Company’s knowledge,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its subsidiaries is subject, except for any breach or default that would not result in a Material Adverse Change.</w:t>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4" w:name="page15"/>
    <w:bookmarkEnd w:id="14"/>
    <w:p>
      <w:pPr>
        <w:jc w:val="both"/>
        <w:ind w:left="-540" w:firstLine="1293"/>
        <w:spacing w:after="0" w:line="259" w:lineRule="auto"/>
        <w:tabs>
          <w:tab w:leader="none" w:pos="1251"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The Company and its subsidiaries have timely filed all federal, state and local income tax returns required to be filed and are not in default in the payment of any taxes which were payable pursuant to said returns or any assessments with respect thereto, other than any which the Company or any of its subsidiaries is contesting in good faith, except in each case where the failure to so file or pay would not result in a Material Adverse Change.</w:t>
      </w:r>
    </w:p>
    <w:p>
      <w:pPr>
        <w:spacing w:after="0" w:line="186" w:lineRule="exact"/>
        <w:rPr>
          <w:rFonts w:ascii="Arial" w:cs="Arial" w:eastAsia="Arial" w:hAnsi="Arial"/>
          <w:sz w:val="18"/>
          <w:szCs w:val="18"/>
          <w:color w:val="010000"/>
        </w:rPr>
      </w:pPr>
    </w:p>
    <w:p>
      <w:pPr>
        <w:jc w:val="both"/>
        <w:ind w:left="-540" w:firstLine="1293"/>
        <w:spacing w:after="0" w:line="276" w:lineRule="auto"/>
        <w:tabs>
          <w:tab w:leader="none" w:pos="1165" w:val="left"/>
        </w:tabs>
        <w:numPr>
          <w:ilvl w:val="0"/>
          <w:numId w:val="14"/>
        </w:numPr>
        <w:rPr>
          <w:rFonts w:ascii="Arial" w:cs="Arial" w:eastAsia="Arial" w:hAnsi="Arial"/>
          <w:sz w:val="17"/>
          <w:szCs w:val="17"/>
          <w:color w:val="010000"/>
        </w:rPr>
      </w:pPr>
      <w:r>
        <w:rPr>
          <w:rFonts w:ascii="Arial" w:cs="Arial" w:eastAsia="Arial" w:hAnsi="Arial"/>
          <w:sz w:val="17"/>
          <w:szCs w:val="17"/>
          <w:color w:val="auto"/>
        </w:rPr>
        <w:t xml:space="preserve">The Company has not distributed and will not distribute any prospectus or other offering material in connection with the offering and sale of the Shares other than any Preliminary Prospectus, the Time of Sale Disclosure Package or the Prospectus or other materials permitted by the Securities Act to be distributed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the Company has not made and will not make any offer relating to the Shares that would constitute a “free writing prospectus” as defined in Rule 405 under the Securities Act, except in accordance with the provisions of Section 4(a)(xiv) of this Agreement.</w:t>
      </w:r>
    </w:p>
    <w:p>
      <w:pPr>
        <w:spacing w:after="0" w:line="172" w:lineRule="exact"/>
        <w:rPr>
          <w:rFonts w:ascii="Arial" w:cs="Arial" w:eastAsia="Arial" w:hAnsi="Arial"/>
          <w:sz w:val="17"/>
          <w:szCs w:val="17"/>
          <w:color w:val="010000"/>
        </w:rPr>
      </w:pPr>
    </w:p>
    <w:p>
      <w:pPr>
        <w:jc w:val="both"/>
        <w:ind w:left="-540" w:firstLine="1293"/>
        <w:spacing w:after="0" w:line="255" w:lineRule="auto"/>
        <w:tabs>
          <w:tab w:leader="none" w:pos="1101"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The Common Stock is registered pursuant to Section 12(b) of the Exchange Act and is listed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the NASDAQ Capital Market is contemplating terminating such registration or listing. To the Company’s knowledge, it has complied in all material respects with the applicable requirements of the NASDAQ Capital Market for maintenance of inclusion of the Common Stock on the NASDAQ Capital Market.</w:t>
      </w:r>
    </w:p>
    <w:p>
      <w:pPr>
        <w:spacing w:after="0" w:line="193" w:lineRule="exact"/>
        <w:rPr>
          <w:rFonts w:ascii="Arial" w:cs="Arial" w:eastAsia="Arial" w:hAnsi="Arial"/>
          <w:sz w:val="18"/>
          <w:szCs w:val="18"/>
          <w:color w:val="010000"/>
        </w:rPr>
      </w:pPr>
    </w:p>
    <w:p>
      <w:pPr>
        <w:ind w:left="-540" w:firstLine="1293"/>
        <w:spacing w:after="0" w:line="277" w:lineRule="auto"/>
        <w:tabs>
          <w:tab w:leader="none" w:pos="1151"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 xml:space="preserve">The subsidiaries of the Company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 are the Company’s only significant subsidiaries (as such term is defined in Rule 1-02 of Regulation S-X promulgated by the Commission).</w:t>
      </w:r>
    </w:p>
    <w:p>
      <w:pPr>
        <w:spacing w:after="0" w:line="170" w:lineRule="exact"/>
        <w:rPr>
          <w:rFonts w:ascii="Arial" w:cs="Arial" w:eastAsia="Arial" w:hAnsi="Arial"/>
          <w:sz w:val="18"/>
          <w:szCs w:val="18"/>
          <w:color w:val="010000"/>
        </w:rPr>
      </w:pPr>
    </w:p>
    <w:p>
      <w:pPr>
        <w:jc w:val="both"/>
        <w:ind w:left="-540" w:firstLine="1293"/>
        <w:spacing w:after="0" w:line="270" w:lineRule="auto"/>
        <w:tabs>
          <w:tab w:leader="none" w:pos="1228" w:val="left"/>
        </w:tabs>
        <w:numPr>
          <w:ilvl w:val="0"/>
          <w:numId w:val="14"/>
        </w:numPr>
        <w:rPr>
          <w:rFonts w:ascii="Arial" w:cs="Arial" w:eastAsia="Arial" w:hAnsi="Arial"/>
          <w:sz w:val="17"/>
          <w:szCs w:val="17"/>
          <w:color w:val="010000"/>
        </w:rPr>
      </w:pPr>
      <w:r>
        <w:rPr>
          <w:rFonts w:ascii="Arial" w:cs="Arial" w:eastAsia="Arial" w:hAnsi="Arial"/>
          <w:sz w:val="17"/>
          <w:szCs w:val="17"/>
          <w:color w:val="auto"/>
        </w:rPr>
        <w:t>The Company maintains a system of internal accounting controls designed to provide reasonable assurances that (A) transactions are executed in accordance with management’s general or specific authorization; (B) transactions are recorded as necessary to permit preparation of financial statements in conformity with generally accepted accounting principles in the United States of America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Except as described in the Registration Statement, in the Time of Sale Disclosure Package and in the Prospectus, since December 31, 2014, there has been (i) no material weakness or significant deficiencies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5" w:name="page16"/>
    <w:bookmarkEnd w:id="15"/>
    <w:p>
      <w:pPr>
        <w:jc w:val="both"/>
        <w:ind w:left="-540" w:firstLine="1293"/>
        <w:spacing w:after="0" w:line="264" w:lineRule="auto"/>
        <w:tabs>
          <w:tab w:leader="none" w:pos="1251"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Other than as contemplated by this Agreement, the Company has not incurred any liability for any finder’s or broker’s fee or agent’s commission in connection with the execution and delivery of this Agreement or the consummation of the transactions contemplated hereby.</w:t>
      </w:r>
    </w:p>
    <w:p>
      <w:pPr>
        <w:spacing w:after="0" w:line="181" w:lineRule="exact"/>
        <w:rPr>
          <w:rFonts w:ascii="Arial" w:cs="Arial" w:eastAsia="Arial" w:hAnsi="Arial"/>
          <w:sz w:val="18"/>
          <w:szCs w:val="18"/>
          <w:color w:val="010000"/>
        </w:rPr>
      </w:pPr>
    </w:p>
    <w:p>
      <w:pPr>
        <w:jc w:val="both"/>
        <w:ind w:left="-540" w:firstLine="1293"/>
        <w:spacing w:after="0" w:line="264" w:lineRule="auto"/>
        <w:tabs>
          <w:tab w:leader="none" w:pos="1255"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The Company carries, or is covered by, insurance in such amounts and covering such risks as the Company reasonably believes is adequate for the conduct of its business and the value of its properties and as is customary for companies engaged in similar businesses in similar industries.</w:t>
      </w:r>
    </w:p>
    <w:p>
      <w:pPr>
        <w:spacing w:after="0" w:line="181" w:lineRule="exact"/>
        <w:rPr>
          <w:rFonts w:ascii="Arial" w:cs="Arial" w:eastAsia="Arial" w:hAnsi="Arial"/>
          <w:sz w:val="18"/>
          <w:szCs w:val="18"/>
          <w:color w:val="010000"/>
        </w:rPr>
      </w:pPr>
    </w:p>
    <w:p>
      <w:pPr>
        <w:ind w:left="-540" w:firstLine="1293"/>
        <w:spacing w:after="0" w:line="277" w:lineRule="auto"/>
        <w:tabs>
          <w:tab w:leader="none" w:pos="1191"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The Company is not and, after giving effect to the offering and sale of the Shares, will not be an “investment company,” as such term is defined in the Investment Company Act of 1940, as amended.</w:t>
      </w:r>
    </w:p>
    <w:p>
      <w:pPr>
        <w:spacing w:after="0" w:line="170" w:lineRule="exact"/>
        <w:rPr>
          <w:rFonts w:ascii="Arial" w:cs="Arial" w:eastAsia="Arial" w:hAnsi="Arial"/>
          <w:sz w:val="18"/>
          <w:szCs w:val="18"/>
          <w:color w:val="010000"/>
        </w:rPr>
      </w:pPr>
    </w:p>
    <w:p>
      <w:pPr>
        <w:jc w:val="both"/>
        <w:ind w:left="-540" w:firstLine="1293"/>
        <w:spacing w:after="0" w:line="264" w:lineRule="auto"/>
        <w:tabs>
          <w:tab w:leader="none" w:pos="1255"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As of the filing date of the Registration Statement and as of any update of the Registration Statement pursuant to Section 10(a)(3) of the Securities Act (including the filing of any Annual Report on Form 10-K), the Company was eligible to file a “shelf” registration statement on Form S-3 with the Commission.</w:t>
      </w:r>
    </w:p>
    <w:p>
      <w:pPr>
        <w:spacing w:after="0" w:line="181" w:lineRule="exact"/>
        <w:rPr>
          <w:rFonts w:ascii="Arial" w:cs="Arial" w:eastAsia="Arial" w:hAnsi="Arial"/>
          <w:sz w:val="18"/>
          <w:szCs w:val="18"/>
          <w:color w:val="010000"/>
        </w:rPr>
      </w:pPr>
    </w:p>
    <w:p>
      <w:pPr>
        <w:ind w:left="-540" w:firstLine="1293"/>
        <w:spacing w:after="0" w:line="277" w:lineRule="auto"/>
        <w:tabs>
          <w:tab w:leader="none" w:pos="1305"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Pursuant to General Instruction I.B.6 of Form S-3, adopted by the Commission, the issuance of the Firm Shares and the Additional Shares is eligible to be registered pursuant to the Prospectus filed as a part of the Registration Statement.</w:t>
      </w:r>
    </w:p>
    <w:p>
      <w:pPr>
        <w:spacing w:after="0" w:line="170" w:lineRule="exact"/>
        <w:rPr>
          <w:rFonts w:ascii="Arial" w:cs="Arial" w:eastAsia="Arial" w:hAnsi="Arial"/>
          <w:sz w:val="18"/>
          <w:szCs w:val="18"/>
          <w:color w:val="010000"/>
        </w:rPr>
      </w:pPr>
    </w:p>
    <w:p>
      <w:pPr>
        <w:jc w:val="both"/>
        <w:ind w:left="-540" w:firstLine="1293"/>
        <w:spacing w:after="0" w:line="271" w:lineRule="auto"/>
        <w:tabs>
          <w:tab w:leader="none" w:pos="1341"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The documents filed under the Exchange Act and incorporated by reference in the Time of Sale Disclosure Package, the Registration Statement and in the Prospectus, when they were filed with the Commission, conformed in all material respects to the requirements of the Exchange Act, as applicable, and were filed on a timely basis with the Commission and none of such documents contained an untrue statement of a material fact or omitted to state a material fact necessary to make the statements therein, in light of the circumstances under which they were made, not misleading; any further documents so filed and incorporated by reference in the Time of Sale Disclosure Package, the Registration Statement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light of the circumstances under which they were made, not misleading.</w:t>
      </w:r>
    </w:p>
    <w:p>
      <w:pPr>
        <w:spacing w:after="0" w:line="1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6" w:name="page17"/>
    <w:bookmarkEnd w:id="16"/>
    <w:p>
      <w:pPr>
        <w:jc w:val="both"/>
        <w:ind w:left="-540" w:firstLine="1293"/>
        <w:spacing w:after="0" w:line="264" w:lineRule="auto"/>
        <w:tabs>
          <w:tab w:leader="none" w:pos="1268"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Company is in substantial compliance with all applicable provisions of the Sarbanes-Oxley Act and the rules and regulations of the Commission thereunder that are effective with respect to the Company and its subsidiaries on the date of this Agreement, except where such noncompliance would not, individually or in the aggregate, result in a Material Adverse Change.</w:t>
      </w:r>
    </w:p>
    <w:p>
      <w:pPr>
        <w:spacing w:after="0" w:line="181" w:lineRule="exact"/>
        <w:rPr>
          <w:rFonts w:ascii="Arial" w:cs="Arial" w:eastAsia="Arial" w:hAnsi="Arial"/>
          <w:sz w:val="18"/>
          <w:szCs w:val="18"/>
          <w:color w:val="010000"/>
        </w:rPr>
      </w:pPr>
    </w:p>
    <w:p>
      <w:pPr>
        <w:jc w:val="both"/>
        <w:ind w:left="-540" w:firstLine="1293"/>
        <w:spacing w:after="0" w:line="279" w:lineRule="auto"/>
        <w:tabs>
          <w:tab w:leader="none" w:pos="1232"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The Company has established disclosure controls and procedures (as defined in Rules 13a-14 and 15d-14 under the Exchange Act) designed to provide reasonable assurance that material information relating to the Company, including its subsidiaries, is made known to the principal executive officer and the principal financial officer, and such disclosure controls and procedures were effective as of the last date of the most recent fiscal quarter for which the Company has filed a quarterly or annual report with the Commission.</w:t>
      </w:r>
    </w:p>
    <w:p>
      <w:pPr>
        <w:spacing w:after="0" w:line="171" w:lineRule="exact"/>
        <w:rPr>
          <w:rFonts w:ascii="Arial" w:cs="Arial" w:eastAsia="Arial" w:hAnsi="Arial"/>
          <w:sz w:val="17"/>
          <w:szCs w:val="17"/>
          <w:color w:val="010000"/>
        </w:rPr>
      </w:pPr>
    </w:p>
    <w:p>
      <w:pPr>
        <w:jc w:val="both"/>
        <w:ind w:left="-540" w:firstLine="1293"/>
        <w:spacing w:after="0" w:line="255" w:lineRule="auto"/>
        <w:tabs>
          <w:tab w:leader="none" w:pos="124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nor, to the knowledge of the Company, any of its directors, officers, 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w:t>
      </w:r>
    </w:p>
    <w:p>
      <w:pPr>
        <w:spacing w:after="0" w:line="189" w:lineRule="exact"/>
        <w:rPr>
          <w:rFonts w:ascii="Arial" w:cs="Arial" w:eastAsia="Arial" w:hAnsi="Arial"/>
          <w:sz w:val="18"/>
          <w:szCs w:val="18"/>
          <w:color w:val="010000"/>
        </w:rPr>
      </w:pPr>
    </w:p>
    <w:p>
      <w:pPr>
        <w:jc w:val="both"/>
        <w:ind w:left="-540" w:firstLine="1293"/>
        <w:spacing w:after="0" w:line="255" w:lineRule="auto"/>
        <w:tabs>
          <w:tab w:leader="none" w:pos="129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except as would not result in a Material Adverse Change;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9" w:lineRule="exact"/>
        <w:rPr>
          <w:rFonts w:ascii="Arial" w:cs="Arial" w:eastAsia="Arial" w:hAnsi="Arial"/>
          <w:sz w:val="18"/>
          <w:szCs w:val="18"/>
          <w:color w:val="010000"/>
        </w:rPr>
      </w:pPr>
    </w:p>
    <w:p>
      <w:pPr>
        <w:jc w:val="both"/>
        <w:ind w:left="-540" w:firstLine="1293"/>
        <w:spacing w:after="0" w:line="302" w:lineRule="auto"/>
        <w:tabs>
          <w:tab w:leader="none" w:pos="1355" w:val="left"/>
        </w:tabs>
        <w:numPr>
          <w:ilvl w:val="0"/>
          <w:numId w:val="16"/>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is currently subject to any U.S. sanctions administered by the Office of Foreign Assets Control of the U.S. Treasury Department (“</w:t>
      </w:r>
      <w:r>
        <w:rPr>
          <w:rFonts w:ascii="Arial" w:cs="Arial" w:eastAsia="Arial" w:hAnsi="Arial"/>
          <w:sz w:val="16"/>
          <w:szCs w:val="16"/>
          <w:u w:val="single" w:color="auto"/>
          <w:color w:val="auto"/>
        </w:rPr>
        <w:t>OFAC</w:t>
      </w:r>
      <w:r>
        <w:rPr>
          <w:rFonts w:ascii="Arial" w:cs="Arial" w:eastAsia="Arial" w:hAnsi="Arial"/>
          <w:sz w:val="16"/>
          <w:szCs w:val="16"/>
          <w:color w:val="auto"/>
        </w:rPr>
        <w:t>”); and the Company will not directly or indirectly use the proceeds of this offering of the Shares contemplated hereby,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54" w:lineRule="exact"/>
        <w:rPr>
          <w:rFonts w:ascii="Arial" w:cs="Arial" w:eastAsia="Arial" w:hAnsi="Arial"/>
          <w:sz w:val="16"/>
          <w:szCs w:val="16"/>
          <w:color w:val="010000"/>
        </w:rPr>
      </w:pPr>
    </w:p>
    <w:p>
      <w:pPr>
        <w:ind w:left="-540" w:firstLine="1293"/>
        <w:spacing w:after="0" w:line="277" w:lineRule="auto"/>
        <w:tabs>
          <w:tab w:leader="none" w:pos="133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No approval of the stockholders of the Company under the rules and regulations of NASDAQ Capital Market is required for the Company to issue and deliver the Shares to the Underwriters pursuant to this Agreement.</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7" w:name="page18"/>
    <w:bookmarkEnd w:id="17"/>
    <w:p>
      <w:pPr>
        <w:ind w:firstLine="1305"/>
        <w:spacing w:after="0" w:line="277" w:lineRule="auto"/>
        <w:tabs>
          <w:tab w:leader="none" w:pos="1551" w:val="left"/>
        </w:tabs>
        <w:numPr>
          <w:ilvl w:val="2"/>
          <w:numId w:val="17"/>
        </w:numPr>
        <w:rPr>
          <w:rFonts w:ascii="Arial" w:cs="Arial" w:eastAsia="Arial" w:hAnsi="Arial"/>
          <w:sz w:val="18"/>
          <w:szCs w:val="18"/>
          <w:color w:val="010000"/>
        </w:rPr>
      </w:pPr>
      <w:r>
        <w:rPr>
          <w:rFonts w:ascii="Arial" w:cs="Arial" w:eastAsia="Arial" w:hAnsi="Arial"/>
          <w:sz w:val="18"/>
          <w:szCs w:val="18"/>
          <w:color w:val="auto"/>
        </w:rPr>
        <w:t>Any certificate signed by any officer of the Company and delivered to the Underwriters shall be deemed a representation and warranty by the Company to the Underwriters as to the matters covered thereby.</w:t>
      </w:r>
    </w:p>
    <w:p>
      <w:pPr>
        <w:spacing w:after="0" w:line="170" w:lineRule="exact"/>
        <w:rPr>
          <w:rFonts w:ascii="Arial" w:cs="Arial" w:eastAsia="Arial" w:hAnsi="Arial"/>
          <w:sz w:val="18"/>
          <w:szCs w:val="18"/>
          <w:color w:val="010000"/>
        </w:rPr>
      </w:pPr>
    </w:p>
    <w:p>
      <w:pPr>
        <w:ind w:left="840" w:hanging="184"/>
        <w:spacing w:after="0"/>
        <w:tabs>
          <w:tab w:leader="none" w:pos="84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PURCHASE, SALE AND DELIVERY OF SHARES.</w:t>
      </w:r>
    </w:p>
    <w:p>
      <w:pPr>
        <w:spacing w:after="0" w:line="225" w:lineRule="exact"/>
        <w:rPr>
          <w:rFonts w:ascii="Arial" w:cs="Arial" w:eastAsia="Arial" w:hAnsi="Arial"/>
          <w:sz w:val="18"/>
          <w:szCs w:val="18"/>
          <w:color w:val="010000"/>
        </w:rPr>
      </w:pPr>
    </w:p>
    <w:p>
      <w:pPr>
        <w:ind w:left="1540" w:hanging="235"/>
        <w:spacing w:after="0"/>
        <w:tabs>
          <w:tab w:leader="none" w:pos="1540" w:val="left"/>
        </w:tabs>
        <w:numPr>
          <w:ilvl w:val="2"/>
          <w:numId w:val="18"/>
        </w:numPr>
        <w:rPr>
          <w:rFonts w:ascii="Arial" w:cs="Arial" w:eastAsia="Arial" w:hAnsi="Arial"/>
          <w:sz w:val="16"/>
          <w:szCs w:val="16"/>
          <w:color w:val="010000"/>
        </w:rPr>
      </w:pPr>
      <w:r>
        <w:rPr>
          <w:rFonts w:ascii="Arial" w:cs="Arial" w:eastAsia="Arial" w:hAnsi="Arial"/>
          <w:sz w:val="16"/>
          <w:szCs w:val="16"/>
          <w:color w:val="auto"/>
        </w:rPr>
        <w:t>On the basis of the representations, warranties and agreements herein contained, but subject to the terms and conditions herein set forth,</w:t>
      </w:r>
    </w:p>
    <w:p>
      <w:pPr>
        <w:spacing w:after="0" w:line="46" w:lineRule="exact"/>
        <w:rPr>
          <w:rFonts w:ascii="Arial" w:cs="Arial" w:eastAsia="Arial" w:hAnsi="Arial"/>
          <w:sz w:val="16"/>
          <w:szCs w:val="16"/>
          <w:color w:val="010000"/>
        </w:rPr>
      </w:pPr>
    </w:p>
    <w:p>
      <w:pPr>
        <w:jc w:val="both"/>
        <w:ind w:firstLine="8"/>
        <w:spacing w:after="0" w:line="267" w:lineRule="auto"/>
        <w:tabs>
          <w:tab w:leader="none" w:pos="2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agrees to issue and sell to each of the Underwriters, and each of the Underwriters agrees, severally and not jointly, to purchase from the Company, at a purchase price equal to $3.348 per share or such higher price so that the underwriting discount, following the offering of the shares and the price to the public as contemplated by the Prospectus, with respect to each such share is 7% (the “</w:t>
      </w:r>
      <w:r>
        <w:rPr>
          <w:rFonts w:ascii="Arial" w:cs="Arial" w:eastAsia="Arial" w:hAnsi="Arial"/>
          <w:sz w:val="17"/>
          <w:szCs w:val="17"/>
          <w:u w:val="single" w:color="auto"/>
          <w:color w:val="auto"/>
        </w:rPr>
        <w:t>Per Share Price</w:t>
      </w:r>
      <w:r>
        <w:rPr>
          <w:rFonts w:ascii="Arial" w:cs="Arial" w:eastAsia="Arial" w:hAnsi="Arial"/>
          <w:sz w:val="17"/>
          <w:szCs w:val="17"/>
          <w:color w:val="auto"/>
        </w:rPr>
        <w:t xml:space="preserve">”), the number of Firm Shares as set forth opposite the name of such Underwriter on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 and (ii) in the event and to the extent that the Underwriters shall exercise the election to purchase Additional Shares as provided below, the Company agrees to issue and sell to each of the Underwriters, and each of the Underwriters agrees, severally and not jointly, to purchase from the Company, at the Per Share Price, that portion of the number of Additional Shares as to which such election shall have been exercised (to be adjusted so as to eliminate fractional shares) determined by multiplying such number of Additional Shares by a fraction, the numerator of which is the maximum number of Additional Shares which such Underwriter is entitled to purchase as set forth opposite the name of such Underwriter in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 and the denominator of which is the maximum number of Additional Shares that all of the Underwriters are entitled to purchase hereunder. Notwithstanding the foregoing, the parties agree that, with respect to any Shares sold by the Underwriters to Marathon Asset Management or Opaleye Management, the Underwriters’ shall purchase Shares valued at an aggregate of $3,000,000 and the underwriting discount for such Shares shall be 3%.</w:t>
      </w:r>
    </w:p>
    <w:p>
      <w:pPr>
        <w:spacing w:after="0" w:line="185"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As referenced in Section 3(a)(ii) above, the Company hereby grants to the several Underwriters the option to purchase from the Company the Additional Shares, at the Per Share Price. This option may be exercised by the Representative on behalf of the Underwriters in whole or in part at any time (but not more than once) on or before the date that is forty-five (45) days following the date hereof,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8"/>
          <w:szCs w:val="18"/>
          <w:u w:val="single" w:color="auto"/>
          <w:color w:val="auto"/>
        </w:rPr>
        <w:t>Option 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Closing Date shall not be earlier than the Closing Date nor later than two business days after the date on which the option shall have been exercised unless the Company and the Underwriters otherwise agree in writing.</w:t>
      </w:r>
    </w:p>
    <w:p>
      <w:pPr>
        <w:spacing w:after="0" w:line="189"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Payment of the purchase price and delivery for the Additional Shares shall be made at the Option Closing Date in the same manner and at the same office as the payment for the Firm Shares as set forth in Section 3(b) below.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1305"/>
        <w:spacing w:after="0" w:line="291" w:lineRule="auto"/>
        <w:tabs>
          <w:tab w:leader="none" w:pos="1551" w:val="left"/>
        </w:tabs>
        <w:numPr>
          <w:ilvl w:val="0"/>
          <w:numId w:val="20"/>
        </w:numPr>
        <w:rPr>
          <w:rFonts w:ascii="Arial" w:cs="Arial" w:eastAsia="Arial" w:hAnsi="Arial"/>
          <w:sz w:val="16"/>
          <w:szCs w:val="16"/>
          <w:color w:val="010000"/>
        </w:rPr>
      </w:pPr>
      <w:r>
        <w:rPr>
          <w:rFonts w:ascii="Arial" w:cs="Arial" w:eastAsia="Arial" w:hAnsi="Arial"/>
          <w:sz w:val="16"/>
          <w:szCs w:val="16"/>
          <w:color w:val="auto"/>
        </w:rPr>
        <w:t>The Shares will be delivered by the Company to, or as directed by, the Underwriters and the Underwriters shall deliver or cause to be delivered to the Company, by wire transfer, same-day funds payable to the order of the Company equal to the aggregate purchase price for the Firm Shares or</w:t>
      </w:r>
    </w:p>
    <w:p>
      <w:pPr>
        <w:jc w:val="both"/>
        <w:spacing w:after="0" w:line="234" w:lineRule="auto"/>
        <w:rPr>
          <w:sz w:val="20"/>
          <w:szCs w:val="20"/>
          <w:color w:val="auto"/>
        </w:rPr>
      </w:pPr>
      <w:r>
        <w:rPr>
          <w:rFonts w:ascii="Arial" w:cs="Arial" w:eastAsia="Arial" w:hAnsi="Arial"/>
          <w:sz w:val="18"/>
          <w:szCs w:val="18"/>
          <w:color w:val="auto"/>
        </w:rPr>
        <w:t>the Additional Shares, as appropriate, at the offices of National Securities Corporation, 410 Park Avenue,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10022, or such other location as directed by the Underwriters and may be mutually acceptable, (1) with respect to the Firm Shares, at 10:00 a.m. Eastern time on the third (or if the Firm Shares are priced, as contemplated by Rule 15c6-1(c) under the Exchange Act, after 4:30 p.m. Eastern time, the fourth) full business day following the date hereof, or at such other time and date as the Representative and the Company determine pursuant to Rule 15c6-1(a) under the Exchange Act (such time and date of delivery being herein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(2) with respect to the Additional Shares, at 10:00 a.m. Eastern time on the Option Closing Date. If the Representative so elects, delivery of the Shares may be made by credit through full fast transfer to the account at The Depository Trust Company designated by the Representative.</w:t>
      </w:r>
    </w:p>
    <w:p>
      <w:pPr>
        <w:spacing w:after="0" w:line="208"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COVENANTS.</w:t>
      </w:r>
    </w:p>
    <w:p>
      <w:pPr>
        <w:spacing w:after="0" w:line="225" w:lineRule="exact"/>
        <w:rPr>
          <w:rFonts w:ascii="Arial" w:cs="Arial" w:eastAsia="Arial" w:hAnsi="Arial"/>
          <w:sz w:val="18"/>
          <w:szCs w:val="18"/>
          <w:color w:val="010000"/>
        </w:rPr>
      </w:pPr>
    </w:p>
    <w:p>
      <w:pPr>
        <w:ind w:left="1540" w:hanging="235"/>
        <w:spacing w:after="0"/>
        <w:tabs>
          <w:tab w:leader="none" w:pos="154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Company covenants and agrees with the Underwriters as follows:</w:t>
      </w:r>
    </w:p>
    <w:p>
      <w:pPr>
        <w:spacing w:after="0" w:line="225" w:lineRule="exact"/>
        <w:rPr>
          <w:rFonts w:ascii="Arial" w:cs="Arial" w:eastAsia="Arial" w:hAnsi="Arial"/>
          <w:sz w:val="18"/>
          <w:szCs w:val="18"/>
          <w:color w:val="010000"/>
        </w:rPr>
      </w:pPr>
    </w:p>
    <w:p>
      <w:pPr>
        <w:jc w:val="both"/>
        <w:ind w:left="660" w:firstLine="1293"/>
        <w:spacing w:after="0" w:line="297" w:lineRule="auto"/>
        <w:tabs>
          <w:tab w:leader="none" w:pos="2171" w:val="left"/>
        </w:tabs>
        <w:numPr>
          <w:ilvl w:val="2"/>
          <w:numId w:val="21"/>
        </w:numPr>
        <w:rPr>
          <w:rFonts w:ascii="Arial" w:cs="Arial" w:eastAsia="Arial" w:hAnsi="Arial"/>
          <w:sz w:val="16"/>
          <w:szCs w:val="16"/>
          <w:color w:val="010000"/>
        </w:rPr>
      </w:pPr>
      <w:r>
        <w:rPr>
          <w:rFonts w:ascii="Arial" w:cs="Arial" w:eastAsia="Arial" w:hAnsi="Arial"/>
          <w:sz w:val="16"/>
          <w:szCs w:val="16"/>
          <w:color w:val="auto"/>
        </w:rPr>
        <w:t>During the period beginning on the date hereof and ending on the later of the Closing Date or such date, as in the opinion of counsel for the Underwriters and counsel for the Company, the Prospectus is no longer required by law to be delivered (or in lieu thereof the notice referred to in Rule 173(a) under the Securities Act is no longer required to be provided), in connection with sales by an underwriter or dealer (the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prior to amending or supplementing the Registration Statement, the Time of Sale Disclosure Package or the Prospectus, the Company shall furnish to the Representative for review a copy of each such proposed amendment or supplement.</w:t>
      </w:r>
    </w:p>
    <w:p>
      <w:pPr>
        <w:spacing w:after="0" w:line="158" w:lineRule="exact"/>
        <w:rPr>
          <w:rFonts w:ascii="Arial" w:cs="Arial" w:eastAsia="Arial" w:hAnsi="Arial"/>
          <w:sz w:val="16"/>
          <w:szCs w:val="16"/>
          <w:color w:val="010000"/>
        </w:rPr>
      </w:pPr>
    </w:p>
    <w:p>
      <w:pPr>
        <w:jc w:val="both"/>
        <w:ind w:left="660" w:firstLine="1293"/>
        <w:spacing w:after="0" w:line="287" w:lineRule="auto"/>
        <w:tabs>
          <w:tab w:leader="none" w:pos="2221" w:val="left"/>
        </w:tabs>
        <w:numPr>
          <w:ilvl w:val="2"/>
          <w:numId w:val="21"/>
        </w:numPr>
        <w:rPr>
          <w:rFonts w:ascii="Arial" w:cs="Arial" w:eastAsia="Arial" w:hAnsi="Arial"/>
          <w:sz w:val="16"/>
          <w:szCs w:val="16"/>
          <w:color w:val="010000"/>
        </w:rPr>
      </w:pPr>
      <w:r>
        <w:rPr>
          <w:rFonts w:ascii="Arial" w:cs="Arial" w:eastAsia="Arial" w:hAnsi="Arial"/>
          <w:sz w:val="16"/>
          <w:szCs w:val="16"/>
          <w:color w:val="auto"/>
        </w:rPr>
        <w:t>During the Prospectus Delivery Period, the Company shall promptly advise the Representative in writing (i) of the receipt of any comments of, or requests for additional or supplemental information from, the Commission, (ii) of the time and date of any filing of any post-effective amendment to the Registration Statement or any amendment or supplement to any Preliminary Prospectus, the Time of Sale Disclosure Package or the Prospectus, (iii) of the time and date that any post-effective amendment to the Registration Statement becomes effective and (iv)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will use its reasonable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or Rule 433 were received in a timely manner by the Commission (without reliance on Rule 424(b)(8) or Rule 164(b)).</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both"/>
        <w:ind w:left="-540" w:firstLine="1293"/>
        <w:spacing w:after="0" w:line="268" w:lineRule="auto"/>
        <w:tabs>
          <w:tab w:leader="none" w:pos="1085" w:val="left"/>
        </w:tabs>
        <w:numPr>
          <w:ilvl w:val="0"/>
          <w:numId w:val="22"/>
        </w:numPr>
        <w:rPr>
          <w:rFonts w:ascii="Arial" w:cs="Arial" w:eastAsia="Arial" w:hAnsi="Arial"/>
          <w:sz w:val="17"/>
          <w:szCs w:val="17"/>
          <w:color w:val="010000"/>
        </w:rPr>
      </w:pPr>
      <w:r>
        <w:rPr>
          <w:rFonts w:ascii="Arial" w:cs="Arial" w:eastAsia="Arial" w:hAnsi="Arial"/>
          <w:sz w:val="17"/>
          <w:szCs w:val="17"/>
          <w:color w:val="auto"/>
        </w:rPr>
        <w:t>(A) During the Prospectus Delivery Period, the Company will comply as far as it is reasonably able with all requirements imposed upon it by the Securities Act, as now and hereafter amended, and by the Rules and Regulations, as from time to time in force, and by the Exchange Act so far as necessary to permit the continuance of sales of or dealings in the Shares as contemplated by the provisions hereof, the Time of Sale Disclosure Package, and the Registration Statement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 or counsel to the Underwriters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will promptly notify the Representative and will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w:t>
      </w:r>
    </w:p>
    <w:p>
      <w:pPr>
        <w:spacing w:after="0" w:line="187" w:lineRule="exact"/>
        <w:rPr>
          <w:rFonts w:ascii="Arial" w:cs="Arial" w:eastAsia="Arial" w:hAnsi="Arial"/>
          <w:sz w:val="17"/>
          <w:szCs w:val="17"/>
          <w:color w:val="010000"/>
        </w:rPr>
      </w:pPr>
    </w:p>
    <w:p>
      <w:pPr>
        <w:jc w:val="both"/>
        <w:ind w:left="-540" w:firstLine="1617"/>
        <w:spacing w:after="0" w:line="255" w:lineRule="auto"/>
        <w:tabs>
          <w:tab w:leader="none" w:pos="1366"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 and will amend or supplement, at its own expense, such Issuer Free Writing Prospectus to eliminate or correct such conflict, untrue statement or omission.</w:t>
      </w:r>
    </w:p>
    <w:p>
      <w:pPr>
        <w:spacing w:after="0" w:line="193" w:lineRule="exact"/>
        <w:rPr>
          <w:rFonts w:ascii="Arial" w:cs="Arial" w:eastAsia="Arial" w:hAnsi="Arial"/>
          <w:sz w:val="18"/>
          <w:szCs w:val="18"/>
          <w:color w:val="010000"/>
        </w:rPr>
      </w:pPr>
    </w:p>
    <w:p>
      <w:pPr>
        <w:jc w:val="both"/>
        <w:ind w:left="-540" w:firstLine="1293"/>
        <w:spacing w:after="0" w:line="259" w:lineRule="auto"/>
        <w:tabs>
          <w:tab w:leader="none" w:pos="1075"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Company shall use its reasonable efforts to take or cause to be taken all necessary action to qualify the Shares for sale under the securities laws of such jurisdictions as the Underwriters reasonably designate upon written request and to continue such qualifications in effect so long as required for the distribution of the Shares, except that the Company shall not be required in connection therewith to qualify as a foreign corporation or to execute a general consent to service of process in any state.</w:t>
      </w:r>
    </w:p>
    <w:p>
      <w:pPr>
        <w:spacing w:after="0" w:line="186" w:lineRule="exact"/>
        <w:rPr>
          <w:rFonts w:ascii="Arial" w:cs="Arial" w:eastAsia="Arial" w:hAnsi="Arial"/>
          <w:sz w:val="18"/>
          <w:szCs w:val="18"/>
          <w:color w:val="010000"/>
        </w:rPr>
      </w:pPr>
    </w:p>
    <w:p>
      <w:pPr>
        <w:jc w:val="both"/>
        <w:ind w:left="-540" w:firstLine="1293"/>
        <w:spacing w:after="0" w:line="259" w:lineRule="auto"/>
        <w:tabs>
          <w:tab w:leader="none" w:pos="1025"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Company will furnish to the Underwriters and counsel for the Underwriters copies of the Registration Statement, each Preliminary Prospectus, the Prospectus, any Issuer Free Writing Prospectus, and all amendments and supplements to such documents (in each case without exhibits thereto or documents incorporated therein by reference) as soon as practicable following receipt of a request therefor, in such quantities as the Underwriters may from time to time reasonably request.</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20" w:name="page21"/>
    <w:bookmarkEnd w:id="20"/>
    <w:p>
      <w:pPr>
        <w:jc w:val="both"/>
        <w:ind w:left="-540" w:firstLine="1293"/>
        <w:spacing w:after="0" w:line="264" w:lineRule="auto"/>
        <w:tabs>
          <w:tab w:leader="none" w:pos="1075"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181" w:lineRule="exact"/>
        <w:rPr>
          <w:rFonts w:ascii="Arial" w:cs="Arial" w:eastAsia="Arial" w:hAnsi="Arial"/>
          <w:sz w:val="18"/>
          <w:szCs w:val="18"/>
          <w:color w:val="010000"/>
        </w:rPr>
      </w:pPr>
    </w:p>
    <w:p>
      <w:pPr>
        <w:jc w:val="both"/>
        <w:ind w:left="-540" w:firstLine="1293"/>
        <w:spacing w:after="0" w:line="284" w:lineRule="auto"/>
        <w:tabs>
          <w:tab w:leader="none" w:pos="1111" w:val="left"/>
        </w:tabs>
        <w:numPr>
          <w:ilvl w:val="0"/>
          <w:numId w:val="23"/>
        </w:numPr>
        <w:rPr>
          <w:rFonts w:ascii="Arial" w:cs="Arial" w:eastAsia="Arial" w:hAnsi="Arial"/>
          <w:sz w:val="16"/>
          <w:szCs w:val="16"/>
          <w:color w:val="010000"/>
        </w:rPr>
      </w:pPr>
      <w:r>
        <w:rPr>
          <w:rFonts w:ascii="Arial" w:cs="Arial" w:eastAsia="Arial" w:hAnsi="Arial"/>
          <w:sz w:val="16"/>
          <w:szCs w:val="16"/>
          <w:color w:val="auto"/>
        </w:rPr>
        <w:t xml:space="preserve">The Company will pay or cause to be paid (A) all expenses (including transfer taxes allocated to the respective transferees) incurred in connection with the delivery to the Underwriters of the Shares, (B) all expenses and fees in connection with the preparation, printing, filing, delivery, and shipping of the Registration Statement (including the financial statements therein and all amendments, schedules, and exhibits thereto), the Shares, each Preliminary Prospectus, the Prospectus, any Issuer Free Writing Prospectus and any amendment thereof or supplement thereto, and the printing, delivery, and shipping of this Agreement and other underwriting documents, including any Blue Sky Memoranda (covering the states and other applicable jurisdictions), (C) all filing fees in connection with the qualification of the Shares for offering and sale by the Underwriters or by dealers under the securities or blue sky laws of the states and other jurisdictions as requested by the Representative and to the extent required by law, (D) the fees and expenses of any transfer agent or registrar for the Shares, (E) the filing fees incident to any required review and approval by FINRA of the terms of the sale of the Shares, (F) listing fees, if any, (G) all other costs and expenses incident to the performance by the Company of its obligations hereunder that are not otherwise specifically provided for herein, (H) all costs and expenses relating to investor presentations or any “road show”, including, without limitation, the costs of recording and hosting on the Internet of the Company’s road show presentation and any travel expenses of the Company’s officers and employees and any other expenses of the Company, (I) the fees, disbursements and expenses of the Underwriters’ counsel, and (J) a non-accountable expense allowance in the amount of 50% of any underwriting compensation payable to Sterne Agee CRT in connection with the sale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maximum amount of fees, costs and expenses incurred by the Underwriters with respect to subparagraphs (A) through (I) above, on their own behalf, including, without limitation, the fees, disbursements and expenses of counsel to the Underwriters, that the Company shall be required to pay under this Section 4(a)(vii) shall be $60,000. If this Agreement is terminated by the Underwriters pursuant to Section 8(i) or (ii) hereof or if the sale of the Shares provided for herein is not consummated by reason of any failure, refusal or inability on the part of the Company to perform any agreement on its part to be performed, or because any other condition of the Underwriters’ obligations hereunder required to be fulfilled by the Company is not fulfilled or waived by the Representative, the Company will reimburse the Underwriters, upon presentation of a written accounting in reasonable detail (but without the need to include the underlying statements or evidence of payment) for reasonable actual out-of-pocket disbursements (including but not limited to printing expenses, travel expenses, postage, facsimile and telephone charges) incurred by the Underwriters in connection with their investigation, preparing to market and marketing the Shares or in contemplation of performing their obligations hereunder and for reasonable fees and disbursements of counsel, not to exceed $50,000 in the aggregate. Notwithstanding anything contained herein, the maximum amount payable by the Company pursuant to this Section 4(a)(vii)(A)-(I) shall be $60,000 (the “</w:t>
      </w:r>
      <w:r>
        <w:rPr>
          <w:rFonts w:ascii="Arial" w:cs="Arial" w:eastAsia="Arial" w:hAnsi="Arial"/>
          <w:sz w:val="16"/>
          <w:szCs w:val="16"/>
          <w:u w:val="single" w:color="auto"/>
          <w:color w:val="auto"/>
        </w:rPr>
        <w:t>Expense Cap</w:t>
      </w:r>
      <w:r>
        <w:rPr>
          <w:rFonts w:ascii="Arial" w:cs="Arial" w:eastAsia="Arial" w:hAnsi="Arial"/>
          <w:sz w:val="16"/>
          <w:szCs w:val="16"/>
          <w:color w:val="auto"/>
        </w:rPr>
        <w:t>”). Except as provided herein, the Underwriters shall pay all of their own costs and expenses, including, without limitation, fees and disbursements of their counsel.</w:t>
      </w:r>
    </w:p>
    <w:p>
      <w:pPr>
        <w:spacing w:after="0" w:line="17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21" w:name="page22"/>
    <w:bookmarkEnd w:id="21"/>
    <w:p>
      <w:pPr>
        <w:ind w:left="-540" w:right="20" w:firstLine="1293"/>
        <w:spacing w:after="0" w:line="277" w:lineRule="auto"/>
        <w:tabs>
          <w:tab w:leader="none" w:pos="1161"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The Company will apply the net proceeds from the sale of the Shares to be sold by it hereunder for the purposes set forth in the Time of Sale Disclosure Package and in the Prospectus.</w:t>
      </w:r>
    </w:p>
    <w:p>
      <w:pPr>
        <w:spacing w:after="0" w:line="170" w:lineRule="exact"/>
        <w:rPr>
          <w:rFonts w:ascii="Arial" w:cs="Arial" w:eastAsia="Arial" w:hAnsi="Arial"/>
          <w:sz w:val="18"/>
          <w:szCs w:val="18"/>
          <w:color w:val="010000"/>
        </w:rPr>
      </w:pPr>
    </w:p>
    <w:p>
      <w:pPr>
        <w:jc w:val="both"/>
        <w:ind w:left="-540" w:firstLine="1293"/>
        <w:spacing w:after="0" w:line="264" w:lineRule="auto"/>
        <w:tabs>
          <w:tab w:leader="none" w:pos="1061"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None of the Company and its subsidiaries has taken or will take, directly or indirectly, any action designed to or which might reasonably be expected to cause or result in, or which has constituted, the stabilization or manipulation of the price of any security of the Company to facilitate the sale or resale of the Shares.</w:t>
      </w:r>
    </w:p>
    <w:p>
      <w:pPr>
        <w:spacing w:after="0" w:line="181" w:lineRule="exact"/>
        <w:rPr>
          <w:rFonts w:ascii="Arial" w:cs="Arial" w:eastAsia="Arial" w:hAnsi="Arial"/>
          <w:sz w:val="18"/>
          <w:szCs w:val="18"/>
          <w:color w:val="010000"/>
        </w:rPr>
      </w:pPr>
    </w:p>
    <w:p>
      <w:pPr>
        <w:ind w:left="-540" w:firstLine="1293"/>
        <w:spacing w:after="0" w:line="308" w:lineRule="auto"/>
        <w:tabs>
          <w:tab w:leader="none" w:pos="1025"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Except as provided in this Agreement, the Company will not incur any liability for any finder’s or broker’s fee or agent’s commission in connection with the execution and delivery of this Agreement or the consummation of the transactions contemplated hereby.</w:t>
      </w:r>
    </w:p>
    <w:p>
      <w:pPr>
        <w:spacing w:after="0" w:line="146" w:lineRule="exact"/>
        <w:rPr>
          <w:rFonts w:ascii="Arial" w:cs="Arial" w:eastAsia="Arial" w:hAnsi="Arial"/>
          <w:sz w:val="17"/>
          <w:szCs w:val="17"/>
          <w:color w:val="010000"/>
        </w:rPr>
      </w:pPr>
    </w:p>
    <w:p>
      <w:pPr>
        <w:ind w:left="-540" w:firstLine="1293"/>
        <w:spacing w:after="0" w:line="277" w:lineRule="auto"/>
        <w:tabs>
          <w:tab w:leader="none" w:pos="1061"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During the Prospectus Delivery Period, the Company will file on a timely basis with the Commission such periodic reports as required by the Exchange Act.</w:t>
      </w:r>
    </w:p>
    <w:p>
      <w:pPr>
        <w:spacing w:after="0" w:line="170" w:lineRule="exact"/>
        <w:rPr>
          <w:rFonts w:ascii="Arial" w:cs="Arial" w:eastAsia="Arial" w:hAnsi="Arial"/>
          <w:sz w:val="18"/>
          <w:szCs w:val="18"/>
          <w:color w:val="010000"/>
        </w:rPr>
      </w:pPr>
    </w:p>
    <w:p>
      <w:pPr>
        <w:jc w:val="both"/>
        <w:ind w:left="-540" w:firstLine="1293"/>
        <w:spacing w:after="0" w:line="270" w:lineRule="auto"/>
        <w:tabs>
          <w:tab w:leader="none" w:pos="1111"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The Company and its subsidiaries will maintain controls and other procedures, including without limitation those applicable to the Company and required by Sections 302 and 906 of the Sarbanes-Oxley Act and the applicable regulations thereunder, that are designed to provide reasonable assurance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 subject to the representation in Section 2(a)(xxii).</w:t>
      </w:r>
    </w:p>
    <w:p>
      <w:pPr>
        <w:spacing w:after="0" w:line="181" w:lineRule="exact"/>
        <w:rPr>
          <w:rFonts w:ascii="Arial" w:cs="Arial" w:eastAsia="Arial" w:hAnsi="Arial"/>
          <w:sz w:val="17"/>
          <w:szCs w:val="17"/>
          <w:color w:val="010000"/>
        </w:rPr>
      </w:pPr>
    </w:p>
    <w:p>
      <w:pPr>
        <w:jc w:val="both"/>
        <w:ind w:left="-540" w:right="20" w:firstLine="1293"/>
        <w:spacing w:after="0" w:line="264" w:lineRule="auto"/>
        <w:tabs>
          <w:tab w:leader="none" w:pos="1161"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The Company and its subsidiaries, to the extent required, will substantially comply with all effective applicable provisions of the Sarbanes-Oxley Act, subject to the representation in Section 2(a)(xxii) and except where such noncompliance would not, individually or in the aggregate, result in a Material Adverse Change.</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22" w:name="page23"/>
    <w:bookmarkEnd w:id="22"/>
    <w:p>
      <w:pPr>
        <w:jc w:val="both"/>
        <w:ind w:left="4" w:firstLine="1293"/>
        <w:spacing w:after="0" w:line="289" w:lineRule="auto"/>
        <w:tabs>
          <w:tab w:leader="none" w:pos="1736" w:val="left"/>
        </w:tabs>
        <w:numPr>
          <w:ilvl w:val="1"/>
          <w:numId w:val="25"/>
        </w:numPr>
        <w:rPr>
          <w:rFonts w:ascii="Arial" w:cs="Arial" w:eastAsia="Arial" w:hAnsi="Arial"/>
          <w:sz w:val="16"/>
          <w:szCs w:val="16"/>
          <w:color w:val="010000"/>
        </w:rPr>
      </w:pPr>
      <w:r>
        <w:rPr>
          <w:rFonts w:ascii="Arial" w:cs="Arial" w:eastAsia="Arial" w:hAnsi="Arial"/>
          <w:sz w:val="16"/>
          <w:szCs w:val="16"/>
          <w:color w:val="auto"/>
        </w:rPr>
        <w:t xml:space="preserve">The Company represents and agrees that, unless it obtains the prior written consent of the Representative, and the Underwriters represent and agree that, unless they obtain the prior written consent of the Company, it has not made and will not make and they have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Any such free writing prospectus consented to by the Company and the Underwriters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166" w:lineRule="exact"/>
        <w:rPr>
          <w:rFonts w:ascii="Arial" w:cs="Arial" w:eastAsia="Arial" w:hAnsi="Arial"/>
          <w:sz w:val="16"/>
          <w:szCs w:val="16"/>
          <w:color w:val="010000"/>
        </w:rPr>
      </w:pPr>
    </w:p>
    <w:p>
      <w:pPr>
        <w:jc w:val="both"/>
        <w:ind w:left="4" w:firstLine="1293"/>
        <w:spacing w:after="0" w:line="288" w:lineRule="auto"/>
        <w:tabs>
          <w:tab w:leader="none" w:pos="1672" w:val="left"/>
        </w:tabs>
        <w:numPr>
          <w:ilvl w:val="1"/>
          <w:numId w:val="25"/>
        </w:numPr>
        <w:rPr>
          <w:rFonts w:ascii="Arial" w:cs="Arial" w:eastAsia="Arial" w:hAnsi="Arial"/>
          <w:sz w:val="16"/>
          <w:szCs w:val="16"/>
          <w:color w:val="010000"/>
        </w:rPr>
      </w:pPr>
      <w:r>
        <w:rPr>
          <w:rFonts w:ascii="Arial" w:cs="Arial" w:eastAsia="Arial" w:hAnsi="Arial"/>
          <w:sz w:val="16"/>
          <w:szCs w:val="16"/>
          <w:color w:val="auto"/>
        </w:rPr>
        <w:t>The Company will not, for a period of one hundred twenty (120) days from the date of the Prospectus (the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without the prior written consent of the Representative, directly or indirectly offer, sell, assign, transfer, pledge, contract to sell, or otherwise dispose of, any shares of Common Stock or any securities convertible into or exercisable or exchangeable for Common Stock, other than</w:t>
      </w:r>
    </w:p>
    <w:p>
      <w:pPr>
        <w:jc w:val="both"/>
        <w:ind w:left="4" w:hanging="4"/>
        <w:spacing w:after="0" w:line="266" w:lineRule="auto"/>
        <w:tabs>
          <w:tab w:leader="none" w:pos="302"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Company’s sale of the Shares hereunder, (B) the issuance of Common Stock or any equity awards (including the issuance of Common Stock upon exercise or settlement of such equity awards) pursuant to the Company’s equity incentive plan or employee stock purchase plan or any agreement duly adopted for such purpose by a majority of the Company’s non-employee directors or a committee comprised of non-employee directors, (C) the issuance of Common Stock pursuant to the vesting, exercise or conversion of options, restricted stock units, warrants, convertible notes or other rights outstanding on the date hereof, and (D) the issuance by the Company of securities pursuant to acquisitions or strategic transactions approved by a majority of the Company’s disinterested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issuances are not primarily for the purpose of raising capital. The Company also will not, during such one hundred twenty (120) day period, file any registration statement under the Securities Act which registers, or offers for sale, Common Stock or any securities convertible into or exercisable or exchangeable for Common Stock, except for registration statements on Form S-4 or Form S-8. The Company will cause each director and executive officer listed on </w:t>
      </w:r>
      <w:r>
        <w:rPr>
          <w:rFonts w:ascii="Arial" w:cs="Arial" w:eastAsia="Arial" w:hAnsi="Arial"/>
          <w:sz w:val="17"/>
          <w:szCs w:val="17"/>
          <w:u w:val="single" w:color="auto"/>
          <w:color w:val="auto"/>
        </w:rPr>
        <w:t>Schedule V</w:t>
      </w:r>
      <w:r>
        <w:rPr>
          <w:rFonts w:ascii="Arial" w:cs="Arial" w:eastAsia="Arial" w:hAnsi="Arial"/>
          <w:sz w:val="17"/>
          <w:szCs w:val="17"/>
          <w:color w:val="auto"/>
        </w:rPr>
        <w:t xml:space="preserve"> to furnish to the Representative, prior to the Closing Date, a letter, substantially in the form of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Lock-Up Agreement</w:t>
      </w:r>
      <w:r>
        <w:rPr>
          <w:rFonts w:ascii="Arial" w:cs="Arial" w:eastAsia="Arial" w:hAnsi="Arial"/>
          <w:sz w:val="17"/>
          <w:szCs w:val="17"/>
          <w:color w:val="auto"/>
        </w:rPr>
        <w:t>”), pursuant to which each such person shall agree, among other things, subject to the terms, conditions, limitations and exceptions set forth in each such letter, not to directly or indirectly offer, sell, assign, transfer, pledge, contract to sell, or otherwise dispose of, any shares of Common Stock or any securities convertible into or exercisable or exchangeable for Common Stock, not to engage in any swap or other agreement or arrangement that transfers, in whole or in part, directly or indirectly, the economic risk of ownership of Common Stock or any such securities, during the period of one hundred twenty (120) days from the date of the Prospectus, without the prior written consent of the Representative. The Company will also use its commercially reasonable efforts to cause Professional Compounding Centers of America, Inc. (“</w:t>
      </w:r>
      <w:r>
        <w:rPr>
          <w:rFonts w:ascii="Arial" w:cs="Arial" w:eastAsia="Arial" w:hAnsi="Arial"/>
          <w:sz w:val="17"/>
          <w:szCs w:val="17"/>
          <w:u w:val="single" w:color="auto"/>
          <w:color w:val="auto"/>
        </w:rPr>
        <w:t>PCCA</w:t>
      </w:r>
      <w:r>
        <w:rPr>
          <w:rFonts w:ascii="Arial" w:cs="Arial" w:eastAsia="Arial" w:hAnsi="Arial"/>
          <w:sz w:val="17"/>
          <w:szCs w:val="17"/>
          <w:color w:val="auto"/>
        </w:rPr>
        <w:t>”) to furnish to the Representative, as soon as practicable, but not necessarily prior to the Closing Date, a Lock-Up Agreement and, if the Company is unable to cause PCCA to furnish such Lock-Up Agreement to the Representative in a timely manner, to take reasonable action, as permitted under Section 4.7 of that certain Securities Purchase Agreement dated August 30, 2012 between the Company and PCCA, to limit PCCA’s sale of the Common Stock in a manner contemplated by the Lock-Up Agreement.</w:t>
      </w:r>
    </w:p>
    <w:p>
      <w:pPr>
        <w:spacing w:after="0" w:line="19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23" w:name="page24"/>
    <w:bookmarkEnd w:id="23"/>
    <w:p>
      <w:pPr>
        <w:jc w:val="both"/>
        <w:ind w:left="-60" w:firstLine="818"/>
        <w:spacing w:after="0" w:line="276" w:lineRule="auto"/>
        <w:tabs>
          <w:tab w:leader="none" w:pos="930"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CONDITIONS OF THE UNDERWRITERS’ OBLIGATIONS. The obligations of the Underwriters hereunder are subject to the accuracy, as of the date hereof and at the Closing Date (as if made at the Closing Date) of and compliance with all representations, warranties and agreements of the Company contained herein (except to the extent any such representations, warranties or agreements expressly relate to a specified earlier date, in which case, such representations, warranties and agreements shall be accurate or complied with as of such specified earlier date), to the performance by the Company of its obligations hereunder and to the following additional conditions, in each case unless waived by the Representative:</w:t>
      </w:r>
    </w:p>
    <w:p>
      <w:pPr>
        <w:spacing w:after="0" w:line="172" w:lineRule="exact"/>
        <w:rPr>
          <w:rFonts w:ascii="Arial" w:cs="Arial" w:eastAsia="Arial" w:hAnsi="Arial"/>
          <w:sz w:val="17"/>
          <w:szCs w:val="17"/>
          <w:color w:val="010000"/>
        </w:rPr>
      </w:pPr>
    </w:p>
    <w:p>
      <w:pPr>
        <w:jc w:val="both"/>
        <w:ind w:left="-60" w:firstLine="1305"/>
        <w:spacing w:after="0" w:line="270" w:lineRule="auto"/>
        <w:tabs>
          <w:tab w:leader="none" w:pos="1495" w:val="left"/>
        </w:tabs>
        <w:numPr>
          <w:ilvl w:val="1"/>
          <w:numId w:val="27"/>
        </w:numPr>
        <w:rPr>
          <w:rFonts w:ascii="Arial" w:cs="Arial" w:eastAsia="Arial" w:hAnsi="Arial"/>
          <w:sz w:val="17"/>
          <w:szCs w:val="17"/>
          <w:color w:val="010000"/>
        </w:rPr>
      </w:pPr>
      <w:r>
        <w:rPr>
          <w:rFonts w:ascii="Arial" w:cs="Arial" w:eastAsia="Arial" w:hAnsi="Arial"/>
          <w:sz w:val="17"/>
          <w:szCs w:val="17"/>
          <w:color w:val="auto"/>
        </w:rPr>
        <w:t>If the filing of the Prospectus, or any amendment or supplement thereto, or any 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or any amendment thereof, nor suspending or preventing the use of the Time of Sale Disclosure Package, the Prospectus or any Issuer Free Writing Prospectus shall have been issued; no proceedings for the issuance of such an order shall have been initiated or, to the Company’s knowledge, threatened; any request of the Commission for additional information (to be included in the Registration Statement, the Time of Sale Disclosure Package, the Prospectus, any Issuer Free Writing Prospectus or otherwise) shall have been complied with to the Underwriters’ reasonable satisfaction; and FINRA shall have raised no objection to the fairness and reasonableness of the underwriting terms and compensation arrangements.</w:t>
      </w:r>
    </w:p>
    <w:p>
      <w:pPr>
        <w:spacing w:after="0" w:line="181" w:lineRule="exact"/>
        <w:rPr>
          <w:rFonts w:ascii="Arial" w:cs="Arial" w:eastAsia="Arial" w:hAnsi="Arial"/>
          <w:sz w:val="17"/>
          <w:szCs w:val="17"/>
          <w:color w:val="010000"/>
        </w:rPr>
      </w:pPr>
    </w:p>
    <w:p>
      <w:pPr>
        <w:jc w:val="both"/>
        <w:ind w:left="-60" w:firstLine="1305"/>
        <w:spacing w:after="0" w:line="255" w:lineRule="auto"/>
        <w:tabs>
          <w:tab w:leader="none" w:pos="1505"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The Underwriters shall not have advised the Company that the Registration Statement, the Time of Sale Disclosure Package or the Prospectus, or any amendment thereof or supplement thereto, or any Issuer Free Writing Prospectus, contains an untrue statement of fact which, in the Underwriters’ opinion, is material, or omits to state a fact which, in the Underwriters’ opinion, is material and is required to be stated therein or necessary to make the statements therein not misleading, unless, in each case, the Company shall have filed an amendment or supplement to the Registration Statement, the applicable documents included in the Time of Sale Disclosure Package, the Prospectus or the Issuer Free Writing Prospectus to correct such statement of fact or omission.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24" w:name="page25"/>
    <w:bookmarkEnd w:id="24"/>
    <w:p>
      <w:pPr>
        <w:jc w:val="both"/>
        <w:ind w:left="-8" w:firstLine="1305"/>
        <w:spacing w:after="0" w:line="287" w:lineRule="auto"/>
        <w:tabs>
          <w:tab w:leader="none" w:pos="1547" w:val="left"/>
        </w:tabs>
        <w:numPr>
          <w:ilvl w:val="1"/>
          <w:numId w:val="28"/>
        </w:numPr>
        <w:rPr>
          <w:rFonts w:ascii="Arial" w:cs="Arial" w:eastAsia="Arial" w:hAnsi="Arial"/>
          <w:sz w:val="16"/>
          <w:szCs w:val="16"/>
          <w:color w:val="010000"/>
        </w:rPr>
      </w:pPr>
      <w:r>
        <w:rPr>
          <w:rFonts w:ascii="Arial" w:cs="Arial" w:eastAsia="Arial" w:hAnsi="Arial"/>
          <w:sz w:val="16"/>
          <w:szCs w:val="16"/>
          <w:color w:val="auto"/>
        </w:rPr>
        <w:t>Except as contemplated in the Time of Sale Disclosure Package and in the Prospectus, subsequent to the respective dates as of which information is given in the Time of Sale Disclosure Package and the Prospectus, neither the Company nor any of its subsidiaries shall have incurred any liabilities or obligations, direct or contingent which are material to the Company and its subsidiaries taken as a whole, entered into any transactions not in the ordinary course of business which are material to the Company and its subsidiaries taken as a whole, or declared or paid any dividends or made any distribution of any kind with respect to its capital stock; and except as disclosed in the Time of Sale Disclosure Package and in the Prospectus, there shall not have been any change in the capital stock (other than a change in the number of outstanding shares of Common Stock due to the issuance of shares upon the exercise or conversion of outstanding options, warrants or convertible notes or vesting of any outstanding restricted stock units), any material change in the short-term or long-term debt of the Company except for the extinguishment thereof, any issuance of options, warrants, convertible securities or other rights to purchase the capital stock of the Company or any of the Company’s subsidiaries (other than the issuance of options, restricted stock units and other awards or shares under the Company’s equity incentive plans and employee stock purchase plans), or any Material Adverse Change, the effect of which, in any such case described above, in the Representative’s reasonable judgment, makes it impractical or inadvisable to offer or deliver the Shares on the terms and in the manner contemplated in the Time of Sale Disclosure Package, the Registration Statement and the Prospectus.</w:t>
      </w:r>
    </w:p>
    <w:p>
      <w:pPr>
        <w:spacing w:after="0" w:line="168" w:lineRule="exact"/>
        <w:rPr>
          <w:rFonts w:ascii="Arial" w:cs="Arial" w:eastAsia="Arial" w:hAnsi="Arial"/>
          <w:sz w:val="16"/>
          <w:szCs w:val="16"/>
          <w:color w:val="010000"/>
        </w:rPr>
      </w:pPr>
    </w:p>
    <w:p>
      <w:pPr>
        <w:jc w:val="both"/>
        <w:ind w:left="-8" w:firstLine="1305"/>
        <w:spacing w:after="0" w:line="291" w:lineRule="auto"/>
        <w:tabs>
          <w:tab w:leader="none" w:pos="1557" w:val="left"/>
        </w:tabs>
        <w:numPr>
          <w:ilvl w:val="1"/>
          <w:numId w:val="28"/>
        </w:numPr>
        <w:rPr>
          <w:rFonts w:ascii="Arial" w:cs="Arial" w:eastAsia="Arial" w:hAnsi="Arial"/>
          <w:sz w:val="16"/>
          <w:szCs w:val="16"/>
          <w:color w:val="010000"/>
        </w:rPr>
      </w:pPr>
      <w:r>
        <w:rPr>
          <w:rFonts w:ascii="Arial" w:cs="Arial" w:eastAsia="Arial" w:hAnsi="Arial"/>
          <w:sz w:val="16"/>
          <w:szCs w:val="16"/>
          <w:color w:val="auto"/>
        </w:rPr>
        <w:t>On or after the Time of Sale (i) no downgrading shall have occurred in the rating accorded any of the Company’s securities by any “nationally recognized statistical rating organization,” as that term is defined by the Commission for purposes of Rule 436(g)(2) under the Securities Act, and</w:t>
      </w:r>
    </w:p>
    <w:p>
      <w:pPr>
        <w:ind w:left="-8" w:right="20" w:firstLine="8"/>
        <w:spacing w:after="0" w:line="261"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such organization shall have publicly announced that it has under surveillance or review, with possible negative implications, its rating of any of the Company’s securities.</w:t>
      </w:r>
    </w:p>
    <w:p>
      <w:pPr>
        <w:spacing w:after="0" w:line="183" w:lineRule="exact"/>
        <w:rPr>
          <w:rFonts w:ascii="Arial" w:cs="Arial" w:eastAsia="Arial" w:hAnsi="Arial"/>
          <w:sz w:val="18"/>
          <w:szCs w:val="18"/>
          <w:color w:val="auto"/>
        </w:rPr>
      </w:pPr>
    </w:p>
    <w:p>
      <w:pPr>
        <w:ind w:left="-8" w:firstLine="1305"/>
        <w:spacing w:after="0" w:line="342" w:lineRule="auto"/>
        <w:tabs>
          <w:tab w:leader="none" w:pos="1533" w:val="left"/>
        </w:tabs>
        <w:numPr>
          <w:ilvl w:val="1"/>
          <w:numId w:val="29"/>
        </w:numPr>
        <w:rPr>
          <w:rFonts w:ascii="Arial" w:cs="Arial" w:eastAsia="Arial" w:hAnsi="Arial"/>
          <w:sz w:val="16"/>
          <w:szCs w:val="16"/>
          <w:color w:val="010000"/>
        </w:rPr>
      </w:pPr>
      <w:r>
        <w:rPr>
          <w:rFonts w:ascii="Arial" w:cs="Arial" w:eastAsia="Arial" w:hAnsi="Arial"/>
          <w:sz w:val="16"/>
          <w:szCs w:val="16"/>
          <w:color w:val="auto"/>
        </w:rPr>
        <w:t>On the Closing Date, there shall have been furnished to the Representative the opinion of Golenbock Eiseman Assor Bell &amp; Peskoe LLP, counsel for the Company, dated the Closing Date and addressed to the Representative, in form and substance reasonably satisfactory to the Underwriters.</w:t>
      </w:r>
    </w:p>
    <w:p>
      <w:pPr>
        <w:spacing w:after="0" w:line="123" w:lineRule="exact"/>
        <w:rPr>
          <w:rFonts w:ascii="Arial" w:cs="Arial" w:eastAsia="Arial" w:hAnsi="Arial"/>
          <w:sz w:val="16"/>
          <w:szCs w:val="16"/>
          <w:color w:val="010000"/>
        </w:rPr>
      </w:pPr>
    </w:p>
    <w:p>
      <w:pPr>
        <w:jc w:val="both"/>
        <w:ind w:left="-8" w:firstLine="1305"/>
        <w:spacing w:after="0" w:line="259" w:lineRule="auto"/>
        <w:tabs>
          <w:tab w:leader="none" w:pos="1513"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On the date of the execution of this Agreement, on the effective date of any post-effective amendment to the Registration Statement filed subsequent to the date of this Agreement and also at each of the Closing Date and the Option Closing Date, the Underwriters shall have received a letter of KMJ Corbin &amp; Company LLP, dated the respective dates of delivery thereof, and addressed to the Underwriters, in form and substance reasonably satisfactory to the Underwriters.</w:t>
      </w:r>
    </w:p>
    <w:p>
      <w:pPr>
        <w:spacing w:after="0" w:line="186" w:lineRule="exact"/>
        <w:rPr>
          <w:rFonts w:ascii="Arial" w:cs="Arial" w:eastAsia="Arial" w:hAnsi="Arial"/>
          <w:sz w:val="18"/>
          <w:szCs w:val="18"/>
          <w:color w:val="010000"/>
        </w:rPr>
      </w:pPr>
    </w:p>
    <w:p>
      <w:pPr>
        <w:ind w:left="-8" w:firstLine="1305"/>
        <w:spacing w:after="0" w:line="277" w:lineRule="auto"/>
        <w:tabs>
          <w:tab w:leader="none" w:pos="1557"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On the Closing Date, there shall have been furnished to the Underwriters a certificate, dated the Closing Date and addressed to the Underwriters, signed by the chief executive officer or the chief financial officer of the Company, to the effect that:</w:t>
      </w:r>
    </w:p>
    <w:p>
      <w:pPr>
        <w:spacing w:after="0" w:line="170" w:lineRule="exact"/>
        <w:rPr>
          <w:rFonts w:ascii="Arial" w:cs="Arial" w:eastAsia="Arial" w:hAnsi="Arial"/>
          <w:sz w:val="18"/>
          <w:szCs w:val="18"/>
          <w:color w:val="010000"/>
        </w:rPr>
      </w:pPr>
    </w:p>
    <w:p>
      <w:pPr>
        <w:jc w:val="both"/>
        <w:ind w:left="652" w:firstLine="1293"/>
        <w:spacing w:after="0" w:line="276" w:lineRule="auto"/>
        <w:tabs>
          <w:tab w:leader="none" w:pos="2163" w:val="left"/>
        </w:tabs>
        <w:numPr>
          <w:ilvl w:val="2"/>
          <w:numId w:val="29"/>
        </w:numPr>
        <w:rPr>
          <w:rFonts w:ascii="Arial" w:cs="Arial" w:eastAsia="Arial" w:hAnsi="Arial"/>
          <w:sz w:val="17"/>
          <w:szCs w:val="17"/>
          <w:color w:val="010000"/>
        </w:rPr>
      </w:pPr>
      <w:r>
        <w:rPr>
          <w:rFonts w:ascii="Arial" w:cs="Arial" w:eastAsia="Arial" w:hAnsi="Arial"/>
          <w:sz w:val="17"/>
          <w:szCs w:val="17"/>
          <w:color w:val="auto"/>
        </w:rPr>
        <w:t>The representations and warranties of the Company in this Agreement are true and correct, in all material respects, as if made at and as of the Closing Date (except to the extent any such representations or warranties expressly relate to a specified earlier date, in which case, such representations and warranties shall be true and correct as of such specified earlier date), and the Company has complied in all material respects with all the material agreements and satisfied in all material respects all the material conditions on its part to be performed or satisfied at or prior to the Closing Date (except for any such agreements or conditions that have been waived by the Representative);</w:t>
      </w:r>
    </w:p>
    <w:p>
      <w:pPr>
        <w:spacing w:after="0" w:line="17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25" w:name="page26"/>
    <w:bookmarkEnd w:id="25"/>
    <w:p>
      <w:pPr>
        <w:jc w:val="both"/>
        <w:ind w:left="-540" w:firstLine="1293"/>
        <w:spacing w:after="0" w:line="259" w:lineRule="auto"/>
        <w:tabs>
          <w:tab w:leader="none" w:pos="1021"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Shares for offering or sale nor suspending or preventing the use of the Time of Sale Disclosure Package, the Prospectus or any Issuer Free Writing Prospectus, has been issued, and no proceeding for that purpose has been instituted or, to the signer’s knowledge, is contemplated by the Commission or any state or regulatory body; and</w:t>
      </w:r>
    </w:p>
    <w:p>
      <w:pPr>
        <w:spacing w:after="0" w:line="186" w:lineRule="exact"/>
        <w:rPr>
          <w:rFonts w:ascii="Arial" w:cs="Arial" w:eastAsia="Arial" w:hAnsi="Arial"/>
          <w:sz w:val="18"/>
          <w:szCs w:val="18"/>
          <w:color w:val="010000"/>
        </w:rPr>
      </w:pPr>
    </w:p>
    <w:p>
      <w:pPr>
        <w:jc w:val="both"/>
        <w:ind w:left="-540" w:firstLine="1293"/>
        <w:spacing w:after="0" w:line="286" w:lineRule="auto"/>
        <w:tabs>
          <w:tab w:leader="none" w:pos="1071" w:val="left"/>
        </w:tabs>
        <w:numPr>
          <w:ilvl w:val="0"/>
          <w:numId w:val="30"/>
        </w:numPr>
        <w:rPr>
          <w:rFonts w:ascii="Arial" w:cs="Arial" w:eastAsia="Arial" w:hAnsi="Arial"/>
          <w:sz w:val="17"/>
          <w:szCs w:val="17"/>
          <w:color w:val="010000"/>
        </w:rPr>
      </w:pPr>
      <w:r>
        <w:rPr>
          <w:rFonts w:ascii="Arial" w:cs="Arial" w:eastAsia="Arial" w:hAnsi="Arial"/>
          <w:sz w:val="17"/>
          <w:szCs w:val="17"/>
          <w:color w:val="auto"/>
        </w:rPr>
        <w:t>The signer of said certificate has carefully examined the Registration Statement, the Time of Sale Disclosure Package and the Prospectus, and any amendments thereof or supplements thereto (including any documents filed under the Exchange Act and deemed to be incorporated by reference into the Time of Sale Disclosure Package, the Registration Statement or the Prospectus), and</w:t>
      </w:r>
    </w:p>
    <w:p>
      <w:pPr>
        <w:spacing w:after="0" w:line="166" w:lineRule="exact"/>
        <w:rPr>
          <w:sz w:val="20"/>
          <w:szCs w:val="20"/>
          <w:color w:val="auto"/>
        </w:rPr>
      </w:pPr>
    </w:p>
    <w:p>
      <w:pPr>
        <w:jc w:val="both"/>
        <w:ind w:left="-540" w:firstLine="1293"/>
        <w:spacing w:after="0" w:line="270" w:lineRule="auto"/>
        <w:tabs>
          <w:tab w:leader="none" w:pos="1051"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each part of the Registration Statement and the Prospectus, and any amendments thereof or supplements thereto (including any documents filed under the Exchange Act and deemed to be incorporated by reference into the Prospectus) contain, and contained when such part of the Registration Statement (or such amendment) became effective, all statements and information required to be included therein, each part of the Registration Statement, or any amendment thereof, does not contain, and did not contain when such part of the Registration Statement (or such amendment) became effective, any untrue statement of a material fact or omit to state, and did not omit to state when such part of the Registration Statement (or such amendment) became effective, any material fact required to be stated therein or necessary to make the statements therein not misleading, and the Prospectus, as amended or supplemented, does not include and did not include as of its date or the time of first use within the meaning of the Rules and Regulations, any untrue statement of a material fact or omit to state, and did not omit to state as of its date or the time of first use within the meaning of the Rules and Regulations, a material fact necessary to make the statements therein, in light of the circumstances under which they were made, not misleading</w:t>
      </w:r>
    </w:p>
    <w:p>
      <w:pPr>
        <w:spacing w:after="0" w:line="177" w:lineRule="exact"/>
        <w:rPr>
          <w:rFonts w:ascii="Arial" w:cs="Arial" w:eastAsia="Arial" w:hAnsi="Arial"/>
          <w:sz w:val="17"/>
          <w:szCs w:val="17"/>
          <w:color w:val="010000"/>
        </w:rPr>
      </w:pPr>
    </w:p>
    <w:p>
      <w:pPr>
        <w:jc w:val="both"/>
        <w:ind w:left="-540" w:firstLine="1293"/>
        <w:spacing w:after="0" w:line="259" w:lineRule="auto"/>
        <w:tabs>
          <w:tab w:leader="none" w:pos="1055"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neither (1) the Time of Sale Disclosure Package nor (2) any individual Issuer Limited-Use Free Writing Prospectus, when considered together with the Time of Sale Disclosure Package, include, nor included as of the Time of Sale, any untrue statement of a material fact or omits, or omitted as of the Time of Sale, to state any material fact necessary in order to make the statements therein, in the light of the circumstances under which they were made, not misleading,</w:t>
      </w:r>
    </w:p>
    <w:p>
      <w:pPr>
        <w:spacing w:after="0" w:line="186" w:lineRule="exact"/>
        <w:rPr>
          <w:rFonts w:ascii="Arial" w:cs="Arial" w:eastAsia="Arial" w:hAnsi="Arial"/>
          <w:sz w:val="18"/>
          <w:szCs w:val="18"/>
          <w:color w:val="010000"/>
        </w:rPr>
      </w:pPr>
    </w:p>
    <w:p>
      <w:pPr>
        <w:jc w:val="both"/>
        <w:ind w:left="-540" w:firstLine="1293"/>
        <w:spacing w:after="0" w:line="312" w:lineRule="auto"/>
        <w:tabs>
          <w:tab w:leader="none" w:pos="1041"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since the Time of Sale, there has occurred no event required to be set forth in an amended or supplemented prospectus which has not been so set forth, and there has been no document required to be filed under the Exchange Act that upon such filing would be deemed to be incorporated by reference into the Time of Sale Disclosure Package, the Registration Statement or the Prospectus that has not been so filed,</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26" w:name="page27"/>
    <w:bookmarkEnd w:id="26"/>
    <w:p>
      <w:pPr>
        <w:jc w:val="both"/>
        <w:ind w:left="660" w:firstLine="1293"/>
        <w:spacing w:after="0" w:line="287" w:lineRule="auto"/>
        <w:tabs>
          <w:tab w:leader="none" w:pos="2251" w:val="left"/>
        </w:tabs>
        <w:numPr>
          <w:ilvl w:val="1"/>
          <w:numId w:val="32"/>
        </w:numPr>
        <w:rPr>
          <w:rFonts w:ascii="Arial" w:cs="Arial" w:eastAsia="Arial" w:hAnsi="Arial"/>
          <w:sz w:val="16"/>
          <w:szCs w:val="16"/>
          <w:color w:val="010000"/>
        </w:rPr>
      </w:pPr>
      <w:r>
        <w:rPr>
          <w:rFonts w:ascii="Arial" w:cs="Arial" w:eastAsia="Arial" w:hAnsi="Arial"/>
          <w:sz w:val="16"/>
          <w:szCs w:val="16"/>
          <w:color w:val="auto"/>
        </w:rPr>
        <w:t>except as contemplated in the Time of Sale Disclosure Package and in the Prospectus, subsequent to the respective dates as of which information is given in the Time of Sale Disclosure Package, neither the Company nor any of its subsidiaries has incurred any liabilities or obligations, direct or contingent, which are material to the Company and its subsidiaries taken as a whole, entered into any transactions not in the ordinary course of business which are material to the Company and its subsidiaries taken as a whole, declared or paid any dividends or made any distribution of any kind with respect to its capital stock, and except as disclosed in the Time of Sale Disclosure Package and in the Prospectus, there has not been any change in the capital stock (other than a change in the number of outstanding shares of Common Stock due to the issuance of shares upon the exercise or conversion of outstanding options, warrants or convertible notes or vesting of any restricted stock units pursuant to the Company’s existing equity incentive plan or employee stock purchase plan), any material change in the Company’s short-term or long-term debt except for the extinguishment thereof, any issuance of options, warrants, convertible securities or other rights to purchase the capital stock of the Company or any of its subsidiaries (other than the issuance of options, restricted stock units and other awards or shares under the Company’s equity incentive plan and employee stock purchase plan), or any Material Adverse Change, and</w:t>
      </w:r>
    </w:p>
    <w:p>
      <w:pPr>
        <w:spacing w:after="0" w:line="172" w:lineRule="exact"/>
        <w:rPr>
          <w:rFonts w:ascii="Arial" w:cs="Arial" w:eastAsia="Arial" w:hAnsi="Arial"/>
          <w:sz w:val="16"/>
          <w:szCs w:val="16"/>
          <w:color w:val="010000"/>
        </w:rPr>
      </w:pPr>
    </w:p>
    <w:p>
      <w:pPr>
        <w:jc w:val="both"/>
        <w:ind w:left="660" w:firstLine="1293"/>
        <w:spacing w:after="0" w:line="259" w:lineRule="auto"/>
        <w:tabs>
          <w:tab w:leader="none" w:pos="2231"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except as stated in the Time of Sale Disclosure Package and in the Prospectus, there is not pending, or, to the knowledge of the Company, threatened or contemplated, any action, suit or proceeding to which the Company or any of its subsidiaries is a party before or by any court or governmental agency, authority or body, or any arbitrator, the negative outcome of which, individually or in the aggregate, would result in any Material Adverse Change.</w:t>
      </w:r>
    </w:p>
    <w:p>
      <w:pPr>
        <w:spacing w:after="0" w:line="186" w:lineRule="exact"/>
        <w:rPr>
          <w:rFonts w:ascii="Arial" w:cs="Arial" w:eastAsia="Arial" w:hAnsi="Arial"/>
          <w:sz w:val="18"/>
          <w:szCs w:val="18"/>
          <w:color w:val="010000"/>
        </w:rPr>
      </w:pPr>
    </w:p>
    <w:p>
      <w:pPr>
        <w:ind w:firstLine="1305"/>
        <w:spacing w:after="0" w:line="277" w:lineRule="auto"/>
        <w:tabs>
          <w:tab w:leader="none" w:pos="1565"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The Company shall have furnished to the Underwriters and counsel for the Underwriters such additional documents, certificates and evidence as the Underwriters or counsel for the Underwriters may have reasonably requested.</w:t>
      </w:r>
    </w:p>
    <w:p>
      <w:pPr>
        <w:spacing w:after="0" w:line="170" w:lineRule="exact"/>
        <w:rPr>
          <w:rFonts w:ascii="Arial" w:cs="Arial" w:eastAsia="Arial" w:hAnsi="Arial"/>
          <w:sz w:val="18"/>
          <w:szCs w:val="18"/>
          <w:color w:val="010000"/>
        </w:rPr>
      </w:pPr>
    </w:p>
    <w:p>
      <w:pPr>
        <w:ind w:firstLine="1305"/>
        <w:spacing w:after="0" w:line="277" w:lineRule="auto"/>
        <w:tabs>
          <w:tab w:leader="none" w:pos="1538"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 xml:space="preserve">The Underwriters shall have received the written agreements, substantially in the form of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 of the directors and executive officers of the Company listed on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to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reasonably satisfactory in form and substance to the Underwriters and counsel for the Underwriters. The Company will furnish the Underwriters with such conformed copies of such opinions, certificates, letters and other documents as the Underwriters shall reasonably request.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left="840" w:hanging="184"/>
        <w:spacing w:after="0"/>
        <w:tabs>
          <w:tab w:leader="none" w:pos="840"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INDEMNIFICATION AND CONTRIBUTION.</w:t>
      </w:r>
    </w:p>
    <w:p>
      <w:pPr>
        <w:spacing w:after="0" w:line="225" w:lineRule="exact"/>
        <w:rPr>
          <w:rFonts w:ascii="Arial" w:cs="Arial" w:eastAsia="Arial" w:hAnsi="Arial"/>
          <w:sz w:val="18"/>
          <w:szCs w:val="18"/>
          <w:color w:val="010000"/>
        </w:rPr>
      </w:pPr>
    </w:p>
    <w:p>
      <w:pPr>
        <w:jc w:val="both"/>
        <w:ind w:firstLine="1305"/>
        <w:spacing w:after="0" w:line="285" w:lineRule="auto"/>
        <w:tabs>
          <w:tab w:leader="none" w:pos="1555" w:val="left"/>
        </w:tabs>
        <w:numPr>
          <w:ilvl w:val="1"/>
          <w:numId w:val="34"/>
        </w:numPr>
        <w:rPr>
          <w:rFonts w:ascii="Arial" w:cs="Arial" w:eastAsia="Arial" w:hAnsi="Arial"/>
          <w:sz w:val="16"/>
          <w:szCs w:val="16"/>
          <w:color w:val="010000"/>
        </w:rPr>
      </w:pPr>
      <w:r>
        <w:rPr>
          <w:rFonts w:ascii="Arial" w:cs="Arial" w:eastAsia="Arial" w:hAnsi="Arial"/>
          <w:sz w:val="16"/>
          <w:szCs w:val="16"/>
          <w:color w:val="auto"/>
        </w:rPr>
        <w:t>The Company agrees to indemnify and hold harmless the Underwriters against any losses, claims, damages or liabilities to which the Underwriters may become subject, under the Securities Act or otherwise (including in settlement of any litigation if such settlement is effected with the written consent of the Company), insofar as such losses, claims, damages or liabilities (or actions in respect thereof) arise out of or are based upon (i)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if applicable, any Preliminary Prospectus, the Time of Sale Disclosure Package, the Prospectus, or any amendment or supplement thereto (including any documents filed under the Exchange Act and deemed to be incorporated by reference into the Prospectus), any Issuer Free Writing Prospectus or in any materials or information provided to investors by, or with the approval of, the Company in connection with the marketing of the offering of the Shares (“</w:t>
      </w:r>
      <w:r>
        <w:rPr>
          <w:rFonts w:ascii="Arial" w:cs="Arial" w:eastAsia="Arial" w:hAnsi="Arial"/>
          <w:sz w:val="16"/>
          <w:szCs w:val="16"/>
          <w:u w:val="single" w:color="auto"/>
          <w:color w:val="auto"/>
        </w:rPr>
        <w:t>Marketing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Materials</w:t>
      </w:r>
      <w:r>
        <w:rPr>
          <w:rFonts w:ascii="Arial" w:cs="Arial" w:eastAsia="Arial" w:hAnsi="Arial"/>
          <w:sz w:val="16"/>
          <w:szCs w:val="16"/>
          <w:color w:val="auto"/>
        </w:rPr>
        <w:t xml:space="preserve">”), including any roadshow or investor presentations made to investors by the Company (whether in person or electronically) or arise out of or are based upon the omission or alleged omission to state therein a material fact required to be stated therein or necessary to make the statements therein not misleading, and will reimburse the Underwriters for any legal or other expenses reasonably incurred by it in connection with investigating or defending against such loss, claim, damage, liability or action; or (ii) in whole or in part upon any inaccuracy in the representations and warranties of the Company contained herein; or (iii) in whole or in part upon any failure of the Company to perform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 untrue statement or alleged untrue statement or omission or alleged omission made in the Registration Statement, any Preliminary Prospectus, the Time of Sale Disclosure Package, the Prospectus, or any such amendment or supplement, any Issuer Free Writing Prospectus or in any Marketing Materials, in reliance upon and in conformity with written information furnished to the Company by the Underwriters specifically for use in the preparation thereof.</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their other obligations under this Section 6(a), the Company agrees that, as an interim measure during the pendency of any claim, action, investigation, inquiry or other proceeding arising out of or based upon any statement or omission, or any alleged statement or omission, described in this Section 6(a)(i), it will reimburse the Underwriters on a monthly basis for all reasonable legal fees or other expenses incurred in connection with investigating or defending any such claim, action, investigation, inquiry or other proceeding upon presentation of a written accounting in reasonable detail (but without the need to include the underlying statements or evidence of payment), notwithstanding the absence of a judicial determination as to the propriety and enforceability of the Company’s obligation to reimburse the Underwriters for such expenses and the possibility that such payments might later be held to have been improper by a court of competent jurisdiction. To the extent that any such interim reimbursement payment is so held to have been improper, the Underwriters shall promptly return it to the Company, together with interest, compounded daily, determined on the basis of the prime rate (or other commercial lending rate for borrowers of the highest credit standing) announced from time to time by Wells Fargo Bank, N.A. (the “</w:t>
      </w:r>
      <w:r>
        <w:rPr>
          <w:rFonts w:ascii="Arial" w:cs="Arial" w:eastAsia="Arial" w:hAnsi="Arial"/>
          <w:sz w:val="16"/>
          <w:szCs w:val="16"/>
          <w:u w:val="single" w:color="auto"/>
          <w:color w:val="auto"/>
        </w:rPr>
        <w:t>Prime Rate</w:t>
      </w:r>
      <w:r>
        <w:rPr>
          <w:rFonts w:ascii="Arial" w:cs="Arial" w:eastAsia="Arial" w:hAnsi="Arial"/>
          <w:sz w:val="16"/>
          <w:szCs w:val="16"/>
          <w:color w:val="auto"/>
        </w:rPr>
        <w:t>”). Any such interim reimbursement payments which are not made to the Underwriters within 30 days of a request for reimbursement shall bear interest at the Prime Rate from the date of such request. This indemnity agreement shall be in addition to any liabilities which they may otherwise have.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both"/>
        <w:ind w:left="-60" w:firstLine="1305"/>
        <w:spacing w:after="0" w:line="286" w:lineRule="auto"/>
        <w:tabs>
          <w:tab w:leader="none" w:pos="1491"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Each of the Underwriters will severally and not jointly indemnify and hold harmless the Company, each of its directors and officers, and each person who controls the Company within the meaning of the Securities Act of the Exchange Act, against any losses, claims, damages or liabilities to which the Company, or any such director, officer or controlling person may become subject, under the Securities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any Preliminary Prospectus, the Time of Sale Disclosure Package,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Time of Sale Disclosure Package, the Prospectus, or any amendment or supplement thereto, or any Issuer Free Writing Prospectus in reliance upon and in conformity with written information furnished to the Company by an Underwriter with respect to such Underwriter specifically for use in the preparation thereof, and will reimburse the Company, or any such director, officer or controlling person for any legal or other expenses reasonably incurred by the Company, or such director, officer or controlling person in connection with investigating or defending against any such loss, claim, damage, liability or action as such expenses are incurred.</w:t>
      </w:r>
    </w:p>
    <w:p>
      <w:pPr>
        <w:spacing w:after="0" w:line="174" w:lineRule="exact"/>
        <w:rPr>
          <w:rFonts w:ascii="Arial" w:cs="Arial" w:eastAsia="Arial" w:hAnsi="Arial"/>
          <w:sz w:val="16"/>
          <w:szCs w:val="16"/>
          <w:color w:val="010000"/>
        </w:rPr>
      </w:pPr>
    </w:p>
    <w:p>
      <w:pPr>
        <w:jc w:val="both"/>
        <w:ind w:left="-60" w:firstLine="1305"/>
        <w:spacing w:after="0" w:line="286" w:lineRule="auto"/>
        <w:tabs>
          <w:tab w:leader="none" w:pos="1495"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provided, however, that if, in the sole judgment of the Underwriters, it is advisable for the Underwriters to be represented by separate counsel, the Underwriters shall have the right to employ a single counsel to represent the Underwriters in any claim in respect of which indemnity may be sought by the Underwriters under subsection (a) of this Section 6, in which event the reasonable fees and expenses of such separate counsel shall be borne by the indemnifying party or parties and reimbursed to the Underwriters as incurred (in accordance with the provisions of the second paragraph in subsection (a) above).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29" w:name="page30"/>
    <w:bookmarkEnd w:id="29"/>
    <w:p>
      <w:pPr>
        <w:jc w:val="both"/>
        <w:ind w:firstLine="648"/>
        <w:spacing w:after="0" w:line="286" w:lineRule="auto"/>
        <w:rPr>
          <w:sz w:val="20"/>
          <w:szCs w:val="20"/>
          <w:color w:val="auto"/>
        </w:rPr>
      </w:pPr>
      <w:r>
        <w:rPr>
          <w:rFonts w:ascii="Arial" w:cs="Arial" w:eastAsia="Arial" w:hAnsi="Arial"/>
          <w:sz w:val="16"/>
          <w:szCs w:val="16"/>
          <w:color w:val="auto"/>
        </w:rPr>
        <w:t>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to which it is entitled under this Section 6, the indemnifying party agrees that it shall be liable for any settlement of any proceeding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the indemnified party in accordance with such request prior to the date of such settlement (other than with respect to fees and expenses that the indemnifying party is contesting in good faith).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75" w:lineRule="exact"/>
        <w:rPr>
          <w:sz w:val="20"/>
          <w:szCs w:val="20"/>
          <w:color w:val="auto"/>
        </w:rPr>
      </w:pPr>
    </w:p>
    <w:p>
      <w:pPr>
        <w:ind w:left="1560" w:hanging="255"/>
        <w:spacing w:after="0"/>
        <w:tabs>
          <w:tab w:leader="none" w:pos="1560" w:val="left"/>
        </w:tabs>
        <w:numPr>
          <w:ilvl w:val="1"/>
          <w:numId w:val="36"/>
        </w:numPr>
        <w:rPr>
          <w:rFonts w:ascii="Arial" w:cs="Arial" w:eastAsia="Arial" w:hAnsi="Arial"/>
          <w:sz w:val="16"/>
          <w:szCs w:val="16"/>
          <w:color w:val="010000"/>
        </w:rPr>
      </w:pPr>
      <w:r>
        <w:rPr>
          <w:rFonts w:ascii="Arial" w:cs="Arial" w:eastAsia="Arial" w:hAnsi="Arial"/>
          <w:sz w:val="16"/>
          <w:szCs w:val="16"/>
          <w:color w:val="auto"/>
        </w:rPr>
        <w:t>If the indemnification provided for in this Section 6 is unavailable or insufficient to hold harmless an indemnified party under subsection</w:t>
      </w:r>
    </w:p>
    <w:p>
      <w:pPr>
        <w:spacing w:after="0" w:line="46" w:lineRule="exact"/>
        <w:rPr>
          <w:rFonts w:ascii="Arial" w:cs="Arial" w:eastAsia="Arial" w:hAnsi="Arial"/>
          <w:sz w:val="16"/>
          <w:szCs w:val="16"/>
          <w:color w:val="010000"/>
        </w:rPr>
      </w:pPr>
    </w:p>
    <w:p>
      <w:pPr>
        <w:jc w:val="both"/>
        <w:ind w:firstLine="8"/>
        <w:spacing w:after="0" w:line="284" w:lineRule="auto"/>
        <w:tabs>
          <w:tab w:leader="none" w:pos="264" w:val="left"/>
        </w:tabs>
        <w:numPr>
          <w:ilvl w:val="0"/>
          <w:numId w:val="37"/>
        </w:numPr>
        <w:rPr>
          <w:rFonts w:ascii="Arial" w:cs="Arial" w:eastAsia="Arial" w:hAnsi="Arial"/>
          <w:sz w:val="16"/>
          <w:szCs w:val="16"/>
          <w:color w:val="auto"/>
        </w:rPr>
      </w:pPr>
      <w:r>
        <w:rPr>
          <w:rFonts w:ascii="Arial" w:cs="Arial" w:eastAsia="Arial" w:hAnsi="Arial"/>
          <w:sz w:val="16"/>
          <w:szCs w:val="16"/>
          <w:color w:val="auto"/>
        </w:rPr>
        <w:t>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respective Underwriter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respective Underwriter on the other in connection with the statements or omissions that resulted in such losses, claims, damages or liabilities, as well as any other relevant equitable considerations. The relative benefits received by the Company on the one hand and the respective Underwriter on the other shall be deemed to be in the same proportion as the total net proceeds from the offering (before deducting expenses) received by the Company bear to the total underwriting discounts and commissions received by the respective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respective Underwriter and the parties’ relevant intent, knowledge, access to information and opportunity to correct or prevent such untrue statement or omission. The Company and the respective Underwriter agree that it would not be just and equitable if contributions pursuant to this subsection (d) were to be determined by pro rata allocation or by any other method of allocation which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respective Underwriter shall not be required to contribute any amount in excess of the amount by which the total price at which the Shares were offered to the public exceeds the amount of any damages that the respective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ind w:left="-60" w:firstLine="1305"/>
        <w:spacing w:after="0" w:line="293" w:lineRule="auto"/>
        <w:tabs>
          <w:tab w:leader="none" w:pos="1481" w:val="left"/>
        </w:tabs>
        <w:numPr>
          <w:ilvl w:val="1"/>
          <w:numId w:val="38"/>
        </w:numPr>
        <w:rPr>
          <w:rFonts w:ascii="Arial" w:cs="Arial" w:eastAsia="Arial" w:hAnsi="Arial"/>
          <w:sz w:val="16"/>
          <w:szCs w:val="16"/>
          <w:color w:val="010000"/>
        </w:rPr>
      </w:pPr>
      <w:r>
        <w:rPr>
          <w:rFonts w:ascii="Arial" w:cs="Arial" w:eastAsia="Arial" w:hAnsi="Arial"/>
          <w:sz w:val="16"/>
          <w:szCs w:val="16"/>
          <w:color w:val="auto"/>
        </w:rPr>
        <w:t>The obligations of the Company under this Section 6 shall be in addition to any liability which the Company may otherwise have and the benefits of such obligations shall extend, upon the same terms and conditions, to each person, if any, who controls the respective Underwriter within the meaning of the Securities Act; and the obligations of the respective Underwriter under this Section 6 shall be in addition to any liability that the respective Underwriter may otherwise have and the benefits of such obligations shall extend, upon the same terms and conditions, to each director of the Company (including any person who, with his consent, is named in the Registration Statement as about to become a director of the Company), to each officer of the Company who has signed the Registration Statement and to each person, if any, who controls the Company within the meaning of the Securities Act.</w:t>
      </w:r>
    </w:p>
    <w:p>
      <w:pPr>
        <w:spacing w:after="0" w:line="164" w:lineRule="exact"/>
        <w:rPr>
          <w:rFonts w:ascii="Arial" w:cs="Arial" w:eastAsia="Arial" w:hAnsi="Arial"/>
          <w:sz w:val="16"/>
          <w:szCs w:val="16"/>
          <w:color w:val="010000"/>
        </w:rPr>
      </w:pPr>
    </w:p>
    <w:p>
      <w:pPr>
        <w:jc w:val="both"/>
        <w:ind w:left="-60" w:firstLine="1305"/>
        <w:spacing w:after="0" w:line="257" w:lineRule="auto"/>
        <w:tabs>
          <w:tab w:leader="none" w:pos="1488" w:val="left"/>
        </w:tabs>
        <w:numPr>
          <w:ilvl w:val="1"/>
          <w:numId w:val="38"/>
        </w:numPr>
        <w:rPr>
          <w:rFonts w:ascii="Arial" w:cs="Arial" w:eastAsia="Arial" w:hAnsi="Arial"/>
          <w:sz w:val="18"/>
          <w:szCs w:val="18"/>
          <w:color w:val="010000"/>
        </w:rPr>
      </w:pPr>
      <w:r>
        <w:rPr>
          <w:rFonts w:ascii="Arial" w:cs="Arial" w:eastAsia="Arial" w:hAnsi="Arial"/>
          <w:sz w:val="18"/>
          <w:szCs w:val="18"/>
          <w:color w:val="auto"/>
        </w:rPr>
        <w:t>Each Underwriter confirms severally and not jointly and the Company acknowledges that there is no information concerning the Underwriters furnished in writing to the Company by the Underwriters specifically for inclusion in the Registration Statement, any Preliminary Prospectus, the Time of Sale Disclosure Package, the Prospectus or any Issuer Free Writing Prospectus, except for the following disclosure contained in the “Underwriting” section of the Prospectus: the fourth paragraph and the information under the sub-headers “Stabilization” and “Passive Market Making,” and the first sentence of “Offer Restrictions Outside the United States.”</w:t>
      </w:r>
    </w:p>
    <w:p>
      <w:pPr>
        <w:spacing w:after="0" w:line="188" w:lineRule="exact"/>
        <w:rPr>
          <w:rFonts w:ascii="Arial" w:cs="Arial" w:eastAsia="Arial" w:hAnsi="Arial"/>
          <w:sz w:val="18"/>
          <w:szCs w:val="18"/>
          <w:color w:val="010000"/>
        </w:rPr>
      </w:pPr>
    </w:p>
    <w:p>
      <w:pPr>
        <w:jc w:val="both"/>
        <w:ind w:left="-60" w:firstLine="818"/>
        <w:spacing w:after="0" w:line="257" w:lineRule="auto"/>
        <w:tabs>
          <w:tab w:leader="none" w:pos="957"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REPRESENTATIONS AND AGREEMENTS TO SURVIVE DELIVERY. All representations, warranties, and agreements of the Company herein or in certificates delivered pursuant hereto, including but not limited to the agreements of the Underwriters and the Company contained in Section 6 hereof, shall remain operative and in full force and effect regardless of any investigation made by or on behalf of the Underwriters or any controlling person thereof, or the Company or any of its officers, directors, or controlling persons, and shall survive delivery of, and payment for, the Shares to and by the Underwriters hereunder.</w:t>
      </w:r>
    </w:p>
    <w:p>
      <w:pPr>
        <w:spacing w:after="0" w:line="188" w:lineRule="exact"/>
        <w:rPr>
          <w:rFonts w:ascii="Arial" w:cs="Arial" w:eastAsia="Arial" w:hAnsi="Arial"/>
          <w:sz w:val="18"/>
          <w:szCs w:val="18"/>
          <w:color w:val="010000"/>
        </w:rPr>
      </w:pPr>
    </w:p>
    <w:p>
      <w:pPr>
        <w:ind w:left="940" w:hanging="182"/>
        <w:spacing w:after="0"/>
        <w:tabs>
          <w:tab w:leader="none" w:pos="940"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TERMINATION OF THIS AGREEMENT.</w:t>
      </w:r>
    </w:p>
    <w:p>
      <w:pPr>
        <w:spacing w:after="0" w:line="225" w:lineRule="exact"/>
        <w:rPr>
          <w:rFonts w:ascii="Arial" w:cs="Arial" w:eastAsia="Arial" w:hAnsi="Arial"/>
          <w:sz w:val="18"/>
          <w:szCs w:val="18"/>
          <w:color w:val="010000"/>
        </w:rPr>
      </w:pPr>
    </w:p>
    <w:p>
      <w:pPr>
        <w:jc w:val="both"/>
        <w:ind w:left="-60" w:firstLine="1305"/>
        <w:spacing w:after="0" w:line="269" w:lineRule="auto"/>
        <w:tabs>
          <w:tab w:leader="none" w:pos="1481" w:val="left"/>
        </w:tabs>
        <w:numPr>
          <w:ilvl w:val="1"/>
          <w:numId w:val="39"/>
        </w:numPr>
        <w:rPr>
          <w:rFonts w:ascii="Arial" w:cs="Arial" w:eastAsia="Arial" w:hAnsi="Arial"/>
          <w:sz w:val="17"/>
          <w:szCs w:val="17"/>
          <w:color w:val="010000"/>
        </w:rPr>
      </w:pPr>
      <w:r>
        <w:rPr>
          <w:rFonts w:ascii="Arial" w:cs="Arial" w:eastAsia="Arial" w:hAnsi="Arial"/>
          <w:sz w:val="17"/>
          <w:szCs w:val="17"/>
          <w:color w:val="auto"/>
        </w:rPr>
        <w:t>The Underwriters shall have the right to terminate this Agreement by giving notice to the Company as hereinafter specified at any time at or prior to the Closing Date, if (i) the Company shall have failed, refused or been unable, at or prior to the Closing Date, to perform any material agreement on its part to be performed hereunder, (ii) any condition of the Underwriters’ obligations set forth in Section 5 hereunder is not fulfilled or waived by the Representative, (iii) trading in the Company’s Common Stock shall have been suspended by the Commission or the NASDAQ Capital Market or trading in securities generally on the NASDAQ Capital Market shall have been suspended, (iii) minimum or maximum prices for trading shall have been fixed, or maximum ranges for prices for securities shall have been required, on the NASDAQ Capital Market by such exchange or by order of the Commission or any other governmental authority having jurisdiction (which includes the Company’s Common Stock), or (iv) a banking moratorium shall have been declared by federal or state authorities which prevents payment by an Underwriter pursuant to Section 3, in each case of (i) through (iv) herein, the effect of which, in the Representative’s good faith judgment, would make it impracticable to proceed with the offering, sale and/or delivery of the Shares as contemplated by the Registration Statement and the Prospectus. Any such termination shall be without liability of any party to any other party except that the provisions of Section 4(a)(vii) and Section 6 hereof shall at all times be effective and shall survive such termination.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31" w:name="page32"/>
    <w:bookmarkEnd w:id="31"/>
    <w:p>
      <w:pPr>
        <w:ind w:firstLine="1305"/>
        <w:spacing w:after="0" w:line="277" w:lineRule="auto"/>
        <w:tabs>
          <w:tab w:leader="none" w:pos="1565" w:val="left"/>
        </w:tabs>
        <w:numPr>
          <w:ilvl w:val="1"/>
          <w:numId w:val="40"/>
        </w:numPr>
        <w:rPr>
          <w:rFonts w:ascii="Arial" w:cs="Arial" w:eastAsia="Arial" w:hAnsi="Arial"/>
          <w:sz w:val="18"/>
          <w:szCs w:val="18"/>
          <w:color w:val="010000"/>
        </w:rPr>
      </w:pPr>
      <w:r>
        <w:rPr>
          <w:rFonts w:ascii="Arial" w:cs="Arial" w:eastAsia="Arial" w:hAnsi="Arial"/>
          <w:sz w:val="18"/>
          <w:szCs w:val="18"/>
          <w:color w:val="auto"/>
        </w:rPr>
        <w:t>If the Representative elects to terminate this Agreement as provided in this Section 8, the Company shall be notified promptly by the Representative by telephone, confirmed by letter as provided in Section 11.</w:t>
      </w:r>
    </w:p>
    <w:p>
      <w:pPr>
        <w:spacing w:after="0" w:line="170" w:lineRule="exact"/>
        <w:rPr>
          <w:rFonts w:ascii="Arial" w:cs="Arial" w:eastAsia="Arial" w:hAnsi="Arial"/>
          <w:sz w:val="18"/>
          <w:szCs w:val="18"/>
          <w:color w:val="010000"/>
        </w:rPr>
      </w:pPr>
    </w:p>
    <w:p>
      <w:pPr>
        <w:jc w:val="both"/>
        <w:ind w:firstLine="656"/>
        <w:spacing w:after="0" w:line="312" w:lineRule="auto"/>
        <w:tabs>
          <w:tab w:leader="none" w:pos="828"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DEFAULT BY THE COMPANY. If the Company shall fail at the Closing Date or at the Option Closing Date to sell and deliver the Shares which it is obligated to sell hereunder, then this Agreement shall terminate without any liability on the part of the Underwriters or, except as provided in Section 4(a) (vii), any nondefaulting party. No action taken pursuant to this Section 9 shall relieve the Company from liability, if any, in respect of such default.</w:t>
      </w:r>
    </w:p>
    <w:p>
      <w:pPr>
        <w:spacing w:after="0" w:line="146" w:lineRule="exact"/>
        <w:rPr>
          <w:rFonts w:ascii="Arial" w:cs="Arial" w:eastAsia="Arial" w:hAnsi="Arial"/>
          <w:sz w:val="16"/>
          <w:szCs w:val="16"/>
          <w:color w:val="010000"/>
        </w:rPr>
      </w:pPr>
    </w:p>
    <w:p>
      <w:pPr>
        <w:jc w:val="both"/>
        <w:ind w:firstLine="656"/>
        <w:spacing w:after="0" w:line="268" w:lineRule="auto"/>
        <w:tabs>
          <w:tab w:leader="none" w:pos="918"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 xml:space="preserve">DEFAULT BY AN UNDERWRITER. If any one or more Underwriters shall fail to purchase and pay for any of the Shares such Underwriter or Underwriters has agreed to purchase hereunder hereunder and such failure to purchase shall constitute a default in the performance of its or their obligations under this Agreement, the remaining Underwriters shall be obligated severally to take up and pay for (in the respective proportions which the amount of Shares set forth opposite their names in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 bears to the aggregate amount of Shares set forth opposite the names of all the remaining Underwriters) the Shares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amount of Shares which the defaulting Underwriter or Underwriters agreed but failed to purchase shall exceed 10% of the aggregate amount of Shares set forth in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 the remaining Underwriters shall have the right, but not the obligation, to purchase all or any of such Shares and/or to arrange for the purchase of such Shares by another party, and if such nondefaulting Underwriters do not purchase all such Shares or arrange for the purchase of all such Shares by another party, then this Agreement will terminate without liability to any nondefaulting Underwriter or the Company. In the event of a default by any Underwriter as set forth in this Section 10, the Closing Date shall be postponed for such period, not exceeding five business days, as the Representative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87" w:lineRule="exact"/>
        <w:rPr>
          <w:rFonts w:ascii="Arial" w:cs="Arial" w:eastAsia="Arial" w:hAnsi="Arial"/>
          <w:sz w:val="17"/>
          <w:szCs w:val="17"/>
          <w:color w:val="010000"/>
        </w:rPr>
      </w:pPr>
    </w:p>
    <w:p>
      <w:pPr>
        <w:ind w:left="920" w:hanging="264"/>
        <w:spacing w:after="0"/>
        <w:tabs>
          <w:tab w:leader="none" w:pos="920"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NOTICES. Except as otherwise provided herein, all communications hereunder shall be in writing and, if to the Underwriters, shall be mailed,</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delivered or telecopied to National Securities Corporation, 410 Park Avenue,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10022, fax: (212) 380-2828 Attention: Jonathan Rich, with a copy (which shall not constitute notice) to Greenberg Traurig, LLP, 3161 Michelson Drive, Suite 1000, Irvine, California 92612, fax (949) 732-6501, Attention: Daniel K. Donahue, Esq.; if to the Company, shall be mailed, delivered or telecopied to it at 12264 El Camino Real, Suite 350, San Diego, California 92130, fax (858) 345-1745, Attention: Mark L. Baum, with a copy (which shall not constitute notice) before July 1, 2016 to Golenbock Eiseman Assor Bell &amp; Peskoe LLP, 437 Madison Avenue, 40th Floor, New York, New York 10022, fax (212) 754-0330, Attention: Andrew D. Hudders, Esq., and on or after July 1, 2016 to Golenbock Eiseman Assor Bell &amp; Peskoe LLP, 711 Third Avenue, New York, New York 10017, fax (212) 754-0330, Attention: Andrew D. Hudders, Esq. ,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both"/>
        <w:ind w:firstLine="656"/>
        <w:spacing w:after="0" w:line="257" w:lineRule="auto"/>
        <w:tabs>
          <w:tab w:leader="none" w:pos="918"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PERSONS ENTITLED TO BENEFIT OF AGREEMENT. This Agreement shall inure to the benefit of and be binding upon the parties hereto and their 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Underwriters.</w:t>
      </w:r>
    </w:p>
    <w:p>
      <w:pPr>
        <w:spacing w:after="0" w:line="188" w:lineRule="exact"/>
        <w:rPr>
          <w:rFonts w:ascii="Arial" w:cs="Arial" w:eastAsia="Arial" w:hAnsi="Arial"/>
          <w:sz w:val="18"/>
          <w:szCs w:val="18"/>
          <w:color w:val="010000"/>
        </w:rPr>
      </w:pPr>
    </w:p>
    <w:p>
      <w:pPr>
        <w:jc w:val="both"/>
        <w:ind w:firstLine="656"/>
        <w:spacing w:after="0" w:line="253" w:lineRule="auto"/>
        <w:tabs>
          <w:tab w:leader="none" w:pos="918"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ABSENCE OF FIDUCIARY RELATIONSHIP. The Company acknowledges and agrees that: (a) the Underwriters have been retained solely to act as underwriters in connection with the sale of the Shares and that no fiduciary, advisory or agency relationship between the Company and the Underwriters has been created in respect of any of the transactions contemplated by this Agreement, irrespective of whether the Underwriters have advised or are advising the Company on other matters; (b) the price and other terms of the Shares set forth in this Agreement were established by the Company following discussions and arms-length negotiations with the Underwriters and the Company is capable of evaluating and understanding and understands and accepts the terms, risks and conditions of the transactions contemplated by this Agreement; (c) it has been advised that the Underwriters and their affiliates are engaged in a broad range of transactions which may involve interests that differ from those of the Company and that the Underwriters have no obligation to disclose such interest and transactions to the Company by virtue of any fiduciary, advisory or agency relationship; and (d) it has been advised that the Underwriters are acting, in respect of the transactions contemplated by this Agreement, solely for the benefit of the Underwriters, and not on behalf of the Company.</w:t>
      </w:r>
    </w:p>
    <w:p>
      <w:pPr>
        <w:spacing w:after="0" w:line="194" w:lineRule="exact"/>
        <w:rPr>
          <w:rFonts w:ascii="Arial" w:cs="Arial" w:eastAsia="Arial" w:hAnsi="Arial"/>
          <w:sz w:val="18"/>
          <w:szCs w:val="18"/>
          <w:color w:val="010000"/>
        </w:rPr>
      </w:pPr>
    </w:p>
    <w:p>
      <w:pPr>
        <w:jc w:val="both"/>
        <w:ind w:firstLine="656"/>
        <w:spacing w:after="0" w:line="257" w:lineRule="auto"/>
        <w:tabs>
          <w:tab w:leader="none" w:pos="932"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GOVERNING LAW; JURISDICTION. This Agreement shall be governed by and construed in accordance with the laws of the State of New York without reference to its conflict of laws provisions. The parties hereby irrevocably and unconditionally: submit to the jurisdiction of the federal and state courts located in the State of New York, for any dispute related to this Agreement or any of the matters contemplated hereby; consent to service of process by registered or certified mail return receipt requested or by any other manner provided by applicable law; and waive any right to claim that any action, proceeding or litigation so commenced has been commenced in an inconvenient forum.</w:t>
      </w:r>
    </w:p>
    <w:p>
      <w:pPr>
        <w:spacing w:after="0" w:line="188" w:lineRule="exact"/>
        <w:rPr>
          <w:rFonts w:ascii="Arial" w:cs="Arial" w:eastAsia="Arial" w:hAnsi="Arial"/>
          <w:sz w:val="18"/>
          <w:szCs w:val="18"/>
          <w:color w:val="010000"/>
        </w:rPr>
      </w:pPr>
    </w:p>
    <w:p>
      <w:pPr>
        <w:jc w:val="both"/>
        <w:ind w:firstLine="656"/>
        <w:spacing w:after="0" w:line="264" w:lineRule="auto"/>
        <w:tabs>
          <w:tab w:leader="none" w:pos="932"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INTEGRATION; AMENDMENT. This Agreement supersedes all prior agreements and understandings (whether written or oral) between the Company and the Representative, or any of the other Underwriters, with respect to the subject matter hereof. No provision of this Agreement may be modified or amended except in a written instrument signed by the Company and the Representative.</w:t>
      </w:r>
    </w:p>
    <w:p>
      <w:pPr>
        <w:spacing w:after="0" w:line="181" w:lineRule="exact"/>
        <w:rPr>
          <w:rFonts w:ascii="Arial" w:cs="Arial" w:eastAsia="Arial" w:hAnsi="Arial"/>
          <w:sz w:val="18"/>
          <w:szCs w:val="18"/>
          <w:color w:val="010000"/>
        </w:rPr>
      </w:pPr>
    </w:p>
    <w:p>
      <w:pPr>
        <w:ind w:firstLine="656"/>
        <w:spacing w:after="0" w:line="308" w:lineRule="auto"/>
        <w:tabs>
          <w:tab w:leader="none" w:pos="918" w:val="left"/>
        </w:tabs>
        <w:numPr>
          <w:ilvl w:val="0"/>
          <w:numId w:val="42"/>
        </w:numPr>
        <w:rPr>
          <w:rFonts w:ascii="Arial" w:cs="Arial" w:eastAsia="Arial" w:hAnsi="Arial"/>
          <w:sz w:val="17"/>
          <w:szCs w:val="17"/>
          <w:color w:val="010000"/>
        </w:rPr>
      </w:pPr>
      <w:r>
        <w:rPr>
          <w:rFonts w:ascii="Arial" w:cs="Arial" w:eastAsia="Arial" w:hAnsi="Arial"/>
          <w:sz w:val="17"/>
          <w:szCs w:val="17"/>
          <w:color w:val="auto"/>
        </w:rPr>
        <w:t>COUNTERPARTS. This Agreement may be executed in one or more counterparts and, if executed in more than one counterpart, the executed counterparts shall each be deemed to be an original and all such counterparts shall together constitute one and the same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Please sign and return to the Company the enclosed duplicates of this letter whereupon this letter will become a binding agreement between the Company and the Underwriters in accordance with its terms.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Jonathan C.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3404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Jonathan C. Rich,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center"/>
        <w:ind w:right="-12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color w:val="auto"/>
        </w:rPr>
        <w:t>Time of Sale Disclosure Package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35" w:name="page36"/>
    <w:bookmarkEnd w:id="35"/>
    <w:p>
      <w:pPr>
        <w:jc w:val="center"/>
        <w:ind w:right="-122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jc w:val="right"/>
        <w:ind w:right="2899"/>
        <w:spacing w:after="0"/>
        <w:rPr>
          <w:sz w:val="20"/>
          <w:szCs w:val="20"/>
          <w:color w:val="auto"/>
        </w:rPr>
      </w:pPr>
      <w:r>
        <w:rPr>
          <w:rFonts w:ascii="Arial" w:cs="Arial" w:eastAsia="Arial" w:hAnsi="Arial"/>
          <w:sz w:val="18"/>
          <w:szCs w:val="18"/>
          <w:b w:val="1"/>
          <w:bCs w:val="1"/>
          <w:color w:val="auto"/>
        </w:rPr>
        <w:t>Issuer General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36" w:name="page37"/>
    <w:bookmarkEnd w:id="36"/>
    <w:p>
      <w:pPr>
        <w:jc w:val="right"/>
        <w:ind w:right="4039"/>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Pharmacy Creations, LLC –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Coast Specialty Compounding, Inc. -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ImprimixRx TX, Inc. –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ImprimisRX PA, Inc. –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National Securities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410 Park Avenue</w:t>
      </w:r>
    </w:p>
    <w:p>
      <w:pPr>
        <w:spacing w:after="0" w:line="186" w:lineRule="auto"/>
        <w:rPr>
          <w:sz w:val="20"/>
          <w:szCs w:val="20"/>
          <w:color w:val="auto"/>
        </w:rPr>
      </w:pPr>
      <w:r>
        <w:rPr>
          <w:rFonts w:ascii="Arial" w:cs="Arial" w:eastAsia="Arial" w:hAnsi="Arial"/>
          <w:sz w:val="18"/>
          <w:szCs w:val="18"/>
          <w:color w:val="auto"/>
        </w:rPr>
        <w:t>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10022</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__,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Imprimis Pharmaceuticals, Inc. – Public Offering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order to induce National Securities Corporation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acting as representative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to enter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Imprimis Pharmaceuticals,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respect to the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of shares of the Company’s common stock, $0.001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the undersigned hereby agrees that for a period (the “</w:t>
      </w:r>
      <w:r>
        <w:rPr>
          <w:rFonts w:ascii="Arial" w:cs="Arial" w:eastAsia="Arial" w:hAnsi="Arial"/>
          <w:sz w:val="16"/>
          <w:szCs w:val="16"/>
          <w:u w:val="single" w:color="auto"/>
          <w:color w:val="auto"/>
        </w:rPr>
        <w:t>Lock-Up Period</w:t>
      </w:r>
      <w:r>
        <w:rPr>
          <w:rFonts w:ascii="Arial" w:cs="Arial" w:eastAsia="Arial" w:hAnsi="Arial"/>
          <w:sz w:val="16"/>
          <w:szCs w:val="16"/>
          <w:color w:val="auto"/>
        </w:rPr>
        <w:t>”) of one hundred twenty (120) days following the date of the final prospectus supplement filed by the Company with the Securities and Exchange Commission in connection with such Offering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undersigned will not, without the prior written consent of the Representative, directly or indirectly, (i) offer, sell, assign, transfer, pledge, contract to sell, or otherwise dispose of, any shares of Common Stock or securities convertible into or exercisable or exchangeable for Common Stock (including, without limitation, shares of Common Stock or any such securities which the undersigned may be deemed to beneficially own by virtue of holding sole dispositive control with respect thereto, in accordance with the rules and regulations promulgated under the Securities Exchange Act of 1934, as the same may be amended or supplemented from time to time (such shares or securities, the “</w:t>
      </w:r>
      <w:r>
        <w:rPr>
          <w:rFonts w:ascii="Arial" w:cs="Arial" w:eastAsia="Arial" w:hAnsi="Arial"/>
          <w:sz w:val="16"/>
          <w:szCs w:val="16"/>
          <w:u w:val="single" w:color="auto"/>
          <w:color w:val="auto"/>
        </w:rPr>
        <w:t>Beneficially Owned Shares</w:t>
      </w:r>
      <w:r>
        <w:rPr>
          <w:rFonts w:ascii="Arial" w:cs="Arial" w:eastAsia="Arial" w:hAnsi="Arial"/>
          <w:sz w:val="16"/>
          <w:szCs w:val="16"/>
          <w:color w:val="auto"/>
        </w:rPr>
        <w:t xml:space="preserve">”)), (ii) enter into any swap, hedge or other agreement or arrangement that transfers, in whole or in part, the economic risk of ownership of any Beneficially Owned Shares, Common Stock or securities convertible into or exercisable or exchangeable for Common Stock, or (iii) engage in any short selling of any Beneficially Owned Shares, Common Stock or securities convertible into or exercisable or exchangeable for Common Stock. The foregoing sentence shall not apply to (a) transfers of any Beneficially Owned Shares, Common Stock or securities convertible into or exercisable or exchangeable for Common Stock as a bona fide gift, (b) in the case of a natural person, transfers of any Beneficially Owned Shares, Common Stock or securities convertible into or exercisable or exchangeable for Common Stock by will or intestate succession or to any trust, partnership, corporation, limited liability company or other entity controlled by the undersigned for the direct or indirect benefit of the undersigned or any member of the immediate family of the undersigned, (c) the distribution of shares of Common Stock to limited partners, members or stockholders in the ordinary course of business of a fund or entity owned or controlled by the undersigned, or (d) sales of any Beneficially Owned Shares, Common Stock or securities convertible into or exercisable or exchangeable for Common Stock pursuant to the terms of any trading plan established pursuant to Rule 10b5-1 under the Exchange Act that is existing as of the date of the Underwriting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 (a) or (b), each donee shall agree to be bound by the terms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For the purposes of the immediately preceding paragraph, “</w:t>
      </w:r>
      <w:r>
        <w:rPr>
          <w:rFonts w:ascii="Arial" w:cs="Arial" w:eastAsia="Arial" w:hAnsi="Arial"/>
          <w:sz w:val="18"/>
          <w:szCs w:val="18"/>
          <w:u w:val="single" w:color="auto"/>
          <w:color w:val="auto"/>
        </w:rPr>
        <w:t>immediate family</w:t>
      </w:r>
      <w:r>
        <w:rPr>
          <w:rFonts w:ascii="Arial" w:cs="Arial" w:eastAsia="Arial" w:hAnsi="Arial"/>
          <w:sz w:val="18"/>
          <w:szCs w:val="18"/>
          <w:color w:val="auto"/>
        </w:rPr>
        <w:t>” shall mean spouse, domestic partner, lineal descendant (including adopted children), father, mother, brother or sister of the transferor.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undersigned hereby waives, from the date hereof until the expiration of the ninety (90) day period following the date of the Prospectus Supplement, any and all rights, if any, to request or demand registration pursuant to the Securities Act of 1933, as amended, of any shares of Common Stock or securities convertible into or exercisable or exchangeable for Common Stock that are registered in the name of the undersigned or that are Beneficially Owned Shares. In order to enable the aforesaid covenants to be enforced, the undersigned hereby consents to the placing of legends and/or stop transfer orders with the transfer agent of the Common Stock with respect to any shares of Common Stock, securities convertible into or exercisable or exchangeable for Common Stock or Beneficially Owned Shares.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avoidance of doubt, nothing in this letter agreement prohibits the undersigned from exercising any options or warrants to purchase Common Stock (which exercises may be effected on a cashless basis to the extent the instruments representing such options or warrants permit exercises on a cashless basis), it being understood that any Common Stock issued upon such exercises will be subject to the restrictions of this letter agreement.</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(i) the Company notifies the Underwriter in writing that it does not intend to proceed with the Offering, (ii) for any reason the Offering is terminated prior to the payment for and delivery of the Common Stock or (iii) the Offering shall not have been completed by March 31, 2016, then upon the occurrence of any such event, this letter agreement shall immediately be terminated and the undersigned shall be released from its obligations 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140" w:type="dxa"/>
            <w:vAlign w:val="bottom"/>
            <w:gridSpan w:val="3"/>
          </w:tcPr>
          <w:p>
            <w:pPr>
              <w:jc w:val="center"/>
              <w:ind w:right="5280"/>
              <w:spacing w:after="0"/>
              <w:rPr>
                <w:sz w:val="20"/>
                <w:szCs w:val="20"/>
                <w:color w:val="auto"/>
              </w:rPr>
            </w:pPr>
            <w:r>
              <w:rPr>
                <w:rFonts w:ascii="Arial" w:cs="Arial" w:eastAsia="Arial" w:hAnsi="Arial"/>
                <w:sz w:val="18"/>
                <w:szCs w:val="18"/>
                <w:b w:val="1"/>
                <w:bCs w:val="1"/>
                <w:color w:val="auto"/>
                <w:w w:val="88"/>
              </w:rPr>
              <w:t>Schedule V</w:t>
            </w:r>
          </w:p>
        </w:tc>
      </w:tr>
      <w:tr>
        <w:trPr>
          <w:trHeight w:val="20"/>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453"/>
        </w:trPr>
        <w:tc>
          <w:tcPr>
            <w:tcW w:w="2160" w:type="dxa"/>
            <w:vAlign w:val="bottom"/>
          </w:tcPr>
          <w:p>
            <w:pPr>
              <w:spacing w:after="0"/>
              <w:rPr>
                <w:sz w:val="24"/>
                <w:szCs w:val="24"/>
                <w:color w:val="auto"/>
              </w:rPr>
            </w:pPr>
          </w:p>
        </w:tc>
        <w:tc>
          <w:tcPr>
            <w:tcW w:w="926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89"/>
              </w:rPr>
              <w:t>Directors and Executive Officers</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Robert J. Kammer</w:t>
            </w:r>
          </w:p>
        </w:tc>
        <w:tc>
          <w:tcPr>
            <w:tcW w:w="9260" w:type="dxa"/>
            <w:vAlign w:val="bottom"/>
            <w:gridSpan w:val="4"/>
          </w:tcPr>
          <w:p>
            <w:pPr>
              <w:ind w:left="580"/>
              <w:spacing w:after="0"/>
              <w:rPr>
                <w:sz w:val="20"/>
                <w:szCs w:val="20"/>
                <w:color w:val="auto"/>
              </w:rPr>
            </w:pPr>
            <w:r>
              <w:rPr>
                <w:rFonts w:ascii="Arial" w:cs="Arial" w:eastAsia="Arial" w:hAnsi="Arial"/>
                <w:sz w:val="18"/>
                <w:szCs w:val="18"/>
                <w:color w:val="auto"/>
              </w:rPr>
              <w:t>Chairman of the Board</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47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Chief Executive Officer and Director</w:t>
            </w:r>
          </w:p>
        </w:tc>
        <w:tc>
          <w:tcPr>
            <w:tcW w:w="456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Andrew R. Boll</w:t>
            </w:r>
          </w:p>
        </w:tc>
        <w:tc>
          <w:tcPr>
            <w:tcW w:w="47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w:t>
            </w:r>
          </w:p>
        </w:tc>
        <w:tc>
          <w:tcPr>
            <w:tcW w:w="456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John Saharek</w:t>
            </w:r>
          </w:p>
        </w:tc>
        <w:tc>
          <w:tcPr>
            <w:tcW w:w="47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Chief Commercial Officer</w:t>
            </w:r>
          </w:p>
        </w:tc>
        <w:tc>
          <w:tcPr>
            <w:tcW w:w="456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Stephen G. Austin</w:t>
            </w:r>
          </w:p>
        </w:tc>
        <w:tc>
          <w:tcPr>
            <w:tcW w:w="47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47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William H. Nelson</w:t>
            </w:r>
          </w:p>
        </w:tc>
        <w:tc>
          <w:tcPr>
            <w:tcW w:w="47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Anthony J. Principi</w:t>
            </w:r>
          </w:p>
        </w:tc>
        <w:tc>
          <w:tcPr>
            <w:tcW w:w="47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8"/>
                <w:szCs w:val="18"/>
                <w:color w:val="auto"/>
              </w:rPr>
            </w:pPr>
          </w:p>
        </w:tc>
      </w:tr>
      <w:tr>
        <w:trPr>
          <w:trHeight w:val="439"/>
        </w:trPr>
        <w:tc>
          <w:tcPr>
            <w:tcW w:w="2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Schedule VI</w:t>
            </w:r>
          </w:p>
        </w:tc>
        <w:tc>
          <w:tcPr>
            <w:tcW w:w="200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53"/>
        </w:trPr>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80" w:type="dxa"/>
            <w:vAlign w:val="bottom"/>
            <w:gridSpan w:val="5"/>
          </w:tcPr>
          <w:p>
            <w:pPr>
              <w:jc w:val="center"/>
              <w:ind w:right="1340"/>
              <w:spacing w:after="0"/>
              <w:rPr>
                <w:sz w:val="20"/>
                <w:szCs w:val="20"/>
                <w:color w:val="auto"/>
              </w:rPr>
            </w:pPr>
            <w:r>
              <w:rPr>
                <w:rFonts w:ascii="Arial" w:cs="Arial" w:eastAsia="Arial" w:hAnsi="Arial"/>
                <w:sz w:val="18"/>
                <w:szCs w:val="18"/>
                <w:b w:val="1"/>
                <w:bCs w:val="1"/>
                <w:color w:val="auto"/>
                <w:w w:val="93"/>
              </w:rPr>
              <w:t>Underwriters</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2"/>
        </w:trPr>
        <w:tc>
          <w:tcPr>
            <w:tcW w:w="17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Underwriter</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gridSpan w:val="3"/>
          </w:tcPr>
          <w:p>
            <w:pPr>
              <w:jc w:val="right"/>
              <w:ind w:right="820"/>
              <w:spacing w:after="0"/>
              <w:rPr>
                <w:sz w:val="20"/>
                <w:szCs w:val="20"/>
                <w:color w:val="auto"/>
              </w:rPr>
            </w:pPr>
            <w:r>
              <w:rPr>
                <w:rFonts w:ascii="Arial" w:cs="Arial" w:eastAsia="Arial" w:hAnsi="Arial"/>
                <w:sz w:val="18"/>
                <w:szCs w:val="18"/>
                <w:color w:val="auto"/>
              </w:rPr>
              <w:t>Firm Shares</w:t>
            </w:r>
          </w:p>
        </w:tc>
        <w:tc>
          <w:tcPr>
            <w:tcW w:w="3240" w:type="dxa"/>
            <w:vAlign w:val="bottom"/>
            <w:gridSpan w:val="2"/>
          </w:tcPr>
          <w:p>
            <w:pPr>
              <w:jc w:val="right"/>
              <w:ind w:right="1940"/>
              <w:spacing w:after="0"/>
              <w:rPr>
                <w:sz w:val="20"/>
                <w:szCs w:val="20"/>
                <w:color w:val="auto"/>
              </w:rPr>
            </w:pPr>
            <w:r>
              <w:rPr>
                <w:rFonts w:ascii="Arial" w:cs="Arial" w:eastAsia="Arial" w:hAnsi="Arial"/>
                <w:sz w:val="18"/>
                <w:szCs w:val="18"/>
                <w:color w:val="auto"/>
                <w:w w:val="90"/>
              </w:rPr>
              <w:t>Additional Shares</w:t>
            </w:r>
          </w:p>
        </w:tc>
      </w:tr>
      <w:tr>
        <w:trPr>
          <w:trHeight w:val="20"/>
        </w:trPr>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38"/>
        </w:trPr>
        <w:tc>
          <w:tcPr>
            <w:tcW w:w="17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National Securities Corporation</w:t>
            </w:r>
          </w:p>
        </w:tc>
        <w:tc>
          <w:tcPr>
            <w:tcW w:w="3580" w:type="dxa"/>
            <w:vAlign w:val="bottom"/>
            <w:gridSpan w:val="5"/>
          </w:tcPr>
          <w:p>
            <w:pPr>
              <w:jc w:val="right"/>
              <w:ind w:right="380"/>
              <w:spacing w:after="0"/>
              <w:rPr>
                <w:sz w:val="20"/>
                <w:szCs w:val="20"/>
                <w:color w:val="auto"/>
              </w:rPr>
            </w:pPr>
            <w:r>
              <w:rPr>
                <w:rFonts w:ascii="Arial" w:cs="Arial" w:eastAsia="Arial" w:hAnsi="Arial"/>
                <w:sz w:val="18"/>
                <w:szCs w:val="18"/>
                <w:color w:val="auto"/>
              </w:rPr>
              <w:t>2,320,000</w:t>
            </w:r>
          </w:p>
        </w:tc>
        <w:tc>
          <w:tcPr>
            <w:tcW w:w="3240" w:type="dxa"/>
            <w:vAlign w:val="bottom"/>
            <w:gridSpan w:val="2"/>
          </w:tcPr>
          <w:p>
            <w:pPr>
              <w:jc w:val="right"/>
              <w:ind w:right="1720"/>
              <w:spacing w:after="0"/>
              <w:rPr>
                <w:sz w:val="20"/>
                <w:szCs w:val="20"/>
                <w:color w:val="auto"/>
              </w:rPr>
            </w:pPr>
            <w:r>
              <w:rPr>
                <w:rFonts w:ascii="Arial" w:cs="Arial" w:eastAsia="Arial" w:hAnsi="Arial"/>
                <w:sz w:val="18"/>
                <w:szCs w:val="18"/>
                <w:color w:val="auto"/>
              </w:rPr>
              <w:t>________</w:t>
            </w:r>
          </w:p>
        </w:tc>
      </w:tr>
      <w:tr>
        <w:trPr>
          <w:trHeight w:val="230"/>
        </w:trPr>
        <w:tc>
          <w:tcPr>
            <w:tcW w:w="17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Sterne Agee CRT</w:t>
            </w:r>
          </w:p>
        </w:tc>
        <w:tc>
          <w:tcPr>
            <w:tcW w:w="3580" w:type="dxa"/>
            <w:vAlign w:val="bottom"/>
            <w:gridSpan w:val="5"/>
          </w:tcPr>
          <w:p>
            <w:pPr>
              <w:jc w:val="right"/>
              <w:ind w:right="380"/>
              <w:spacing w:after="0"/>
              <w:rPr>
                <w:sz w:val="20"/>
                <w:szCs w:val="20"/>
                <w:color w:val="auto"/>
              </w:rPr>
            </w:pPr>
            <w:r>
              <w:rPr>
                <w:rFonts w:ascii="Arial" w:cs="Arial" w:eastAsia="Arial" w:hAnsi="Arial"/>
                <w:sz w:val="18"/>
                <w:szCs w:val="18"/>
                <w:color w:val="auto"/>
              </w:rPr>
              <w:t>580,000</w:t>
            </w:r>
          </w:p>
        </w:tc>
        <w:tc>
          <w:tcPr>
            <w:tcW w:w="3240" w:type="dxa"/>
            <w:vAlign w:val="bottom"/>
            <w:gridSpan w:val="2"/>
          </w:tcPr>
          <w:p>
            <w:pPr>
              <w:jc w:val="right"/>
              <w:ind w:right="1720"/>
              <w:spacing w:after="0"/>
              <w:rPr>
                <w:sz w:val="20"/>
                <w:szCs w:val="20"/>
                <w:color w:val="auto"/>
              </w:rPr>
            </w:pPr>
            <w:r>
              <w:rPr>
                <w:rFonts w:ascii="Arial" w:cs="Arial" w:eastAsia="Arial" w:hAnsi="Arial"/>
                <w:sz w:val="18"/>
                <w:szCs w:val="18"/>
                <w:color w:val="auto"/>
              </w:rPr>
              <w:t>________</w:t>
            </w:r>
          </w:p>
        </w:tc>
      </w:tr>
      <w:tr>
        <w:trPr>
          <w:trHeight w:val="439"/>
        </w:trPr>
        <w:tc>
          <w:tcPr>
            <w:tcW w:w="1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Golenbock Eiseman Assor Bell &amp; Peskoe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437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counsel to Imprimis Pharmaceuticals, Inc., a Delaware corporation (the “Company”), in connection with the public offering by the Company of shares of the Company’s common stock, $0.001 par value per share (the “Securities”). The Securities have been registered pursuant to a Registration Statement on Form S-3 (Registration Number 333-198675) (the “Registration Statement”) under the Securities Act of 1933, as amended (the “Securities Act”), and a related prospectus, dated September 29, 2014 (the “Prospectus”), and a prospectus supplement, dated March 11, 2016 (the “Prospectus Supplement”). The Securities are to be issued pursuant to the Underwriting Agreement, dated as of March 11, 2016 (the “Underwriting Agreement”), with National Securities Corporation, as sole book-running manager, and Sterne Agee CRT, as co- manager.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examined and reviewed only such documents, records and matters of law as we have deemed necessary or appropriate for the purpose of rendering the opinion set forth herein. Insofar as the opinion set forth herein is based on factual matters in connection with, among other things, the issuance of the Securities, which factual matters are authenticated in certificates from certain officers of the Company, we have relied on such certificates. We have assumed the genuineness of all signatures, the authenticity of all documents submitted to us as originals and the conformity to originals of all documents submitted to us as certified or reproduced copies.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foregoing, we are of the opinion that the Securities, when issued and delivered in the manner and on the terms described in the Underwriting Agreement, will be validly issued, fully paid and non-assessable.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express no opinion as to the applicability or effect of any laws, orders or judgments of any state or other jurisdiction other than federal securities laws and the General Corporation Law of the State of Delaware. Further, this opinion is based solely upon existing laws, rules and regulations, and we undertake no obligation to advise you of any changes that may be brought to our attention after the date hereof. This opinion is expressly limited to the matters set forth above and we render no opinion, whether by implication or otherwise, as to any other matters relating to the Company or the Securities.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opinion is issued to you solely for use in connection with the Registration Statement and is not to be quoted or otherwise referred to in any financial statements of the Company or any other document, nor is it to be filed with or furnished to any government agency or other person, without our prior written consent.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use of our name under the caption “Legal Matters” in the prospectus supplement, dated March 11, 2016, relating to the Securities, and to the filing of this opinion as an exhibit to the Company’s Current Report on Form 8-K, filed on March 11, 2016. In giving this consent, we do not admit that we are within the category of persons whose consent is required under Section 7 of the Securities Act or the rules and regulations of the Commission adopted under the Act.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749425" cy="805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749425" cy="80581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Proposed Public Offering of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San Diego, CA -- March 10, 2016 -- - Imprimis Pharmaceuticals, Inc. (NASDAQ: IMMY), (“Imprimis” or the “company”), a pharmaceutical company focused on the development and commercialization of proprietary compounded drug formulations, announced today a proposed underwritten public offering of its common stock, subject to market and other conditions. In connection with the offering, the company intends to grant the underwriters the option, exercisable for 45 days, to purchase additional shares equal to up to 15% of the aggregate number of shares sold in the offering to cover over-allotments.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National Securities Corporation, a wholly owned subsidiary of National Holdings, Inc. (NASDAQ:NHLD), is acting as the sole book-running manager for the offering.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registration statement on Form S-3 relating to these securities was filed with the U.S. Securities and Exchange Commission (“SEC”) and was declared effective on September 29, 2014. The securities may be offered only by means of a prospectus. Copies of the prospectus and a preliminary prospectus supplement relating to the offering have been filed with the SEC and may be obtained by request to the offices of National Securities Corporation, Attn: Kim Addarich, Senior Vice President, 410 Park Avenue, 14th Floor, New York, NY 10022, Email: Kaddarich@nhldcorp.com</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Imprimis Pharmaceuticals, Inc. (NASDAQ: IMMY) is a national leader in the development, production and dispensing of novel compounded pharmaceuticals. The company’s two business programs,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and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focus on patient outcomes and affordability by offering high quality customizable compounded drugs in all 50 states. Headquartered in San Diego, California, Imprimis owns and operates four dispensing facilities located in California, Texas, New Jersey and Pennsylvania. For more information about Imprimis, please visit the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 looking statements within the meaning of the U.S. Private Securities Litigation Reform Act of 1995. Any statements in this release that are not historical facts may be considered forward looking statements, including statements regarding, among other things, the completion, timing, size and terms of the proposed public offering. Forward looking statements are based on management’s current views,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among others, market and other general economic conditions; the company’s ability to satisfy the conditions required to complete the offering; and the company’s perception of future availability of equity or debt financing needed to fund the growth of its business. As a result of these risks and uncertainties, undue reliance should not be placed on forward looking statements. The limited information contained in this press release is not adequate for making an informed investment judgment about the company, and you are encouraged to read Imprimis’ filings with the Securities and Exchange Commission, including its most recent Annual Report on Form 10-K and its subsequent Quarterly Reports on Form 10-Q, which more fully describe the company and its business and the risks and uncertainties that may impact future performance. Such documents may be read free of charge on the SEC’s web site at www.sec.gov.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 (IMMY)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Holdings (NHLD)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226060</wp:posOffset>
            </wp:positionV>
            <wp:extent cx="1758315" cy="831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758315" cy="83185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Pricing of Public Offering of Common Stock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San Diego, CA -- March 11, 2016 -- - Imprimis Pharmaceuticals, Inc. (NASDAQ: IMMY), (“Imprimis” or the “company”), a pharmaceutical company focused on the development and commercialization of proprietary compounded drug formulations, announced today the pricing of an underwritten public offering of 2.9 million shares of its common stock at a price to the public of $3.60 per share, before underwriting discounts. In addition, the company has granted the underwriters the option, exercisable for 45 days, to purchase an additional 435,000 shares of its common stock to cover over-allotments. The offering is expected to close on or about March 16, 2016, subject to satisfaction of customary closing conditions.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anticipates using its net proceeds from the offering primarily for working capital and general corporate purposes, which may include, among other things, expenditures associated with the company’s efforts to transition its Texas and New Jersey facilities to current good manufacturing practices (cGMP) and register them with the U.S. Food and Drug Administration (FDA) as outsourcing facilities.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National Securities Corporation, a wholly owned subsidiary of National Holdings, Inc. (NASDAQ:NHLD), is acting as the sole book-running manager for the offering.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registration statement on Form S-3 relating to these securities was filed with the U.S. Securities and Exchange Commission (“SEC”) and was declared effective on September 29, 2014. The securities are being offered by means of a written prospectus supplement forming part of the effective registration statement. Copies of the prospectus and the final prospectus supplement relating to the offering have been filed with the SEC and may be obtained by request to the offices of National Securities Corporation, Attn: Kim Addarich, Senior Vice President, 410 Park Avenue, 14th Floor, New York, NY 10022, Email: Kaddarich@nhldcorp.com</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Imprimis Pharmaceuticals, Inc. (NASDAQ: IMMY) is a national leader in the development, production and dispensing of novel compounded pharmaceuticals. The company’s two business programs,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and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focus on patient outcomes and affordability by offering high quality customizable compounded drugs in all 50 states. Headquartered in San Diego, California, Imprimis owns and operates four dispensing facilities located in California, Texas, New Jersey and Pennsylvania. For more information about Imprimis, please visit the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 looking statements within the meaning of the U.S. Private Securities Litigation Reform Act of 1995. Any statements in this release that are not historical facts may be considered forward looking statements, including statements regarding, among other things, the completion, timing, size and terms of the proposed public offering; the company’s planned use of any proceeds from the offering; and the company’s plans to upgrade and construct new pharmacy facilities and register these facilities as outsourcing facilities. Forward looking statements are based on management’s current views,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among others, market and other general economic conditions; the company’s ability to satisfy the conditions required to complete the offering; and the company’s perception of future availability of equity or debt financing needed to fund the growth of its business. As a result of these risks and uncertainties, undue reliance should not be placed on forward looking statements. The limited information contained in this press release is not adequate for making an informed investment judgment about the company, and you are encouraged to read Imprimis’ filings with the Securities and Exchange Commission, including its most recent Annual Report on Form 10-K and its subsequent Quarterly Reports on Form 10-Q, which more fully describe the company and its business and the risks and uncertainties that may impact future performance. Such documents may be read free of charge on the SEC’s web site at www.sec.gov.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
    <w:nsid w:val="2443A858"/>
    <w:multiLevelType w:val="hybridMultilevel"/>
    <w:lvl w:ilvl="0">
      <w:lvlJc w:val="left"/>
      <w:lvlText w:val="%1"/>
      <w:numFmt w:val="upperLetter"/>
      <w:start w:val="1"/>
    </w:lvl>
    <w:lvl w:ilvl="1">
      <w:lvlJc w:val="left"/>
      <w:lvlText w:val="(%2)"/>
      <w:numFmt w:val="lowerRoman"/>
      <w:start w:val="3"/>
    </w:lvl>
  </w:abstractNum>
  <w:abstractNum w:abstractNumId="3">
    <w:nsid w:val="2D1D5AE9"/>
    <w:multiLevelType w:val="hybridMultilevel"/>
    <w:lvl w:ilvl="0">
      <w:lvlJc w:val="left"/>
      <w:lvlText w:val="(%1)"/>
      <w:numFmt w:val="upperLetter"/>
      <w:start w:val="2"/>
    </w:lvl>
    <w:lvl w:ilvl="1">
      <w:lvlJc w:val="left"/>
      <w:lvlText w:val="%2"/>
      <w:numFmt w:val="lowerRoman"/>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lowerRoman"/>
      <w:start w:val="5"/>
    </w:lvl>
    <w:lvl w:ilvl="1">
      <w:lvlJc w:val="left"/>
      <w:lvlText w:val="(%2)"/>
      <w:numFmt w:val="upperLetter"/>
      <w:start w:val="2"/>
    </w:lvl>
  </w:abstractNum>
  <w:abstractNum w:abstractNumId="7">
    <w:nsid w:val="79838CB2"/>
    <w:multiLevelType w:val="hybridMultilevel"/>
    <w:lvl w:ilvl="0">
      <w:lvlJc w:val="left"/>
      <w:lvlText w:val="%1"/>
      <w:numFmt w:val="lowerRoman"/>
      <w:start w:val="1"/>
    </w:lvl>
    <w:lvl w:ilvl="1">
      <w:lvlJc w:val="left"/>
      <w:lvlText w:val="(%2)"/>
      <w:numFmt w:val="upperLetter"/>
      <w:start w:val="3"/>
    </w:lvl>
  </w:abstractNum>
  <w:abstractNum w:abstractNumId="8">
    <w:nsid w:val="4353D0CD"/>
    <w:multiLevelType w:val="hybridMultilevel"/>
    <w:lvl w:ilvl="0">
      <w:lvlJc w:val="left"/>
      <w:lvlText w:val="(%1)"/>
      <w:numFmt w:val="lowerRoman"/>
      <w:start w:val="6"/>
    </w:lvl>
    <w:lvl w:ilvl="1">
      <w:lvlJc w:val="left"/>
      <w:lvlText w:val="%2"/>
      <w:numFmt w:val="upperLetter"/>
      <w:start w:val="1"/>
    </w:lvl>
  </w:abstractNum>
  <w:abstractNum w:abstractNumId="9">
    <w:nsid w:val="B03E0C6"/>
    <w:multiLevelType w:val="hybridMultilevel"/>
    <w:lvl w:ilvl="0">
      <w:lvlJc w:val="left"/>
      <w:lvlText w:val="(%1)"/>
      <w:numFmt w:val="lowerRoman"/>
      <w:start w:val="8"/>
    </w:lvl>
  </w:abstractNum>
  <w:abstractNum w:abstractNumId="10">
    <w:nsid w:val="189A769B"/>
    <w:multiLevelType w:val="hybridMultilevel"/>
    <w:lvl w:ilvl="0">
      <w:lvlJc w:val="left"/>
      <w:lvlText w:val="(%1)"/>
      <w:numFmt w:val="lowerRoman"/>
      <w:start w:val="11"/>
    </w:lvl>
  </w:abstractNum>
  <w:abstractNum w:abstractNumId="11">
    <w:nsid w:val="54E49EB4"/>
    <w:multiLevelType w:val="hybridMultilevel"/>
    <w:lvl w:ilvl="0">
      <w:lvlJc w:val="left"/>
      <w:lvlText w:val="(%1)"/>
      <w:numFmt w:val="lowerRoman"/>
      <w:start w:val="12"/>
    </w:lvl>
  </w:abstractNum>
  <w:abstractNum w:abstractNumId="12">
    <w:nsid w:val="71F32454"/>
    <w:multiLevelType w:val="hybridMultilevel"/>
    <w:lvl w:ilvl="0">
      <w:lvlJc w:val="left"/>
      <w:lvlText w:val="(%1)"/>
      <w:numFmt w:val="lowerRoman"/>
      <w:start w:val="15"/>
    </w:lvl>
  </w:abstractNum>
  <w:abstractNum w:abstractNumId="13">
    <w:nsid w:val="2CA88611"/>
    <w:multiLevelType w:val="hybridMultilevel"/>
    <w:lvl w:ilvl="0">
      <w:lvlJc w:val="left"/>
      <w:lvlText w:val="(%1)"/>
      <w:numFmt w:val="lowerRoman"/>
      <w:start w:val="18"/>
    </w:lvl>
  </w:abstractNum>
  <w:abstractNum w:abstractNumId="14">
    <w:nsid w:val="836C40E"/>
    <w:multiLevelType w:val="hybridMultilevel"/>
    <w:lvl w:ilvl="0">
      <w:lvlJc w:val="left"/>
      <w:lvlText w:val="(%1)"/>
      <w:numFmt w:val="lowerRoman"/>
      <w:start w:val="23"/>
    </w:lvl>
  </w:abstractNum>
  <w:abstractNum w:abstractNumId="15">
    <w:nsid w:val="2901D82"/>
    <w:multiLevelType w:val="hybridMultilevel"/>
    <w:lvl w:ilvl="0">
      <w:lvlJc w:val="left"/>
      <w:lvlText w:val="(%1)"/>
      <w:numFmt w:val="lowerRoman"/>
      <w:start w:val="29"/>
    </w:lvl>
  </w:abstractNum>
  <w:abstractNum w:abstractNumId="16">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
    <w:nsid w:val="813864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8">
    <w:nsid w:val="1E7FF52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6CEAF087"/>
    <w:multiLevelType w:val="hybridMultilevel"/>
    <w:lvl w:ilvl="0">
      <w:lvlJc w:val="left"/>
      <w:lvlText w:val="(%1)"/>
      <w:numFmt w:val="lowerRoman"/>
      <w:start w:val="3"/>
    </w:lvl>
    <w:lvl w:ilvl="1">
      <w:lvlJc w:val="left"/>
      <w:lvlText w:val="(%2)"/>
      <w:numFmt w:val="upperLetter"/>
      <w:start w:val="2"/>
    </w:lvl>
  </w:abstractNum>
  <w:abstractNum w:abstractNumId="22">
    <w:nsid w:val="22221A70"/>
    <w:multiLevelType w:val="hybridMultilevel"/>
    <w:lvl w:ilvl="0">
      <w:lvlJc w:val="left"/>
      <w:lvlText w:val="(%1)"/>
      <w:numFmt w:val="lowerRoman"/>
      <w:start w:val="6"/>
    </w:lvl>
  </w:abstractNum>
  <w:abstractNum w:abstractNumId="23">
    <w:nsid w:val="4516DDE9"/>
    <w:multiLevelType w:val="hybridMultilevel"/>
    <w:lvl w:ilvl="0">
      <w:lvlJc w:val="left"/>
      <w:lvlText w:val="(%1)"/>
      <w:numFmt w:val="lowerRoman"/>
      <w:start w:val="8"/>
    </w:lvl>
  </w:abstractNum>
  <w:abstractNum w:abstractNumId="24">
    <w:nsid w:val="3006C83E"/>
    <w:multiLevelType w:val="hybridMultilevel"/>
    <w:lvl w:ilvl="0">
      <w:lvlJc w:val="left"/>
      <w:lvlText w:val="%1"/>
      <w:numFmt w:val="upperLetter"/>
      <w:start w:val="1"/>
    </w:lvl>
    <w:lvl w:ilvl="1">
      <w:lvlJc w:val="left"/>
      <w:lvlText w:val="(%2)"/>
      <w:numFmt w:val="lowerRoman"/>
      <w:start w:val="14"/>
    </w:lvl>
  </w:abstractNum>
  <w:abstractNum w:abstractNumId="25">
    <w:nsid w:val="614FD4A1"/>
    <w:multiLevelType w:val="hybridMultilevel"/>
    <w:lvl w:ilvl="0">
      <w:lvlJc w:val="left"/>
      <w:lvlText w:val="(%1)"/>
      <w:numFmt w:val="upperLetter"/>
      <w:start w:val="1"/>
    </w:lvl>
    <w:lvl w:ilvl="1">
      <w:lvlJc w:val="left"/>
      <w:lvlText w:val="%2"/>
      <w:numFmt w:val="lowerRoman"/>
      <w:start w:val="1"/>
    </w:lvl>
  </w:abstractNum>
  <w:abstractNum w:abstractNumId="26">
    <w:nsid w:val="419AC241"/>
    <w:multiLevelType w:val="hybridMultilevel"/>
    <w:lvl w:ilvl="0">
      <w:lvlJc w:val="left"/>
      <w:lvlText w:val="%1."/>
      <w:numFmt w:val="decimal"/>
      <w:start w:val="5"/>
    </w:lvl>
    <w:lvl w:ilvl="1">
      <w:lvlJc w:val="left"/>
      <w:lvlText w:val="(%2)"/>
      <w:numFmt w:val="lowerLetter"/>
      <w:start w:val="1"/>
    </w:lvl>
  </w:abstractNum>
  <w:abstractNum w:abstractNumId="27">
    <w:nsid w:val="5577F8E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8">
    <w:nsid w:val="440BADFC"/>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29">
    <w:nsid w:val="5072367"/>
    <w:multiLevelType w:val="hybridMultilevel"/>
    <w:lvl w:ilvl="0">
      <w:lvlJc w:val="left"/>
      <w:lvlText w:val="(%1)"/>
      <w:numFmt w:val="lowerRoman"/>
      <w:start w:val="2"/>
    </w:lvl>
  </w:abstractNum>
  <w:abstractNum w:abstractNumId="30">
    <w:nsid w:val="3804823E"/>
    <w:multiLevelType w:val="hybridMultilevel"/>
    <w:lvl w:ilvl="0">
      <w:lvlJc w:val="left"/>
      <w:lvlText w:val="(%1)"/>
      <w:numFmt w:val="upperLetter"/>
      <w:start w:val="1"/>
    </w:lvl>
  </w:abstractNum>
  <w:abstractNum w:abstractNumId="31">
    <w:nsid w:val="77465F01"/>
    <w:multiLevelType w:val="hybridMultilevel"/>
    <w:lvl w:ilvl="0">
      <w:lvlJc w:val="left"/>
      <w:lvlText w:val="%1"/>
      <w:numFmt w:val="lowerLetter"/>
      <w:start w:val="1"/>
    </w:lvl>
    <w:lvl w:ilvl="1">
      <w:lvlJc w:val="left"/>
      <w:lvlText w:val="(%2)"/>
      <w:numFmt w:val="upperLetter"/>
      <w:start w:val="4"/>
    </w:lvl>
  </w:abstractNum>
  <w:abstractNum w:abstractNumId="32">
    <w:nsid w:val="7724C67E"/>
    <w:multiLevelType w:val="hybridMultilevel"/>
    <w:lvl w:ilvl="0">
      <w:lvlJc w:val="left"/>
      <w:lvlText w:val="(%1)"/>
      <w:numFmt w:val="lowerLetter"/>
      <w:start w:val="8"/>
    </w:lvl>
    <w:lvl w:ilvl="1">
      <w:lvlJc w:val="left"/>
      <w:lvlText w:val="%2"/>
      <w:numFmt w:val="upperLetter"/>
      <w:start w:val="1"/>
    </w:lvl>
  </w:abstractNum>
  <w:abstractNum w:abstractNumId="33">
    <w:nsid w:val="5C482A97"/>
    <w:multiLevelType w:val="hybridMultilevel"/>
    <w:lvl w:ilvl="0">
      <w:lvlJc w:val="left"/>
      <w:lvlText w:val="%1."/>
      <w:numFmt w:val="decimal"/>
      <w:start w:val="6"/>
    </w:lvl>
    <w:lvl w:ilvl="1">
      <w:lvlJc w:val="left"/>
      <w:lvlText w:val="(%2)"/>
      <w:numFmt w:val="low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lowerLetter"/>
      <w:start w:val="1"/>
    </w:lvl>
    <w:lvl w:ilvl="1">
      <w:lvlJc w:val="left"/>
      <w:lvlText w:val="(%2)"/>
      <w:numFmt w:val="lowerLetter"/>
      <w:start w:val="4"/>
    </w:lvl>
  </w:abstractNum>
  <w:abstractNum w:abstractNumId="36">
    <w:nsid w:val="51EAD36B"/>
    <w:multiLevelType w:val="hybridMultilevel"/>
    <w:lvl w:ilvl="0">
      <w:lvlJc w:val="left"/>
      <w:lvlText w:val="(%1)"/>
      <w:numFmt w:val="lowerLetter"/>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5"/>
    </w:lvl>
  </w:abstractNum>
  <w:abstractNum w:abstractNumId="38">
    <w:nsid w:val="580BD78F"/>
    <w:multiLevelType w:val="hybridMultilevel"/>
    <w:lvl w:ilvl="0">
      <w:lvlJc w:val="left"/>
      <w:lvlText w:val="%1."/>
      <w:numFmt w:val="decimal"/>
      <w:start w:val="7"/>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2"/>
    </w:lvl>
  </w:abstractNum>
  <w:abstractNum w:abstractNumId="40">
    <w:nsid w:val="3855585C"/>
    <w:multiLevelType w:val="hybridMultilevel"/>
    <w:lvl w:ilvl="0">
      <w:lvlJc w:val="left"/>
      <w:lvlText w:val="%1."/>
      <w:numFmt w:val="decimal"/>
      <w:start w:val="9"/>
    </w:lvl>
    <w:lvl w:ilvl="1">
      <w:lvlJc w:val="left"/>
      <w:lvlText w:val="%2"/>
      <w:numFmt w:val="lowerLetter"/>
      <w:start w:val="1"/>
    </w:lvl>
  </w:abstractNum>
  <w:abstractNum w:abstractNumId="41">
    <w:nsid w:val="70A64E2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2020-01-19T20:34:35Z</dcterms:created>
  <dcterms:modified xsi:type="dcterms:W3CDTF">2020-01-19T20:34:35Z</dcterms:modified>
</cp:coreProperties>
</file>