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10,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June 10, 2015, we held our 2016 Annual Meeting of Stockholders (the “Annual Meeting”) at the San Diego Marriott Del Mar Hotel, 11966 El Camino Real, San Diego, California 92130. The final voting results on the matters presented at the Annual Meeting were as follows: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To elect to the Board of Directors the six (6) director nominees named in the accompanying proxy statement to serve until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and until their successors are duly elected and qualified.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Directors</w:t>
            </w:r>
          </w:p>
        </w:tc>
        <w:tc>
          <w:tcPr>
            <w:tcW w:w="1860" w:type="dxa"/>
            <w:vAlign w:val="bottom"/>
            <w:gridSpan w:val="2"/>
          </w:tcPr>
          <w:p>
            <w:pPr>
              <w:ind w:left="600"/>
              <w:spacing w:after="0"/>
              <w:rPr>
                <w:sz w:val="20"/>
                <w:szCs w:val="20"/>
                <w:color w:val="auto"/>
              </w:rPr>
            </w:pPr>
            <w:r>
              <w:rPr>
                <w:rFonts w:ascii="Arial" w:cs="Arial" w:eastAsia="Arial" w:hAnsi="Arial"/>
                <w:sz w:val="18"/>
                <w:szCs w:val="18"/>
                <w:b w:val="1"/>
                <w:bCs w:val="1"/>
                <w:color w:val="auto"/>
              </w:rPr>
              <w:t>For</w:t>
            </w:r>
          </w:p>
        </w:tc>
        <w:tc>
          <w:tcPr>
            <w:tcW w:w="1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Withheld</w:t>
            </w: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5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Stephen G. Austin</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7,230,469</w:t>
            </w:r>
          </w:p>
        </w:tc>
        <w:tc>
          <w:tcPr>
            <w:tcW w:w="3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115,521</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Mark L. Baum</w:t>
            </w:r>
          </w:p>
        </w:tc>
        <w:tc>
          <w:tcPr>
            <w:tcW w:w="1500" w:type="dxa"/>
            <w:vAlign w:val="bottom"/>
          </w:tcPr>
          <w:p>
            <w:pPr>
              <w:jc w:val="right"/>
              <w:spacing w:after="0"/>
              <w:rPr>
                <w:sz w:val="20"/>
                <w:szCs w:val="20"/>
                <w:color w:val="auto"/>
              </w:rPr>
            </w:pPr>
            <w:r>
              <w:rPr>
                <w:rFonts w:ascii="Arial" w:cs="Arial" w:eastAsia="Arial" w:hAnsi="Arial"/>
                <w:sz w:val="18"/>
                <w:szCs w:val="18"/>
                <w:color w:val="auto"/>
              </w:rPr>
              <w:t>7,333,451</w:t>
            </w:r>
          </w:p>
        </w:tc>
        <w:tc>
          <w:tcPr>
            <w:tcW w:w="36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12,539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Robert J. Kammer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7,334,899</w:t>
            </w:r>
          </w:p>
        </w:tc>
        <w:tc>
          <w:tcPr>
            <w:tcW w:w="3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11,091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Richard L. Lindstrom</w:t>
            </w:r>
          </w:p>
        </w:tc>
        <w:tc>
          <w:tcPr>
            <w:tcW w:w="1500" w:type="dxa"/>
            <w:vAlign w:val="bottom"/>
          </w:tcPr>
          <w:p>
            <w:pPr>
              <w:jc w:val="right"/>
              <w:spacing w:after="0"/>
              <w:rPr>
                <w:sz w:val="20"/>
                <w:szCs w:val="20"/>
                <w:color w:val="auto"/>
              </w:rPr>
            </w:pPr>
            <w:r>
              <w:rPr>
                <w:rFonts w:ascii="Arial" w:cs="Arial" w:eastAsia="Arial" w:hAnsi="Arial"/>
                <w:sz w:val="18"/>
                <w:szCs w:val="18"/>
                <w:color w:val="auto"/>
              </w:rPr>
              <w:t>7,211,857</w:t>
            </w:r>
          </w:p>
        </w:tc>
        <w:tc>
          <w:tcPr>
            <w:tcW w:w="36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134,133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William H. Nelson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6,633,316</w:t>
            </w:r>
          </w:p>
        </w:tc>
        <w:tc>
          <w:tcPr>
            <w:tcW w:w="3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712,674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Anthony J. Principi</w:t>
            </w:r>
          </w:p>
        </w:tc>
        <w:tc>
          <w:tcPr>
            <w:tcW w:w="1500" w:type="dxa"/>
            <w:vAlign w:val="bottom"/>
          </w:tcPr>
          <w:p>
            <w:pPr>
              <w:jc w:val="right"/>
              <w:spacing w:after="0"/>
              <w:rPr>
                <w:sz w:val="20"/>
                <w:szCs w:val="20"/>
                <w:color w:val="auto"/>
              </w:rPr>
            </w:pPr>
            <w:r>
              <w:rPr>
                <w:rFonts w:ascii="Arial" w:cs="Arial" w:eastAsia="Arial" w:hAnsi="Arial"/>
                <w:sz w:val="18"/>
                <w:szCs w:val="18"/>
                <w:color w:val="auto"/>
              </w:rPr>
              <w:t>7,334,899</w:t>
            </w:r>
          </w:p>
        </w:tc>
        <w:tc>
          <w:tcPr>
            <w:tcW w:w="36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11,091</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To ratify the selection of KMJ Corbin and Company, LLP as the Company’s independent registered public accounting firm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gridSpan w:val="2"/>
          </w:tcPr>
          <w:p>
            <w:pPr>
              <w:ind w:left="1140"/>
              <w:spacing w:after="0"/>
              <w:rPr>
                <w:sz w:val="20"/>
                <w:szCs w:val="20"/>
                <w:color w:val="auto"/>
              </w:rPr>
            </w:pPr>
            <w:r>
              <w:rPr>
                <w:rFonts w:ascii="Arial" w:cs="Arial" w:eastAsia="Arial" w:hAnsi="Arial"/>
                <w:sz w:val="18"/>
                <w:szCs w:val="18"/>
                <w:b w:val="1"/>
                <w:bCs w:val="1"/>
                <w:color w:val="auto"/>
              </w:rPr>
              <w:t>For</w:t>
            </w:r>
          </w:p>
        </w:tc>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960" w:type="dxa"/>
            <w:vAlign w:val="bottom"/>
            <w:gridSpan w:val="2"/>
          </w:tcPr>
          <w:p>
            <w:pPr>
              <w:ind w:left="1020"/>
              <w:spacing w:after="0"/>
              <w:rPr>
                <w:sz w:val="20"/>
                <w:szCs w:val="20"/>
                <w:color w:val="auto"/>
              </w:rPr>
            </w:pPr>
            <w:r>
              <w:rPr>
                <w:rFonts w:ascii="Arial" w:cs="Arial" w:eastAsia="Arial" w:hAnsi="Arial"/>
                <w:sz w:val="18"/>
                <w:szCs w:val="18"/>
                <w:b w:val="1"/>
                <w:bCs w:val="1"/>
                <w:color w:val="auto"/>
              </w:rPr>
              <w:t>Abstain</w:t>
            </w:r>
          </w:p>
        </w:tc>
        <w:tc>
          <w:tcPr>
            <w:tcW w:w="2600" w:type="dxa"/>
            <w:vAlign w:val="bottom"/>
            <w:gridSpan w:val="2"/>
          </w:tcPr>
          <w:p>
            <w:pPr>
              <w:ind w:left="58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7,177,135</w:t>
            </w:r>
          </w:p>
        </w:tc>
        <w:tc>
          <w:tcPr>
            <w:tcW w:w="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64,225</w:t>
            </w:r>
          </w:p>
        </w:tc>
        <w:tc>
          <w:tcPr>
            <w:tcW w:w="3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104,630</w:t>
            </w:r>
          </w:p>
        </w:tc>
        <w:tc>
          <w:tcPr>
            <w:tcW w:w="3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To approval, on an advisory basis, the compensation of the Company’s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gridSpan w:val="2"/>
          </w:tcPr>
          <w:p>
            <w:pPr>
              <w:ind w:left="1140"/>
              <w:spacing w:after="0"/>
              <w:rPr>
                <w:sz w:val="20"/>
                <w:szCs w:val="20"/>
                <w:color w:val="auto"/>
              </w:rPr>
            </w:pPr>
            <w:r>
              <w:rPr>
                <w:rFonts w:ascii="Arial" w:cs="Arial" w:eastAsia="Arial" w:hAnsi="Arial"/>
                <w:sz w:val="18"/>
                <w:szCs w:val="18"/>
                <w:b w:val="1"/>
                <w:bCs w:val="1"/>
                <w:color w:val="auto"/>
              </w:rPr>
              <w:t>For</w:t>
            </w:r>
          </w:p>
        </w:tc>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960" w:type="dxa"/>
            <w:vAlign w:val="bottom"/>
            <w:gridSpan w:val="2"/>
          </w:tcPr>
          <w:p>
            <w:pPr>
              <w:ind w:left="1020"/>
              <w:spacing w:after="0"/>
              <w:rPr>
                <w:sz w:val="20"/>
                <w:szCs w:val="20"/>
                <w:color w:val="auto"/>
              </w:rPr>
            </w:pPr>
            <w:r>
              <w:rPr>
                <w:rFonts w:ascii="Arial" w:cs="Arial" w:eastAsia="Arial" w:hAnsi="Arial"/>
                <w:sz w:val="18"/>
                <w:szCs w:val="18"/>
                <w:b w:val="1"/>
                <w:bCs w:val="1"/>
                <w:color w:val="auto"/>
              </w:rPr>
              <w:t>Abstain</w:t>
            </w:r>
          </w:p>
        </w:tc>
        <w:tc>
          <w:tcPr>
            <w:tcW w:w="2600" w:type="dxa"/>
            <w:vAlign w:val="bottom"/>
            <w:gridSpan w:val="2"/>
          </w:tcPr>
          <w:p>
            <w:pPr>
              <w:ind w:left="58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7,032,110</w:t>
            </w:r>
          </w:p>
        </w:tc>
        <w:tc>
          <w:tcPr>
            <w:tcW w:w="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156,096</w:t>
            </w:r>
          </w:p>
        </w:tc>
        <w:tc>
          <w:tcPr>
            <w:tcW w:w="3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157,784</w:t>
            </w:r>
          </w:p>
        </w:tc>
        <w:tc>
          <w:tcPr>
            <w:tcW w:w="3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2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2020-01-20T16:21:18Z</dcterms:created>
  <dcterms:modified xsi:type="dcterms:W3CDTF">2020-01-20T16:21:18Z</dcterms:modified>
</cp:coreProperties>
</file>