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60" w:hanging="3892"/>
        <w:spacing w:after="0" w:line="501" w:lineRule="auto"/>
        <w:tabs>
          <w:tab w:leader="none" w:pos="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 reporting company, or an emerging growth company.</w:t>
      </w:r>
    </w:p>
    <w:p>
      <w:pPr>
        <w:spacing w:after="0" w:line="170"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486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486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[X]</w:t>
            </w:r>
          </w:p>
        </w:tc>
      </w:tr>
      <w:tr>
        <w:trPr>
          <w:trHeight w:val="230"/>
        </w:trPr>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6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8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1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May 8, 2019, 24,718,649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2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2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880" w:type="dxa"/>
            <w:vAlign w:val="bottom"/>
            <w:gridSpan w:val="17"/>
            <w:shd w:val="clear" w:color="auto" w:fill="CCEEFF"/>
          </w:tcPr>
          <w:p>
            <w:pPr>
              <w:ind w:left="8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top w:val="single" w:sz="8" w:color="CCEEFF"/>
              <w:bottom w:val="single" w:sz="8" w:color="auto"/>
            </w:tcBorders>
            <w:gridSpan w:val="12"/>
          </w:tcPr>
          <w:p>
            <w:pPr>
              <w:jc w:val="center"/>
              <w:ind w:left="3250"/>
              <w:spacing w:after="0"/>
              <w:rPr>
                <w:sz w:val="20"/>
                <w:szCs w:val="20"/>
                <w:color w:val="auto"/>
              </w:rPr>
            </w:pPr>
            <w:r>
              <w:rPr>
                <w:rFonts w:ascii="Arial" w:cs="Arial" w:eastAsia="Arial" w:hAnsi="Arial"/>
                <w:sz w:val="18"/>
                <w:szCs w:val="18"/>
                <w:color w:val="auto"/>
                <w:w w:val="79"/>
              </w:rPr>
              <w:t>2</w:t>
            </w:r>
          </w:p>
        </w:tc>
        <w:tc>
          <w:tcPr>
            <w:tcW w:w="1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8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28,000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38,505</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32,843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6,195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Investment in Surface Pharmaceuticals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182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6,143</w:t>
            </w:r>
          </w:p>
        </w:tc>
        <w:tc>
          <w:tcPr>
            <w:tcW w:w="34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8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28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 net of unamortized discount</w:t>
            </w:r>
          </w:p>
        </w:tc>
        <w:tc>
          <w:tcPr>
            <w:tcW w:w="2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11,210</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portion</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Finance lease obligations, net of current portion and unamortized discount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Common stock, $0.001 par value, 50,000,000 shares authorized,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24,718,649 and 24,339,610 shares issued and outstanding</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at March 31, 2019 and December 31, 2018, respectively</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(62,853)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(74,211)</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INC. 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5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66,510</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Sales, net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12,283</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revenues</w:t>
            </w:r>
          </w:p>
        </w:tc>
        <w:tc>
          <w:tcPr>
            <w:tcW w:w="2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12,290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8,865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8,392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8,543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Investment gain from and equity in net loss of Melt Pharmaceuticals, net</w:t>
            </w:r>
          </w:p>
        </w:tc>
        <w:tc>
          <w:tcPr>
            <w:tcW w:w="2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5,525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net loss of Surface Pharmaceuticals</w:t>
            </w: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Investment gain from (equity in net loss of) Eton Pharmaceuticals</w:t>
            </w:r>
          </w:p>
        </w:tc>
        <w:tc>
          <w:tcPr>
            <w:tcW w:w="2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6,580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11,889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net income (loss) including noncontrolling interests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Pr>
          <w:p>
            <w:pPr>
              <w:spacing w:after="0"/>
              <w:rPr>
                <w:sz w:val="20"/>
                <w:szCs w:val="20"/>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Harrow Health, Inc.</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of common stock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net income (loss) per share of common stock</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of common stock outstanding, basic</w:t>
            </w:r>
          </w:p>
        </w:tc>
        <w:tc>
          <w:tcPr>
            <w:tcW w:w="2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24,841,386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20,949,199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diluted</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26,589,695</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20,949,199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Harrow</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Health,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Noncontrolling</w:t>
            </w:r>
          </w:p>
        </w:tc>
        <w:tc>
          <w:tcPr>
            <w:tcW w:w="160" w:type="dxa"/>
            <w:vAlign w:val="bottom"/>
          </w:tcPr>
          <w:p>
            <w:pPr>
              <w:spacing w:after="0"/>
              <w:rPr>
                <w:sz w:val="18"/>
                <w:szCs w:val="18"/>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Paid-in</w:t>
            </w:r>
          </w:p>
        </w:tc>
        <w:tc>
          <w:tcPr>
            <w:tcW w:w="1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Inc.</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Par 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20,623,129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9"/>
              </w:rPr>
              <w:t>Vesting of RSUs, net of tax withholding</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stock, net of costs (ATM)</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69,376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Stock-based payment for services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provided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60,700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20,813,205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Harrow</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Health,</w:t>
            </w:r>
          </w:p>
        </w:tc>
        <w:tc>
          <w:tcPr>
            <w:tcW w:w="1500" w:type="dxa"/>
            <w:vAlign w:val="bottom"/>
            <w:gridSpan w:val="6"/>
          </w:tcPr>
          <w:p>
            <w:pPr>
              <w:ind w:left="100"/>
              <w:spacing w:after="0"/>
              <w:rPr>
                <w:sz w:val="20"/>
                <w:szCs w:val="20"/>
                <w:color w:val="auto"/>
              </w:rPr>
            </w:pPr>
            <w:r>
              <w:rPr>
                <w:rFonts w:ascii="Arial" w:cs="Arial" w:eastAsia="Arial" w:hAnsi="Arial"/>
                <w:sz w:val="18"/>
                <w:szCs w:val="18"/>
                <w:color w:val="auto"/>
              </w:rPr>
              <w:t>Noncontrolling</w:t>
            </w:r>
          </w:p>
        </w:tc>
        <w:tc>
          <w:tcPr>
            <w:tcW w:w="160" w:type="dxa"/>
            <w:vAlign w:val="bottom"/>
          </w:tcPr>
          <w:p>
            <w:pPr>
              <w:spacing w:after="0"/>
              <w:rPr>
                <w:sz w:val="18"/>
                <w:szCs w:val="18"/>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Paid-in</w:t>
            </w:r>
          </w:p>
        </w:tc>
        <w:tc>
          <w:tcPr>
            <w:tcW w:w="1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Inc.</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Par 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Equity</w:t>
            </w:r>
          </w:p>
        </w:tc>
        <w:tc>
          <w:tcPr>
            <w:tcW w:w="16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24,339,610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$ 24,751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Exercise of warrants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364,039</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 payment for services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24,718,649</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99,887</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(62,853</w:t>
            </w:r>
          </w:p>
        </w:tc>
        <w:tc>
          <w:tcPr>
            <w:tcW w:w="18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$ 37,059</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income (loss) (including noncontrolling interests)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11,333</w:t>
            </w:r>
          </w:p>
        </w:tc>
        <w:tc>
          <w:tcPr>
            <w:tcW w:w="34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w:t>
            </w:r>
          </w:p>
        </w:tc>
        <w:tc>
          <w:tcPr>
            <w:tcW w:w="1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Amortization of operating lease right-of-use assets</w:t>
            </w:r>
          </w:p>
        </w:tc>
        <w:tc>
          <w:tcPr>
            <w:tcW w:w="1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Investment (gain) from and equity in net loss of Eton Pharmaceuticals</w:t>
            </w:r>
          </w:p>
        </w:tc>
        <w:tc>
          <w:tcPr>
            <w:tcW w:w="10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(6,580)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(gain) from and equity in net loss of Melt Pharmaceuticals, net</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Equity in net loss of Surface Pharmaceuticals</w:t>
            </w:r>
          </w:p>
        </w:tc>
        <w:tc>
          <w:tcPr>
            <w:tcW w:w="1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and disposal of assets</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Stock-based payment of consulting services</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0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note receivable</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Proceeds on sale and disposal of assets</w:t>
            </w:r>
          </w:p>
        </w:tc>
        <w:tc>
          <w:tcPr>
            <w:tcW w:w="1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20"/>
                <w:szCs w:val="20"/>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finance lease obligations</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note payable</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warrants</w:t>
            </w:r>
          </w:p>
        </w:tc>
        <w:tc>
          <w:tcPr>
            <w:tcW w:w="1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6,838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3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w:t>
            </w:r>
          </w:p>
        </w:tc>
        <w:tc>
          <w:tcPr>
            <w:tcW w:w="3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2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340"/>
              <w:spacing w:after="0" w:line="201" w:lineRule="exact"/>
              <w:rPr>
                <w:sz w:val="20"/>
                <w:szCs w:val="20"/>
                <w:color w:val="auto"/>
              </w:rPr>
            </w:pPr>
            <w:r>
              <w:rPr>
                <w:rFonts w:ascii="Arial" w:cs="Arial" w:eastAsia="Arial" w:hAnsi="Arial"/>
                <w:sz w:val="18"/>
                <w:szCs w:val="18"/>
                <w:color w:val="auto"/>
                <w:w w:val="96"/>
              </w:rPr>
              <w:t>Issuance of common stock for consulting services, included in accounts payable and accrued</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Changes in accrued property and equipment purchases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40"/>
              <w:spacing w:after="0"/>
              <w:rPr>
                <w:sz w:val="20"/>
                <w:szCs w:val="20"/>
                <w:color w:val="auto"/>
              </w:rPr>
            </w:pPr>
            <w:r>
              <w:rPr>
                <w:rFonts w:ascii="Arial" w:cs="Arial" w:eastAsia="Arial" w:hAnsi="Arial"/>
                <w:sz w:val="18"/>
                <w:szCs w:val="18"/>
                <w:color w:val="auto"/>
              </w:rPr>
              <w:t>Acquisition of property, plant and equipment with finance lease obligations</w:t>
            </w: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3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Harrow Health, Inc. (together with its subsidiaries, unless the context indicates or otherwise requires, the “Company” or “Harrow”) specializes in the development, production and sale of innovative medications that offer unique competitive advantages and serve unmet needs in the marketplace. Prior to 2017, the Company’s business was primarily focused on its ImprimisRx business, the nation’s leading ophthalmology pharmaceutical compounding business, and Park Compounding, Inc. (“Park”), a leading health and wellness compounding business. Since 2017, in addition to wholly-owning ImprimisRx and Park, the Company also has equity positions in Eton Pharmaceuticals, Inc. (“Eton”), Surface Pharmaceuticals, Inc. (“Surface”), and Melt Pharmaceuticals, Inc. (“Melt”). In 2018, the Company also founded its subsidiaries Mayfield Pharmaceuticals, Inc. (“Mayfield”) and Radley Pharmaceuticals, Inc. (“Radley”). In February 2019, the Company entered into an agreement with Elle Pharmaceutical, Inc. (“Elle”) in which Mayfield issued 1,000,000 shares of its common stock to Elle (see Note 14). The Company owns royalty rights in certain 505(b)(2) drug candidates being developed by Surface, Melt, Radley and Mayfield.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Harrow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2019 are not necessarily indicative of the results that may be expected for the year ending December 31, 2019 or for any other period. For further information, refer to the Company’s audited consolidated financial statements and footnotes thereto included in the Company’s Annual Report on Form 10-K for the year ended December 31, 2018.</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Harrow and its wholly owned subsidiaries, as well as Mayfield, a 72% majority owned subsidiary of Harrow. The remaining 28% of Mayfield is owned by Elle. Mayfield was organized to develop women’s health focused drug candidates. All inter-company accounts and transactions have been eliminated in consolidation.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we have a controlling financial interest. We consolidate subsidiaries in which we hold, directly or indirectly, more than 50% of the voting rights.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condensed consolidated balance sheets at March 31, 2019 and December 31, 2018 and the condensed consolidated statements of operations and cash flows for the period ended March 31, 2019 include our accounts and those of our wholly owned subsidiaries as well as Mayfield. The condensed consolidated statements of operations and cash flows for the period ended March 31, 2018 include our accounts and those of our wholly owned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2019 to the significant accounting policies described in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operating losses of $556 and $1,781 for the three months ended March 31, 2019 and 2018, respectively, and had an accumulated deficit of $62,853 and $74,211 as of March 31, 2019 and December 31, 2018, respectively. In addition, the Company used cash in operating activities of $1,476 and $965 for the three months ended March 31, 2019 and 2018,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While there is no assurance, the Company believes its existing cash resources and restricted cash of $4,265 at March 31, 2019,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on as operating segments. The Company has identified two operating segments as reportable segments. See Note 15 for more information regarding the Company’s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income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5,838,230 and 10,106,391 at March 31, 2019 and 2018, respectively, and, except for the three months ended March 31, 2019, are excluded from the calculation of diluted net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March 31, 2019 and 2018 was 270,783 and 152,790,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shows the computation of basic net income (loss) per share of common stock for the three March 31,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31, 2019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 Harrow Health,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 weighted average number of shares outstanding,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24,841,386</w:t>
            </w:r>
          </w:p>
        </w:tc>
        <w:tc>
          <w:tcPr>
            <w:tcW w:w="16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20,949,199</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three months ended March 31, 2019, the Company had net income. As a result, the Company computed diluted net income per share using the weighted-average number of common shares and dilutive common equivalent shares outstanding during those periods. Diluted common equivalent shares for the three months ended March 31, 2019,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March 31, 2019</w:t>
            </w: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760" w:type="dxa"/>
            <w:vAlign w:val="bottom"/>
          </w:tcPr>
          <w:p>
            <w:pPr>
              <w:jc w:val="right"/>
              <w:spacing w:after="0"/>
              <w:rPr>
                <w:sz w:val="20"/>
                <w:szCs w:val="20"/>
                <w:color w:val="auto"/>
              </w:rPr>
            </w:pPr>
            <w:r>
              <w:rPr>
                <w:rFonts w:ascii="Arial" w:cs="Arial" w:eastAsia="Arial" w:hAnsi="Arial"/>
                <w:sz w:val="18"/>
                <w:szCs w:val="18"/>
                <w:color w:val="auto"/>
              </w:rPr>
              <w:t>1,067,808</w:t>
            </w:r>
          </w:p>
        </w:tc>
        <w:tc>
          <w:tcPr>
            <w:tcW w:w="40" w:type="dxa"/>
            <w:vAlign w:val="bottom"/>
          </w:tcPr>
          <w:p>
            <w:pPr>
              <w:spacing w:after="0"/>
              <w:rPr>
                <w:sz w:val="18"/>
                <w:szCs w:val="18"/>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680,501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Dilutive common equivalent shares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1,748,309</w:t>
            </w:r>
          </w:p>
        </w:tc>
        <w:tc>
          <w:tcPr>
            <w:tcW w:w="4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diluted net income (loss) per share of common stock for the three months ended March 31,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31, 2019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 Harrow Health.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Denominator – weighted average number of shares outstanding, basic</w:t>
            </w: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24,841,386</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20,949,199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 shares</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Number of shares used for diluted earnings per share computation</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26,589,695</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20,949,199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owns 3,500,000 shares of Eton common stock, which represents approximately 19.86% of the equity and voting interests of Eton as of March 31, 2019. At March 31, 2019, the fair market value of Eton’s common stock was $8.00 per share, the closing share price of Eton common stock on March 29, 2019, the last trading day of the period ended March 31, 2019. In accordance with the Accounting Standards Update (“ASU”) 2016-01,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Instruments-Overall (Subtopic 825-10): Recognition and Measurement of Financial Assets and Financial Liabilities</w:t>
      </w:r>
      <w:r>
        <w:rPr>
          <w:rFonts w:ascii="Arial" w:cs="Arial" w:eastAsia="Arial" w:hAnsi="Arial"/>
          <w:sz w:val="16"/>
          <w:szCs w:val="16"/>
          <w:color w:val="auto"/>
        </w:rPr>
        <w:t>,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Company recorded an investment gain from its Eton common stock position of $6,580, related to the change in fair market value of the Company’s investment in Eton during the measurement period. As of March 31, 2019, the fair market value of the Company’s investment in Eton was $28,000.</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2018, the Company entered into a lock-up agreement, that prohibits the sale of any of its Eton common stock until November 2019, without the approval of National Securities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Baum, the Company’s Chief Executive Officer, is a member of the board of directors of Eton.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the Company formed Melt as a wholly owned subsidiary. In January and March of 2019, Melt entered into definitive stock purchase agreements (the “Melt Series A Preferred Stock Agreement”) with certain investors and closed on the purchase and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by September 30, 2020 relating to an initial public offering of its common stock.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At the time of deconsolidation, the Company recorded a gain of $5,810 and adjusted the carrying value in Melt to reflect the increased valuation of Melt and the Company’s new ownership interest in accordance with Accounting Standard Codification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owns 3,500,000 common shares (which is approximately 44% of the equity interest as of March 31, 2019) of Melt and uses the equity method of accounting for this investment, as management has determined that the Company has the ability to exercise significant influence over the operating and financial decisions of Melt. Under this method, the Company recognizes earnings and losses of Melt in its consolidated financial statements and adjusts the carrying amount of its investment in Melt accordingly. The Company’s share of earnings and losses are based on the Company’s ownership interest of Melt. Any intra-entity profits and losses are eliminated. During the three months ended March 31, 2019, the Company recorded equity in net loss of Melt of $285. As of March 31, 2019, the carrying value of the Company’s investment in Melt was $5,525.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Pharmaceuticals,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formed Surface as a wholly owned subsidiary. In May and July 2018, Surface entered into and closed on a definitive stock purchase agreement with an institutional investor for the purchase of Surface’s Series A Preferred Stock (the “Surface Series A Stock”) that resulted in total proceeds to Surface of approximately $21,000. At the time of the first closing in May 2018, the Company lost voting and ownership control of Surface and it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time of deconsolidation, the Company recorded a gain of $5,320 and adjusted the carrying value in Surface to reflect the increased valuation of Surface and the Company’s new ownership interest in accordance with ASC 810-10-40-4(c),</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owns 3,500,000 common shares (which is approximately 30% of the equity interest as of March 31, 2019)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three months ended March 31, 2019, the Company recorded equity in net loss of Surface of $243. As of March 31, 2019, the carrying value of the Company’s investment in Surface was $4,704.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took effect for public companies in fiscal years beginning after December 15, 2018, including interim periods within those fiscal years. On January 1, 2019, the Company adopted Topic 842 using the modified retrospective transition method with no impact to stockholders’ equity. As of March 31, 2019, the Company held on its condensed consolidated balance sheet $6,195 for the right-of-use asset and $6,594 for the related lease liability related to operating leases. The difference between the right of use asset and related lease liability is predominantly deferred rent and other related lease expenses under the new lease accounting standard. For additional information regarding how the Company is accounting for leases under Topic 842, refer to Note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The Company has two primary streams of revenues: (1) revenues recognized from our sale of products within our pharmacy services and (2) revenues recognized from intellectual property license and asset purchase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Revenues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7" w:lineRule="exact"/>
        <w:rPr>
          <w:sz w:val="20"/>
          <w:szCs w:val="20"/>
          <w:color w:val="auto"/>
        </w:rPr>
      </w:pPr>
    </w:p>
    <w:p>
      <w:pPr>
        <w:ind w:left="5640" w:right="420" w:hanging="4984"/>
        <w:spacing w:after="0" w:line="528" w:lineRule="auto"/>
        <w:tabs>
          <w:tab w:leader="none" w:pos="986"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 A contract exists with a customer at the time the prescription or order is received by the Company.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Revenue disaggregated by revenue source for the three months ended March 31, 2019 and 2018,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Three months ended</w:t>
            </w:r>
          </w:p>
        </w:tc>
      </w:tr>
      <w:tr>
        <w:trPr>
          <w:trHeight w:val="241"/>
        </w:trPr>
        <w:tc>
          <w:tcPr>
            <w:tcW w:w="4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Borders>
              <w:bottom w:val="single" w:sz="8" w:color="CCEEFF"/>
            </w:tcBorders>
          </w:tcPr>
          <w:p>
            <w:pPr>
              <w:spacing w:after="0"/>
              <w:rPr>
                <w:sz w:val="20"/>
                <w:szCs w:val="20"/>
                <w:color w:val="auto"/>
              </w:rPr>
            </w:pPr>
          </w:p>
        </w:tc>
      </w:tr>
      <w:tr>
        <w:trPr>
          <w:trHeight w:val="216"/>
        </w:trPr>
        <w:tc>
          <w:tcPr>
            <w:tcW w:w="4200" w:type="dxa"/>
            <w:vAlign w:val="bottom"/>
            <w:shd w:val="clear" w:color="auto" w:fill="CCEEFF"/>
          </w:tcPr>
          <w:p>
            <w:pPr>
              <w:jc w:val="right"/>
              <w:ind w:right="2750"/>
              <w:spacing w:after="0"/>
              <w:rPr>
                <w:sz w:val="20"/>
                <w:szCs w:val="20"/>
                <w:color w:val="auto"/>
              </w:rPr>
            </w:pPr>
            <w:r>
              <w:rPr>
                <w:rFonts w:ascii="Arial" w:cs="Arial" w:eastAsia="Arial" w:hAnsi="Arial"/>
                <w:sz w:val="18"/>
                <w:szCs w:val="18"/>
                <w:b w:val="1"/>
                <w:bCs w:val="1"/>
                <w:color w:val="auto"/>
                <w:w w:val="86"/>
              </w:rPr>
              <w:t>Product sales,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80" w:type="dxa"/>
            <w:vAlign w:val="bottom"/>
            <w:shd w:val="clear" w:color="auto" w:fill="CCEEFF"/>
          </w:tcPr>
          <w:p>
            <w:pPr>
              <w:spacing w:after="0"/>
              <w:rPr>
                <w:sz w:val="18"/>
                <w:szCs w:val="18"/>
                <w:color w:val="auto"/>
              </w:rPr>
            </w:pPr>
          </w:p>
        </w:tc>
      </w:tr>
      <w:tr>
        <w:trPr>
          <w:trHeight w:val="237"/>
        </w:trPr>
        <w:tc>
          <w:tcPr>
            <w:tcW w:w="4200" w:type="dxa"/>
            <w:vAlign w:val="bottom"/>
          </w:tcPr>
          <w:p>
            <w:pPr>
              <w:jc w:val="right"/>
              <w:ind w:right="2810"/>
              <w:spacing w:after="0"/>
              <w:rPr>
                <w:sz w:val="20"/>
                <w:szCs w:val="20"/>
                <w:color w:val="auto"/>
              </w:rPr>
            </w:pPr>
            <w:r>
              <w:rPr>
                <w:rFonts w:ascii="Arial" w:cs="Arial" w:eastAsia="Arial" w:hAnsi="Arial"/>
                <w:sz w:val="18"/>
                <w:szCs w:val="18"/>
                <w:b w:val="1"/>
                <w:bCs w:val="1"/>
                <w:color w:val="auto"/>
                <w:w w:val="84"/>
              </w:rPr>
              <w:t>License revenues</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30"/>
        </w:trPr>
        <w:tc>
          <w:tcPr>
            <w:tcW w:w="4200" w:type="dxa"/>
            <w:vAlign w:val="bottom"/>
            <w:tcBorders>
              <w:top w:val="single" w:sz="8" w:color="CCEEFF"/>
              <w:bottom w:val="single" w:sz="8" w:color="CCEEFF"/>
            </w:tcBorders>
            <w:shd w:val="clear" w:color="auto" w:fill="CCEEFF"/>
          </w:tcPr>
          <w:p>
            <w:pPr>
              <w:jc w:val="right"/>
              <w:ind w:right="281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March 31, 2019 and December 31, 2018, was $359 and $119, retrospectively. All deferred revenue and customer deposit amounts at December 31, 2018 were recognized as revenue during the three months ended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up to eight percent (8%) of net sales of the Melt Products while any patent rights remain outstanding, as well as other conditions. In January and March 2019, the Company entered into the Melt Series A Preferred Stock Agreement.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Company was due $677 from Melt for reimbursable expenses and amounts due under the Melt MSA and included in prepaid expenses and other current assets on the accompanying condensed consolidated balance sheets.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Chief Executive Officer, Mark L. Baum, and Chief Financial Officer, Andrew Boll, are members of the Melt board of directors, and several employees of the Company (including Mr. Baum and Mr. Boll) entered into consulting agreements and provided consulting services to Melt.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5"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March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Non current assets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preferred stock and stockholders’ equity</w:t>
            </w:r>
          </w:p>
        </w:tc>
        <w:tc>
          <w:tcPr>
            <w:tcW w:w="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2017 and amended in April 2018, the Company entered into two asset purchase and license agreements (the “Surface License Agreements”) with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“Surface MSA”), whereby the Company provided to Surface certain administrative services and support, including bookkeeping, web services and human resources related activities, and Surface paid the Company a monthly amount of $10. The Surface MSA was terminated effective July 31,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Company was due $50 from Surface for reimbursable expenses and amounts due under the Surface MSA and included in prepaid expenses and other current assets on the accompanying condensed consolidated balance sheets.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2019, the Company owned 3,500,000 shares of Surface common stock (approximately 30% issued and outstanding equity interests). The Company’s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entered into consulting agreements and provided consulting services to Surface. Surface is required to make royalty payments to Dr. Lindstrom of three percent (3%) of net sales of certain Surface products while certain patent rights remain outstanding. Dr. Lindstrom is also a principal of Flying L Partners, an affiliate of the funding investor.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5"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March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 current assets</w:t>
            </w:r>
          </w:p>
        </w:tc>
        <w:tc>
          <w:tcPr>
            <w:tcW w:w="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2019 and December 31, 2018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9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40" w:type="dxa"/>
            <w:vAlign w:val="bottom"/>
            <w:shd w:val="clear" w:color="auto" w:fill="CCEEFF"/>
          </w:tcPr>
          <w:p>
            <w:pPr>
              <w:spacing w:after="0"/>
              <w:rPr>
                <w:sz w:val="21"/>
                <w:szCs w:val="21"/>
                <w:color w:val="auto"/>
              </w:rPr>
            </w:pPr>
          </w:p>
        </w:tc>
      </w:tr>
      <w:tr>
        <w:trPr>
          <w:trHeight w:val="217"/>
        </w:trPr>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45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Surface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Receivable due from Melt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6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45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1,674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10,996</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10,739</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7"/>
        </w:trPr>
        <w:tc>
          <w:tcPr>
            <w:tcW w:w="4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depreciation related to the property, plant and equipment was $390.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NOTE 9. INTANGIBLE ASSETS AND GOODWILL</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20" w:type="dxa"/>
            <w:vAlign w:val="bottom"/>
            <w:gridSpan w:val="6"/>
          </w:tcPr>
          <w:p>
            <w:pPr>
              <w:spacing w:after="0"/>
              <w:rPr>
                <w:sz w:val="20"/>
                <w:szCs w:val="20"/>
                <w:color w:val="auto"/>
              </w:rPr>
            </w:pPr>
            <w:r>
              <w:rPr>
                <w:rFonts w:ascii="Arial" w:cs="Arial" w:eastAsia="Arial" w:hAnsi="Arial"/>
                <w:sz w:val="18"/>
                <w:szCs w:val="18"/>
                <w:color w:val="auto"/>
                <w:w w:val="98"/>
              </w:rPr>
              <w:t>The Company’s intangible assets at March 31, 2019 consisted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7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7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Accumulated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27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 years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3-15 years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2,998</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Non-competition clause</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r>
      <w:tr>
        <w:trPr>
          <w:trHeight w:val="217"/>
        </w:trPr>
        <w:tc>
          <w:tcPr>
            <w:tcW w:w="27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months ended March 31, 2019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80" w:type="dxa"/>
            <w:vAlign w:val="bottom"/>
          </w:tcPr>
          <w:p>
            <w:pPr>
              <w:jc w:val="center"/>
              <w:ind w:left="150"/>
              <w:spacing w:after="0"/>
              <w:rPr>
                <w:sz w:val="20"/>
                <w:szCs w:val="20"/>
                <w:color w:val="auto"/>
              </w:rPr>
            </w:pPr>
            <w:r>
              <w:rPr>
                <w:rFonts w:ascii="Arial" w:cs="Arial" w:eastAsia="Arial" w:hAnsi="Arial"/>
                <w:sz w:val="18"/>
                <w:szCs w:val="18"/>
                <w:color w:val="auto"/>
                <w:w w:val="91"/>
              </w:rPr>
              <w:t>For the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For the</w:t>
            </w:r>
          </w:p>
        </w:tc>
      </w:tr>
      <w:tr>
        <w:trPr>
          <w:trHeight w:val="216"/>
        </w:trPr>
        <w:tc>
          <w:tcPr>
            <w:tcW w:w="4580" w:type="dxa"/>
            <w:vAlign w:val="bottom"/>
          </w:tcPr>
          <w:p>
            <w:pPr>
              <w:spacing w:after="0"/>
              <w:rPr>
                <w:sz w:val="18"/>
                <w:szCs w:val="18"/>
                <w:color w:val="auto"/>
              </w:rPr>
            </w:pPr>
          </w:p>
        </w:tc>
        <w:tc>
          <w:tcPr>
            <w:tcW w:w="1880" w:type="dxa"/>
            <w:vAlign w:val="bottom"/>
          </w:tcPr>
          <w:p>
            <w:pPr>
              <w:jc w:val="center"/>
              <w:ind w:left="15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Three Months Ended</w:t>
            </w:r>
          </w:p>
        </w:tc>
      </w:tr>
      <w:tr>
        <w:trPr>
          <w:trHeight w:val="230"/>
        </w:trPr>
        <w:tc>
          <w:tcPr>
            <w:tcW w:w="4580" w:type="dxa"/>
            <w:vAlign w:val="bottom"/>
          </w:tcPr>
          <w:p>
            <w:pPr>
              <w:spacing w:after="0"/>
              <w:rPr>
                <w:sz w:val="19"/>
                <w:szCs w:val="19"/>
                <w:color w:val="auto"/>
              </w:rPr>
            </w:pPr>
          </w:p>
        </w:tc>
        <w:tc>
          <w:tcPr>
            <w:tcW w:w="1880" w:type="dxa"/>
            <w:vAlign w:val="bottom"/>
          </w:tcPr>
          <w:p>
            <w:pPr>
              <w:jc w:val="center"/>
              <w:ind w:left="170"/>
              <w:spacing w:after="0"/>
              <w:rPr>
                <w:sz w:val="20"/>
                <w:szCs w:val="20"/>
                <w:color w:val="auto"/>
              </w:rPr>
            </w:pPr>
            <w:r>
              <w:rPr>
                <w:rFonts w:ascii="Arial" w:cs="Arial" w:eastAsia="Arial" w:hAnsi="Arial"/>
                <w:sz w:val="18"/>
                <w:szCs w:val="18"/>
                <w:color w:val="auto"/>
                <w:w w:val="92"/>
              </w:rPr>
              <w:t>March 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r>
      <w:tr>
        <w:trPr>
          <w:trHeight w:val="237"/>
        </w:trPr>
        <w:tc>
          <w:tcPr>
            <w:tcW w:w="45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2019</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CEEFF"/>
            </w:tcBorders>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Licenses</w:t>
            </w:r>
          </w:p>
        </w:tc>
        <w:tc>
          <w:tcPr>
            <w:tcW w:w="18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Trade name</w:t>
            </w:r>
          </w:p>
        </w:tc>
        <w:tc>
          <w:tcPr>
            <w:tcW w:w="18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8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auto"/>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2019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r>
      <w:tr>
        <w:trPr>
          <w:trHeight w:val="230"/>
        </w:trPr>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months ended March 31,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9"/>
              </w:rPr>
              <w:t>NOTE 10. ACCOUNTS PAYABLE AND ACCRUED EXPENSES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w w:val="95"/>
              </w:rPr>
              <w:t>Accounts payable and accrued expenses consisted of the following:</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Accrued litigation settlement (see Note 14)</w:t>
            </w:r>
          </w:p>
        </w:tc>
        <w:tc>
          <w:tcPr>
            <w:tcW w:w="580" w:type="dxa"/>
            <w:vAlign w:val="bottom"/>
          </w:tcPr>
          <w:p>
            <w:pPr>
              <w:spacing w:after="0"/>
              <w:rPr>
                <w:sz w:val="18"/>
                <w:szCs w:val="18"/>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Accrued interest</w:t>
            </w:r>
          </w:p>
        </w:tc>
        <w:tc>
          <w:tcPr>
            <w:tcW w:w="580" w:type="dxa"/>
            <w:vAlign w:val="bottom"/>
          </w:tcPr>
          <w:p>
            <w:pPr>
              <w:spacing w:after="0"/>
              <w:rPr>
                <w:sz w:val="18"/>
                <w:szCs w:val="18"/>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exit fee for note payable</w:t>
            </w:r>
          </w:p>
        </w:tc>
        <w:tc>
          <w:tcPr>
            <w:tcW w:w="5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5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6,943</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7,050</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NOTE 11. DEBT</w:t>
            </w: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7"/>
          </w:tcPr>
          <w:p>
            <w:pPr>
              <w:spacing w:after="0"/>
              <w:rPr>
                <w:sz w:val="20"/>
                <w:szCs w:val="20"/>
                <w:color w:val="auto"/>
              </w:rPr>
            </w:pPr>
            <w:r>
              <w:rPr>
                <w:rFonts w:ascii="Arial" w:cs="Arial" w:eastAsia="Arial" w:hAnsi="Arial"/>
                <w:sz w:val="18"/>
                <w:szCs w:val="18"/>
                <w:color w:val="auto"/>
                <w:w w:val="91"/>
              </w:rPr>
              <w:t>At March 31, 2019, future minimum payments under the Company’s note payable were as follows: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5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7,411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5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(4,317)</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5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(1,347)</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(2,552)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Note payable, net of current portion and unamortized debt discount</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debt discount amortization related to note payable was $125.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adopted Topic 842 on January 1, 2019. Topic 842 allows the Company to elect a package of practical expedients, which include: (i) an entity need not reassess whether any expired or existing contracts are or contain leases; (ii) an entity need not reassess the lease classification for any expired or existing leases; and (iii) an entity need not reassess any initial direct costs for any existing leases. Another practical expedient allows the Company to use hindsight in determining the lease term when considering lessee options to extend or terminate the lease and to purchase the underlying asset. The Company has elected to utilize the package of practical expedients and has not elected the hindsight methodology in its implementation of Topic 842.</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to adopt this standard using the optional modified retrospective transition method and recognized a cumulative-effect adjustment to the condensed consolidated balance sheet on the date of adoption. Comparative periods have not been restated. With the adoption of Topic 842, the Company’s condensed consolidated balance sheet now contains the following line items: Right-of-use assets, Operating lease liabilities—short-term and Operating lease liabilities—long-term.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 determined that it held the following significant operating leases of office and laboratory space as of January 1, 2019:</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4,500 square feet of office and lab space in Irvine, California that expires in December 2020, with an option to extend the term for up to two five-year periods;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25,000 square feet of lab, warehouse and office space in Ledgewood, New Jersey that expires in July 2024, with an option to extend the term for two additional five-year periods.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extensions within the San Diego, California and Ledgewood, New Jersey operating lease agreements were included within the Company’s calculation of the new lease standard as the Company is reasonably certain it will exercise its option to extend these leases. The Company has elected to not recognize right-of-use assets and lease liabilities arising from short-term leases, which are leases that, at the commencement date, have a lease term of 12 months or less and do not include an option to purchase the underlying asset that the lessee is reasonably certain to exercise.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previously classified capital leases are now existing leases classified as finance leases under the new standard. The Company has determined that the identified finance leases did not contain non-lease components and require no further allocation of the total lease cost. The Company has determined that the identified operating leases did contain non-lease components and elected an accounting policy to combine non-lease and lease components to determine the total lease cost. Additionally, the operating agreements in place did not contain information to determine the rate implicit in the leases. As such, the Company calculated the incremental borrowing rate based on the assumed remaining lease term for each lease in order to calculate the present value of the remaining lease payments. At March 31, 2019, the weighted average incremental borrowing rate and the weighted average remaining lease term for the operating leases held by the Company were 6.36% and 12.05 years,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adoption of Topic 842, the Company recorded a $6,325 increase in operating lease right-of-use assets, a $388 decrease in accounts payable and accrued expenses and a $6,712 increase in operating lease liability. The Company did not record any cumulative effect adjustments to opening stockholders’ equity. As of March 31, 2019, right-of-use assets and liabilities arising from operating leases were $6,195 and $6,594, respectively. During the three months ended March 31, 2019, cash paid for amounts included for the operating lease liabilities was $223 and the Company recorded operating lease expense of $234 included in selling, general and administrative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color w:val="auto"/>
                <w:w w:val="99"/>
              </w:rPr>
              <w:t>Future lease payments under operating leases as of March 31, 2019 were as follows</w:t>
            </w:r>
            <w:r>
              <w:rPr>
                <w:rFonts w:ascii="Arial" w:cs="Arial" w:eastAsia="Arial" w:hAnsi="Arial"/>
                <w:sz w:val="18"/>
                <w:szCs w:val="18"/>
                <w:b w:val="1"/>
                <w:bCs w:val="1"/>
                <w:color w:val="auto"/>
                <w:w w:val="99"/>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Operating</w:t>
            </w:r>
          </w:p>
        </w:tc>
      </w:tr>
      <w:tr>
        <w:trPr>
          <w:trHeight w:val="241"/>
        </w:trPr>
        <w:tc>
          <w:tcPr>
            <w:tcW w:w="6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Leases</w:t>
            </w:r>
          </w:p>
        </w:tc>
      </w:tr>
      <w:tr>
        <w:trPr>
          <w:trHeight w:val="216"/>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930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w:t>
            </w: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5,304</w:t>
            </w:r>
          </w:p>
        </w:tc>
      </w:tr>
      <w:tr>
        <w:trPr>
          <w:trHeight w:val="216"/>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(2,797)</w:t>
            </w:r>
          </w:p>
        </w:tc>
      </w:tr>
      <w:tr>
        <w:trPr>
          <w:trHeight w:val="216"/>
        </w:trPr>
        <w:tc>
          <w:tcPr>
            <w:tcW w:w="6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r>
      <w:tr>
        <w:trPr>
          <w:trHeight w:val="230"/>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two additional finance leases that are included in its lease accounting but are not considered significant.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Arial" w:cs="Arial" w:eastAsia="Arial" w:hAnsi="Arial"/>
                <w:sz w:val="18"/>
                <w:szCs w:val="18"/>
                <w:color w:val="auto"/>
                <w:w w:val="94"/>
              </w:rPr>
              <w:t>Future lease payments under non-cancelable finance leases as of March 31, 2019 were as follows</w:t>
            </w:r>
            <w:r>
              <w:rPr>
                <w:rFonts w:ascii="Arial" w:cs="Arial" w:eastAsia="Arial" w:hAnsi="Arial"/>
                <w:sz w:val="18"/>
                <w:szCs w:val="18"/>
                <w:b w:val="1"/>
                <w:bCs w:val="1"/>
                <w:color w:val="auto"/>
                <w:w w:val="94"/>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Finance</w:t>
            </w:r>
          </w:p>
        </w:tc>
      </w:tr>
      <w:tr>
        <w:trPr>
          <w:trHeight w:val="241"/>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Leases</w:t>
            </w:r>
          </w:p>
        </w:tc>
      </w:tr>
      <w:tr>
        <w:trPr>
          <w:trHeight w:val="216"/>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5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1"/>
                <w:szCs w:val="21"/>
                <w:color w:val="auto"/>
              </w:rPr>
            </w:pPr>
          </w:p>
        </w:tc>
      </w:tr>
      <w:tr>
        <w:trPr>
          <w:trHeight w:val="203"/>
        </w:trPr>
        <w:tc>
          <w:tcPr>
            <w:tcW w:w="7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602</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03"/>
        </w:trPr>
        <w:tc>
          <w:tcPr>
            <w:tcW w:w="7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3"/>
        </w:trPr>
        <w:tc>
          <w:tcPr>
            <w:tcW w:w="7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585</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(553)</w:t>
            </w:r>
          </w:p>
        </w:tc>
      </w:tr>
      <w:tr>
        <w:trPr>
          <w:trHeight w:val="217"/>
        </w:trPr>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the weighted average incremental borrowing rate and the weighted average remaining lease term for the finance leases held by the Company were 9.82% and 0.82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2019, debt discount amortization related to a finance lease obligation was $10, and included in interest expense,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depreciation expense related to the equipment held under the finance lease obligations was $73.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2019, cash paid and expense recognized for interest expense related to the finance lease obligation was $11.</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Future minimum lease payments under operating leases and future minimum finance lease payments as of December 31, 2018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7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41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2020</w:t>
            </w: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jc w:val="right"/>
              <w:ind w:right="14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17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Amounts representing unamortized discount</w:t>
            </w:r>
          </w:p>
        </w:tc>
        <w:tc>
          <w:tcPr>
            <w:tcW w:w="1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obligation under capital leases</w:t>
            </w:r>
          </w:p>
        </w:tc>
        <w:tc>
          <w:tcPr>
            <w:tcW w:w="17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Current portion of capital leases</w:t>
            </w:r>
          </w:p>
        </w:tc>
        <w:tc>
          <w:tcPr>
            <w:tcW w:w="1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(720)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Long term capital lease obligation</w:t>
            </w:r>
          </w:p>
        </w:tc>
        <w:tc>
          <w:tcPr>
            <w:tcW w:w="174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vMerge w:val="continue"/>
            <w:shd w:val="clear" w:color="auto" w:fill="CCEEFF"/>
          </w:tcPr>
          <w:p>
            <w:pPr>
              <w:spacing w:after="0"/>
              <w:rPr>
                <w:sz w:val="21"/>
                <w:szCs w:val="21"/>
                <w:color w:val="auto"/>
              </w:rPr>
            </w:pPr>
          </w:p>
        </w:tc>
        <w:tc>
          <w:tcPr>
            <w:tcW w:w="3320" w:type="dxa"/>
            <w:vAlign w:val="bottom"/>
            <w:gridSpan w:val="2"/>
            <w:shd w:val="clear" w:color="auto" w:fill="CCEEFF"/>
          </w:tcPr>
          <w:p>
            <w:pPr>
              <w:jc w:val="right"/>
              <w:ind w:right="14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the Company issued 15,000 shares of its restricted common stock, with a fair value of $75, for commission expenses incurred during the three months ended March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the Company issued 273,984 shares of its common stock related to the cashless exercise of 384,000 common stock warrants with an exercise price of $1.79.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2019, the Company issued 90,055 shares of its common stock related to the exercise of 90,055 common stock warrants with an exercise price of $1.79, and received net proceeds of $162.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34,090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March 31, 2019,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w:t>
      </w:r>
    </w:p>
    <w:p>
      <w:pPr>
        <w:sectPr>
          <w:pgSz w:w="11900" w:h="16919" w:orient="portrait"/>
          <w:cols w:equalWidth="0" w:num="1">
            <w:col w:w="11420"/>
          </w:cols>
          <w:pgMar w:left="240" w:top="877" w:right="239" w:bottom="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incentive stock options intended to qualify under Section 422 of the Internal Revenue Code, non-qualified stock options, restricted stock units and restricted stock. The Plans are administered by the Compensation Committee of the Company’s Board of Directors. The Company had 1,146,640 shares available for future issuances under the 2017 Plan at March 31,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6"/>
          </w:tcPr>
          <w:p>
            <w:pPr>
              <w:spacing w:after="0"/>
              <w:rPr>
                <w:sz w:val="20"/>
                <w:szCs w:val="20"/>
                <w:color w:val="auto"/>
              </w:rPr>
            </w:pPr>
            <w:r>
              <w:rPr>
                <w:rFonts w:ascii="Arial" w:cs="Arial" w:eastAsia="Arial" w:hAnsi="Arial"/>
                <w:sz w:val="18"/>
                <w:szCs w:val="18"/>
                <w:color w:val="auto"/>
                <w:w w:val="93"/>
              </w:rPr>
              <w:t>A summary of stock option activity under the Plans for the three months ended March 31, 2019 is as follows: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5"/>
              </w:rPr>
              <w:t>Number of shares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2019</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2,482,009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291,000</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6.30</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Options cancelled/forfeit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(44,287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6.24</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36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vMerge w:val="continue"/>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vMerge w:val="continue"/>
          </w:tcPr>
          <w:p>
            <w:pPr>
              <w:spacing w:after="0"/>
              <w:rPr>
                <w:sz w:val="4"/>
                <w:szCs w:val="4"/>
                <w:color w:val="auto"/>
              </w:rPr>
            </w:pPr>
          </w:p>
        </w:tc>
        <w:tc>
          <w:tcPr>
            <w:tcW w:w="1680" w:type="dxa"/>
            <w:vAlign w:val="bottom"/>
            <w:tcBorders>
              <w:bottom w:val="single" w:sz="8" w:color="CCEEFF"/>
            </w:tcBorders>
            <w:gridSpan w:val="2"/>
            <w:vMerge w:val="continue"/>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2019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2,728,722</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4.74</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6.02</w:t>
            </w:r>
          </w:p>
        </w:tc>
        <w:tc>
          <w:tcPr>
            <w:tcW w:w="4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1,398,665</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48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2,604,215</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5.17</w:t>
            </w:r>
          </w:p>
        </w:tc>
        <w:tc>
          <w:tcPr>
            <w:tcW w:w="164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5.78</w:t>
            </w:r>
          </w:p>
        </w:tc>
        <w:tc>
          <w:tcPr>
            <w:tcW w:w="480" w:type="dxa"/>
            <w:vAlign w:val="bottom"/>
            <w:tcBorders>
              <w:bottom w:val="single" w:sz="8" w:color="CCEEFF"/>
            </w:tcBorders>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2019, based on the closing price of the Company’s common stock of $4.98 on that date.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months ended March 31, 2019,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2019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5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5.8 - 6.1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- 67%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2.54% - 2.68%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Options Outstanding</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6"/>
          </w:tcPr>
          <w:p>
            <w:pPr>
              <w:ind w:left="1020"/>
              <w:spacing w:after="0"/>
              <w:rPr>
                <w:sz w:val="20"/>
                <w:szCs w:val="20"/>
                <w:color w:val="auto"/>
              </w:rPr>
            </w:pPr>
            <w:r>
              <w:rPr>
                <w:rFonts w:ascii="Arial" w:cs="Arial" w:eastAsia="Arial" w:hAnsi="Arial"/>
                <w:sz w:val="18"/>
                <w:szCs w:val="18"/>
                <w:color w:val="auto"/>
              </w:rPr>
              <w:t>Options Exercisable</w:t>
            </w:r>
          </w:p>
        </w:tc>
      </w:tr>
      <w:tr>
        <w:trPr>
          <w:trHeight w:val="202"/>
        </w:trPr>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center"/>
              <w:ind w:right="160"/>
              <w:spacing w:after="0" w:line="201" w:lineRule="exact"/>
              <w:rPr>
                <w:sz w:val="20"/>
                <w:szCs w:val="20"/>
                <w:color w:val="auto"/>
              </w:rPr>
            </w:pPr>
            <w:r>
              <w:rPr>
                <w:rFonts w:ascii="Arial" w:cs="Arial" w:eastAsia="Arial" w:hAnsi="Arial"/>
                <w:sz w:val="18"/>
                <w:szCs w:val="18"/>
                <w:color w:val="auto"/>
                <w:w w:val="92"/>
              </w:rPr>
              <w:t>Weighted</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Weighted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Range of</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r>
      <w:tr>
        <w:trPr>
          <w:trHeight w:val="230"/>
        </w:trPr>
        <w:tc>
          <w:tcPr>
            <w:tcW w:w="1960" w:type="dxa"/>
            <w:vAlign w:val="bottom"/>
            <w:gridSpan w:val="3"/>
          </w:tcPr>
          <w:p>
            <w:pPr>
              <w:spacing w:after="0"/>
              <w:rPr>
                <w:sz w:val="20"/>
                <w:szCs w:val="20"/>
                <w:color w:val="auto"/>
              </w:rPr>
            </w:pPr>
            <w:r>
              <w:rPr>
                <w:rFonts w:ascii="Arial" w:cs="Arial" w:eastAsia="Arial" w:hAnsi="Arial"/>
                <w:sz w:val="18"/>
                <w:szCs w:val="18"/>
                <w:color w:val="auto"/>
              </w:rPr>
              <w:t>Exercise</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9"/>
                <w:szCs w:val="19"/>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rPr>
              <w:t>Life in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Exercise</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1960" w:type="dxa"/>
            <w:vAlign w:val="bottom"/>
            <w:gridSpan w:val="3"/>
          </w:tcPr>
          <w:p>
            <w:pPr>
              <w:spacing w:after="0"/>
              <w:rPr>
                <w:sz w:val="20"/>
                <w:szCs w:val="20"/>
                <w:color w:val="auto"/>
              </w:rPr>
            </w:pPr>
            <w:r>
              <w:rPr>
                <w:rFonts w:ascii="Arial" w:cs="Arial" w:eastAsia="Arial" w:hAnsi="Arial"/>
                <w:sz w:val="18"/>
                <w:szCs w:val="18"/>
                <w:color w:val="auto"/>
              </w:rPr>
              <w:t>Prices</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Years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Price</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Exercisable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r>
      <w:tr>
        <w:trPr>
          <w:trHeight w:val="216"/>
        </w:trPr>
        <w:tc>
          <w:tcPr>
            <w:tcW w:w="1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$1.47 - $2.60</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828,748</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479,534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$2.76</w:t>
            </w:r>
          </w:p>
        </w:tc>
        <w:tc>
          <w:tcPr>
            <w:tcW w:w="1180" w:type="dxa"/>
            <w:vAlign w:val="bottom"/>
          </w:tcPr>
          <w:p>
            <w:pPr>
              <w:ind w:left="20"/>
              <w:spacing w:after="0"/>
              <w:rPr>
                <w:sz w:val="20"/>
                <w:szCs w:val="20"/>
                <w:color w:val="auto"/>
              </w:rPr>
            </w:pPr>
            <w:r>
              <w:rPr>
                <w:rFonts w:ascii="Arial" w:cs="Arial" w:eastAsia="Arial" w:hAnsi="Arial"/>
                <w:sz w:val="18"/>
                <w:szCs w:val="18"/>
                <w:color w:val="auto"/>
              </w:rPr>
              <w:t>- $4.22</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535,871</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6.73</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3.96</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449,399</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$5.61</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$6.30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390,350</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98,096</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$6.64</w:t>
            </w:r>
          </w:p>
        </w:tc>
        <w:tc>
          <w:tcPr>
            <w:tcW w:w="1180" w:type="dxa"/>
            <w:vAlign w:val="bottom"/>
          </w:tcPr>
          <w:p>
            <w:pPr>
              <w:ind w:left="20"/>
              <w:spacing w:after="0"/>
              <w:rPr>
                <w:sz w:val="20"/>
                <w:szCs w:val="20"/>
                <w:color w:val="auto"/>
              </w:rPr>
            </w:pPr>
            <w:r>
              <w:rPr>
                <w:rFonts w:ascii="Arial" w:cs="Arial" w:eastAsia="Arial" w:hAnsi="Arial"/>
                <w:sz w:val="18"/>
                <w:szCs w:val="18"/>
                <w:color w:val="auto"/>
              </w:rPr>
              <w:t>- $8.99</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968,723</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2.69</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366,606</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5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$42.80</w:t>
            </w:r>
          </w:p>
        </w:tc>
        <w:tc>
          <w:tcPr>
            <w:tcW w:w="3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4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3"/>
              </w:rPr>
              <w:t>$1.47</w:t>
            </w:r>
          </w:p>
        </w:tc>
        <w:tc>
          <w:tcPr>
            <w:tcW w:w="1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 $42.80</w:t>
            </w:r>
          </w:p>
        </w:tc>
        <w:tc>
          <w:tcPr>
            <w:tcW w:w="340" w:type="dxa"/>
            <w:vAlign w:val="bottom"/>
            <w:tcBorders>
              <w:top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2,728,722</w:t>
            </w:r>
          </w:p>
        </w:tc>
        <w:tc>
          <w:tcPr>
            <w:tcW w:w="212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5.76</w:t>
            </w:r>
          </w:p>
        </w:tc>
        <w:tc>
          <w:tcPr>
            <w:tcW w:w="460" w:type="dxa"/>
            <w:vAlign w:val="bottom"/>
            <w:tcBorders>
              <w:top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5.21</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1,398,665</w:t>
            </w: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4.74</w:t>
            </w:r>
          </w:p>
        </w:tc>
      </w:tr>
      <w:tr>
        <w:trPr>
          <w:trHeight w:val="20"/>
        </w:trPr>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there was approximately $3,513 of total unrecognized compensation expense related to unvested stock options granted under the Plans. That expense is expected to be recognized over the weighted-average remaining vesting period of 1.3 years. The stock-based compensation expense for all stock options was $283 during the three months ended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135,000 RSUs with a fair market value of $851 were issued to certain employees; the RSUs vest in full on the third year anniversary of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2019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 Grant</w:t>
            </w:r>
          </w:p>
        </w:tc>
        <w:tc>
          <w:tcPr>
            <w:tcW w:w="2280" w:type="dxa"/>
            <w:vAlign w:val="bottom"/>
          </w:tcPr>
          <w:p>
            <w:pPr>
              <w:spacing w:after="0"/>
              <w:rPr>
                <w:sz w:val="18"/>
                <w:szCs w:val="18"/>
                <w:color w:val="auto"/>
              </w:rPr>
            </w:pPr>
          </w:p>
        </w:tc>
      </w:tr>
      <w:tr>
        <w:trPr>
          <w:trHeight w:val="237"/>
        </w:trPr>
        <w:tc>
          <w:tcPr>
            <w:tcW w:w="5140" w:type="dxa"/>
            <w:vAlign w:val="bottom"/>
          </w:tcPr>
          <w:p>
            <w:pPr>
              <w:spacing w:after="0"/>
              <w:rPr>
                <w:sz w:val="20"/>
                <w:szCs w:val="20"/>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color w:val="auto"/>
              </w:rPr>
              <w:t>Number of RSUs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Date Fair Value</w:t>
            </w:r>
          </w:p>
        </w:tc>
        <w:tc>
          <w:tcPr>
            <w:tcW w:w="2280" w:type="dxa"/>
            <w:vAlign w:val="bottom"/>
          </w:tcPr>
          <w:p>
            <w:pPr>
              <w:spacing w:after="0"/>
              <w:rPr>
                <w:sz w:val="20"/>
                <w:szCs w:val="20"/>
                <w:color w:val="auto"/>
              </w:rPr>
            </w:pPr>
          </w:p>
        </w:tc>
      </w:tr>
      <w:tr>
        <w:trPr>
          <w:trHeight w:val="216"/>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2019</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RSUs 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tcPr>
          <w:p>
            <w:pPr>
              <w:spacing w:after="0"/>
              <w:rPr>
                <w:sz w:val="18"/>
                <w:szCs w:val="18"/>
                <w:color w:val="auto"/>
              </w:rPr>
            </w:pPr>
          </w:p>
        </w:tc>
        <w:tc>
          <w:tcPr>
            <w:tcW w:w="3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228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(34,090)</w:t>
            </w:r>
          </w:p>
        </w:tc>
        <w:tc>
          <w:tcPr>
            <w:tcW w:w="3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2280" w:type="dxa"/>
            <w:vAlign w:val="bottom"/>
          </w:tcPr>
          <w:p>
            <w:pPr>
              <w:spacing w:after="0"/>
              <w:rPr>
                <w:sz w:val="18"/>
                <w:szCs w:val="18"/>
                <w:color w:val="auto"/>
              </w:rPr>
            </w:pPr>
          </w:p>
        </w:tc>
      </w:tr>
      <w:tr>
        <w:trPr>
          <w:trHeight w:val="237"/>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2019</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1,376,590</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228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5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As of March 31, 2019, the total unrecognized compensation expense related to unvested RSUs was approximately $1,900, which is expected to be recognized over a weighted-average period of 0.3 years, based on estimated and actual vesting schedules of the applicable RSUs. The stock-based compensation for RSUs during the three months ended March 31, 2019 was $430.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three months ended March 31, 2019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5"/>
          </w:tcPr>
          <w:p>
            <w:pPr>
              <w:jc w:val="right"/>
              <w:ind w:right="120"/>
              <w:spacing w:after="0"/>
              <w:rPr>
                <w:sz w:val="20"/>
                <w:szCs w:val="20"/>
                <w:color w:val="auto"/>
              </w:rPr>
            </w:pPr>
            <w:r>
              <w:rPr>
                <w:rFonts w:ascii="Arial" w:cs="Arial" w:eastAsia="Arial" w:hAnsi="Arial"/>
                <w:sz w:val="18"/>
                <w:szCs w:val="18"/>
                <w:color w:val="auto"/>
                <w:w w:val="89"/>
              </w:rPr>
              <w:t>Number of Shares Subject</w:t>
            </w:r>
          </w:p>
        </w:tc>
        <w:tc>
          <w:tcPr>
            <w:tcW w:w="240" w:type="dxa"/>
            <w:vAlign w:val="bottom"/>
          </w:tcPr>
          <w:p>
            <w:pPr>
              <w:spacing w:after="0"/>
              <w:rPr>
                <w:sz w:val="18"/>
                <w:szCs w:val="18"/>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5"/>
          </w:tcPr>
          <w:p>
            <w:pPr>
              <w:jc w:val="right"/>
              <w:ind w:right="180"/>
              <w:spacing w:after="0"/>
              <w:rPr>
                <w:sz w:val="20"/>
                <w:szCs w:val="20"/>
                <w:color w:val="auto"/>
              </w:rPr>
            </w:pPr>
            <w:r>
              <w:rPr>
                <w:rFonts w:ascii="Arial" w:cs="Arial" w:eastAsia="Arial" w:hAnsi="Arial"/>
                <w:sz w:val="18"/>
                <w:szCs w:val="18"/>
                <w:color w:val="auto"/>
                <w:w w:val="93"/>
              </w:rPr>
              <w:t>to Warrants Outstanding</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 January 1, 2019</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2,206,973</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(474,055)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2019</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1,732,918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gridSpan w:val="6"/>
            <w:vMerge w:val="restart"/>
          </w:tcPr>
          <w:p>
            <w:pPr>
              <w:spacing w:after="0" w:line="195" w:lineRule="exact"/>
              <w:rPr>
                <w:sz w:val="20"/>
                <w:szCs w:val="20"/>
                <w:color w:val="auto"/>
              </w:rPr>
            </w:pPr>
            <w:r>
              <w:rPr>
                <w:rFonts w:ascii="Arial" w:cs="Arial" w:eastAsia="Arial" w:hAnsi="Arial"/>
                <w:sz w:val="18"/>
                <w:szCs w:val="18"/>
                <w:color w:val="auto"/>
                <w:w w:val="92"/>
              </w:rPr>
              <w:t>Weighted average remaining contractual life of the outstanding warrants in years - March 31,</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300" w:type="dxa"/>
            <w:vAlign w:val="bottom"/>
            <w:gridSpan w:val="2"/>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gridSpan w:val="5"/>
          </w:tcPr>
          <w:p>
            <w:pPr>
              <w:jc w:val="right"/>
              <w:ind w:right="80"/>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860" w:type="dxa"/>
            <w:vAlign w:val="bottom"/>
            <w:gridSpan w:val="7"/>
          </w:tcPr>
          <w:p>
            <w:pPr>
              <w:spacing w:after="0"/>
              <w:rPr>
                <w:sz w:val="20"/>
                <w:szCs w:val="20"/>
                <w:color w:val="auto"/>
              </w:rPr>
            </w:pPr>
            <w:r>
              <w:rPr>
                <w:rFonts w:ascii="Arial" w:cs="Arial" w:eastAsia="Arial" w:hAnsi="Arial"/>
                <w:sz w:val="18"/>
                <w:szCs w:val="18"/>
                <w:color w:val="auto"/>
                <w:w w:val="97"/>
              </w:rPr>
              <w:t>A list of the warrants outstanding as of March 31, 2019 is included in the following table: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0"/>
          </w:tcPr>
          <w:p>
            <w:pPr>
              <w:ind w:left="340"/>
              <w:spacing w:after="0"/>
              <w:rPr>
                <w:sz w:val="20"/>
                <w:szCs w:val="20"/>
                <w:color w:val="auto"/>
              </w:rPr>
            </w:pPr>
            <w:r>
              <w:rPr>
                <w:rFonts w:ascii="Arial" w:cs="Arial" w:eastAsia="Arial" w:hAnsi="Arial"/>
                <w:sz w:val="18"/>
                <w:szCs w:val="18"/>
                <w:color w:val="auto"/>
              </w:rPr>
              <w:t>Warrants Outstanding and Exercisable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1040"/>
              <w:spacing w:after="0"/>
              <w:rPr>
                <w:sz w:val="20"/>
                <w:szCs w:val="20"/>
                <w:color w:val="auto"/>
              </w:rPr>
            </w:pPr>
            <w:r>
              <w:rPr>
                <w:rFonts w:ascii="Arial" w:cs="Arial" w:eastAsia="Arial" w:hAnsi="Arial"/>
                <w:sz w:val="18"/>
                <w:szCs w:val="18"/>
                <w:color w:val="auto"/>
              </w:rPr>
              <w:t>Exercise</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Expiration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gridSpan w:val="3"/>
          </w:tcPr>
          <w:p>
            <w:pPr>
              <w:spacing w:after="0"/>
              <w:rPr>
                <w:sz w:val="20"/>
                <w:szCs w:val="20"/>
                <w:color w:val="auto"/>
              </w:rPr>
            </w:pPr>
            <w:r>
              <w:rPr>
                <w:rFonts w:ascii="Arial" w:cs="Arial" w:eastAsia="Arial" w:hAnsi="Arial"/>
                <w:sz w:val="18"/>
                <w:szCs w:val="18"/>
                <w:color w:val="auto"/>
              </w:rPr>
              <w:t>Warrant Series</w:t>
            </w:r>
          </w:p>
        </w:tc>
        <w:tc>
          <w:tcPr>
            <w:tcW w:w="1660" w:type="dxa"/>
            <w:vAlign w:val="bottom"/>
            <w:gridSpan w:val="2"/>
          </w:tcPr>
          <w:p>
            <w:pPr>
              <w:ind w:left="340"/>
              <w:spacing w:after="0"/>
              <w:rPr>
                <w:sz w:val="20"/>
                <w:szCs w:val="20"/>
                <w:color w:val="auto"/>
              </w:rPr>
            </w:pPr>
            <w:r>
              <w:rPr>
                <w:rFonts w:ascii="Arial" w:cs="Arial" w:eastAsia="Arial" w:hAnsi="Arial"/>
                <w:sz w:val="18"/>
                <w:szCs w:val="18"/>
                <w:color w:val="auto"/>
              </w:rPr>
              <w:t>Issue Date</w:t>
            </w: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jc w:val="right"/>
              <w:ind w:right="1180"/>
              <w:spacing w:after="0"/>
              <w:rPr>
                <w:sz w:val="20"/>
                <w:szCs w:val="20"/>
                <w:color w:val="auto"/>
              </w:rPr>
            </w:pPr>
            <w:r>
              <w:rPr>
                <w:rFonts w:ascii="Arial" w:cs="Arial" w:eastAsia="Arial" w:hAnsi="Arial"/>
                <w:sz w:val="18"/>
                <w:szCs w:val="18"/>
                <w:color w:val="auto"/>
              </w:rPr>
              <w:t>Price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5/11/2015</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5/11/2025</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8/16/2016</w:t>
            </w:r>
          </w:p>
        </w:tc>
        <w:tc>
          <w:tcPr>
            <w:tcW w:w="22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8/16/2021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PIPE investor and placement agent warrants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12/27/2016</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952,532</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0"/>
              </w:rPr>
              <w:t>12/27/2019</w:t>
            </w:r>
          </w:p>
        </w:tc>
        <w:tc>
          <w:tcPr>
            <w:tcW w:w="2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Lender warrants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7/19/2017</w:t>
            </w:r>
          </w:p>
        </w:tc>
        <w:tc>
          <w:tcPr>
            <w:tcW w:w="22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615,386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7/19/2024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CEEFF"/>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the Company agreed to issue 1,000,000 shares of Mayfield’s common stock to Elle in connection with acquisition of certain drug candidate intellectual property and rights. Following the issuance of Mayfield common stock to Elle, and as of March 31, 2019, the Company owned 72% of the equity interests in Mayfield. Mayfield is a consolidated subsidiary; the Company reports the operating results of Mayfield and allocates the noncontrolling interests to the non-majority partners.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For the</w:t>
            </w:r>
          </w:p>
        </w:tc>
      </w:t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31,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March 31, 2018</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r>
      <w:tr>
        <w:trPr>
          <w:trHeight w:val="217"/>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In June 2018, Sobol filed a motion for class certification and in July 2018 the Company filed a response in opposition to the motion for class certification. A hearing on class certification was heard in October 2018, however, prior to a decision regarding class certification was made, in February 2019, the Company entered into a proposed settlement agreement to award the proposed class up to $1,400 in damages. Due to the nature of the lawsuit and claims, the Company expects total damages related to this lawsuit will total approximately $640. The Company expects the Court will rule to accept the settlement agreement in the spring of 2019. The Company accrued an expense of $640 (see Note 10), its estimated damages related to the settlement agreement, during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violations under the federal Lanham Act and California’s Sherman Act. The parties each filed a motion for summary judgment and Imprimis also filed a motion to stay. The parties’ motions were heard on March 26, 2019, with both parties motions being partially granted. The trial date to determine damages, if any, is currently set for May 2019. The Company believes the claims for damages are meritless, and intends to vigorously defend against Allergan’s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2018, NDS filed a first amended complaint which added a claim for fraudulent inducement. In October 2018, the Company filed counterclaims alleging breach of contract and breach of covenant of good faith and fair dealing and named certain individual defendants. The lawsuit is currently in the discovery phase. The Company believe the claims are meritless and have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Board of Pharmacy approved terms of a settlement agreement (the “Settlement Agreement”) that will become effective on or near May 29, 2019. Pursuant to the terms of the Settlement Agreement, Park will be required to surrender Park’s California pharmacy license by August 27, 2019; provided however, in the event of a sale of Park, the California Board of Pharmacy has agreed to expedite the issuance of a temporary license to the Park acquiror. In the event Park is not sold, the Company intends to transfer substantially all of the Park business and related revenues to its New Jersey based pharmacy.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The Company utilizes traditional third-party insurance policies with regard to its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the Company as a co-defendant. In September 2018, co-defendant Dr. Kelly filed a cross-complaint against the Company and various Spectrum entities. The cross-complaint seeks indemnity and contribution from the Company and Spectrum. The Company answered the claims filed by Dr. Kelly in October 2018. The case is currently in the discovery phase. The Company believes the claims are meritless and has previously and will continue to dispute all claims asserted against it and intends to vigorously defend itself against these allegations. The Company cannot predict the eventual outcome of this litigation. Nonetheless, the litigation process could result in substantial costs, losses and a diversion of management’s resources and attention, which could harm the Company’s business and the value of its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and as amended in April 2018,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$15 were made during the three months ended March 31, 2019. $22 was incurred as royalty expense during the three months ended and included in accounts payable to Dr. Lindstrom at March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Harrow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$75 of stock-based payments were made and $542 were incurred under these agreements for commission expenses during the three months ended March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$191 and $83 were incurred under these agreements as royalty expenses for the three months ended and included in accounts payable at March 31, 2019 and 2018,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 AND CONCENTRATIONS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on January 1, 2019, the Company began evaluating performance of the Company based on operating segments. Segment performance for its two operating segments are based on segment contribution. The Company’s reportable segments consist of (i) its commercial stage pharmaceutical compounding business (Pharmaceutical Compounding), generally including the operations of ImprimisRx and Park Compounding businesses;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78"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defines segment net revenues as pharmaceutical compounded drug sales, licenses and other revenue derived from related agreements.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140" w:gutter="0" w:footer="0" w:header="0"/>
        </w:sectPr>
      </w:pPr>
    </w:p>
    <w:bookmarkStart w:id="26" w:name="page27"/>
    <w:bookmarkEnd w:id="26"/>
    <w:p>
      <w:pPr>
        <w:spacing w:after="0" w:line="342" w:lineRule="auto"/>
        <w:rPr>
          <w:sz w:val="20"/>
          <w:szCs w:val="20"/>
          <w:color w:val="auto"/>
        </w:rPr>
      </w:pPr>
      <w:r>
        <w:rPr>
          <w:rFonts w:ascii="Arial" w:cs="Arial" w:eastAsia="Arial" w:hAnsi="Arial"/>
          <w:sz w:val="16"/>
          <w:szCs w:val="16"/>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three months ended March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For the Three Months Ended March 31, 2019</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Pharmaceutical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Pharmaceutical</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Compounding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Drug Development</w:t>
            </w:r>
          </w:p>
        </w:tc>
        <w:tc>
          <w:tcPr>
            <w:tcW w:w="500" w:type="dxa"/>
            <w:vAlign w:val="bottom"/>
          </w:tcPr>
          <w:p>
            <w:pPr>
              <w:spacing w:after="0"/>
              <w:rPr>
                <w:sz w:val="20"/>
                <w:szCs w:val="20"/>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(3,898)</w:t>
            </w:r>
          </w:p>
        </w:tc>
      </w:tr>
      <w:tr>
        <w:trPr>
          <w:trHeight w:val="216"/>
        </w:trPr>
        <w:tc>
          <w:tcPr>
            <w:tcW w:w="4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80" w:right="1320"/>
        <w:spacing w:after="0" w:line="287" w:lineRule="auto"/>
        <w:rPr>
          <w:sz w:val="20"/>
          <w:szCs w:val="20"/>
          <w:color w:val="auto"/>
        </w:rPr>
      </w:pPr>
      <w:r>
        <w:rPr>
          <w:rFonts w:ascii="Arial" w:cs="Arial" w:eastAsia="Arial" w:hAnsi="Arial"/>
          <w:sz w:val="16"/>
          <w:szCs w:val="16"/>
          <w:color w:val="auto"/>
        </w:rPr>
        <w:t>Selling, general and administrative Research and development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contribution</w:t>
      </w:r>
    </w:p>
    <w:p>
      <w:pPr>
        <w:spacing w:after="0" w:line="81" w:lineRule="exact"/>
        <w:rPr>
          <w:sz w:val="20"/>
          <w:szCs w:val="20"/>
          <w:color w:val="auto"/>
        </w:rPr>
      </w:pPr>
    </w:p>
    <w:p>
      <w:pPr>
        <w:ind w:right="720"/>
        <w:spacing w:after="0" w:line="274" w:lineRule="auto"/>
        <w:rPr>
          <w:sz w:val="20"/>
          <w:szCs w:val="20"/>
          <w:color w:val="auto"/>
        </w:rPr>
      </w:pPr>
      <w:r>
        <w:rPr>
          <w:rFonts w:ascii="Arial" w:cs="Arial" w:eastAsia="Arial" w:hAnsi="Arial"/>
          <w:sz w:val="17"/>
          <w:szCs w:val="17"/>
          <w:color w:val="auto"/>
        </w:rPr>
        <w:t>Corporate, selling, general and administrative Research and development</w:t>
      </w:r>
    </w:p>
    <w:p>
      <w:pPr>
        <w:ind w:left="180" w:right="1620" w:hanging="179"/>
        <w:spacing w:after="0" w:line="292" w:lineRule="auto"/>
        <w:rPr>
          <w:sz w:val="20"/>
          <w:szCs w:val="20"/>
          <w:color w:val="auto"/>
        </w:rPr>
      </w:pPr>
      <w:r>
        <w:rPr>
          <w:rFonts w:ascii="Arial" w:cs="Arial" w:eastAsia="Arial" w:hAnsi="Arial"/>
          <w:sz w:val="18"/>
          <w:szCs w:val="18"/>
          <w:color w:val="auto"/>
        </w:rPr>
        <w:t>Amortization of intangible assets Operating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5,715</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6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3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2,719</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(556</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-1217295</wp:posOffset>
            </wp:positionV>
            <wp:extent cx="65176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-942975</wp:posOffset>
            </wp:positionV>
            <wp:extent cx="651764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-625475</wp:posOffset>
            </wp:positionV>
            <wp:extent cx="651764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-334010</wp:posOffset>
            </wp:positionV>
            <wp:extent cx="651764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680"/>
          </w:cols>
          <w:pgMar w:left="240" w:top="665" w:right="2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March 31, 2019 and December 31, 2018 are located in the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three months ended March 31, 2019 and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67% and 58% of active pharmaceutical ingredient purchases during the three months ended March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2019 through the filing date of this Quarterly Report. Based on its evaluation, no other events as than those described below need to be disclosed.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6, 2019, the Company entered into an Asset Purchase Agreement with Eton (the “CT APA”) to re-acquire assets related to its synthetic corticotropin formulation from Eton (CT-100). The CT APA requires royalty on net sales of 3%, subject to adjustments, and milestone payments that allow for three separate payments of $100, $200 and $700 to Eton ($1,000, in aggregate) upon submission of an investigational new drug application, regulatory approval and at the point when cumulative net sales of the CT-100 exceed $50,000,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2018 and subsequent reports on Form 8-K,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 Rx NJ, LLC dba ImprimisRx, Imprimis NJOF, LLC, Radley Pharmaceuticals, Inc., and Mayfield Pharmaceuticals, Inc. In this discussion and analysis, we refer to our consolidated subsidiaries collectively as our “ImprimisRx compounding pharmacies.”</w:t>
      </w:r>
    </w:p>
    <w:p>
      <w:pPr>
        <w:spacing w:after="0" w:line="16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specializes in the development, production and sale of innovative medications that offer unique competitive advantages and serve unmet needs in the marketplace. Prior to 2017, the Company’s business was primarily focused on its ImprimisRx business, the nation’s leading ophthalmology pharmaceutical compounding business, and Park Compounding, Inc. (“Park”), a leading health and wellness compounding business. Since 2017, in addition to wholly-owning ImprimisRx and Park, we also have founded and have continuing equity positions in Eton Pharmaceuticals, Inc. (“Eton”), Surface Pharmaceuticals, Inc. (“Surface”), and Melt Pharmaceuticals, Inc. (“Melt”). In 2018, the Company also founded the subsidiaries Mayfield Pharmaceuticals, Inc. (“Mayfield”) and Radley Pharmaceuticals, Inc. (“Radley”). The Company owns royalty rights in certain 505(b)(2) drug candidates being developed by Surface, Melt, Radley and Mayfield. Harrow intends to continue to pursue its operations through subsidiaries for, and found, and hold equity and royalty rights, in, new businesses that commercialize drug candidates that are internally developed or otherwise acquired or licensed from third 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ImprimisRx is our ophthalmology focused pharmaceutical compounding business. We offer our thousands of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or other FDA guidance documents, in our FDA-registered outsourcing facility (“NJOF”).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Park, our wholly owned subsidiary pharmacy based in Irvine, California, is focused on primarily health and wellness related, customizable pharmaceutical compounding. Park dispenses sterile and non-sterile compounded medications prescribed by licensed practitioners when commercially available choices do not meet a patient’s needs. Park also produces and dispenses certain of our ophthalmology-based formulations.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ownership interests in Eton, Surface, Melt, Mayfield and Radley and hold royalty interests in certain of their drug candidates. These companies are pursuing market approval for their drug candidates under the FDCA, including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we formed and created subsidiaries named Radley and Mayfield,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we estimate is approximately 19.86% of the equity and voting interests issued and outstanding of Eton as of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and renowned ophthalmologist Dr. Richard Lindstrom. Klarity is designed to protect and rehabilitate the ocular surface pathology for patients with dry eye disease, or DED. Surface’s drug candidate SURF-300 is a patent-pending oral capsule that will target patients also suffering from DED signs and symptoms.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we estimate is approximately 30% of the equity and voting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Melt is a development-stage pharmaceutical company focused on the development and commercialization of proprietary non-intravenous, , sedation and anesthesia therapeutics for human medical procedures in hospital, outpatient, and in-office settings. Melt intends to seek regulatory approval through the FDA’s 505(b)(2) regulatory pathway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up to eight percent (8%) of net sales of products described in the Melt Asset Purchase Agreement, while any patent rights remain outstanding, as well as other conditions.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January and March 2019, Melt closed on the sale of its Series A Preferred Stock. At the time of the closing of the Melt Series A Round, we lost our controlling interest, and deconsolidated Melt from our consolidated financial statements. We own 3,500,000 shares of Melt common stock, which we estimate is approximately 44% of the equity and voting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Inc.</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Mayfield, a consolidated subsidiary of Harrow, is a development-stage women’s and men’s health-focused pharmaceutical company. Mayfield intends to seek regulatory approval through the FDA’s 505(b)(2) regulatory pathway for its proprietary drug candidates and technologies, including its lead drug candidate MAY-44. MAY-44 is non-estrogen topical analgesic gel containing a patented pH-balanced formulation of 3.75% lidocaine and other essential excipients designed for use on mucosal surfaces. If FDA-approved, MAY-44 could become the first topical product indicated for dyspareunia. A more recent estimates suggest dyspareunia affects greater than one in ten women (BJOG An International Journal of Obstetrics and Gynecology 2017).</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Mayfield and Harrow acquired the intellectual property associated with MAY-44 in January 2019 from Elle Pharmaceutical LLC (the “Mayfield Asset Purchase Agreement”) in exchange for $25,000, with an additional $175,000 due upon third party financing of Mayfield, 1,000,000 shares of Mayfield common stock and a 7.5% royalty rate on sales of the product. Once we have finalized the drug candidate assets Mayfield will seek to build out the Mayfield management, board and clinical advisory team. We own 2,500,000 shares of Mayfield common stock, which is 72% of the equity and voting interests issued and outstanding of Mayfield. We intend to pursue a deconsolidating transaction for Mayfield during 2019.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Radley Pharmaceuticals, Inc.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Radley, a consolidated subsidiary of Harrow, is a development-stage pharmaceutical company focused on the development of proprietary 505(b)(2) drug candidates focused on rare diseases. Radley currently has three proprietary drug candidates in its pipeline. During 2019, and prior to initiating significant development activities and costs related to these drug candidates, we intend to meet with FDA to establish and understand the expected clinical and regulatory path to approval for these drug candidates. We are also pursuing investigator-initiated studies for some of Radley’s drug candidates with well-known healthcare institutions. We believe this approach will allow us to better understand and weigh the economic costs, clinical feasibility and potential benefits associated with pursuing development activities associated with these drug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describes certain developments in 2019 to date that are important to understand our financial condition and results of operations. See the notes to our condensed consolidated financial statements included in this report for additional information about each of these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Asset Purchase Agreement and Series A 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more fully above under the sub-heading “Melt Pharmaceuticals, Inc.”, we entered into the Melt Asset Purchase Agreement with our previously wholly owned subsidiary, Melt. Following the close of the Melt Series A Round, we lost controlling interest in Melt. Pursuant to the terms of the Melt Asset Purchase Agreement, we assigned and licensed to Melt certain intellectual property and related rights to develop, formulate, make, sell, and sub-license its current drug candidate pipeline.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Mayfield Pharmaceuticals Asset Purchase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described more fully above under the sub-heading “Mayfield Pharmaceuticals, Inc.”, in February 2019, we along with our subsidiary, Mayfield, entered the Mayfield Asset Purchase Agreement with Elle Pharmaceuticals, Inc. to acquire intellectual property associated with its drug candidate, MAY-44.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jc w:val="right"/>
              <w:ind w:right="2950"/>
              <w:spacing w:after="0"/>
              <w:rPr>
                <w:sz w:val="20"/>
                <w:szCs w:val="20"/>
                <w:color w:val="auto"/>
              </w:rPr>
            </w:pPr>
            <w:r>
              <w:rPr>
                <w:rFonts w:ascii="Arial" w:cs="Arial" w:eastAsia="Arial" w:hAnsi="Arial"/>
                <w:sz w:val="18"/>
                <w:szCs w:val="18"/>
                <w:b w:val="1"/>
                <w:bCs w:val="1"/>
                <w:color w:val="auto"/>
                <w:w w:val="86"/>
              </w:rPr>
              <w:t>Product sales, net</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12,283,000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8,855,000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Pr>
          <w:p>
            <w:pPr>
              <w:jc w:val="right"/>
              <w:ind w:right="3010"/>
              <w:spacing w:after="0"/>
              <w:rPr>
                <w:sz w:val="20"/>
                <w:szCs w:val="20"/>
                <w:color w:val="auto"/>
              </w:rPr>
            </w:pPr>
            <w:r>
              <w:rPr>
                <w:rFonts w:ascii="Arial" w:cs="Arial" w:eastAsia="Arial" w:hAnsi="Arial"/>
                <w:sz w:val="18"/>
                <w:szCs w:val="18"/>
                <w:b w:val="1"/>
                <w:bCs w:val="1"/>
                <w:color w:val="auto"/>
                <w:w w:val="84"/>
              </w:rPr>
              <w:t>License revenues</w:t>
            </w:r>
          </w:p>
        </w:tc>
        <w:tc>
          <w:tcPr>
            <w:tcW w:w="2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4400" w:type="dxa"/>
            <w:vAlign w:val="bottom"/>
            <w:tcBorders>
              <w:top w:val="single" w:sz="8" w:color="CCEEFF"/>
              <w:bottom w:val="single" w:sz="8" w:color="CCEEFF"/>
            </w:tcBorders>
            <w:shd w:val="clear" w:color="auto" w:fill="CCEEFF"/>
          </w:tcPr>
          <w:p>
            <w:pPr>
              <w:jc w:val="right"/>
              <w:ind w:right="301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increase in revenue between periods was largely attributable to increased sales of our proprietary formulations and furtherance of our ophthalmology-related compounded formulations. Our gross ophthalmology-related sales were approximately $10,976,000 for the three months ended March 31, 2019, compared to $6,980,000 during the same period last year. Net revenues generated from NJOF (which include certain ophthalmology-related sales) totaled $7,398,000 and $4,589,000 during the three months ended March 31,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37"/>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our cost of sales between periods was largely attributable to an increase in production efficiency and reduction of waste associated with the costs of such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center"/>
              <w:ind w:right="49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Variance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w:t>
            </w:r>
          </w:p>
        </w:tc>
        <w:tc>
          <w:tcPr>
            <w:tcW w:w="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3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2" w:name="page33"/>
    <w:bookmarkEnd w:id="32"/>
    <w:p>
      <w:pPr>
        <w:jc w:val="both"/>
        <w:ind w:firstLine="648"/>
        <w:spacing w:after="0" w:line="277" w:lineRule="auto"/>
        <w:rPr>
          <w:sz w:val="20"/>
          <w:szCs w:val="20"/>
          <w:color w:val="auto"/>
        </w:rPr>
      </w:pPr>
      <w:r>
        <w:rPr>
          <w:rFonts w:ascii="Arial" w:cs="Arial" w:eastAsia="Arial" w:hAnsi="Arial"/>
          <w:sz w:val="18"/>
          <w:szCs w:val="18"/>
          <w:color w:val="auto"/>
        </w:rPr>
        <w:t>The increase in gross profit and gross margin between periods is largely attributable to increased efficiencies in our production process, extension of beyond using dating, or BUD, of some of our products, and utilization of capacities as a result of increased output.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months ended March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37"/>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2,055,000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selling, general and administrative expenses between for periods was largely attributable to increased sales commission amounts and legal expenses incurred associated with ongoing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37"/>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research and development expenses between periods was primarily attributable to the increase in formulation development studies for new ophthalmic formulations and clinical programs related to our drug development segment during the three months ended March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net was $603,000 for the three months ended March 31, 2019 compared to $663,000 during the same period last year. The decrease was primarily due to interest expense recognition related to a decrease in the amortization of our capital lease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from Melt,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2019, we recorded a net gain of $5,525,000 related to our investment in Melt. We recorded a gain of $5,810,000 for the deconsolidation of Melt, and a loss of $285,000 for our share of losses based on our ownership of Melt. We began using equity method accounting for our investment in Melt beginning on January 30, 2019, the date we no longer had a controlling interest, prior to that date, their losses were consolidated within our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Investment loss from Surface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ended March 31, 2019, we recorded a loss of $243,000, for our share of losses based on our ownership of Surface. We began using equity method accounting for our investment in Surface beginning on June 11, 2018, the date we no longer had a controlling interest, prior to that date, their losses were consolidated within our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 gain of $6,580,000 related to the change in fair market value of Eton’s common stock for the three months ended March 31, 2019. During the three months ended March 31, 2018, we recorded a loss of $1,069,000, for our share of losses based on our ownership of Eton. We began recording our investment in Eton at fair market value, and ceased equity method accounting for our investment in Eton, in November 2018 following Eton’s IPO and our ownership percent falling below 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2019, we recorded other income, net of $630,000. This was due to income of $630,000 related to expenses that were paid by us and reimbursed by Melt following its deconsolidation.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income (loss) for the three months ended March 31,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31, 2019</w:t>
            </w:r>
          </w:p>
        </w:tc>
        <w:tc>
          <w:tcPr>
            <w:tcW w:w="160" w:type="dxa"/>
            <w:vAlign w:val="bottom"/>
          </w:tcPr>
          <w:p>
            <w:pPr>
              <w:spacing w:after="0"/>
              <w:rPr>
                <w:sz w:val="20"/>
                <w:szCs w:val="20"/>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 31, 2018</w:t>
            </w:r>
          </w:p>
        </w:tc>
        <w:tc>
          <w:tcPr>
            <w:tcW w:w="0" w:type="dxa"/>
            <w:vAlign w:val="bottom"/>
          </w:tcPr>
          <w:p>
            <w:pPr>
              <w:spacing w:after="0"/>
              <w:rPr>
                <w:sz w:val="1"/>
                <w:szCs w:val="1"/>
                <w:color w:val="auto"/>
              </w:rPr>
            </w:pPr>
          </w:p>
        </w:tc>
      </w:tr>
      <w:tr>
        <w:trPr>
          <w:trHeight w:val="23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Harrow Health, Inc.</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income (loss) per share, basic</w:t>
            </w: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Financial Information About Segments and Geographic Areas</w:t>
            </w: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on January 1, 2019, we began evaluating performance of the Company based on operating segments. Segment performance for our two operating segments are based on segment contribution. Our reportable segments consist of (i) our commercial stage pharmaceutical compounding business (Pharmaceutical Compounding), generally including the operations of our ImprimisRx and Park Compounding businesses;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93" w:lineRule="exact"/>
        <w:rPr>
          <w:sz w:val="20"/>
          <w:szCs w:val="20"/>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jc w:val="both"/>
        <w:ind w:firstLine="501"/>
        <w:spacing w:after="0" w:line="264"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to our condensed consolidated financial statements included in this Quarterly Report for more information about our reportable segments.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cash on hand (including restricted cash) at March 31, 2019 was $4,265,000, compared to $6,838,000 at December 31, 2018. Since inception through December 31, 2018, we have incurred aggregate losses of $74,211,000.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Quarterly Report, we believe that cash and cash equivalents of $4,065,000 and restricted investments of $200,000 totaling approximately $4,265,000 at March 31, 2019, will be sufficient to sustain our planned level of operations and capital expenditures for at least the next 12 months. We also may consider the sale of certain assets including, but not limited to, part of, or all of, our ownership interest in Eton and/or any of our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months ended March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(965,000)</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(324,000)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(264,000)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(773,000)</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(98,000)</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(2,573,000)</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(1,327,000)</w:t>
            </w:r>
          </w:p>
        </w:tc>
        <w:tc>
          <w:tcPr>
            <w:tcW w:w="80" w:type="dxa"/>
            <w:vAlign w:val="bottom"/>
            <w:tcBorders>
              <w:top w:val="single" w:sz="8" w:color="CCEEFF"/>
            </w:tcBorders>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6,838,000</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4,219,000</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4,265,000</w:t>
            </w: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2,892,000</w:t>
            </w: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20" w:type="dxa"/>
            <w:vAlign w:val="bottom"/>
            <w:vMerge w:val="restart"/>
          </w:tcPr>
          <w:p>
            <w:pPr>
              <w:jc w:val="right"/>
              <w:ind w:right="1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used in operating activities was $(1,476,000) during the three months ended March 31, 2019, as compared to $(965,000) used in operating activities during the same period in the prior year. The increase in net cash used in operating activities during the periods was mainly attributed to the use of working capital associated with payments for annual bonuses and annual prepaid expenses that occur in the first quarter of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2019 and 2018 was $(324,000) and $(264,000), respectively. Cash used in investing activities in 2019 and 2018, were primarily associated with equipment purchases and upgrades and investments in our intellectual property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financing activities during the three months ended March 31, 2019 and 2018 was $(773,000) and $(98,000), respectively. Cash used in financing activities during the three months ended March 31, 2019 was mostly related to principal payment of our note payable.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sources of cash consist of cash provided by operating activities from our pharmaceutical compounding business. We may also sell some or all of our ownership interests in Eton, Surface, Melt or our other subsidiaries. We just recently began producing cash from our operations during 2018, however historically, and during the three months ended March 31, 2019, we haven’t received sufficient revenues to support our operations and may not be able to continue to do so.</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loan from SWK Funding, LLC and its partners.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2019. Based on this evaluation, our principal executive officer and principal financial officer have concluded that our disclosure controls and procedures were effective to achieve their stated purpose as of March 31, 2019,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March 31, 2019,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In June 2018, Sobol filed a motion for class certification and in July 2018 we filed a response in opposition to the motion for class certification. A hearing on class certification was heard on October 24, 2018, however, prior to a decision regarding class certification was made, in February 2019, we entered into a proposed settlement agreement to award the class up to $1.4 million in damages. However, due to the nature of the lawsuit and claims, we expect total damages related to this lawsuit will total approximately $640,000. We expect the Court will rule to accept our settlement agreement in the spring of 2019. We accrued an expense of $640,000, our estimated damages related to the settlement agreement, during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Imprimis Pharmaceuticals, Inc., primarily claiming violations under the federal Lanham Act and California’s Sherman Act. The parties have each filed a motion for summary judgment and Imprimis also filed a motion to stay. The parties’ motions is scheduled to be heard on March 26, 2019. The trial date is currently set for May 2019. We believe the claims for damages are meritless, and intend to vigorously defend against Allergan’s allegations. Nonetheless, we cannot predict the eventual outcome of this litigation, it could result in substantial costs, losses and a diversion of management’s resources and attention, which could harm our business and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us in the U.S. District Court of Delaware asserting claims for breach of contract. The claims stem from an asset purchase agreement between us and NDS entered into in 2013. In July 2018, NDS filed a first amended complaint which added a claim for fraudulent inducement. In October 2018, we filed counterclaims alleging breach of contract and breach of covenant of good faith and fair dealing and named certain individual defendants. We are currently in the discovery phase of this lawsuit. We believe the claims are meritless and have previously and will continue to dispute all claims asserted against us and intend to vigorously defend against these allegations. Nonetheless, we cannot predict the eventual outcome of this litigation,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Board of Pharmacy approved terms of a settlement agreement (the “Settlement Agreement”) that will become effective on or near May 29, 2019. Pursuant to the terms of the Settlement Agreement, Park will be required to surrender Park’s California pharmacy license by August 27, 2019; provided however, in the event of a sale of Park, the California Board of Pharmacy has agreed to expedite the issuance of a temporary license to the Park acquiror. In the event Park is not sold, we intend to transfer substantially all of the Park business and related revenues to our New Jersey based pharmacy.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us and various Spectrum entities. The cross-complaint seeks indemnity and contribution from us and Spectrum. We answered the claims filed by Dr. Kelly in October 2018. The case is currently in the discovery phase. We believe the claims are meritless and have previously and will continue to dispute all claims asserted against us and intend to vigorously defend against these allegations. Nonetheless, we cannot predict the eventual outcome of this litigation, it could result in substantial costs, losses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Until last year, we have incurred losses in every year of our operations, and we may not be profitable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2018, we have incurred losses in every year of our operations, including net income (losses) of $14,625,000 and $(11,985,000) for the years ended December 31, 2018 and 2017, respectively. As of March 31, 2019, our accumulated deficit was $(62,853,000). Our current projections indicate that we will have operating income and/or net income during 2019;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compounding facilities in New Jersey and California. We may plan to expand our pharmacy operations and personnel and developing our facilities into a unified group compounding pharmacy facilities. We have been developing “ImprimisRx” as a uniform brand for certain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we have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sell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We will continue to work with the FDA to assure that all allegations in the warning letter have been addressed. We believe, to date, we have addressed all of the material items of concern in the FDA’s warning letter and those related to the MedWatch notification (and any other requirements observed by FDA and noted to us), and we do not believe there will be any further action taken by FDA in this matter. Nonetheless, these two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Compounding, Inc. related to a compounded formulation we believe was legally dispensed and was, without our knowledge, inappropriately administered to a patient unknown to us, by the prescribing healthcare professionals. While we dispute all claims against Park, we did enter into a settlement agreement with the California Board of Pharmacy which may require us to permanently or temporarily cease or limit Park’s pharmacy locations operations including its sterile compounding operations. If Park Compounding is required to permanently or temporarily cease or limit its sterile compounding operations, we may transfer its business to our New Jersey based pharmacy, sell Park or look to partner with other pharmacies. Although we distribute our proprietary formulations through other compounding pharmacies, and not solely through Park Compounding, the loss of Park Compounding’s ability to compound sterile formulations could have an adverse impact on our ability to implement our business plan in a timely manner.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$12,120,000 at the time of final payment.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seek FDA approval to market and sell any of our proprietary formulations, such as with drug candidates being developed by Radley, Mayfield, Melt, Surface and Eton, we may be unable to demonstrate the necessary safety and efficacy to obtain such FDA approval.</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or, collectively, 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3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February 28, 2019, we owned and/or licensed nine U.S. issued patents, two international issued patents, and 32 U.S. patent applications, including 29 utility (including continuation, continuation-in-part and divisional) and three provisional patent applications, and we owned seven international patent applications filed under the Patent Cooperation Treaty and 42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President of ImprimisRx, John P. Saharek.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discussed in Item 9A of this Annual Report, our management concluded that our internal controls over financial reporting were effective as of December 31, 2018.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6, 2019, we entered into an Asset Purchase Agreement with Eton (the “CT APA”) to re-acquire assets related to our synthetic corticotropin formulation from Eton (CT-100). The CT APA requires royalty on net sales of 3%, subject to adjustments, and milestone payments that allow for three separate payments of $100,000, $200,000 and $700,000 to Eton ($1,000,000, in aggregate) upon submission of an investigational new drug application, regulatory approval and at the point when cumulative net sales of CT-100 exceed $50,000,000,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10320" w:type="dxa"/>
            <w:vAlign w:val="bottom"/>
            <w:tcBorders>
              <w:bottom w:val="single" w:sz="8" w:color="0000EE"/>
            </w:tcBorders>
            <w:gridSpan w:val="8"/>
          </w:tcPr>
          <w:p>
            <w:pPr>
              <w:spacing w:after="0"/>
              <w:rPr>
                <w:rFonts w:ascii="Arial" w:cs="Arial" w:eastAsia="Arial" w:hAnsi="Arial"/>
                <w:sz w:val="18"/>
                <w:szCs w:val="18"/>
                <w:color w:val="0000EE"/>
              </w:rPr>
            </w:pPr>
            <w:hyperlink r:id="rId76">
              <w:r>
                <w:rPr>
                  <w:rFonts w:ascii="Arial" w:cs="Arial" w:eastAsia="Arial" w:hAnsi="Arial"/>
                  <w:sz w:val="18"/>
                  <w:szCs w:val="18"/>
                  <w:color w:val="0000EE"/>
                </w:rPr>
                <w:t>Asset Purchase Agreement dated December 11, 2018 between Harrow Health, Inc. (fka Imprimis Pharmaceuticals, Inc.) and Melt</w:t>
              </w:r>
            </w:hyperlink>
          </w:p>
        </w:tc>
      </w:tr>
      <w:tr>
        <w:trPr>
          <w:trHeight w:val="196"/>
        </w:trPr>
        <w:tc>
          <w:tcPr>
            <w:tcW w:w="1100" w:type="dxa"/>
            <w:vAlign w:val="bottom"/>
          </w:tcPr>
          <w:p>
            <w:pPr>
              <w:spacing w:after="0"/>
              <w:rPr>
                <w:sz w:val="17"/>
                <w:szCs w:val="17"/>
                <w:color w:val="auto"/>
              </w:rPr>
            </w:pPr>
          </w:p>
        </w:tc>
        <w:tc>
          <w:tcPr>
            <w:tcW w:w="103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Pharmaceuticals, Inc. (incorporated herein by reference to Exhibit 10.1 to the Current Report on Form 8-K of Harrow Health, Inc. filed with</w:t>
              </w:r>
            </w:hyperlink>
          </w:p>
        </w:tc>
      </w:tr>
      <w:tr>
        <w:trPr>
          <w:trHeight w:val="196"/>
        </w:trPr>
        <w:tc>
          <w:tcPr>
            <w:tcW w:w="1100" w:type="dxa"/>
            <w:vAlign w:val="bottom"/>
          </w:tcPr>
          <w:p>
            <w:pPr>
              <w:spacing w:after="0"/>
              <w:rPr>
                <w:sz w:val="17"/>
                <w:szCs w:val="17"/>
                <w:color w:val="auto"/>
              </w:rPr>
            </w:pPr>
          </w:p>
        </w:tc>
        <w:tc>
          <w:tcPr>
            <w:tcW w:w="4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the Securities and Exchange Commission on February 5, 2019)</w:t>
              </w:r>
            </w:hyperlink>
          </w:p>
        </w:tc>
        <w:tc>
          <w:tcPr>
            <w:tcW w:w="576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10320" w:type="dxa"/>
            <w:vAlign w:val="bottom"/>
            <w:gridSpan w:val="8"/>
          </w:tcPr>
          <w:p>
            <w:pPr>
              <w:spacing w:after="0"/>
              <w:rPr>
                <w:sz w:val="20"/>
                <w:szCs w:val="20"/>
                <w:color w:val="auto"/>
              </w:rPr>
            </w:pPr>
            <w:r>
              <w:rPr>
                <w:rFonts w:ascii="Arial" w:cs="Arial" w:eastAsia="Arial" w:hAnsi="Arial"/>
                <w:sz w:val="18"/>
                <w:szCs w:val="18"/>
                <w:color w:val="0000EE"/>
              </w:rPr>
              <w:t>Asset Purchase Agreement dated February 1, 2019 between Harrow Health, Inc. and Mayfield Pharmaceuticals, Inc.</w:t>
            </w: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80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Asset Purchase Agreement dated February 1, 2019 between Harrow Health, Inc. and Elle Pharmaceuticals, Inc.</w:t>
            </w:r>
          </w:p>
        </w:tc>
        <w:tc>
          <w:tcPr>
            <w:tcW w:w="360" w:type="dxa"/>
            <w:vAlign w:val="bottom"/>
            <w:tcBorders>
              <w:top w:val="single" w:sz="8" w:color="0000EE"/>
            </w:tcBorders>
          </w:tcPr>
          <w:p>
            <w:pPr>
              <w:spacing w:after="0"/>
              <w:rPr>
                <w:sz w:val="24"/>
                <w:szCs w:val="24"/>
                <w:color w:val="auto"/>
              </w:rPr>
            </w:pPr>
          </w:p>
        </w:tc>
        <w:tc>
          <w:tcPr>
            <w:tcW w:w="1940" w:type="dxa"/>
            <w:vAlign w:val="bottom"/>
            <w:gridSpan w:val="2"/>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103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5"/>
              </w:rPr>
              <w:t>Certification of Mark L. Baum, principal executive officer, pursuant to Rule 13a-14(a) or 15d-14(a) of the Securities and Exchange Act of</w:t>
            </w:r>
          </w:p>
        </w:tc>
      </w:tr>
      <w:tr>
        <w:trPr>
          <w:trHeight w:val="196"/>
        </w:trPr>
        <w:tc>
          <w:tcPr>
            <w:tcW w:w="1100" w:type="dxa"/>
            <w:vAlign w:val="bottom"/>
          </w:tcPr>
          <w:p>
            <w:pPr>
              <w:spacing w:after="0"/>
              <w:rPr>
                <w:sz w:val="17"/>
                <w:szCs w:val="17"/>
                <w:color w:val="auto"/>
              </w:rPr>
            </w:pPr>
          </w:p>
        </w:tc>
        <w:tc>
          <w:tcPr>
            <w:tcW w:w="56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 Oxley Act of 2002.</w:t>
            </w:r>
          </w:p>
        </w:tc>
        <w:tc>
          <w:tcPr>
            <w:tcW w:w="470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0320" w:type="dxa"/>
            <w:vAlign w:val="bottom"/>
            <w:gridSpan w:val="8"/>
          </w:tcPr>
          <w:p>
            <w:pPr>
              <w:spacing w:after="0"/>
              <w:rPr>
                <w:sz w:val="20"/>
                <w:szCs w:val="20"/>
                <w:color w:val="auto"/>
              </w:rPr>
            </w:pPr>
            <w:r>
              <w:rPr>
                <w:rFonts w:ascii="Arial" w:cs="Arial" w:eastAsia="Arial" w:hAnsi="Arial"/>
                <w:sz w:val="18"/>
                <w:szCs w:val="18"/>
                <w:color w:val="0000EE"/>
                <w:w w:val="96"/>
              </w:rPr>
              <w:t>Certification of Andrew R. Boll, principal financial and accounting officer, pursuant to Rule 13a-14(a) or 15d-14(a) of the Securities and</w:t>
            </w:r>
          </w:p>
        </w:tc>
      </w:tr>
      <w:tr>
        <w:trPr>
          <w:trHeight w:val="196"/>
        </w:trPr>
        <w:tc>
          <w:tcPr>
            <w:tcW w:w="110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 Oxley Act of 2002.</w:t>
            </w:r>
          </w:p>
        </w:tc>
        <w:tc>
          <w:tcPr>
            <w:tcW w:w="34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3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Certification pursuant to 18 U.S.C. Section 1350, as adopted pursuant to Section 906 of the Sarbanes-Oxley Act of 2002, executed by Mark L.</w:t>
            </w:r>
          </w:p>
        </w:tc>
      </w:tr>
      <w:tr>
        <w:trPr>
          <w:trHeight w:val="196"/>
        </w:trPr>
        <w:tc>
          <w:tcPr>
            <w:tcW w:w="1100" w:type="dxa"/>
            <w:vAlign w:val="bottom"/>
          </w:tcPr>
          <w:p>
            <w:pPr>
              <w:spacing w:after="0"/>
              <w:rPr>
                <w:sz w:val="17"/>
                <w:szCs w:val="17"/>
                <w:color w:val="auto"/>
              </w:rPr>
            </w:pPr>
          </w:p>
        </w:tc>
        <w:tc>
          <w:tcPr>
            <w:tcW w:w="7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Baum, principal executive officer, and Andrew R. Boll, principal financial and accounting officer.</w:t>
            </w:r>
          </w:p>
        </w:tc>
        <w:tc>
          <w:tcPr>
            <w:tcW w:w="3260" w:type="dxa"/>
            <w:vAlign w:val="bottom"/>
            <w:gridSpan w:val="4"/>
          </w:tcPr>
          <w:p>
            <w:pPr>
              <w:spacing w:after="0"/>
              <w:rPr>
                <w:sz w:val="17"/>
                <w:szCs w:val="17"/>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b w:val="1"/>
                <w:bCs w:val="1"/>
                <w:color w:val="auto"/>
              </w:rPr>
              <w:t>101.INS*</w:t>
            </w:r>
          </w:p>
        </w:tc>
        <w:tc>
          <w:tcPr>
            <w:tcW w:w="103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101.SCH*</w:t>
            </w:r>
          </w:p>
        </w:tc>
        <w:tc>
          <w:tcPr>
            <w:tcW w:w="1032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101.CAL*</w:t>
            </w:r>
          </w:p>
        </w:tc>
        <w:tc>
          <w:tcPr>
            <w:tcW w:w="103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101.DEF*</w:t>
            </w:r>
          </w:p>
        </w:tc>
        <w:tc>
          <w:tcPr>
            <w:tcW w:w="103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101.LAB*</w:t>
            </w:r>
          </w:p>
        </w:tc>
        <w:tc>
          <w:tcPr>
            <w:tcW w:w="103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101.PRE*</w:t>
            </w:r>
          </w:p>
        </w:tc>
        <w:tc>
          <w:tcPr>
            <w:tcW w:w="103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9,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10340"/>
        <w:spacing w:after="0"/>
        <w:rPr>
          <w:sz w:val="20"/>
          <w:szCs w:val="20"/>
          <w:color w:val="auto"/>
        </w:rPr>
      </w:pPr>
      <w:r>
        <w:rPr>
          <w:rFonts w:ascii="Arial" w:cs="Arial" w:eastAsia="Arial" w:hAnsi="Arial"/>
          <w:sz w:val="17"/>
          <w:szCs w:val="17"/>
          <w:color w:val="auto"/>
        </w:rPr>
        <w:t>EXHIBIT 10.2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AGREEMENT (this “Agreement”) dated as of February 1, 2019 (the “Effective Date”), is entered into between HARROW HEALTH, INC., a Delaware corporation (“Harrow”), with a place of business at 12264 El Camino Real, Suite 350, San Diego, California 92130, and MAYFIELD PHARMACEUTICALS, INC., a Nevada corporation (“Mayfield”), with a place of business at 12264 El Camino Real, Suite 350, San Diego, California 92130. The parties hereby agree as follows:</w:t>
      </w:r>
    </w:p>
    <w:p>
      <w:pPr>
        <w:spacing w:after="0" w:line="187" w:lineRule="exact"/>
        <w:rPr>
          <w:sz w:val="20"/>
          <w:szCs w:val="20"/>
          <w:color w:val="auto"/>
        </w:rPr>
      </w:pPr>
    </w:p>
    <w:p>
      <w:pPr>
        <w:ind w:firstLine="656"/>
        <w:spacing w:after="0" w:line="277" w:lineRule="auto"/>
        <w:tabs>
          <w:tab w:leader="none" w:pos="85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Harrow nor Mayfield shall be Affiliates of the other or the other’s Affiliates.</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Assets</w:t>
      </w:r>
      <w:r>
        <w:rPr>
          <w:rFonts w:ascii="Arial" w:cs="Arial" w:eastAsia="Arial" w:hAnsi="Arial"/>
          <w:sz w:val="18"/>
          <w:szCs w:val="18"/>
          <w:color w:val="auto"/>
        </w:rPr>
        <w:t>” means, collectively, (a) all Technology, (b) the Assigned Patent Rights, (c) the Assigned Know-How Rights, and (d) all compositions, formulations, samples, data and information specific to the Technology owned by Harrow as of the Effective Date; in each case, acquired from Elle by Harrow pursuant to the Elle APA.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Assigned Know-How Rights</w:t>
      </w:r>
      <w:r>
        <w:rPr>
          <w:rFonts w:ascii="Arial" w:cs="Arial" w:eastAsia="Arial" w:hAnsi="Arial"/>
          <w:sz w:val="17"/>
          <w:szCs w:val="17"/>
          <w:color w:val="auto"/>
        </w:rPr>
        <w:t>” means all trade secret and other know-how rights acquired from Elle by Harrow pursuant to the Elle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APA.</w:t>
      </w:r>
    </w:p>
    <w:p>
      <w:pPr>
        <w:spacing w:after="0" w:line="21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Assigned Patent Rights</w:t>
      </w:r>
      <w:r>
        <w:rPr>
          <w:rFonts w:ascii="Arial" w:cs="Arial" w:eastAsia="Arial" w:hAnsi="Arial"/>
          <w:sz w:val="17"/>
          <w:szCs w:val="17"/>
          <w:color w:val="auto"/>
        </w:rPr>
        <w:t xml:space="preserve">” means, collectively, (a) all patents and patent applications (including provisional patent applications) acquired from Elle by Harrow pursuant to the Elle APA, including those listed on Schedule A, together with all divisionals, continuations and continuations-in-part that claim priority to, or common priority with, the foregoing; (b) all patents issuing therefrom (including utility models and design patents and certificates of invention); (c) all reissues,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and data that (a) is provided by one party to the other party under this Agreement, and</w:t>
      </w:r>
    </w:p>
    <w:p>
      <w:pPr>
        <w:spacing w:after="0" w:line="46" w:lineRule="exact"/>
        <w:rPr>
          <w:sz w:val="20"/>
          <w:szCs w:val="20"/>
          <w:color w:val="auto"/>
        </w:rPr>
      </w:pPr>
    </w:p>
    <w:p>
      <w:pPr>
        <w:jc w:val="both"/>
        <w:ind w:firstLine="8"/>
        <w:spacing w:after="0" w:line="269" w:lineRule="auto"/>
        <w:tabs>
          <w:tab w:leader="none" w:pos="26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disclosed in writing or other tangible medium is marked or identified as confidential at the time of disclosure to the recipient, is acknowledged at the time of disclosure to be confidential, or otherwise should reasonably be deemed to be confidential, except that the Assets shall be the Confidential Information of both parties.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8" w:name="page69"/>
    <w:bookmarkEnd w:id="68"/>
    <w:p>
      <w:pPr>
        <w:jc w:val="both"/>
        <w:ind w:right="20"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Dyspareunia Product</w:t>
      </w:r>
      <w:r>
        <w:rPr>
          <w:rFonts w:ascii="Arial" w:cs="Arial" w:eastAsia="Arial" w:hAnsi="Arial"/>
          <w:sz w:val="18"/>
          <w:szCs w:val="18"/>
          <w:color w:val="auto"/>
        </w:rPr>
        <w:t>” means any product, in any gel-based form or formulation, containing lidocaine as an active pharmaceutical ingredient with a concentration in the range of 3.18% to 4.40% for the treatment of dyspareunia.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Elle</w:t>
      </w:r>
      <w:r>
        <w:rPr>
          <w:rFonts w:ascii="Arial" w:cs="Arial" w:eastAsia="Arial" w:hAnsi="Arial"/>
          <w:sz w:val="18"/>
          <w:szCs w:val="18"/>
          <w:color w:val="auto"/>
        </w:rPr>
        <w:t>” means Elle Pharmaceutical, LLC.</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Elle APA</w:t>
      </w:r>
      <w:r>
        <w:rPr>
          <w:rFonts w:ascii="Arial" w:cs="Arial" w:eastAsia="Arial" w:hAnsi="Arial"/>
          <w:sz w:val="18"/>
          <w:szCs w:val="18"/>
          <w:color w:val="auto"/>
        </w:rPr>
        <w:t>” means the Asset Purchase Agreement entered into between Elle and Harrow on or around the Effective Date, as amended or restated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entity thereto.</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Harrow Field</w:t>
      </w:r>
      <w:r>
        <w:rPr>
          <w:rFonts w:ascii="Arial" w:cs="Arial" w:eastAsia="Arial" w:hAnsi="Arial"/>
          <w:sz w:val="18"/>
          <w:szCs w:val="18"/>
          <w:color w:val="auto"/>
        </w:rPr>
        <w:t>” means drug products compounded or manufactured in compounding pharmacies or outsourcing facilities as defined and described in the Federal Food, Drug &amp; Cosmetic Act (21 U.S.C §353a and 21 U.S.C. §353b).</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Licensee</w:t>
      </w:r>
      <w:r>
        <w:rPr>
          <w:rFonts w:ascii="Arial" w:cs="Arial" w:eastAsia="Arial" w:hAnsi="Arial"/>
          <w:sz w:val="16"/>
          <w:szCs w:val="16"/>
          <w:color w:val="auto"/>
        </w:rPr>
        <w:t>” means a Third Party to whom Mayfield or its Affiliate has granted a license, immunity or other right under the Assigned Patent Rights to offer to sell, sell or otherwise commercialize one or more Dyspareunia Products, provided such license has not expired or been terminated.</w:t>
      </w:r>
    </w:p>
    <w:p>
      <w:pPr>
        <w:spacing w:after="0" w:line="12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Product Supported Patent Rights</w:t>
      </w:r>
      <w:r>
        <w:rPr>
          <w:rFonts w:ascii="Arial" w:cs="Arial" w:eastAsia="Arial" w:hAnsi="Arial"/>
          <w:sz w:val="17"/>
          <w:szCs w:val="17"/>
          <w:color w:val="auto"/>
        </w:rPr>
        <w:t xml:space="preserve">” means, collectively, (a) all patent applications hereafter filed anywhere in the world, together with all divisionals, continuations and continuations-in-part that claim priority to, or common priority with, the foregoing; (b) all patents issuing therefrom (including utility models and design patents and certificates of invention); (c) all reissues,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 in each case that use or are supported by data or information derived from the development, manufacture or use of a Dyspareunia Product or otherwise from the exploitation of the Assets; provided, however, that Product Supported Patent Rights shall exclude the Assigned Patent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ind w:firstLine="1297"/>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Technology</w:t>
      </w:r>
      <w:r>
        <w:rPr>
          <w:rFonts w:ascii="Arial" w:cs="Arial" w:eastAsia="Arial" w:hAnsi="Arial"/>
          <w:sz w:val="18"/>
          <w:szCs w:val="18"/>
          <w:color w:val="auto"/>
        </w:rPr>
        <w:t>” means, collectively, (a) Dyspareunia Product, (b) all compositions, components and formulations thereof, and (c) any and all methods of manufacture and uses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Harrow, Mayfield or their respective Affiliates.</w:t>
      </w:r>
    </w:p>
    <w:p>
      <w:pPr>
        <w:spacing w:after="0" w:line="225"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w:t>
      </w:r>
      <w:r>
        <w:rPr>
          <w:rFonts w:ascii="Arial" w:cs="Arial" w:eastAsia="Arial" w:hAnsi="Arial"/>
          <w:sz w:val="18"/>
          <w:szCs w:val="18"/>
          <w:color w:val="auto"/>
        </w:rPr>
        <w:t>. Subject to the terms and conditions of this Agreement, Mayfield hereby purchases from Harrow, and Harrow hereby sells, conveys, transfers and assigns to Mayfield, on the Effective Date, all of Harrow’ right, title and interest in and to the Assets. To the extent necessary to comply with applicable privacy laws, Harrow shall have the right to redact patient identifying information from any data or information transferred to Mayfield.</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Mayfield shall not be obligated to assume or perform and is not assuming or performing any liabilities or obligations of Harrow which relate to Harrow’ ownership of the Assets prior to the Effective Date or otherwise, whether known or unknown, fixed or contingent, certain or uncertain, and regardless of when they are or were asserted, and Harrow shall remain responsible for such liabilities.</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may be further evidenced by the due execution and delivery by the parties of any additional bills of sale, assignment or other title transfer documents and instruments as reasonably requested by Mayfield evidencing the sale, conveyance, transfer and assignment of the Assets in accordance with this Agreement.</w:t>
      </w:r>
    </w:p>
    <w:p>
      <w:pPr>
        <w:spacing w:after="0" w:line="18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Grantback License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3.1.1 Subject to the terms and conditions of this Agreement, Mayfield hereby grants to Harrow an exclusive (including with respect to Mayfield), irrevocable, perpetual, fully paid-up, royalty-free, non-transferable (except in connection with a permitted assignment of this Agreement), worldwide license under the Assigned Patent Rights, the Product Supported Patent Rights, and the Assigned Know-How Rights for all purposes in the Harrow Field.</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3.1.2 Harrow shall have the right to grant sublicenses, through multiple tiers, to Third Parties and Affiliates.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4.1, NEITHER PARTY MAKES ANY REPRESENTATIONS OR WARRANTIES, EXPRESS OR IMPLIED, REGARDING THE ASSETS OR ANY OTHER MATTER, INCLUDING WITHOUT LIMITATION, ANY REPRESENTATION OR WARRANTY REGARDING VALIDITY, ENFORCEABILITY, MERCHANTABILITY OR FITNESS FOR A PARTICULAR PURPOSE OR NONINFRINGEMENT. THE ASSETS ARE PROVIDED “AS IS.”</w:t>
      </w:r>
    </w:p>
    <w:p>
      <w:pPr>
        <w:spacing w:after="0" w:line="187" w:lineRule="exact"/>
        <w:rPr>
          <w:sz w:val="20"/>
          <w:szCs w:val="20"/>
          <w:color w:val="auto"/>
        </w:rPr>
      </w:pPr>
    </w:p>
    <w:p>
      <w:pPr>
        <w:ind w:firstLine="656"/>
        <w:spacing w:after="0" w:line="277" w:lineRule="auto"/>
        <w:tabs>
          <w:tab w:leader="none" w:pos="84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 As a condition precedent to the effect of this Agreement, Mayfield shall enter into a written agreement with Elle, pursuant to which Mayfield shall pay certain amounts to Elle on terms and conditions to be mutually agreed by Mayfield and Elle.</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Post-Effective Date Covenants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Mayfield Covenants</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6.1.1 Mayfield shall use commercially reasonable efforts (whether alone or with or through its Licensees or its or their respective Affiliates) to research, develop and commercialize Dyspareunia Product.</w:t>
      </w:r>
    </w:p>
    <w:p>
      <w:pPr>
        <w:spacing w:after="0" w:line="170" w:lineRule="exact"/>
        <w:rPr>
          <w:sz w:val="20"/>
          <w:szCs w:val="20"/>
          <w:color w:val="auto"/>
        </w:rPr>
      </w:pPr>
    </w:p>
    <w:p>
      <w:pPr>
        <w:ind w:right="20" w:firstLine="1945"/>
        <w:spacing w:after="0" w:line="277" w:lineRule="auto"/>
        <w:rPr>
          <w:sz w:val="20"/>
          <w:szCs w:val="20"/>
          <w:color w:val="auto"/>
        </w:rPr>
      </w:pPr>
      <w:r>
        <w:rPr>
          <w:rFonts w:ascii="Arial" w:cs="Arial" w:eastAsia="Arial" w:hAnsi="Arial"/>
          <w:sz w:val="18"/>
          <w:szCs w:val="18"/>
          <w:color w:val="auto"/>
        </w:rPr>
        <w:t>6.1.2 Mayfield shall complete the closing of equity financing(s) of Mayfield with net proceeds received by Mayfield of not less than ten million dollars ($10,000,000) by June 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jc w:val="both"/>
        <w:ind w:firstLine="1945"/>
        <w:spacing w:after="0" w:line="277" w:lineRule="auto"/>
        <w:rPr>
          <w:sz w:val="20"/>
          <w:szCs w:val="20"/>
          <w:color w:val="auto"/>
        </w:rPr>
      </w:pPr>
      <w:r>
        <w:rPr>
          <w:rFonts w:ascii="Arial" w:cs="Arial" w:eastAsia="Arial" w:hAnsi="Arial"/>
          <w:sz w:val="18"/>
          <w:szCs w:val="18"/>
          <w:color w:val="auto"/>
        </w:rPr>
        <w:t>6.1.3 Mayfield shall control, at its sole expense, the preparation, filing, prosecution, maintenance and enforcement of the Assigned Patent Rights consistent with prudent business practices, and shall consider in good faith the interests of Harrow.</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6.1.4 Mayfield shall enter into a stock issuance agreement with Elle dated as of the Effective Date and shall issue to Elle certain shares of common stock of Mayfield to Elle pursuant to, and on the terms and conditions of, such stock issuance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Harrow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6.2.1 Within thirty (30) days after the Effective Date, Harrow shall transfer to Mayfield all tangible embodiments of the Technology in the possession and control of Harrow.</w:t>
      </w:r>
    </w:p>
    <w:p>
      <w:pPr>
        <w:spacing w:after="0" w:line="170"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6.2.2 Harrow shall provide cooperation reasonably requested by Mayfield in connection with Mayfield’s efforts to establish, perfect, defend, or enforce its rights in or to the Assets (including without limitation the Assigned Patent Rights). Such cooperation shall include, without limitation, (a) executing such further assignments, transfers, licenses, releases and consents, and (b) providing such data and information, consulting with Mayfield and executing and delivering all such further documents and instruments, in each case as reasonably requested by Mayfield regarding the Assets (including without limitation the Assigned Patent Rights).</w:t>
      </w:r>
    </w:p>
    <w:p>
      <w:pPr>
        <w:spacing w:after="0" w:line="188"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18"/>
          <w:szCs w:val="18"/>
          <w:color w:val="auto"/>
        </w:rPr>
        <w:t>6.2.3 If a New Drug Application for a Dyspareunia Product is filed by or on behalf of Mayfield and Mayfield (or its designee) receives all applicable marketing and pricing approvals from the FDA regarding such New Drug Application, then, commencing thirty (30) days after receipt by Harrow of Mayfield’s express written request, Harrow shall cease compounding pharmaceutical products for treatment of dyspareunia that contain the same active ingredient as contained in such Dyspareunia Product in concentrations between fifty percent (50%) and two hundred percent (200%) of the concentration of such active ingredient in such Dyspareunia Product (or, if there is more than one active ingredient contained in such Dyspareunia Product, then the same combination of active ingredients in concentrations between fifty percent (50%) and two hundred percent (200%) of the concentrations as contained in such Dyspareunia Product) until such time as Mayfield, its Licensees and its or their respective Affiliates (or their successors) cease for at least twelve (12) months bona fide development or commercialization of such Dyspareunia Product. Mayfield promptly shall notify Harrow in writing of any such cessation.</w:t>
      </w:r>
    </w:p>
    <w:p>
      <w:pPr>
        <w:spacing w:after="0" w:line="197"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Indemnification by Harrow</w:t>
      </w:r>
      <w:r>
        <w:rPr>
          <w:rFonts w:ascii="Arial" w:cs="Arial" w:eastAsia="Arial" w:hAnsi="Arial"/>
          <w:sz w:val="17"/>
          <w:szCs w:val="17"/>
          <w:color w:val="auto"/>
        </w:rPr>
        <w:t>. Subject to the provisions of this Section 7, Harrow shall indemnify, defend and hold harmless Mayfield, its officers, directors, affiliates, agents, stockholders and representatives (collectively, the “</w:t>
      </w:r>
      <w:r>
        <w:rPr>
          <w:rFonts w:ascii="Arial" w:cs="Arial" w:eastAsia="Arial" w:hAnsi="Arial"/>
          <w:sz w:val="17"/>
          <w:szCs w:val="17"/>
          <w:u w:val="single" w:color="auto"/>
          <w:color w:val="auto"/>
        </w:rPr>
        <w:t>Mayfield Indemnitees</w:t>
      </w:r>
      <w:r>
        <w:rPr>
          <w:rFonts w:ascii="Arial" w:cs="Arial" w:eastAsia="Arial" w:hAnsi="Arial"/>
          <w:sz w:val="17"/>
          <w:szCs w:val="17"/>
          <w:color w:val="auto"/>
        </w:rPr>
        <w:t>”), from and against any and all losses, liabilities, damages and expenses (including without limitation reasonable attorneys’ fees and costs) incurred as a result of any claim, demand, action or proceeding by any Third Party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incurred or suffered by an Mayfield Indemnitee to the extent arising out of:</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Harrow set forth in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jc w:val="both"/>
        <w:ind w:firstLine="1945"/>
        <w:spacing w:after="0" w:line="277" w:lineRule="auto"/>
        <w:rPr>
          <w:sz w:val="20"/>
          <w:szCs w:val="20"/>
          <w:color w:val="auto"/>
        </w:rPr>
      </w:pPr>
      <w:r>
        <w:rPr>
          <w:rFonts w:ascii="Arial" w:cs="Arial" w:eastAsia="Arial" w:hAnsi="Arial"/>
          <w:sz w:val="18"/>
          <w:szCs w:val="18"/>
          <w:color w:val="auto"/>
        </w:rPr>
        <w:t>7.1.2 any breach of any covenant or agreement of Harrow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7.1.3 the ownership or exploitation of the Assets prior to the Effective Date.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Mayfield</w:t>
      </w:r>
      <w:r>
        <w:rPr>
          <w:rFonts w:ascii="Arial" w:cs="Arial" w:eastAsia="Arial" w:hAnsi="Arial"/>
          <w:sz w:val="18"/>
          <w:szCs w:val="18"/>
          <w:color w:val="auto"/>
        </w:rPr>
        <w:t>. Subject to the provisions of this Section 7, Mayfield shall indemnify and hold harmless Harrow, its officers, directors, affiliates, agents, stockholders and representatives (collectively, the “</w:t>
      </w:r>
      <w:r>
        <w:rPr>
          <w:rFonts w:ascii="Arial" w:cs="Arial" w:eastAsia="Arial" w:hAnsi="Arial"/>
          <w:sz w:val="18"/>
          <w:szCs w:val="18"/>
          <w:u w:val="single" w:color="auto"/>
          <w:color w:val="auto"/>
        </w:rPr>
        <w:t>Harrow Indemnitees</w:t>
      </w:r>
      <w:r>
        <w:rPr>
          <w:rFonts w:ascii="Arial" w:cs="Arial" w:eastAsia="Arial" w:hAnsi="Arial"/>
          <w:sz w:val="18"/>
          <w:szCs w:val="18"/>
          <w:color w:val="auto"/>
        </w:rPr>
        <w:t>”), from and against any and all Losses incurred or suffered by an Harrow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Mayfield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7.2.2 any breach of any covenant or agreement of Mayfield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7.2.3 the ownership or exploitation of the Assets after the Effective Date or the manufacture, use, sale or other exploitation of any Dyspareunia Product solely by Mayfield, its Licensees or their respective Affiliates or the use of any Dyspareunia Product by their customers.</w:t>
      </w:r>
    </w:p>
    <w:p>
      <w:pPr>
        <w:spacing w:after="0" w:line="1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w:t>
      </w:r>
      <w:r>
        <w:rPr>
          <w:rFonts w:ascii="Arial" w:cs="Arial" w:eastAsia="Arial" w:hAnsi="Arial"/>
          <w:sz w:val="18"/>
          <w:szCs w:val="18"/>
          <w:u w:val="single" w:color="auto"/>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a period of five (5) years following the expiration or earlier termination hereof, except as otherwise provided in this Section 8, each party shall maintain in confidence the Confidential Information of the other party except as expressly permitted herein, and shall not use, disclose or grant the use of the Confidential Information except on a need-to-know basis to those directors, officers, employees, (sub)licensees and contractors, to the extent such disclosure is reasonably necessary in connection with performing its obligations or exercising its rights under this Agreement. To the extent that disclosure by a party is authorized by this Agreement, prior to disclosure, such party shall obtain agreement of any such Person to hold in confidence and not make use of the Confidential Information for any purpose other than those permitted by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jc w:val="both"/>
        <w:ind w:firstLine="1297"/>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Terms of this Agreement</w:t>
      </w:r>
      <w:r>
        <w:rPr>
          <w:rFonts w:ascii="Arial" w:cs="Arial" w:eastAsia="Arial" w:hAnsi="Arial"/>
          <w:sz w:val="17"/>
          <w:szCs w:val="17"/>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in confidence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7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this Section 8 shall not apply to the extent that a party is required (a)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(b)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 Notwithstanding anything to the contrary herein, either party may disclose the terms and conditions of this Agreement to any Person with whom such party has, or is proposing to enter into, a business relationship, as long as such Person has entered into a confidentiality agreement with such party.</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ind w:left="840" w:hanging="184"/>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continue until expiration of all payment obligations hereunder, unless earlier terminated as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ind w:left="13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9.2.1 If Mayfield, its Licensees, or their respective Affiliates (a) fail to use commercially reasonable efforts to develop and commercialize a Dyspareunia Product within the United States, or thereafter to use reasonable efforts to actively promote, market and sell such Dyspareunia Product within the United States, or (b) fail to file an Investigational New Drug Application in the United States for a Dyspareunia Product before the third (3rd) anniversary of the Effective Date, then Mayfield shall provide written notice thereof to Harrow and, unless the parties otherwise mutually agree in writing, Harrow shall have the right to terminate the Agreement effective immediately upon written notice of termination to Mayfield.</w:t>
      </w:r>
    </w:p>
    <w:p>
      <w:pPr>
        <w:spacing w:after="0" w:line="173"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9.2.2 If Mayfield fails to receive net proceeds of the sale of its equity securities to Third Parties of at least ten million dollars ($10,000,000) in cash, whether individually or in the aggregate, by June 1, 2020, then (a) Mayfield promptly shall provide written thereof to Harrow and (b) Harrow shall have the right to terminate this Agreement immediately by providing Mayfield with written notice of termination within thirty (30) days after Mayfield’s notice described in clause (a).</w:t>
      </w:r>
    </w:p>
    <w:p>
      <w:pPr>
        <w:spacing w:after="0" w:line="18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9.2.3 In the event of the termination of this Agreement in accordance with this </w:t>
      </w:r>
      <w:r>
        <w:rPr>
          <w:rFonts w:ascii="Arial" w:cs="Arial" w:eastAsia="Arial" w:hAnsi="Arial"/>
          <w:sz w:val="18"/>
          <w:szCs w:val="18"/>
          <w:u w:val="single" w:color="auto"/>
          <w:color w:val="auto"/>
        </w:rPr>
        <w:t>Section 9.2</w:t>
      </w:r>
      <w:r>
        <w:rPr>
          <w:rFonts w:ascii="Arial" w:cs="Arial" w:eastAsia="Arial" w:hAnsi="Arial"/>
          <w:sz w:val="18"/>
          <w:szCs w:val="18"/>
          <w:color w:val="auto"/>
        </w:rPr>
        <w:t>, Mayfield promptly shall re-assign the Assets to Harrow or its designee. Mayfield shall execute, acknowledge and deliver such further documents and instruments and perform all such other acts as may be reasonably necessary or appropriate in order to effectuate the foregoing.</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Survival</w:t>
      </w:r>
      <w:r>
        <w:rPr>
          <w:rFonts w:ascii="Arial" w:cs="Arial" w:eastAsia="Arial" w:hAnsi="Arial"/>
          <w:sz w:val="18"/>
          <w:szCs w:val="18"/>
          <w:color w:val="auto"/>
        </w:rPr>
        <w:t>. Expiration or termination of this Agreement shall be without prejudice to any rights which shall have accrued to the benefit of any party prior to such expiration. Without limiting the foregoing, Sections 3, 4.2, 5, 7, 8, 9.2.3, 9.3, and 10 shall survive any expiration or termination of this Agreement.</w:t>
      </w:r>
    </w:p>
    <w:p>
      <w:pPr>
        <w:spacing w:after="0" w:line="181"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shall execute, acknowledge and deliver such further documents and instruments and to perform all such other acts as may be necessary or appropriate in order to carry out the purposes and intent of this Agreement.</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IN NO EVENT SHALL A PARTY BE LIABLE FOR SPECIAL, INCIDENTAL OR CONSEQUENTIAL DAMAGES ARISING OUT OF THIS AGREEMENT OR THE EXERCISE OF ITS RIGHTS HEREUNDER, INCLUDING LOST PROFITS ARISING FROM OR RELATING TO ANY BREACH OF THIS AGREEMENT, REGARDLESS OF ANY NOTICE OF SUCH DAMAGES. NOTHING IN THIS SECTION 10.2 SHALL LIMIT OR RESTRICT THE RIGHTS OR LIABILITIES OF EITHER PARTY UNDER SECTIONS 7 AND 8.</w:t>
      </w:r>
    </w:p>
    <w:p>
      <w:pPr>
        <w:spacing w:after="0" w:line="17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Residuals</w:t>
      </w:r>
      <w:r>
        <w:rPr>
          <w:rFonts w:ascii="Arial" w:cs="Arial" w:eastAsia="Arial" w:hAnsi="Arial"/>
          <w:sz w:val="17"/>
          <w:szCs w:val="17"/>
          <w:color w:val="auto"/>
        </w:rPr>
        <w:t>. Notwithstanding anything to the contrary in this Agreement, Harrow shall have the right to use any general knowledge, skills and experience and any information retained in the unaided memory of an individual employed or otherwise engaged by Harrow.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jc w:val="both"/>
        <w:ind w:firstLine="1297"/>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10.4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Schedules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65" w:right="239" w:bottom="144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Harrow:</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600" w:space="360"/>
            <w:col w:w="9460"/>
          </w:cols>
          <w:pgMar w:left="240" w:top="665" w:right="2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Mayfield: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Mayfield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Executive Director</w:t>
      </w:r>
    </w:p>
    <w:p>
      <w:pPr>
        <w:spacing w:after="0" w:line="200" w:lineRule="exact"/>
        <w:rPr>
          <w:sz w:val="20"/>
          <w:szCs w:val="20"/>
          <w:color w:val="auto"/>
        </w:rPr>
      </w:pPr>
    </w:p>
    <w:p>
      <w:pPr>
        <w:sectPr>
          <w:pgSz w:w="11900" w:h="16838" w:orient="portrait"/>
          <w:cols w:equalWidth="0" w:num="2">
            <w:col w:w="1720" w:space="240"/>
            <w:col w:w="9460"/>
          </w:cols>
          <w:pgMar w:left="240" w:top="665" w:right="239" w:bottom="1440" w:gutter="0" w:footer="0" w:header="0"/>
          <w:type w:val="continuous"/>
        </w:sectPr>
      </w:pPr>
    </w:p>
    <w:p>
      <w:pPr>
        <w:spacing w:after="0" w:line="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76" w:name="page77"/>
    <w:bookmarkEnd w:id="76"/>
    <w:p>
      <w:pPr>
        <w:ind w:firstLine="648"/>
        <w:spacing w:after="0" w:line="277" w:lineRule="auto"/>
        <w:rPr>
          <w:sz w:val="20"/>
          <w:szCs w:val="20"/>
          <w:color w:val="auto"/>
        </w:rPr>
      </w:pPr>
      <w:r>
        <w:rPr>
          <w:rFonts w:ascii="Arial" w:cs="Arial" w:eastAsia="Arial" w:hAnsi="Arial"/>
          <w:sz w:val="18"/>
          <w:szCs w:val="18"/>
          <w:color w:val="auto"/>
        </w:rPr>
        <w:t>IN WITNESS WHEREOF, each party has caused a duly authorized representative to execute and deliver this Asset Purchase Agreement as of the Effective Date.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MAYFIELD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Assigned Patent Rights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ind w:left="10340"/>
        <w:spacing w:after="0"/>
        <w:rPr>
          <w:sz w:val="20"/>
          <w:szCs w:val="20"/>
          <w:color w:val="auto"/>
        </w:rPr>
      </w:pPr>
      <w:r>
        <w:rPr>
          <w:rFonts w:ascii="Arial" w:cs="Arial" w:eastAsia="Arial" w:hAnsi="Arial"/>
          <w:sz w:val="17"/>
          <w:szCs w:val="17"/>
          <w:color w:val="auto"/>
        </w:rPr>
        <w:t>EXHIBIT 10.3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ASSET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February 1, 2019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entered into between ELLE PHARMACEUTICAL, LLC, a Delaware limited liability company (“</w:t>
      </w:r>
      <w:r>
        <w:rPr>
          <w:rFonts w:ascii="Arial" w:cs="Arial" w:eastAsia="Arial" w:hAnsi="Arial"/>
          <w:sz w:val="17"/>
          <w:szCs w:val="17"/>
          <w:u w:val="single" w:color="auto"/>
          <w:color w:val="auto"/>
        </w:rPr>
        <w:t>Elle</w:t>
      </w:r>
      <w:r>
        <w:rPr>
          <w:rFonts w:ascii="Arial" w:cs="Arial" w:eastAsia="Arial" w:hAnsi="Arial"/>
          <w:sz w:val="17"/>
          <w:szCs w:val="17"/>
          <w:color w:val="auto"/>
        </w:rPr>
        <w:t>”), with a place of business at, and HARROW HEALTH, INC., a Delaware corporation (“</w:t>
      </w:r>
      <w:r>
        <w:rPr>
          <w:rFonts w:ascii="Arial" w:cs="Arial" w:eastAsia="Arial" w:hAnsi="Arial"/>
          <w:sz w:val="17"/>
          <w:szCs w:val="17"/>
          <w:u w:val="single" w:color="auto"/>
          <w:color w:val="auto"/>
        </w:rPr>
        <w:t>Harrow</w:t>
      </w:r>
      <w:r>
        <w:rPr>
          <w:rFonts w:ascii="Arial" w:cs="Arial" w:eastAsia="Arial" w:hAnsi="Arial"/>
          <w:sz w:val="17"/>
          <w:szCs w:val="17"/>
          <w:color w:val="auto"/>
        </w:rPr>
        <w:t>”), with a place of business at 12264 El Camino Real, Suite 350, San Diego, California 92130. The parties hereby agree as follows:</w:t>
      </w:r>
    </w:p>
    <w:p>
      <w:pPr>
        <w:spacing w:after="0" w:line="166" w:lineRule="exact"/>
        <w:rPr>
          <w:sz w:val="20"/>
          <w:szCs w:val="20"/>
          <w:color w:val="auto"/>
        </w:rPr>
      </w:pPr>
    </w:p>
    <w:p>
      <w:pPr>
        <w:ind w:firstLine="656"/>
        <w:spacing w:after="0" w:line="277" w:lineRule="auto"/>
        <w:tabs>
          <w:tab w:leader="none" w:pos="85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Harrow nor Mayfield Pharmaceuticals, Inc. (“</w:t>
      </w:r>
      <w:r>
        <w:rPr>
          <w:rFonts w:ascii="Arial" w:cs="Arial" w:eastAsia="Arial" w:hAnsi="Arial"/>
          <w:sz w:val="17"/>
          <w:szCs w:val="17"/>
          <w:u w:val="single" w:color="auto"/>
          <w:color w:val="auto"/>
        </w:rPr>
        <w:t>Mayfield</w:t>
      </w:r>
      <w:r>
        <w:rPr>
          <w:rFonts w:ascii="Arial" w:cs="Arial" w:eastAsia="Arial" w:hAnsi="Arial"/>
          <w:sz w:val="17"/>
          <w:szCs w:val="17"/>
          <w:color w:val="auto"/>
        </w:rPr>
        <w:t>”) shall be Affiliates of the other or the other’s Affiliates.</w:t>
      </w:r>
    </w:p>
    <w:p>
      <w:pPr>
        <w:spacing w:after="0" w:line="17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Assets</w:t>
      </w:r>
      <w:r>
        <w:rPr>
          <w:rFonts w:ascii="Arial" w:cs="Arial" w:eastAsia="Arial" w:hAnsi="Arial"/>
          <w:sz w:val="18"/>
          <w:szCs w:val="18"/>
          <w:color w:val="auto"/>
        </w:rPr>
        <w:t>” means, collectively, (a) the Technology; (b) all discoveries, inventions, technology, compositions, formulations, samples, components, processes, standards, methods, inventories, supplies, equipment, procedures and techniques relating thereto; (c) all formulae, data, information, results of experimentation and testing, and other know-how, whether or not patentable or copyrightable, relating thereto; (d) all product registrations and applications therefor relating thereto; and (e) all intellectual property rights and other assets relating thereto (including without limitation the Assigned Patent Rights and Assigned Know-How Rights).</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Assigned Know-How Rights</w:t>
      </w:r>
      <w:r>
        <w:rPr>
          <w:rFonts w:ascii="Arial" w:cs="Arial" w:eastAsia="Arial" w:hAnsi="Arial"/>
          <w:sz w:val="18"/>
          <w:szCs w:val="18"/>
          <w:color w:val="auto"/>
        </w:rPr>
        <w:t>” means all trade secret and other know-how rights related to the Technology or which are necessary or useful to make, use, develop, sell or seek regulatory approval to market a composition, or to practice any method or process, at any time claimed or disclosed in any issued patent or pending patent application within the Assigned Patent Rights, whether existing as of the Effective or hereinafter developed or acquired.</w:t>
      </w:r>
    </w:p>
    <w:p>
      <w:pPr>
        <w:spacing w:after="0" w:line="18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Assigned Patent Rights</w:t>
      </w:r>
      <w:r>
        <w:rPr>
          <w:rFonts w:ascii="Arial" w:cs="Arial" w:eastAsia="Arial" w:hAnsi="Arial"/>
          <w:sz w:val="16"/>
          <w:szCs w:val="16"/>
          <w:color w:val="auto"/>
        </w:rPr>
        <w:t xml:space="preserve">” means, collectively, (a) all patents and patent applications (including provisional patent applications) in any jurisdiction that claim the Technology (whether existing before or after the Effective Date), including those listed on Schedule 1 to Exhibit A, together with all divisionals, continuations and continuations-in-part that claim priority to, or common priority with, the foregoing; (b) all patents issuing therefrom (including utility models and design patents and certificates of invention); (c) all reissues,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jc w:val="both"/>
        <w:ind w:right="20" w:firstLine="1297"/>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mortgage, indenture, lease, contract, covenant, arrangement, agreement, instrument, commitment, purchase order or license.</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Dyspareunia Product</w:t>
      </w:r>
      <w:r>
        <w:rPr>
          <w:rFonts w:ascii="Arial" w:cs="Arial" w:eastAsia="Arial" w:hAnsi="Arial"/>
          <w:sz w:val="18"/>
          <w:szCs w:val="18"/>
          <w:color w:val="auto"/>
        </w:rPr>
        <w:t>” means any product, in any gel-based form or formulation, containing lidocaine as an active pharmaceutical ingredient with a concentration in the range of 3.18% - 4.40% for the treatment of dyspareunia.</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Encumbrance</w:t>
      </w:r>
      <w:r>
        <w:rPr>
          <w:rFonts w:ascii="Arial" w:cs="Arial" w:eastAsia="Arial" w:hAnsi="Arial"/>
          <w:sz w:val="16"/>
          <w:szCs w:val="16"/>
          <w:color w:val="auto"/>
        </w:rPr>
        <w:t>” or “</w:t>
      </w:r>
      <w:r>
        <w:rPr>
          <w:rFonts w:ascii="Arial" w:cs="Arial" w:eastAsia="Arial" w:hAnsi="Arial"/>
          <w:sz w:val="16"/>
          <w:szCs w:val="16"/>
          <w:u w:val="single" w:color="auto"/>
          <w:color w:val="auto"/>
        </w:rPr>
        <w:t>Encumbrances</w:t>
      </w:r>
      <w:r>
        <w:rPr>
          <w:rFonts w:ascii="Arial" w:cs="Arial" w:eastAsia="Arial" w:hAnsi="Arial"/>
          <w:sz w:val="16"/>
          <w:szCs w:val="16"/>
          <w:color w:val="auto"/>
        </w:rPr>
        <w:t>” means any encumbrance, lien, charge, hypothecation, pledge, mortgage, adverse claim, option, preemptive right, or other security interest of any nature, or any Contract to create any of the foregoing entered into by Elle on or before the Effective Date.</w:t>
      </w:r>
    </w:p>
    <w:p>
      <w:pPr>
        <w:spacing w:after="0" w:line="12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with respect to any Product, the first sale of such Product by Harrow, its Licensees, or its or their respective Affiliates after all applicable marketing and pricing approvals (if any) have been granted by the applicable governing health authority.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Improvement Patent Rights</w:t>
      </w:r>
      <w:r>
        <w:rPr>
          <w:rFonts w:ascii="Arial" w:cs="Arial" w:eastAsia="Arial" w:hAnsi="Arial"/>
          <w:sz w:val="17"/>
          <w:szCs w:val="17"/>
          <w:color w:val="auto"/>
        </w:rPr>
        <w:t xml:space="preserve">” means, collectively, (a) all patent applications hereafter filed anywhere in the world, together with all divisionals, continuations and continuations-in-part that claim priority to, or common priority with, the foregoing; (b) all patents issuing therefrom (including utility models and design patents and certificates of invention); (c) all reissues,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 in each case (i) that have an earliest priority date that is after the Effective Date and before the effective date of termination pursuant to Section 9.2, (ii) that claim the Dyspareunia Product or the manufacture or use thereof, and (iii) in which and only to the extent that Harrow has a licensable interest exercisable without violating the terms of any agreement or other arrangement with any Third Party or incurring any additional royalty, fee or other charge; provided, however, that Improvement Patent Rights shall exclude the Assigned Patent Rights.</w:t>
      </w:r>
    </w:p>
    <w:p>
      <w:pPr>
        <w:spacing w:after="0" w:line="18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Knowledge of Elle</w:t>
      </w:r>
      <w:r>
        <w:rPr>
          <w:rFonts w:ascii="Arial" w:cs="Arial" w:eastAsia="Arial" w:hAnsi="Arial"/>
          <w:sz w:val="18"/>
          <w:szCs w:val="18"/>
          <w:color w:val="auto"/>
        </w:rPr>
        <w:t>” or “</w:t>
      </w:r>
      <w:r>
        <w:rPr>
          <w:rFonts w:ascii="Arial" w:cs="Arial" w:eastAsia="Arial" w:hAnsi="Arial"/>
          <w:sz w:val="18"/>
          <w:szCs w:val="18"/>
          <w:u w:val="single" w:color="auto"/>
          <w:color w:val="auto"/>
        </w:rPr>
        <w:t>Elle’s Knowledge</w:t>
      </w:r>
      <w:r>
        <w:rPr>
          <w:rFonts w:ascii="Arial" w:cs="Arial" w:eastAsia="Arial" w:hAnsi="Arial"/>
          <w:sz w:val="18"/>
          <w:szCs w:val="18"/>
          <w:color w:val="auto"/>
        </w:rPr>
        <w:t>” means the actual knowledge of any director, officer, member or employee of Elle and the Knowledge such individuals would reasonably be expected to obtain in the course of diligently performing his or her duties for Elle and/or making a reasonable inquiry into the matters contemplated by this Agreement.</w:t>
      </w:r>
    </w:p>
    <w:p>
      <w:pPr>
        <w:spacing w:after="0" w:line="181"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Licensee</w:t>
      </w:r>
      <w:r>
        <w:rPr>
          <w:rFonts w:ascii="Arial" w:cs="Arial" w:eastAsia="Arial" w:hAnsi="Arial"/>
          <w:sz w:val="17"/>
          <w:szCs w:val="17"/>
          <w:color w:val="auto"/>
        </w:rPr>
        <w:t>” means a Third Party to whom Harrow or its Affiliate has granted a license, immunity or other right under the Assigned Patent Rights to offer to sell, sell or otherwise commercialize one or more Products, provided such license has not expired or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jc w:val="both"/>
        <w:ind w:firstLine="1297"/>
        <w:spacing w:after="0" w:line="272"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Net Sales</w:t>
      </w:r>
      <w:r>
        <w:rPr>
          <w:rFonts w:ascii="Arial" w:cs="Arial" w:eastAsia="Arial" w:hAnsi="Arial"/>
          <w:sz w:val="17"/>
          <w:szCs w:val="17"/>
          <w:color w:val="auto"/>
        </w:rPr>
        <w:t>” means, with respect to any Product, the gross sales price of such Product invoiced by Harrow, its Licensees, and its and their respective Affiliates to customers who are not Affiliates (or are Affiliates but are the end users of such Product), less: (a) credits, allowances, discounts and rebates to, and chargebacks from the account of, such customers; (b) freight and insurance costs in transporting Product; (c) cash, quantity and trade discounts, rebates and other price reductions for Product; (d) sales, use, value-added and other direct taxes; (e) customs duties, tariffs, surcharges and other governmental charges incurred in exporting or importing Product; (f) an allowance for uncollectible or bad debts determined in accordance with GAAP not to exceed three percent (3%) of Net Sales of such Product for the applicable quarterly reporting period before giving effect to this subsection (f); and (g) the fully-burdened cost of goods sold determined in accordance with GAAP.</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Other Product</w:t>
      </w:r>
      <w:r>
        <w:rPr>
          <w:rFonts w:ascii="Arial" w:cs="Arial" w:eastAsia="Arial" w:hAnsi="Arial"/>
          <w:sz w:val="18"/>
          <w:szCs w:val="18"/>
          <w:color w:val="auto"/>
        </w:rPr>
        <w:t>” means any product in any gel-based form or formulation, the manufacture, use, sale, offer for sale, lease or importation of which would constitute an infringement, an inducement to infringe or contributory infringement of any Valid Claim (if such Valid Claim were in an issued patent not owned by or licensed to Harrow) but is not a Dyspareunia Product.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Payment Period</w:t>
      </w:r>
      <w:r>
        <w:rPr>
          <w:rFonts w:ascii="Arial" w:cs="Arial" w:eastAsia="Arial" w:hAnsi="Arial"/>
          <w:sz w:val="18"/>
          <w:szCs w:val="18"/>
          <w:color w:val="auto"/>
        </w:rPr>
        <w:t>” means, on a Product-by-Product and country-by-country basis, the period of time beginning on the date of the First Commercial Sale of such Product in such country and continuing during the term for which a Valid Claim (if such Valid Claim were in an issued patent) in such country remains in effect and would be infringed (if such Valid Claim were in an issued patent not owned by or licensed to Harrow) by the manufacture, use, offer for sale, sale or import of such Product in such country.</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Product</w:t>
      </w:r>
      <w:r>
        <w:rPr>
          <w:rFonts w:ascii="Arial" w:cs="Arial" w:eastAsia="Arial" w:hAnsi="Arial"/>
          <w:sz w:val="18"/>
          <w:szCs w:val="18"/>
          <w:color w:val="auto"/>
        </w:rPr>
        <w:t>” means a Dyspareunia Product or an Other Product.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as well as public imposts, fees and social security charges (including but not limited to health, unemployment and pension insurance), together with all interest, penalties and additions imposed with respect to such amounts and any obligation under any agreement or arrangement with any other Person with respect to such amounts and including any liability for taxes of a predecessor entity.</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Technology</w:t>
      </w:r>
      <w:r>
        <w:rPr>
          <w:rFonts w:ascii="Arial" w:cs="Arial" w:eastAsia="Arial" w:hAnsi="Arial"/>
          <w:sz w:val="18"/>
          <w:szCs w:val="18"/>
          <w:color w:val="auto"/>
        </w:rPr>
        <w:t>” means, collectively, (a) Dyspareunia Product, (b) all compositions, components and formulations thereof, and (c) any and all methods of manufacture and uses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Harrow, Elle or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2" w:name="page83"/>
    <w:bookmarkEnd w:id="82"/>
    <w:p>
      <w:pPr>
        <w:jc w:val="both"/>
        <w:ind w:firstLine="1297"/>
        <w:spacing w:after="0" w:line="288"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Valid Claim</w:t>
      </w:r>
      <w:r>
        <w:rPr>
          <w:rFonts w:ascii="Arial" w:cs="Arial" w:eastAsia="Arial" w:hAnsi="Arial"/>
          <w:sz w:val="16"/>
          <w:szCs w:val="16"/>
          <w:color w:val="auto"/>
        </w:rPr>
        <w:t>” means either (a) a claim of an issued and unexpired patent included within the Assigned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61" w:lineRule="auto"/>
        <w:tabs>
          <w:tab w:leader="none" w:pos="2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Assigned Patent Rights, which claim was filed in good faith and has not been abandoned or finally disallowed without the possibility of appeal or refiling of such application.</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Subject to the terms and conditions of this Agreement, Harrow hereby agrees to, and hereby does, purchase from Elle, and Elle hereby agrees to, and hereby does, sell, convey, transfer and assign to Harrow, on the Effective Date, all of Elle’s right, title and interest in and to the Assets, including without limitation all those assets described on Schedule 1 of the Patent Assignment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Concurrently with the execution of this Agreement, Elle shall deliver all required consents to Material Contracts (as defined below) as set forth on Schedule 3.7 hereof. To the extent necessary to comply with applicable privacy laws, Elle shall have the right to redact patient identifying information from any data or information transferred to Harrow.</w:t>
      </w:r>
    </w:p>
    <w:p>
      <w:pPr>
        <w:spacing w:after="0" w:line="193"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Harrow shall not be obligated to assume or perform and is not assuming or performing any liabilities or obligations of Elle which relate to Elle’s ownership of the Assets prior to the Effective Date, whether known or unknown, fixed or contingent, certain or uncertain, and regardless of when they are or were asserted, and Elle shall remain responsible for and shall promptly pay such liabilities.</w:t>
      </w:r>
    </w:p>
    <w:p>
      <w:pPr>
        <w:spacing w:after="0" w:line="16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Transfer Documents</w:t>
      </w:r>
      <w:r>
        <w:rPr>
          <w:rFonts w:ascii="Arial" w:cs="Arial" w:eastAsia="Arial" w:hAnsi="Arial"/>
          <w:sz w:val="17"/>
          <w:szCs w:val="17"/>
          <w:color w:val="auto"/>
        </w:rPr>
        <w:t xml:space="preserve">. The sale, conveyance, transfer and assignment of the Assets may be further evidenced by the due execution and delivery by the parties of any additional bills of sale, assignment or other title transfer documents and instruments as reasonably requested by Harrow. Without limiting the generality of the foregoing, (a) on the Effective Date, Elle shall duly execute and deliver to Harrow the patent assignment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Patent Assignment</w:t>
      </w:r>
      <w:r>
        <w:rPr>
          <w:rFonts w:ascii="Arial" w:cs="Arial" w:eastAsia="Arial" w:hAnsi="Arial"/>
          <w:sz w:val="17"/>
          <w:szCs w:val="17"/>
          <w:color w:val="auto"/>
        </w:rPr>
        <w:t>”) evidencing the sale, conveyance, transfer and assignment of the Assigned Patent Rights from Elle to Harrow in accordance with this Agreement, and (b) at such time as reasonably requested by Harrow on or after the Effective Date, Elle shall duly execute and deliver to Harrow such additional bills of sale, assignment or other title transfer documents and instruments as reasonably requested by Harrow evidencing the sale, conveyance, transfer and assignment of the Assets in accordance with this Agreement.</w:t>
      </w:r>
    </w:p>
    <w:p>
      <w:pPr>
        <w:spacing w:after="0" w:line="17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Consideration</w:t>
      </w:r>
      <w:r>
        <w:rPr>
          <w:rFonts w:ascii="Arial" w:cs="Arial" w:eastAsia="Arial" w:hAnsi="Arial"/>
          <w:sz w:val="18"/>
          <w:szCs w:val="18"/>
          <w:color w:val="auto"/>
        </w:rPr>
        <w:t>. The consideration for the sale to Harrow of the Assets under this Agreement shall consist of the following (collectively,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2.4.1 Twenty-Five Thousand Dollars ($25,000), payable within thirty (30) days after the Effective Date;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2.4.2 the Net Sales Payment Consideration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jc w:val="both"/>
        <w:ind w:firstLine="1297"/>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The Purchase Price shall be allocated, if an allocation is required, by Harrow within sixty (60) days following a determination that such allocation is required. After the Effective Date, Harrow and Elle shall make consistent use of any allocation required under Section 1060 of the Internal Revenue Code for all Tax purposes and in all filings, declarations and reports with the Internal Revenue Service or any other applicable taxing authority in respect thereof. In any and all actions, suits, proceedings, arbitration, or governmental or regulatory investigations or audits related to the determination of any Tax, neither Harrow nor Elle shall contend or represent that such allocation is not a correct allocation.</w:t>
      </w:r>
    </w:p>
    <w:p>
      <w:pPr>
        <w:spacing w:after="0" w:line="158" w:lineRule="exact"/>
        <w:rPr>
          <w:sz w:val="20"/>
          <w:szCs w:val="20"/>
          <w:color w:val="auto"/>
        </w:rPr>
      </w:pPr>
    </w:p>
    <w:p>
      <w:pPr>
        <w:ind w:firstLine="656"/>
        <w:spacing w:after="0" w:line="277" w:lineRule="auto"/>
        <w:tabs>
          <w:tab w:leader="none" w:pos="84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Elle</w:t>
      </w:r>
      <w:r>
        <w:rPr>
          <w:rFonts w:ascii="Arial" w:cs="Arial" w:eastAsia="Arial" w:hAnsi="Arial"/>
          <w:sz w:val="18"/>
          <w:szCs w:val="18"/>
          <w:color w:val="auto"/>
        </w:rPr>
        <w:t>. Elle hereby represents and warrants to Harrow, except as indicated on the disclosure schedules, if any, attached to this Agreement, as follows: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and Binding Effect</w:t>
      </w:r>
      <w:r>
        <w:rPr>
          <w:rFonts w:ascii="Arial" w:cs="Arial" w:eastAsia="Arial" w:hAnsi="Arial"/>
          <w:sz w:val="18"/>
          <w:szCs w:val="18"/>
          <w:color w:val="auto"/>
        </w:rPr>
        <w:t>. Elle has the full power and authority to execute and deliver this Agreement, the Patent Assignment and other documents and instruments contemplated hereby. This Agreement, the Patent Assignment and other documents and instruments contemplated hereby, and the consummation by Elle of its obligations contained herein and therein, have been duly authorized by all necessary actions of Elle, and this Agreement, the Patent Assignment and other documents and instruments contemplated hereby have been duly executed and delivered by Elle. This Agreement, the Patent Assignment and other documents and instruments contemplated hereby are valid and binding agreements of Elle, enforceable against Elle in accordance with their respective terms.</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Elle is duly organized, validly existing and in good standing under the laws of the State of Delaware. Elle is qualified to do business in each jurisdiction where such qualification is necessary. Elle has the requisite corporate power and authority to conduct its business as now conducted, to own the Assets and to use such Assets in the conduct of its business.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3.3.1 All Assigned Patent Rights as of the Effective Date are listed in Schedule 1 of the Patent Assignment attached hereto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1"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3.3.2 Elle has good and marketable title to each of the Assets, and each of the Assets is held or controlled by Elle free and clear of any Encumbrances (including without limitation any distribution rights and royalty rights). Except as provided in the Material Contracts, all Assets will be fully transferable, alienable or licensable by Harrow without restriction and without payment of any kind to any Third Party.</w:t>
      </w:r>
    </w:p>
    <w:p>
      <w:pPr>
        <w:spacing w:after="0" w:line="166"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3.3.3 All Assets (including without limitation the Assigned Patent Rights) are currently in compliance with applicable legal requirements (including payment of filing, examination and maintenance fees and proofs of use), and are not subject to any unpaid maintenance fees or taxes or actions falling due within ten (10) days after the Effective Date.</w:t>
      </w:r>
    </w:p>
    <w:p>
      <w:pPr>
        <w:spacing w:after="0" w:line="181" w:lineRule="exact"/>
        <w:rPr>
          <w:sz w:val="20"/>
          <w:szCs w:val="20"/>
          <w:color w:val="auto"/>
        </w:rPr>
      </w:pPr>
    </w:p>
    <w:p>
      <w:pPr>
        <w:jc w:val="both"/>
        <w:ind w:firstLine="1945"/>
        <w:spacing w:after="0" w:line="302" w:lineRule="auto"/>
        <w:rPr>
          <w:sz w:val="20"/>
          <w:szCs w:val="20"/>
          <w:color w:val="auto"/>
        </w:rPr>
      </w:pPr>
      <w:r>
        <w:rPr>
          <w:rFonts w:ascii="Arial" w:cs="Arial" w:eastAsia="Arial" w:hAnsi="Arial"/>
          <w:sz w:val="16"/>
          <w:szCs w:val="16"/>
          <w:color w:val="auto"/>
        </w:rPr>
        <w:t>3.3.4 To the extent that any Assets were originally owned or created by or for any Person other than Elle, (a) Elle has obtained or will procure the complete, unencumbered and unrestricted right to effect the transfer of the Assets from Elle to Harrow and confirms that such transfer does not violate any such right to transfer; (b) no Third Parties have retained or otherwise have any rights or licenses with respect to the Assets; and (c) to the Knowledge of Elle, no valid basis exists for any such Person to challenge or object to this Agreement or the transactions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jc w:val="both"/>
        <w:ind w:right="20" w:firstLine="1945"/>
        <w:spacing w:after="0" w:line="277" w:lineRule="auto"/>
        <w:rPr>
          <w:sz w:val="20"/>
          <w:szCs w:val="20"/>
          <w:color w:val="auto"/>
        </w:rPr>
      </w:pPr>
      <w:r>
        <w:rPr>
          <w:rFonts w:ascii="Arial" w:cs="Arial" w:eastAsia="Arial" w:hAnsi="Arial"/>
          <w:sz w:val="18"/>
          <w:szCs w:val="18"/>
          <w:color w:val="auto"/>
        </w:rPr>
        <w:t>3.3.5 To Elle’s Knowledge, Elle has not transferred ownership of, or granted any license of or right to use, or authorized the retention of any rights to use, to any Person any Assets.</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3.3.6 To Elle’s Knowledge, Elle is not required to make or accrue any royalty, milestone or other similar payment to any Third Party in connection with any of the Assets.</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3.3.7 To Elle’s Knowledge as of the Effective Date, none of the Assets transferred hereunder infringe upon or misappropriate the intellectual property of any Third Party.</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Conflicts; Consents</w:t>
      </w:r>
      <w:r>
        <w:rPr>
          <w:rFonts w:ascii="Arial" w:cs="Arial" w:eastAsia="Arial" w:hAnsi="Arial"/>
          <w:sz w:val="18"/>
          <w:szCs w:val="18"/>
          <w:color w:val="auto"/>
        </w:rPr>
        <w:t>. The execution and delivery by Elle of this Agreement and the Patent Assignment, and the consummation of the transactions contemplated hereby, will not conflict with (i) any provision of the certificate of incorporation or bylaws of Elle, each as amended to date; (ii) Contracts to which Elle or any of its properties or assets (including intangible assets) is subject; or (iii) any judgment, order, decree, statute, law, ordinance, rule or regulation applicable to Elle or any of its properties or assets (tangible and intangible). Except as disclosed in Schedule 3.7, it is not necessary for Elle to take any action or to obtain any approval, consent or release by or from any Third Party, governmental or other, to enable Elle to enter into or perform its obligations under this Agreement and the Patent Assignment.</w:t>
      </w:r>
    </w:p>
    <w:p>
      <w:pPr>
        <w:spacing w:after="0" w:line="19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Litigation and Proceedings</w:t>
      </w:r>
      <w:r>
        <w:rPr>
          <w:rFonts w:ascii="Arial" w:cs="Arial" w:eastAsia="Arial" w:hAnsi="Arial"/>
          <w:sz w:val="17"/>
          <w:szCs w:val="17"/>
          <w:color w:val="auto"/>
        </w:rPr>
        <w:t>. There is no claim, action, suit, proceeding or investigation (or any counter or cross-claim in an action brought by or on behalf of Elle), whether at law or in equity, or before or by any governmental department, commission, board, bureau, agency or instrumentality, domestic or foreign, or before any arbitrator of any kind, that is pending or, to Elle’s Knowledge, threatened, against Elle, which (i) could reasonably be expected to adversely affect Elle’s ability to perform its obligations under this Agreement or the Patent Assignment or complete any of the transactions contemplated hereby; or (ii) involves the possibility of any judgment or liability, or which may become a claim, against the Assets, Harrow or its business. Elle is not subject to any judgment, order, writ, injunction, decree or award of any court, arbitrator or governmental department, commission, board, bureau, agency or instrumentality having jurisdiction over Elle or any of the Assets that affects, involves or relates to the Assets.</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Compliance with Law/Permits</w:t>
      </w:r>
      <w:r>
        <w:rPr>
          <w:rFonts w:ascii="Arial" w:cs="Arial" w:eastAsia="Arial" w:hAnsi="Arial"/>
          <w:sz w:val="18"/>
          <w:szCs w:val="18"/>
          <w:color w:val="auto"/>
        </w:rPr>
        <w:t>. Elle is in compliance with all, and is not in violation of any, law, ordinance, order, decree, rule or regulation of any governmental agency or authority, the violation of or noncompliance with which could have a material adverse effect on Elle. No unresolved (i) charges of violations of laws or regulations relating to Elle’s business have been made or threatened; (ii) proceedings or investigations relating to Elle’s business are pending or have been threatened; and (iii) citations or notices of deficiency have been issued or have been threatened, against Elle relating to or arising out of its business by any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5" w:name="page86"/>
    <w:bookmarkEnd w:id="85"/>
    <w:p>
      <w:pPr>
        <w:jc w:val="both"/>
        <w:ind w:firstLine="1297"/>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Contracts</w:t>
      </w:r>
      <w:r>
        <w:rPr>
          <w:rFonts w:ascii="Arial" w:cs="Arial" w:eastAsia="Arial" w:hAnsi="Arial"/>
          <w:sz w:val="18"/>
          <w:szCs w:val="18"/>
          <w:color w:val="auto"/>
        </w:rPr>
        <w:t>. Schedule 3.7 lists the Contracts to which Elle is a party as of the date hereof which arise out of or relate to the Assets by which any of the Assets are currently bound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 Elle is not in violation of or in default under (nor is there existing conditions which with either the passage of time or giving of notice or both would cause such a violation or default under) any such Material Contract. Each such Material Contract is in full force and effect, and has a legal, valid and binding obligation Elle, and to Knowledge of Elle, each of the other parties thereto, and is enforceable in accordance with its terms. Elle has not received notice that it is in violation or breach of or in default under any such Material Contract. Except as set forth in Schedule 3.7, no such Material Contract has a provision that would require consent, notice or the payment of money or transfer of property as a result of the transactions contemplated herein.</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representations and warranties made by Elle in this Agreement and the schedules to be delivered pursuant to this Agreement do not contain any untrue statement of material fact or omit to state a material fact necessary to make any of them in the light of the circumstances in which they were made, not misleading.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No Broker</w:t>
      </w:r>
      <w:r>
        <w:rPr>
          <w:rFonts w:ascii="Arial" w:cs="Arial" w:eastAsia="Arial" w:hAnsi="Arial"/>
          <w:sz w:val="16"/>
          <w:szCs w:val="16"/>
          <w:color w:val="auto"/>
        </w:rPr>
        <w:t>. Elle has not retained or used the services of an agent, finder, or broker in connection with the transactions contemplated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and Warranties of Harrow</w:t>
      </w:r>
      <w:r>
        <w:rPr>
          <w:rFonts w:ascii="Arial" w:cs="Arial" w:eastAsia="Arial" w:hAnsi="Arial"/>
          <w:sz w:val="18"/>
          <w:szCs w:val="18"/>
          <w:color w:val="auto"/>
        </w:rPr>
        <w:t>. Harrow represents and warrants to Elle as follows: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Authority and Binding Effect</w:t>
      </w:r>
      <w:r>
        <w:rPr>
          <w:rFonts w:ascii="Arial" w:cs="Arial" w:eastAsia="Arial" w:hAnsi="Arial"/>
          <w:sz w:val="18"/>
          <w:szCs w:val="18"/>
          <w:color w:val="auto"/>
        </w:rPr>
        <w:t>. Harrow has the full corporate power and authority to execute and deliver this Agreement and the Patent Assignment. This Agreement and the Patent Assignment, and the consummation by Harrow of its obligations contained herein and therein, have been duly authorized by all necessary corporate actions of Harrow, and this Agreement and the Patent Assignment have been duly executed and delivered by Harrow. This Agreement and the Patent Assignment are valid and binding agreements of Harrow, enforceable against Harrow in accordance with their respective terms.</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Harrow is a corporation duly organized, validly existing and in good standing under the laws of the State of Delaware, and Harrow is qualified to do business in each jurisdiction where such qualification is necessary and where the failure to be so qualified would have a material adverse effect on Harrow. Harrow has the requisite corporate power and authority to conduct its business as now conducted.</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Conflicts; Consents</w:t>
      </w:r>
      <w:r>
        <w:rPr>
          <w:rFonts w:ascii="Arial" w:cs="Arial" w:eastAsia="Arial" w:hAnsi="Arial"/>
          <w:sz w:val="18"/>
          <w:szCs w:val="18"/>
          <w:color w:val="auto"/>
        </w:rPr>
        <w:t>. The execution and delivery by Harrow of this Agreement and the Patent Assignment, and the consummation of the transactions contemplated hereby, will not give rise to a Conflict with respect to (i) any provision of the certificate of incorporation or bylaws of Harrow, each as amended to date; (ii) Contracts to which Harrow or any of its properties or assets (including intangible assets) is subject; or (iii) any judgment, order, decree, statute, law, ordinance, rule or regulation applicable to Harrow or any of its properties or assets (tangible and intangible), except in any such case where it would not have a material adverse effect on Elle’s rights under the Assets. It is not necessary for Harrow to take any action or to obtain any approval, consent, or release by or from any Third Party, governmental or other, to enable Harrow to enter into or perform its obligations under this Agreement and the Patent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6" w:name="page87"/>
    <w:bookmarkEnd w:id="86"/>
    <w:p>
      <w:pPr>
        <w:jc w:val="both"/>
        <w:ind w:firstLine="1297"/>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Compliance with Law/Permits</w:t>
      </w:r>
      <w:r>
        <w:rPr>
          <w:rFonts w:ascii="Arial" w:cs="Arial" w:eastAsia="Arial" w:hAnsi="Arial"/>
          <w:sz w:val="18"/>
          <w:szCs w:val="18"/>
          <w:color w:val="auto"/>
        </w:rPr>
        <w:t>. Harrow is in compliance with all, and is not in violation of any, law, ordinance, order, decree, rule or regulation of any governmental agency or authority, the violation of or noncompliance with which could have a material adverse effect on Harrow. No unresolved (i) charges of violations of laws or regulations relating to Harrow’ business have been made or threatened; (ii) proceedings or investigations relating to Harrow’ business are pending or have been threatened; and (iii) citations or notices of deficiency have been issued or have been threatened, against Harrow relating to or arising out of its business by any governmental authorities, which have had or could reasonably be expected to have, individually or in the aggregate, a material adverse effect on Harrow.</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Broker</w:t>
      </w:r>
      <w:r>
        <w:rPr>
          <w:rFonts w:ascii="Arial" w:cs="Arial" w:eastAsia="Arial" w:hAnsi="Arial"/>
          <w:sz w:val="18"/>
          <w:szCs w:val="18"/>
          <w:color w:val="auto"/>
        </w:rPr>
        <w:t>. Harrow has not retained or used the services of an agent, finder, or broker in connection with the transactions contemplated by this Agreement.</w:t>
      </w:r>
    </w:p>
    <w:p>
      <w:pPr>
        <w:spacing w:after="0" w:line="170" w:lineRule="exact"/>
        <w:rPr>
          <w:sz w:val="20"/>
          <w:szCs w:val="20"/>
          <w:color w:val="auto"/>
        </w:rPr>
      </w:pPr>
    </w:p>
    <w:p>
      <w:pPr>
        <w:ind w:left="840" w:hanging="184"/>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Net Sales Payments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Net Sales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Net Sales Payment Consideration</w:t>
      </w:r>
      <w:r>
        <w:rPr>
          <w:rFonts w:ascii="Arial" w:cs="Arial" w:eastAsia="Arial" w:hAnsi="Arial"/>
          <w:sz w:val="18"/>
          <w:szCs w:val="18"/>
          <w:color w:val="auto"/>
        </w:rPr>
        <w:t>. Subject to the provisions in this Section 5.1, on a Product-by-Product and country-by-country basis, Harrow shall pay to Elle, on a quarterly basis, seven and one-half percent (7½%) of Net Sales of any Dyspareunia Product during the applicable Payment Period and three and one-half percent (3½%) of Net Sales of any Other Product during the applicable Payment Period (the “</w:t>
      </w:r>
      <w:r>
        <w:rPr>
          <w:rFonts w:ascii="Arial" w:cs="Arial" w:eastAsia="Arial" w:hAnsi="Arial"/>
          <w:sz w:val="18"/>
          <w:szCs w:val="18"/>
          <w:u w:val="single" w:color="auto"/>
          <w:color w:val="auto"/>
        </w:rPr>
        <w:t>Net Sales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87"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Combination/Bundled Products</w:t>
      </w:r>
      <w:r>
        <w:rPr>
          <w:rFonts w:ascii="Arial" w:cs="Arial" w:eastAsia="Arial" w:hAnsi="Arial"/>
          <w:sz w:val="18"/>
          <w:szCs w:val="18"/>
          <w:color w:val="auto"/>
        </w:rPr>
        <w:t>. In the event that a Product is sold by Harrow, its Licensees or their respective Affiliates in combination with one or more products which is itself not a Product, then Net Sales shall be calculated by multiplying the sales price of such combination sale by the fraction A/(A+B) where A is the fair market value of the Product(s) and B is the fair market value of the other product(s) in the combination sale, each as reasonably determined by Harrow.</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Reports and Net Sales Payments</w:t>
      </w:r>
      <w:r>
        <w:rPr>
          <w:rFonts w:ascii="Arial" w:cs="Arial" w:eastAsia="Arial" w:hAnsi="Arial"/>
          <w:sz w:val="17"/>
          <w:szCs w:val="17"/>
          <w:color w:val="auto"/>
        </w:rPr>
        <w:t xml:space="preserve">. Within seventy-five (75) days after the end of each calendar quarter during the applicable Payment Period, Harrow shall deliver to Elle a report setting forth for such calendar quarter (a) the calculation of the applicable Net Sales Payment Consideration; (b) the payments due under this Agreement for the sale of each Product; and (c) the applicable exchange rate as determined below. Harrow shall remit the total payments due for the sale of Products during such calendar quarter at the time such report is made. No such reports or payments shall be due for any Product before the First Commercial Sale of such Product. With respect to Net Sales received in United States dollars, all amounts shall be expressed in United States dollars. With respect to Net Sales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342"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Payment Terms</w:t>
      </w:r>
      <w:r>
        <w:rPr>
          <w:rFonts w:ascii="Arial" w:cs="Arial" w:eastAsia="Arial" w:hAnsi="Arial"/>
          <w:sz w:val="16"/>
          <w:szCs w:val="16"/>
          <w:color w:val="auto"/>
        </w:rPr>
        <w:t>. The Net Sales Payment Consideration shown to have accrued by each report provided for under Section 5.2 shall be due on the date such report is due. Payment of Net Sales Payment Consideration in whole or in part may be made in advance of such due date.</w:t>
      </w:r>
    </w:p>
    <w:p>
      <w:pPr>
        <w:spacing w:after="0" w:line="124"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Exchange Control</w:t>
      </w:r>
      <w:r>
        <w:rPr>
          <w:rFonts w:ascii="Arial" w:cs="Arial" w:eastAsia="Arial" w:hAnsi="Arial"/>
          <w:sz w:val="18"/>
          <w:szCs w:val="18"/>
          <w:color w:val="auto"/>
        </w:rPr>
        <w:t>. If at any time legal restrictions prevent the prompt remittance of part or all Net Sales Payment Consideration with respect to any country where a Product is sold, Harrow shall have the right, in its sole discretion, to make such payments by depositing the amount thereof in local currency to Elle’s account in a bank or other depository institution in such country. If the payment rate specified in this Agreement should exceed the permissible rate established in any country, the payment rate for sales in such country shall be adjusted to the highest legally permissible or government-approved rate.</w:t>
      </w:r>
    </w:p>
    <w:p>
      <w:pPr>
        <w:spacing w:after="0" w:line="18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Harrow shall be entitled to deduct the amount of any withholding taxes, value-added taxes or other taxes, levies or charges with respect to such amounts, other than United States taxes, payable by Harrow, its Licensees or its or their respective Affiliates, or any taxes required to be withheld by Harrow, its Licensees or its or their respective Affiliates, to the extent Harrow, its Licensees or their respective Affiliates pay to the appropriate governmental authority on behalf of Elle such taxes, levies or charges. Harrow shall use reasonable efforts to minimize any such taxes, levies or charges required to be withheld on behalf of Elle by Harrow, its Licensees or its or their respective Affiliates. Harrow promptly shall deliver to Elle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Elle and not more than once in each calendar year, Harrow shall permit an independent certified public accounting firm of nationally recognized standing selected by Elle and reasonably acceptable to Harrow, at Elle’s expense, to have access during normal business hours to such of the financial records of Harrow as may be reasonably necessary to verify the accuracy of the Net Sales Payment Consideration reports hereunder for the eight (8) calendar quarters immediately prior to the date of such request (other than records for which Elle has already conducted an audit under this Section. If such accounting firm concludes that additional amounts were owed during the audited period, Harrow shall pay such additional amounts within thirty (30) days after the date Elle delivers to Harrow such accounting firm’s written report so concluding. The fees charged by such accounting firm shall be paid by Elle; provided, however, if the audit discloses that the Net Sales Payment Consideration payable by Harrow for such period are more than one hundred ten percent (110%) of the Net Sales Payment Consideration actually paid for such period, then Harrow shall pay the reasonable fees and expenses charged by such accounting firm. Elle shall cause its accounting firm to retain all financial information subject to review under this Section 5.4 in strict confidence; provided, however, that Harrow shall have the right to require that such accounting firm, prior to conducting such audit, enter into an appropriate non-disclosure agreement with Harrow regarding such financial information. The accounting firm shall disclose to Elle only whether the reports are correct or not and the amount of any discrepancy. No other information shall be shared. Elle shall treat all such financial information as Harrow’ confidential information, and shall not disclose such financial information to any Third Party or use it for any purpose other than as specified in this Section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ind w:left="1300" w:right="8320" w:hanging="644"/>
        <w:spacing w:after="0" w:line="563" w:lineRule="auto"/>
        <w:tabs>
          <w:tab w:leader="none" w:pos="83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Harrow Diligence</w:t>
      </w:r>
      <w:r>
        <w:rPr>
          <w:rFonts w:ascii="Arial" w:cs="Arial" w:eastAsia="Arial" w:hAnsi="Arial"/>
          <w:sz w:val="16"/>
          <w:szCs w:val="16"/>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6.1.1 Harrow shall use commercially reasonable efforts (whether alone or with or through its Affiliates or Third Parties)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commercialize a Product.</w:t>
      </w:r>
    </w:p>
    <w:p>
      <w:pPr>
        <w:spacing w:after="0" w:line="211" w:lineRule="exact"/>
        <w:rPr>
          <w:sz w:val="20"/>
          <w:szCs w:val="20"/>
          <w:color w:val="auto"/>
        </w:rPr>
      </w:pPr>
    </w:p>
    <w:p>
      <w:pPr>
        <w:jc w:val="both"/>
        <w:ind w:firstLine="1945"/>
        <w:spacing w:after="0" w:line="308" w:lineRule="auto"/>
        <w:rPr>
          <w:sz w:val="20"/>
          <w:szCs w:val="20"/>
          <w:color w:val="auto"/>
        </w:rPr>
      </w:pPr>
      <w:r>
        <w:rPr>
          <w:rFonts w:ascii="Arial" w:cs="Arial" w:eastAsia="Arial" w:hAnsi="Arial"/>
          <w:sz w:val="17"/>
          <w:szCs w:val="17"/>
          <w:color w:val="auto"/>
        </w:rPr>
        <w:t>6.1.2 As between the parties, Harrow shall control, at its sole expense, the preparation, filing, prosecution, maintenance and enforcement of the Assigned Patent Rights consistent with prudent business practices, and shall consider in good faith the interests of Elle.</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Technology Transfer</w:t>
      </w:r>
      <w:r>
        <w:rPr>
          <w:rFonts w:ascii="Arial" w:cs="Arial" w:eastAsia="Arial" w:hAnsi="Arial"/>
          <w:sz w:val="18"/>
          <w:szCs w:val="18"/>
          <w:color w:val="auto"/>
        </w:rPr>
        <w:t>. Within thirty (30) days after the Effective Date, Elle shall transfer to Harrow all Assets, including without limitation all items described on Exhibit 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Further Assistance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6.3.1 Elle shall provide all cooperation reasonably requested by Harrow in connection with any effort by Harrow to establish, perfect, defend, or enforce its rights in or to the Assets (including without limitation the Assigned Patent Rights). Such cooperation shall include, without limitation, (a) executing such further assignments, transfers, licenses, releases and consents, and (b) providing such data and information, consulting with Harrow and executing and delivering all such further documents and instruments, in each case as requested by Harrow regarding the Assets (including without limitation the Assigned Patent Rights).</w:t>
      </w:r>
    </w:p>
    <w:p>
      <w:pPr>
        <w:spacing w:after="0" w:line="188"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6"/>
          <w:szCs w:val="16"/>
          <w:color w:val="auto"/>
        </w:rPr>
        <w:t>6.3.2 To the extent Elle cannot transfer and assign any of the Assigned Patent Rights, or any portion thereof, as of the Effective Date, then Elle shall assign and transfer the same at the first opportunity to do so. To the extent further transfer or assignment of any patents rights is required and Elle has not, within fifteen (15) days after the delivery of such assignment to Elle, (a) executed and returned to Harrow the form of assignment reasonably requested by Harrow, or (b) delivered to Harrow a written objection to Harrow’ request, then Elle hereby irrevocably appoints Harrow as its attorney-in-fact with the right, authority, and ability to execute and enter into such assignment on behalf of Elle, subject to Section 9.2.3. Elle stipulates and agrees that such appointment is a right coupled with an interest and shall survive the incapacity or unavailability of Elle at any future time. To the extent that any of the Assigned Patent Rights cannot be assigned and transferred by Elle, then Elle hereby grants Harrow an irrevocable, worldwide, fully-paid up, royalty-free, exclusive license, with the right to sublicense through multiple tiers, under the Assigned Patent Rights for all purposes.</w:t>
      </w:r>
    </w:p>
    <w:p>
      <w:pPr>
        <w:spacing w:after="0" w:line="166"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6.3.3 Elle shall provide all cooperation reasonably requested by Harrow, and shall provide all technical assistance and to support reasonably requested by Harrow, regarding (a) the exploitation of the Technology (including without limitation the research, development and production of any Product), and (b) applying for, obtaining and maintaining any and all approvals, licenses, registrations or authorizations necessary or desirable to test, market or commercialize the Technology (including without limitation any Product). Such cooperation shall include, without limitation, providing such data and information, consulting with Harrow and executing and delivering all such further documents and instruments, in each case as requested by Harrow regarding the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jc w:val="both"/>
        <w:ind w:firstLine="1945"/>
        <w:spacing w:after="0" w:line="264" w:lineRule="auto"/>
        <w:rPr>
          <w:sz w:val="20"/>
          <w:szCs w:val="20"/>
          <w:color w:val="auto"/>
        </w:rPr>
      </w:pPr>
      <w:r>
        <w:rPr>
          <w:rFonts w:ascii="Arial" w:cs="Arial" w:eastAsia="Arial" w:hAnsi="Arial"/>
          <w:sz w:val="18"/>
          <w:szCs w:val="18"/>
          <w:color w:val="auto"/>
        </w:rPr>
        <w:t>6.3.4 Harrow shall own, and Elle hereby assigns to Harrow, all right title and interest in and to all results and other work product resulting from the activities described in this Section 6.3, together with all patent rights and other intellectual property rights therein and thereto; provided that any such assignment shall be subject to Section 9.2.3.</w:t>
      </w:r>
    </w:p>
    <w:p>
      <w:pPr>
        <w:spacing w:after="0" w:line="181"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by Elle</w:t>
      </w:r>
      <w:r>
        <w:rPr>
          <w:rFonts w:ascii="Arial" w:cs="Arial" w:eastAsia="Arial" w:hAnsi="Arial"/>
          <w:sz w:val="18"/>
          <w:szCs w:val="18"/>
          <w:color w:val="auto"/>
        </w:rPr>
        <w:t>. Subject to the provisions of this Section 7, Elle shall indemnify, defend and hold harmless Harrow, its officers, directors, affiliates, agents, stockholders and representatives (collectively, the “</w:t>
      </w:r>
      <w:r>
        <w:rPr>
          <w:rFonts w:ascii="Arial" w:cs="Arial" w:eastAsia="Arial" w:hAnsi="Arial"/>
          <w:sz w:val="18"/>
          <w:szCs w:val="18"/>
          <w:u w:val="single" w:color="auto"/>
          <w:color w:val="auto"/>
        </w:rPr>
        <w:t>Harrow Indemnitees</w:t>
      </w:r>
      <w:r>
        <w:rPr>
          <w:rFonts w:ascii="Arial" w:cs="Arial" w:eastAsia="Arial" w:hAnsi="Arial"/>
          <w:sz w:val="18"/>
          <w:szCs w:val="18"/>
          <w:color w:val="auto"/>
        </w:rPr>
        <w:t>”), from and against any and all losses, liabilities, damages and expenses (including without limitation reasonable expenses of investigation and attorneys’ and consultants’ fees and expenses in connection with any claim, demand, action or proceeding or settlement of any of any of the foregoing)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incurred or suffered by an Harrow Indemnitee to the extent arising out of:</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Elle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7.1.2 any breach of any covenant or agreement of Elle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7.1.3 the ownership or operation of the Assets prior to the Effective Date.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Harrow</w:t>
      </w:r>
      <w:r>
        <w:rPr>
          <w:rFonts w:ascii="Arial" w:cs="Arial" w:eastAsia="Arial" w:hAnsi="Arial"/>
          <w:sz w:val="18"/>
          <w:szCs w:val="18"/>
          <w:color w:val="auto"/>
        </w:rPr>
        <w:t>. Subject to the provisions of this Section 7, Harrow shall indemnify and hold harmless Elle, its officers, directors, affiliates, agents, stockholders and representatives (collectively, the “</w:t>
      </w:r>
      <w:r>
        <w:rPr>
          <w:rFonts w:ascii="Arial" w:cs="Arial" w:eastAsia="Arial" w:hAnsi="Arial"/>
          <w:sz w:val="18"/>
          <w:szCs w:val="18"/>
          <w:u w:val="single" w:color="auto"/>
          <w:color w:val="auto"/>
        </w:rPr>
        <w:t>Elle Indemnitees</w:t>
      </w:r>
      <w:r>
        <w:rPr>
          <w:rFonts w:ascii="Arial" w:cs="Arial" w:eastAsia="Arial" w:hAnsi="Arial"/>
          <w:sz w:val="18"/>
          <w:szCs w:val="18"/>
          <w:color w:val="auto"/>
        </w:rPr>
        <w:t>”), from and against any and all Losses incurred or suffered by a Elle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Harrow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7.2.2 any breach of any covenant or agreement of Harrow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7.2.3 the ownership or operation of the Assets after the Effective Date or the manufacture, use, or sale of Product solely by Harrow, its Licensees or their respective Affiliates or use of Product by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jc w:val="both"/>
        <w:ind w:firstLine="1297"/>
        <w:spacing w:after="0" w:line="27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Offset</w:t>
      </w:r>
      <w:r>
        <w:rPr>
          <w:rFonts w:ascii="Arial" w:cs="Arial" w:eastAsia="Arial" w:hAnsi="Arial"/>
          <w:sz w:val="17"/>
          <w:szCs w:val="17"/>
          <w:color w:val="auto"/>
        </w:rPr>
        <w:t>. Harrow may offset against the Net Sales Payment Consideration or any other amounts due Elle from Harrow, any amounts owed to Harrow for indemnification under Section 7.1. The exercise of such offset by Harrow in good faith, whether or not ultimately determined to be justified, shall not constitute an event of default hereunder. Neither the exercise nor the failure to exercise, any such right of offset shall constitute an election of remedies or limit Harrow in any manner in the enforcement of any other remedies that may be available to it.</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Procedure</w:t>
      </w:r>
      <w:r>
        <w:rPr>
          <w:rFonts w:ascii="Arial" w:cs="Arial" w:eastAsia="Arial" w:hAnsi="Arial"/>
          <w:sz w:val="17"/>
          <w:szCs w:val="17"/>
          <w:color w:val="auto"/>
        </w:rPr>
        <w:t>. A party seeking indemnification (the “</w:t>
      </w:r>
      <w:r>
        <w:rPr>
          <w:rFonts w:ascii="Arial" w:cs="Arial" w:eastAsia="Arial" w:hAnsi="Arial"/>
          <w:sz w:val="17"/>
          <w:szCs w:val="17"/>
          <w:u w:val="single" w:color="auto"/>
          <w:color w:val="auto"/>
        </w:rPr>
        <w:t>Indemnitee</w:t>
      </w:r>
      <w:r>
        <w:rPr>
          <w:rFonts w:ascii="Arial" w:cs="Arial" w:eastAsia="Arial" w:hAnsi="Arial"/>
          <w:sz w:val="17"/>
          <w:szCs w:val="17"/>
          <w:color w:val="auto"/>
        </w:rPr>
        <w:t>”) shall promptly notify the other party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Harrow shall have the right to control the defense of all indemnification claims hereunder. Elle shall have the right to participate at its own expense in the claim or suit with counsel of its own choosing. Harrow shall consult with the Indemnitee in good faith with respect to all non-privileged aspects of the defense strategy. Elle shall cooperate with the Harrow as reasonably requested, at the Elle’s sole cost and expense. Harrow shall not settle any claim or suit with respect to which Elle is the Indemnifying Party without Elle’s prior written consent, which consent shall not be unreasonably withheld.</w:t>
      </w:r>
    </w:p>
    <w:p>
      <w:pPr>
        <w:spacing w:after="0" w:line="178" w:lineRule="exact"/>
        <w:rPr>
          <w:sz w:val="20"/>
          <w:szCs w:val="20"/>
          <w:color w:val="auto"/>
        </w:rPr>
      </w:pPr>
    </w:p>
    <w:p>
      <w:pPr>
        <w:ind w:left="840" w:hanging="184"/>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Confidentiality and Publication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During the term of this Agreement, and for a period of five (5) years following the expiration or earlier termination hereof, except as otherwise provided in this Section 8, Elle shall maintain in confidence all data and information comprising the Assets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and shall not use, disclose or grant the use of the Confidential Information except on a need-to-know basis to those directors, officers, employees and contractors, to the extent such disclosure is reasonably necessary in connection with performing its obligations or exercising its rights under this Agreement. To the extent that disclosure is authorized by this Agreement, prior to disclosure, Elle shall obtain agreement of any such Person to hold in confidence and not make use of the Confidential Information for any purpose other than those permitted by this Agreement. Elle shall notify the other promptly upon discovery of any unauthorized use or disclosure of the Confidential Information.</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Terms of this Agreement</w:t>
      </w:r>
      <w:r>
        <w:rPr>
          <w:rFonts w:ascii="Arial" w:cs="Arial" w:eastAsia="Arial" w:hAnsi="Arial"/>
          <w:sz w:val="17"/>
          <w:szCs w:val="17"/>
          <w:color w:val="auto"/>
        </w:rPr>
        <w:t>. Except as otherwise provided in this Section 8,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confidence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ind w:left="130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this Section 8 shall not apply to the extent that (a) a party is required</w:t>
      </w:r>
    </w:p>
    <w:p>
      <w:pPr>
        <w:spacing w:after="0" w:line="46" w:lineRule="exact"/>
        <w:rPr>
          <w:sz w:val="20"/>
          <w:szCs w:val="20"/>
          <w:color w:val="auto"/>
        </w:rPr>
      </w:pPr>
    </w:p>
    <w:p>
      <w:pPr>
        <w:jc w:val="both"/>
        <w:ind w:firstLine="8"/>
        <w:spacing w:after="0" w:line="268" w:lineRule="auto"/>
        <w:tabs>
          <w:tab w:leader="none" w:pos="22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 thereof; or (b) a party can demonstrate that (i) the information was or became public knowledge, other than as a result of actions of such party in violation hereof; or (ii) the information was disclosed to the Recipient on an unrestricted basis from a source unrelated to any party to this Agreement and not under a duty of confidentiality to the other party. Notwithstanding anything to the contrary herein, Harrow may disclose the terms and conditions of this Agreement to any Person with whom Harrow has, or is proposing to enter into, a business relationship, as long as such Person has entered into a confidentiality agreement with Harrow.</w:t>
      </w:r>
    </w:p>
    <w:p>
      <w:pPr>
        <w:spacing w:after="0" w:line="18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ind w:left="840" w:hanging="184"/>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expiration of the last to expire Payment Period, unless earlier terminated as set forth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3" w:lineRule="auto"/>
        <w:rPr>
          <w:sz w:val="20"/>
          <w:szCs w:val="20"/>
          <w:color w:val="auto"/>
        </w:rPr>
      </w:pPr>
      <w:r>
        <w:rPr>
          <w:rFonts w:ascii="Arial" w:cs="Arial" w:eastAsia="Arial" w:hAnsi="Arial"/>
          <w:sz w:val="16"/>
          <w:szCs w:val="16"/>
          <w:color w:val="auto"/>
        </w:rPr>
        <w:t>9.2.1 If Harrow, whether alone or through an Affiliate or Third Party (including Mayfield), (a) fails to use commercially reasonable efforts to develop and commercialize a Product within the United States, or thereafter to use reasonable efforts to actively promote, market and sell such Product within the United States, or (b) before the third (3rd) anniversary of the Effective Date fails either to file an Investigational New Drug Application in the United States for a Product or to sell a Product for consideration, then Harrow shall provide written notice thereof to Elle and, unless the parties otherwise mutually agree in writing to extend the applicable time period, Elle shall have the right to terminate the Agreement by providing Harrow with thirty (30) days’ prior written notice of termination within fifteen (15) days after Harrow’ written notice described in this Section 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jc w:val="both"/>
        <w:ind w:firstLine="1945"/>
        <w:spacing w:after="0" w:line="259" w:lineRule="auto"/>
        <w:rPr>
          <w:sz w:val="20"/>
          <w:szCs w:val="20"/>
          <w:color w:val="auto"/>
        </w:rPr>
      </w:pPr>
      <w:r>
        <w:rPr>
          <w:rFonts w:ascii="Arial" w:cs="Arial" w:eastAsia="Arial" w:hAnsi="Arial"/>
          <w:sz w:val="18"/>
          <w:szCs w:val="18"/>
          <w:color w:val="auto"/>
        </w:rPr>
        <w:t>9.2.2 If Mayfield fails to receive net proceeds of the sale of its equity securities to Third Parties of at least ten million dollars ($10,000,000) in cash, whether individually or in the aggregate, by June 1, 2020, then (a) Harrow promptly shall provide written thereof to Elle and (b) Elle shall have the right to terminate this Agreement by providing Harrow with thirty (30) days’ prior written notice of termination within fifteen (15) days after Harrow’ notice described in clause (a).</w:t>
      </w:r>
    </w:p>
    <w:p>
      <w:pPr>
        <w:spacing w:after="0" w:line="18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9.2.3 If Elle terminates this Agreement pursuant to this Section 9.2, then Harrow shall (a) re-assign (or cause to be reassigned) the Assets to Elle and (b) grant to Elle a non-exclusive, worldwide, royalty-free license under the Improvement Patent Rights to make, have made, use, offer for sale, sell, and import Dyspareunia Product.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Survival</w:t>
      </w:r>
      <w:r>
        <w:rPr>
          <w:rFonts w:ascii="Arial" w:cs="Arial" w:eastAsia="Arial" w:hAnsi="Arial"/>
          <w:sz w:val="18"/>
          <w:szCs w:val="18"/>
          <w:color w:val="auto"/>
        </w:rPr>
        <w:t>. Expiration or termination of this Agreement shall be without prejudice to any rights which shall have accrued to the benefit of any party prior to such expiration. Without limiting the generality of the foregoing, Sections 3, 4, 5, 7, 8, 9.2.3, 9.3 and 10 shall survive any expiration or termination of this Agreement.</w:t>
      </w:r>
    </w:p>
    <w:p>
      <w:pPr>
        <w:spacing w:after="0" w:line="181" w:lineRule="exact"/>
        <w:rPr>
          <w:sz w:val="20"/>
          <w:szCs w:val="20"/>
          <w:color w:val="auto"/>
        </w:rPr>
      </w:pPr>
    </w:p>
    <w:p>
      <w:pPr>
        <w:ind w:left="920" w:hanging="264"/>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Neither party shall make any public announcements concerning matters concerning this Agreement or the negotiation thereof without the prior written consent of the other party unless such disclosure is required by law, in which case the announcing party shall provide the other party with reasonable notice of such disclosure.</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provided that any such permitted assignee shall assume all obligations of its assignor under this Agreement including, in the case of an assignment by Harrow, its payment obligations to Elle in accordance with Section 5. Any purported assignment in violation of this Section 10.2 shall be void and of no legal effect.</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3" w:name="page94"/>
    <w:bookmarkEnd w:id="93"/>
    <w:p>
      <w:pPr>
        <w:jc w:val="both"/>
        <w:ind w:firstLine="1297"/>
        <w:spacing w:after="0" w:line="27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Exhibit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65" w:right="239" w:bottom="1440" w:gutter="0" w:footer="0" w:header="0"/>
        </w:sectPr>
      </w:pPr>
    </w:p>
    <w:p>
      <w:pPr>
        <w:spacing w:after="0" w:line="147"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If to Elle: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Elle Pharmaceutical, LLC</w:t>
      </w:r>
    </w:p>
    <w:p>
      <w:pPr>
        <w:spacing w:after="0" w:line="211" w:lineRule="exact"/>
        <w:rPr>
          <w:sz w:val="20"/>
          <w:szCs w:val="20"/>
          <w:color w:val="auto"/>
        </w:rPr>
      </w:pPr>
    </w:p>
    <w:p>
      <w:pPr>
        <w:sectPr>
          <w:pgSz w:w="11900" w:h="16838" w:orient="portrait"/>
          <w:cols w:equalWidth="0" w:num="2">
            <w:col w:w="1340" w:space="620"/>
            <w:col w:w="9460"/>
          </w:cols>
          <w:pgMar w:left="240" w:top="665" w:right="2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Harrow:</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600" w:space="360"/>
            <w:col w:w="9460"/>
          </w:cols>
          <w:pgMar w:left="240" w:top="665" w:right="239" w:bottom="1440" w:gutter="0" w:footer="0" w:header="0"/>
          <w:type w:val="continuous"/>
        </w:sectPr>
      </w:pPr>
    </w:p>
    <w:p>
      <w:pPr>
        <w:spacing w:after="0" w:line="2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94" w:name="page95"/>
    <w:bookmarkEnd w:id="94"/>
    <w:p>
      <w:pPr>
        <w:ind w:firstLine="648"/>
        <w:spacing w:after="0" w:line="277" w:lineRule="auto"/>
        <w:rPr>
          <w:sz w:val="20"/>
          <w:szCs w:val="20"/>
          <w:color w:val="auto"/>
        </w:rPr>
      </w:pPr>
      <w:r>
        <w:rPr>
          <w:rFonts w:ascii="Arial" w:cs="Arial" w:eastAsia="Arial" w:hAnsi="Arial"/>
          <w:sz w:val="18"/>
          <w:szCs w:val="18"/>
          <w:color w:val="auto"/>
        </w:rPr>
        <w:t>IN WITNESS WHEREOF, each party has caused a duly authorized representative to execute and deliver this Asset Purchase Agreement as of the Effective Date.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ELLE PHARMACEUTICAL,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Elias Reichel</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Elias Reichel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ASSIGNMENT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ELLE PHARMACEUTICAL, LLC, a Delaware limited liability company (“Assignor”), with a place of business at 74 Chestnut St., Weston, Massachusetts 02493 is the owner of all rights, title, and interests in and to the patent applications and patents shown on the attached Schedule 1 (the “Assigned Patent Rights”); and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HARROW HEALTH, INC., a Delaware corporation (“Assignee”), with a place of business at 12264 El Camino Real, Suite 350, San Diego, California 92130, desires to acquire the entire right, title, and interest in and to the Assigned Patent Rights and all the inventions and discoveries disclosed and/or claimed in the Assigned Patent Rights (the “Inventions”);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be it known that effective as of ___________, for good and valuable consideration, the receipt and sufficiency of which are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hereby acknowledged, Assignor hereby sells, assigns, transfers, and sets over unto Assignee (1) the entire right, title, and interest in all countries throughout the world in and to said Assigned Patent Rights and Inventions, including any renewals, revivals, reissues, reexaminations, extensions, continuations, continuations-in-part, and divisions of said Assigned Patent Rights and any substitute applications therefor; (2) the entire right to file patent applications (“New Applications”) in the name of Assignee or its designee on the aforesaid Inventions in all countries of the world; (3) the entire right, title, and interest in and to any patent which issued and may issue on the Inventions in any country, and any renewals, revivals, reissues, reexaminations, and extensions thereof, and any patents of confirmation, registration, and importation of the same; (4) the right to sue and recover for, and the right to profits or damages due or accrued in connection with, any and all past, present, or future infringements of the Assigned Patent Rights and Inventions; and (5) the entire right, title, and interest in all convention and treaty rights of all kinds, including without limitation all rights of priority in any country of the world, in and to the above Assigned Patent Rights and Inventions.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AND for the same consideration, said Assignor hereby covenants and agrees to and with said Assignee its successors, legal representatives and assigns, that, at the time of execution and delivery of these presents, said Assignor is the sole and lawful owner of the entire right, title and interest in and to said Inventions and Assigned Patent Rights, and that the same are unencumbered and that said Assignor has good and full right and lawful authority to sell and convey the same in the manner herein set forth.</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AND for the same consideration, said Assignor hereby covenants and agrees to and with said Assignee, its successors, legal representatives and assigns, that said Assignor will, whenever counsel of said Assignee, or the counsel of its successors, legal representatives and assigns, shall advise that any proceeding in connection with said Inventions and Assigned Patent Rights in any country, including interference proceedings, is lawful and desirable, or that any application for letters patent, or that any division, continuation or continuation-in-part of any application for letters patent or any reissue or extension of any letters patent, to be obtained thereon, is lawful and desirable, sign all papers and documents, take all lawful oaths, and do all acts necessary or required to be done for the procurement, maintenance, enforcement and defense of said Inventions and Assigned Patent Rights, without charge to said Assignee, its successors, legal representatives and assigns, but at the cost and expense of said Assignee, its successors, legal representatives and assigns.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6" w:name="page97"/>
    <w:bookmarkEnd w:id="96"/>
    <w:p>
      <w:pPr>
        <w:jc w:val="both"/>
        <w:ind w:firstLine="648"/>
        <w:spacing w:after="0" w:line="264" w:lineRule="auto"/>
        <w:rPr>
          <w:sz w:val="20"/>
          <w:szCs w:val="20"/>
          <w:color w:val="auto"/>
        </w:rPr>
      </w:pPr>
      <w:r>
        <w:rPr>
          <w:rFonts w:ascii="Arial" w:cs="Arial" w:eastAsia="Arial" w:hAnsi="Arial"/>
          <w:sz w:val="18"/>
          <w:szCs w:val="18"/>
          <w:color w:val="auto"/>
        </w:rPr>
        <w:t>AND, Assignor hereby authorizes and requests the competent authorities to grant and to issue any and all patents on the Inventions throughout the world to Assignee, its successors, or assigns, whose rights, title, and interests in such patents are the same as would have been held and enjoyed by Assignor had this assignment, sale, and transfer not been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Assignor has caused this Patent Assignment to be duly executed by its officer thereunto duly authorized as of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_____ day of _____, 20__.</w:t>
            </w:r>
          </w:p>
        </w:tc>
        <w:tc>
          <w:tcPr>
            <w:tcW w:w="34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18"/>
        </w:trPr>
        <w:tc>
          <w:tcPr>
            <w:tcW w:w="2840" w:type="dxa"/>
            <w:vAlign w:val="bottom"/>
          </w:tcPr>
          <w:p>
            <w:pPr>
              <w:spacing w:after="0"/>
              <w:rPr>
                <w:sz w:val="24"/>
                <w:szCs w:val="24"/>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color w:val="auto"/>
              </w:rPr>
              <w:t>ELLE PHARMACEUTICAL, LLC</w:t>
            </w:r>
          </w:p>
        </w:tc>
      </w:tr>
      <w:tr>
        <w:trPr>
          <w:trHeight w:val="453"/>
        </w:trPr>
        <w:tc>
          <w:tcPr>
            <w:tcW w:w="2840" w:type="dxa"/>
            <w:vAlign w:val="bottom"/>
          </w:tcPr>
          <w:p>
            <w:pPr>
              <w:spacing w:after="0"/>
              <w:rPr>
                <w:sz w:val="24"/>
                <w:szCs w:val="24"/>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color w:val="auto"/>
              </w:rPr>
              <w:t>By:</w:t>
            </w:r>
          </w:p>
        </w:tc>
      </w:tr>
      <w:tr>
        <w:trPr>
          <w:trHeight w:val="223"/>
        </w:trPr>
        <w:tc>
          <w:tcPr>
            <w:tcW w:w="2840" w:type="dxa"/>
            <w:vAlign w:val="bottom"/>
          </w:tcPr>
          <w:p>
            <w:pPr>
              <w:spacing w:after="0"/>
              <w:rPr>
                <w:sz w:val="19"/>
                <w:szCs w:val="19"/>
                <w:color w:val="auto"/>
              </w:rPr>
            </w:pPr>
          </w:p>
        </w:tc>
        <w:tc>
          <w:tcPr>
            <w:tcW w:w="3440" w:type="dxa"/>
            <w:vAlign w:val="bottom"/>
          </w:tcPr>
          <w:p>
            <w:pPr>
              <w:ind w:left="2880"/>
              <w:spacing w:after="0"/>
              <w:rPr>
                <w:sz w:val="20"/>
                <w:szCs w:val="20"/>
                <w:color w:val="auto"/>
              </w:rPr>
            </w:pPr>
            <w:r>
              <w:rPr>
                <w:rFonts w:ascii="Arial" w:cs="Arial" w:eastAsia="Arial" w:hAnsi="Arial"/>
                <w:sz w:val="18"/>
                <w:szCs w:val="18"/>
                <w:color w:val="auto"/>
              </w:rPr>
              <w:t>Name:</w:t>
            </w:r>
          </w:p>
        </w:tc>
        <w:tc>
          <w:tcPr>
            <w:tcW w:w="5140" w:type="dxa"/>
            <w:vAlign w:val="bottom"/>
            <w:tcBorders>
              <w:top w:val="single" w:sz="8" w:color="auto"/>
              <w:bottom w:val="single" w:sz="8" w:color="auto"/>
            </w:tcBorders>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3440" w:type="dxa"/>
            <w:vAlign w:val="bottom"/>
          </w:tcPr>
          <w:p>
            <w:pPr>
              <w:ind w:left="288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19"/>
                <w:szCs w:val="19"/>
                <w:color w:val="auto"/>
              </w:rPr>
            </w:pPr>
          </w:p>
        </w:tc>
      </w:tr>
      <w:tr>
        <w:trPr>
          <w:trHeight w:val="418"/>
        </w:trPr>
        <w:tc>
          <w:tcPr>
            <w:tcW w:w="2840" w:type="dxa"/>
            <w:vAlign w:val="bottom"/>
          </w:tcPr>
          <w:p>
            <w:pPr>
              <w:spacing w:after="0"/>
              <w:rPr>
                <w:sz w:val="20"/>
                <w:szCs w:val="20"/>
                <w:color w:val="auto"/>
              </w:rPr>
            </w:pPr>
            <w:r>
              <w:rPr>
                <w:rFonts w:ascii="Arial" w:cs="Arial" w:eastAsia="Arial" w:hAnsi="Arial"/>
                <w:sz w:val="18"/>
                <w:szCs w:val="18"/>
                <w:color w:val="auto"/>
              </w:rPr>
              <w:t>STATE OF</w:t>
            </w:r>
          </w:p>
        </w:tc>
        <w:tc>
          <w:tcPr>
            <w:tcW w:w="3440" w:type="dxa"/>
            <w:vAlign w:val="bottom"/>
          </w:tcPr>
          <w:p>
            <w:pPr>
              <w:ind w:left="60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24"/>
                <w:szCs w:val="24"/>
                <w:color w:val="auto"/>
              </w:rPr>
            </w:pPr>
          </w:p>
        </w:tc>
      </w:tr>
      <w:tr>
        <w:trPr>
          <w:trHeight w:val="216"/>
        </w:trPr>
        <w:tc>
          <w:tcPr>
            <w:tcW w:w="2840" w:type="dxa"/>
            <w:vAlign w:val="bottom"/>
          </w:tcPr>
          <w:p>
            <w:pPr>
              <w:spacing w:after="0"/>
              <w:rPr>
                <w:sz w:val="18"/>
                <w:szCs w:val="18"/>
                <w:color w:val="auto"/>
              </w:rPr>
            </w:pPr>
          </w:p>
        </w:tc>
        <w:tc>
          <w:tcPr>
            <w:tcW w:w="3440" w:type="dxa"/>
            <w:vAlign w:val="bottom"/>
          </w:tcPr>
          <w:p>
            <w:pPr>
              <w:ind w:left="60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COUNTY OF _____________</w:t>
            </w:r>
          </w:p>
        </w:tc>
        <w:tc>
          <w:tcPr>
            <w:tcW w:w="3440" w:type="dxa"/>
            <w:vAlign w:val="bottom"/>
          </w:tcPr>
          <w:p>
            <w:pPr>
              <w:ind w:left="60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____________________, before me, ____________________, a Notary Public, personally appeared ____________________ who proved to me on the</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certify under PENALTY OF PERJURY under the laws of _______ that the foregoing paragraph is true and correct.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color w:val="auto"/>
              </w:rPr>
              <w:t>Acknowledgement of Assignee:</w:t>
            </w:r>
          </w:p>
        </w:tc>
      </w:tr>
      <w:tr>
        <w:trPr>
          <w:trHeight w:val="432"/>
        </w:trPr>
        <w:tc>
          <w:tcPr>
            <w:tcW w:w="2840" w:type="dxa"/>
            <w:vAlign w:val="bottom"/>
          </w:tcPr>
          <w:p>
            <w:pPr>
              <w:spacing w:after="0"/>
              <w:rPr>
                <w:sz w:val="24"/>
                <w:szCs w:val="24"/>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color w:val="auto"/>
              </w:rPr>
              <w:t>HARROW HEALTH, INC.</w:t>
            </w:r>
          </w:p>
        </w:tc>
      </w:tr>
      <w:tr>
        <w:trPr>
          <w:trHeight w:val="453"/>
        </w:trPr>
        <w:tc>
          <w:tcPr>
            <w:tcW w:w="2840" w:type="dxa"/>
            <w:vAlign w:val="bottom"/>
          </w:tcPr>
          <w:p>
            <w:pPr>
              <w:spacing w:after="0"/>
              <w:rPr>
                <w:sz w:val="24"/>
                <w:szCs w:val="24"/>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color w:val="auto"/>
              </w:rPr>
              <w:t>By:</w:t>
            </w:r>
          </w:p>
        </w:tc>
      </w:tr>
      <w:tr>
        <w:trPr>
          <w:trHeight w:val="223"/>
        </w:trPr>
        <w:tc>
          <w:tcPr>
            <w:tcW w:w="2840" w:type="dxa"/>
            <w:vAlign w:val="bottom"/>
          </w:tcPr>
          <w:p>
            <w:pPr>
              <w:spacing w:after="0"/>
              <w:rPr>
                <w:sz w:val="19"/>
                <w:szCs w:val="19"/>
                <w:color w:val="auto"/>
              </w:rPr>
            </w:pPr>
          </w:p>
        </w:tc>
        <w:tc>
          <w:tcPr>
            <w:tcW w:w="3440" w:type="dxa"/>
            <w:vAlign w:val="bottom"/>
          </w:tcPr>
          <w:p>
            <w:pPr>
              <w:ind w:left="2880"/>
              <w:spacing w:after="0"/>
              <w:rPr>
                <w:sz w:val="20"/>
                <w:szCs w:val="20"/>
                <w:color w:val="auto"/>
              </w:rPr>
            </w:pPr>
            <w:r>
              <w:rPr>
                <w:rFonts w:ascii="Arial" w:cs="Arial" w:eastAsia="Arial" w:hAnsi="Arial"/>
                <w:sz w:val="18"/>
                <w:szCs w:val="18"/>
                <w:color w:val="auto"/>
              </w:rPr>
              <w:t>Name:</w:t>
            </w:r>
          </w:p>
        </w:tc>
        <w:tc>
          <w:tcPr>
            <w:tcW w:w="5140" w:type="dxa"/>
            <w:vAlign w:val="bottom"/>
            <w:tcBorders>
              <w:top w:val="single" w:sz="8" w:color="auto"/>
              <w:bottom w:val="single" w:sz="8" w:color="auto"/>
            </w:tcBorders>
          </w:tcPr>
          <w:p>
            <w:pPr>
              <w:spacing w:after="0"/>
              <w:rPr>
                <w:sz w:val="19"/>
                <w:szCs w:val="19"/>
                <w:color w:val="auto"/>
              </w:rPr>
            </w:pPr>
          </w:p>
        </w:tc>
      </w:tr>
      <w:tr>
        <w:trPr>
          <w:trHeight w:val="223"/>
        </w:trPr>
        <w:tc>
          <w:tcPr>
            <w:tcW w:w="2840" w:type="dxa"/>
            <w:vAlign w:val="bottom"/>
          </w:tcPr>
          <w:p>
            <w:pPr>
              <w:spacing w:after="0"/>
              <w:rPr>
                <w:sz w:val="19"/>
                <w:szCs w:val="19"/>
                <w:color w:val="auto"/>
              </w:rPr>
            </w:pPr>
          </w:p>
        </w:tc>
        <w:tc>
          <w:tcPr>
            <w:tcW w:w="3440" w:type="dxa"/>
            <w:vAlign w:val="bottom"/>
          </w:tcPr>
          <w:p>
            <w:pPr>
              <w:ind w:left="288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19"/>
                <w:szCs w:val="19"/>
                <w:color w:val="auto"/>
              </w:rPr>
            </w:pPr>
          </w:p>
        </w:tc>
      </w:tr>
      <w:tr>
        <w:trPr>
          <w:trHeight w:val="418"/>
        </w:trPr>
        <w:tc>
          <w:tcPr>
            <w:tcW w:w="2840" w:type="dxa"/>
            <w:vAlign w:val="bottom"/>
          </w:tcPr>
          <w:p>
            <w:pPr>
              <w:spacing w:after="0"/>
              <w:rPr>
                <w:sz w:val="20"/>
                <w:szCs w:val="20"/>
                <w:color w:val="auto"/>
              </w:rPr>
            </w:pPr>
            <w:r>
              <w:rPr>
                <w:rFonts w:ascii="Arial" w:cs="Arial" w:eastAsia="Arial" w:hAnsi="Arial"/>
                <w:sz w:val="18"/>
                <w:szCs w:val="18"/>
                <w:color w:val="auto"/>
              </w:rPr>
              <w:t>STATE OF</w:t>
            </w:r>
          </w:p>
        </w:tc>
        <w:tc>
          <w:tcPr>
            <w:tcW w:w="3440" w:type="dxa"/>
            <w:vAlign w:val="bottom"/>
          </w:tcPr>
          <w:p>
            <w:pPr>
              <w:ind w:left="60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24"/>
                <w:szCs w:val="24"/>
                <w:color w:val="auto"/>
              </w:rPr>
            </w:pPr>
          </w:p>
        </w:tc>
      </w:tr>
      <w:tr>
        <w:trPr>
          <w:trHeight w:val="216"/>
        </w:trPr>
        <w:tc>
          <w:tcPr>
            <w:tcW w:w="2840" w:type="dxa"/>
            <w:vAlign w:val="bottom"/>
          </w:tcPr>
          <w:p>
            <w:pPr>
              <w:spacing w:after="0"/>
              <w:rPr>
                <w:sz w:val="18"/>
                <w:szCs w:val="18"/>
                <w:color w:val="auto"/>
              </w:rPr>
            </w:pPr>
          </w:p>
        </w:tc>
        <w:tc>
          <w:tcPr>
            <w:tcW w:w="3440" w:type="dxa"/>
            <w:vAlign w:val="bottom"/>
          </w:tcPr>
          <w:p>
            <w:pPr>
              <w:ind w:left="60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COUNTY OF _____________</w:t>
            </w:r>
          </w:p>
        </w:tc>
        <w:tc>
          <w:tcPr>
            <w:tcW w:w="3440" w:type="dxa"/>
            <w:vAlign w:val="bottom"/>
          </w:tcPr>
          <w:p>
            <w:pPr>
              <w:ind w:left="60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____________________, before me, ____________________, a Notary Public, personally appeared ____________________ who proved to me on the</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certify under PENALTY OF PERJURY under the laws of the State of California that the foregoing paragraph is true and correct.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and official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color w:val="auto"/>
        </w:rPr>
        <w:t>EXHIBIT A: SCHEDULE 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ASSIGNED PATENT RIGHTS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CERTAIN ASSETS TO BE TRANSFERRED</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0" w:name="page101"/>
    <w:bookmarkEnd w:id="1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2" w:name="page103"/>
    <w:bookmarkEnd w:id="1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March 31, 2019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lowerLetter"/>
      <w:start w:val="2"/>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3"/>
    </w:lvl>
  </w:abstractNum>
  <w:abstractNum w:abstractNumId="20">
    <w:nsid w:val="3A95F874"/>
    <w:multiLevelType w:val="hybridMultilevel"/>
    <w:lvl w:ilvl="0">
      <w:lvlJc w:val="left"/>
      <w:lvlText w:val="%1."/>
      <w:numFmt w:val="decimal"/>
      <w:start w:val="4"/>
    </w:lvl>
  </w:abstractNum>
  <w:abstractNum w:abstractNumId="21">
    <w:nsid w:val="8138641"/>
    <w:multiLevelType w:val="hybridMultilevel"/>
    <w:lvl w:ilvl="0">
      <w:lvlJc w:val="left"/>
      <w:lvlText w:val="%1."/>
      <w:numFmt w:val="decimal"/>
      <w:start w:val="5"/>
    </w:lvl>
  </w:abstractNum>
  <w:abstractNum w:abstractNumId="22">
    <w:nsid w:val="1E7FF521"/>
    <w:multiLevelType w:val="hybridMultilevel"/>
    <w:lvl w:ilvl="0">
      <w:lvlJc w:val="left"/>
      <w:lvlText w:val="%1."/>
      <w:numFmt w:val="decimal"/>
      <w:start w:val="7"/>
    </w:lvl>
  </w:abstractNum>
  <w:abstractNum w:abstractNumId="23">
    <w:nsid w:val="7C3DBD3D"/>
    <w:multiLevelType w:val="hybridMultilevel"/>
    <w:lvl w:ilvl="0">
      <w:lvlJc w:val="left"/>
      <w:lvlText w:val="%1."/>
      <w:numFmt w:val="decimal"/>
      <w:start w:val="8"/>
    </w:lvl>
  </w:abstractNum>
  <w:abstractNum w:abstractNumId="24">
    <w:nsid w:val="737B8DDC"/>
    <w:multiLevelType w:val="hybridMultilevel"/>
    <w:lvl w:ilvl="0">
      <w:lvlJc w:val="left"/>
      <w:lvlText w:val="%1."/>
      <w:numFmt w:val="decimal"/>
      <w:start w:val="9"/>
    </w:lvl>
  </w:abstractNum>
  <w:abstractNum w:abstractNumId="25">
    <w:nsid w:val="6CEAF087"/>
    <w:multiLevelType w:val="hybridMultilevel"/>
    <w:lvl w:ilvl="0">
      <w:lvlJc w:val="left"/>
      <w:lvlText w:val="%1."/>
      <w:numFmt w:val="decimal"/>
      <w:start w:val="10"/>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Letter"/>
      <w:start w:val="2"/>
    </w:lvl>
    <w:lvl w:ilvl="1">
      <w:lvlJc w:val="left"/>
      <w:lvlText w:val="%2."/>
      <w:numFmt w:val="decimal"/>
      <w:start w:val="2"/>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1."/>
      <w:numFmt w:val="decimal"/>
      <w:start w:val="5"/>
    </w:lvl>
  </w:abstractNum>
  <w:abstractNum w:abstractNumId="30">
    <w:nsid w:val="419AC241"/>
    <w:multiLevelType w:val="hybridMultilevel"/>
    <w:lvl w:ilvl="0">
      <w:lvlJc w:val="left"/>
      <w:lvlText w:val="%1."/>
      <w:numFmt w:val="decimal"/>
      <w:start w:val="6"/>
    </w:lvl>
  </w:abstractNum>
  <w:abstractNum w:abstractNumId="31">
    <w:nsid w:val="5577F8E1"/>
    <w:multiLevelType w:val="hybridMultilevel"/>
    <w:lvl w:ilvl="0">
      <w:lvlJc w:val="left"/>
      <w:lvlText w:val="%1."/>
      <w:numFmt w:val="decimal"/>
      <w:start w:val="7"/>
    </w:lvl>
  </w:abstractNum>
  <w:abstractNum w:abstractNumId="32">
    <w:nsid w:val="440BADFC"/>
    <w:multiLevelType w:val="hybridMultilevel"/>
    <w:lvl w:ilvl="0">
      <w:lvlJc w:val="left"/>
      <w:lvlText w:val="%1."/>
      <w:numFmt w:val="decimal"/>
      <w:start w:val="8"/>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1."/>
      <w:numFmt w:val="decimal"/>
      <w:start w:val="9"/>
    </w:lvl>
  </w:abstractNum>
  <w:abstractNum w:abstractNumId="35">
    <w:nsid w:val="77465F01"/>
    <w:multiLevelType w:val="hybridMultilevel"/>
    <w:lvl w:ilvl="0">
      <w:lvlJc w:val="left"/>
      <w:lvlText w:val="%1."/>
      <w:numFmt w:val="decimal"/>
      <w:start w:val="10"/>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76" Type="http://schemas.openxmlformats.org/officeDocument/2006/relationships/hyperlink" Target="http://www.sec.gov/Archives/edgar/data/1360214/00014931521900135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2019-12-02T21:40:33Z</dcterms:created>
  <dcterms:modified xsi:type="dcterms:W3CDTF">2019-12-02T21:40:33Z</dcterms:modified>
</cp:coreProperties>
</file>