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2024, the partners and professional staff of KMJ Corbin &amp; Company LLP (“KMJ”), which was engaged as the independent registered public accounting firm of Harrow, Inc. (the “Company”), joined Crowe LLP (“Crowe”), a public accounting, consulting and technology firm. As a result, KMJ resigned as the Company’s independent registered public accounting firm on June 24, 2024. Following the resignation of KMJ, the Company, through and with the approval of its Audit Committee, appointed Crowe as its independent registered public accounting firm effective June 25,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reports of KMJ on the Company’s consolidated financial statements for the two most recently completed fiscal years ended December 31, 2023 and 2022 did not contain any adverse opinion or disclaimer of opinion and were not qualified or modified as to uncertainty, audit scope, or accounting principles.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Company’s two most recently completed fiscal years ended December 31, 2023 and 2022 and the subsequent interim period through the date of resignation, there were no disagreements between the Company and KMJ on any matter of accounting principles or practices, financial statement disclosure, or auditing scope or procedure, which disagreements, if not resolved to the satisfaction of KMJ, would have caused KMJ to make reference to the subject matter of the disagreements in connection with its audit reports on the Company’s consolidated financial statements. During the Company’s two most recently completed fiscal years ended December 31, 2023 and 2022 and the subsequent interim period through the date of resignation, there were no “reportable events” (as defined in Item 304(a)(1)(v) of Regulation S-K).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provided KMJ with a copy of this report on Form 8-K in accordance with Item 304(a) of Regulation S-K prior to its filing with the U.S. Securities and Exchange Commission (the “SEC”) and requested that KMJ furnish the Company with a letter addressed to the SEC stating whether it agrees with the above statements and, if it does not agree, the respects in which it does not agree. A copy of the letter from KMJ is filed as </w:t>
      </w:r>
      <w:r>
        <w:rPr>
          <w:rFonts w:ascii="Times New Roman" w:cs="Times New Roman" w:eastAsia="Times New Roman" w:hAnsi="Times New Roman"/>
          <w:sz w:val="18"/>
          <w:szCs w:val="18"/>
          <w:u w:val="single" w:color="auto"/>
          <w:color w:val="auto"/>
        </w:rPr>
        <w:t>Exhibit 16</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Company’s two most recently completed fiscal years ended December 31, 2023 and 2022 and the subsequent interim period through the date of appointment of Crowe, neither the Company nor anyone on behalf of the Company consulted with Crowe regarding (a) the application of accounting principles to a specified transaction, either completed or proposed, or the type of audit opinion that might be rendered on the Company’s consolidated financial statements as to which the Company received a written report or oral advice that was an important factor in reaching a decision on any accounting, auditing or financial reporting issue; or (b) any matter that was the subject of a disagreement or a reportable event as defined in Items 304(a)(1) (iv) and (v), respectively,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80" w:hanging="772"/>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Letter from KMJ Corbin &amp; Company LLP</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26,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read the comments made regarding us in Item 4.01 of Form 8-K of Harrow, Inc. dated June 24, 2024, and are in agreement with those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2024-06-26T06:04:28Z</dcterms:created>
  <dcterms:modified xsi:type="dcterms:W3CDTF">2024-06-26T06:04:28Z</dcterms:modified>
</cp:coreProperties>
</file>