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1, 2014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747"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12626 High Bluff Drive, Suite 150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40" w:type="dxa"/>
            <w:vAlign w:val="bottom"/>
          </w:tcPr>
          <w:p>
            <w:pPr>
              <w:ind w:left="6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432"/>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40" w:type="dxa"/>
            <w:vAlign w:val="bottom"/>
          </w:tcPr>
          <w:p>
            <w:pPr>
              <w:ind w:left="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14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14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223"/>
        </w:trPr>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140" w:type="dxa"/>
            <w:vAlign w:val="bottom"/>
            <w:tcBorders>
              <w:bottom w:val="single" w:sz="8" w:color="auto"/>
            </w:tcBorders>
          </w:tcPr>
          <w:p>
            <w:pPr>
              <w:spacing w:after="0"/>
              <w:rPr>
                <w:sz w:val="19"/>
                <w:szCs w:val="19"/>
                <w:color w:val="auto"/>
              </w:rPr>
            </w:pPr>
          </w:p>
        </w:tc>
      </w:tr>
      <w:tr>
        <w:trPr>
          <w:trHeight w:val="27"/>
        </w:trPr>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140" w:type="dxa"/>
            <w:vAlign w:val="bottom"/>
          </w:tcPr>
          <w:p>
            <w:pPr>
              <w:spacing w:after="0"/>
              <w:rPr>
                <w:sz w:val="2"/>
                <w:szCs w:val="2"/>
                <w:color w:val="auto"/>
              </w:rPr>
            </w:pPr>
          </w:p>
        </w:tc>
      </w:tr>
      <w:tr>
        <w:trPr>
          <w:trHeight w:val="68"/>
        </w:trPr>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140" w:type="dxa"/>
            <w:vAlign w:val="bottom"/>
            <w:shd w:val="clear" w:color="auto" w:fill="000000"/>
          </w:tcPr>
          <w:p>
            <w:pPr>
              <w:spacing w:after="0"/>
              <w:rPr>
                <w:sz w:val="5"/>
                <w:szCs w:val="5"/>
                <w:color w:val="auto"/>
              </w:rPr>
            </w:pPr>
          </w:p>
        </w:tc>
      </w:tr>
      <w:tr>
        <w:trPr>
          <w:trHeight w:val="439"/>
        </w:trPr>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4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 Departure of Certain Officers; Election of Directors; Appointment of Certain Officers; Compensatory Arrangements of Certain Officers</w:t>
      </w:r>
    </w:p>
    <w:p>
      <w:pPr>
        <w:spacing w:after="0" w:line="252" w:lineRule="exact"/>
        <w:rPr>
          <w:sz w:val="20"/>
          <w:szCs w:val="20"/>
          <w:color w:val="auto"/>
        </w:rPr>
      </w:pPr>
    </w:p>
    <w:p>
      <w:pPr>
        <w:jc w:val="both"/>
        <w:ind w:firstLine="8"/>
        <w:spacing w:after="0" w:line="259" w:lineRule="auto"/>
        <w:tabs>
          <w:tab w:leader="none" w:pos="716"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On September 1, 2014, director Peter Kenny provided notice to Imprimis Pharmaceuticals, Inc. (the “Company”) of his resignation from the Board of Directors of the Company for personal reasons, effective as of that date. Mr. Kenny’s resignation is not due to any disagreement with the Company. In connection with Mr. Kenny’s resignation, he is also declining to stand for re-election to the Company’s Board of Directors at the Company’s 2014 annual stockholder meeting to be held on September 4,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3, 2014, director nominee William A. Koefoed, Jr. provided notice to the Company that he is declining to stand for election to the Company’s Board of Directors at the Company’s 2014 annual stockholder meeting to be held on September 4, 2014. Mr. Koefoed, who is not a director of the Company but was nominated for election at the 2014 annual stockholder meeting, decided to withdraw from election to the Company’s Board of Directors for personal reasons and not due to any disagreement with the Company.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Board of Directors does not expect to designate any substitute director nominees for election in place of Mr. Kenny or Mr. Koefoed at its 2014 annual stockholder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September 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Mark L. Baum</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2020-01-28T13:57:21Z</dcterms:created>
  <dcterms:modified xsi:type="dcterms:W3CDTF">2020-01-28T13:57:21Z</dcterms:modified>
</cp:coreProperties>
</file>