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333-265244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6, 2022)</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$35,000,000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165100</wp:posOffset>
            </wp:positionV>
            <wp:extent cx="1808480" cy="951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11.875% Senior Notes due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offering $35,000,000 principal amount of our 11.875% senior notes due 2027 (the “Notes”) as described in this prospectus supplement and the accompanying prospectus. Interest on the Notes will accrue from December 20, 2022 and will be paid quarterly in arrears on January 31, April 30, July 31 and October 31 of each year, commencing on January 31, 2023, and at maturity. The Notes will mature on December 31, 2027. The Notes will be issued in denominations of $25 and in integral multiples in excess thereof.</w:t>
      </w:r>
    </w:p>
    <w:p>
      <w:pPr>
        <w:spacing w:after="0" w:line="180"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At any time prior to December 31, 2024, we may redeem the Notes for cash in whole or in part at any time at our option at a redemption price equal to 100.0% of the principal amount thereof plus the Make-Whole Amount (as defined in the “Description of the Notes – Optional Redemption”) as of, and accrued and unpaid interest to, but excluding, the date of redemption. We may redeem the Notes for cash in whole or in part at any time at our option</w:t>
      </w:r>
    </w:p>
    <w:p>
      <w:pPr>
        <w:spacing w:after="0" w:line="1" w:lineRule="exact"/>
        <w:rPr>
          <w:sz w:val="24"/>
          <w:szCs w:val="24"/>
          <w:color w:val="auto"/>
        </w:rPr>
      </w:pPr>
    </w:p>
    <w:p>
      <w:pPr>
        <w:jc w:val="both"/>
        <w:ind w:firstLine="8"/>
        <w:spacing w:after="0" w:line="252" w:lineRule="auto"/>
        <w:tabs>
          <w:tab w:leader="none" w:pos="2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See “Description of the Notes — Optional Redemption.” In addition, we are required to redeem the Notes, for cash, in whole but not in part, at the price of $25.50 per note, plus accrued and unpaid interest to, but excluding, the date of redemption, upon occurrence of certain events as described under “Description of the Notes — Mandatory Redemption.”</w:t>
      </w:r>
    </w:p>
    <w:p>
      <w:pPr>
        <w:spacing w:after="0" w:line="19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 in right of payment with all of our existing and future senior unsecured and unsubordinated indebtedness, including our outstanding 8.625% Senior Notes due 2026. The Notes will be effectively subordinated in right of payment to all of our existing and future secured indebtedness, and the Notes will be structurally subordinated to all existing and future indebtedness (including trade payables) of our subsidiaries.</w:t>
      </w:r>
    </w:p>
    <w:p>
      <w:pPr>
        <w:spacing w:after="0" w:line="176"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Notes involves a high degree of risk. You should carefully consider the risks described under “Risk Factors” beginning on page S-9 of this prospectus supplement and in the documents incorporated by reference in this prospectus supplement and the accompanying prospectus.</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intend to apply to list the Notes on the Nasdaq Global Market (“Nasdaq”). If approved for listing, trading on Nasdaq is expected to begin within 30 business days of December 20, 2022, the original issue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114300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340"/>
        </w:trPr>
        <w:tc>
          <w:tcPr>
            <w:tcW w:w="74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 Note</w:t>
            </w: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43"/>
        </w:trPr>
        <w:tc>
          <w:tcPr>
            <w:tcW w:w="74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Public offering price</w:t>
            </w:r>
            <w:r>
              <w:rPr>
                <w:rFonts w:ascii="Times New Roman" w:cs="Times New Roman" w:eastAsia="Times New Roman" w:hAnsi="Times New Roman"/>
                <w:sz w:val="28"/>
                <w:szCs w:val="28"/>
                <w:color w:val="auto"/>
                <w:vertAlign w:val="superscript"/>
              </w:rPr>
              <w:t>(2)</w:t>
            </w: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r>
      <w:tr>
        <w:trPr>
          <w:trHeight w:val="256"/>
        </w:trPr>
        <w:tc>
          <w:tcPr>
            <w:tcW w:w="7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w:t>
            </w:r>
            <w:r>
              <w:rPr>
                <w:rFonts w:ascii="Times New Roman" w:cs="Times New Roman" w:eastAsia="Times New Roman" w:hAnsi="Times New Roman"/>
                <w:sz w:val="29"/>
                <w:szCs w:val="29"/>
                <w:color w:val="auto"/>
                <w:vertAlign w:val="superscript"/>
              </w:rPr>
              <w:t>(3)</w:t>
            </w: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1,400,000</w:t>
            </w:r>
          </w:p>
        </w:tc>
      </w:tr>
      <w:tr>
        <w:trPr>
          <w:trHeight w:val="256"/>
        </w:trPr>
        <w:tc>
          <w:tcPr>
            <w:tcW w:w="7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9"/>
                <w:szCs w:val="29"/>
                <w:color w:val="auto"/>
                <w:vertAlign w:val="superscript"/>
              </w:rPr>
              <w:t>(3)</w:t>
            </w: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4"/>
          <w:szCs w:val="24"/>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option described below.</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from December 20, 2022, if the initial settlement occurs after that date.</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agreed to pay a structuring fee to B. Riley Securities, Inc. See “Underwriting” for a description of all underwriting compensation payable in connection with this offering. Assumes no exercise of the underwriters’ option described below.</w:t>
      </w:r>
    </w:p>
    <w:p>
      <w:pPr>
        <w:spacing w:after="0" w:line="181"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$5,250,000 aggregate principal amount of the Notes within 30 days from the date of this prospectus supplement.</w:t>
      </w:r>
    </w:p>
    <w:p>
      <w:pPr>
        <w:spacing w:after="0" w:line="162"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Notes to purchasers in book-entry form through the facilities of The Depository Trust Company for the accounts of its participants on or about December 20, 2022.</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23" w:lineRule="exact"/>
        <w:rPr>
          <w:sz w:val="24"/>
          <w:szCs w:val="24"/>
          <w:color w:val="auto"/>
        </w:rPr>
      </w:pPr>
    </w:p>
    <w:p>
      <w:pPr>
        <w:ind w:left="720"/>
        <w:spacing w:after="0"/>
        <w:tabs>
          <w:tab w:leader="none" w:pos="3180" w:val="left"/>
          <w:tab w:leader="none" w:pos="6160" w:val="left"/>
          <w:tab w:leader="none" w:pos="9300" w:val="left"/>
        </w:tabs>
        <w:rPr>
          <w:sz w:val="20"/>
          <w:szCs w:val="20"/>
          <w:color w:val="auto"/>
        </w:rPr>
      </w:pPr>
      <w:r>
        <w:rPr>
          <w:rFonts w:ascii="Times New Roman" w:cs="Times New Roman" w:eastAsia="Times New Roman" w:hAnsi="Times New Roman"/>
          <w:sz w:val="18"/>
          <w:szCs w:val="18"/>
          <w:b w:val="1"/>
          <w:bCs w:val="1"/>
          <w:color w:val="auto"/>
        </w:rPr>
        <w:t>B. Riley Securities</w:t>
      </w:r>
      <w:r>
        <w:rPr>
          <w:sz w:val="20"/>
          <w:szCs w:val="20"/>
          <w:color w:val="auto"/>
        </w:rPr>
        <w:tab/>
      </w:r>
      <w:r>
        <w:rPr>
          <w:rFonts w:ascii="Times New Roman" w:cs="Times New Roman" w:eastAsia="Times New Roman" w:hAnsi="Times New Roman"/>
          <w:sz w:val="18"/>
          <w:szCs w:val="18"/>
          <w:b w:val="1"/>
          <w:bCs w:val="1"/>
          <w:color w:val="auto"/>
        </w:rPr>
        <w:t>Janney Montgomery Scott</w:t>
      </w:r>
      <w:r>
        <w:rPr>
          <w:sz w:val="20"/>
          <w:szCs w:val="20"/>
          <w:color w:val="auto"/>
        </w:rPr>
        <w:tab/>
      </w:r>
      <w:r>
        <w:rPr>
          <w:rFonts w:ascii="Times New Roman" w:cs="Times New Roman" w:eastAsia="Times New Roman" w:hAnsi="Times New Roman"/>
          <w:sz w:val="18"/>
          <w:szCs w:val="18"/>
          <w:b w:val="1"/>
          <w:bCs w:val="1"/>
          <w:color w:val="auto"/>
        </w:rPr>
        <w:t>Ladenburg Thalmann</w:t>
      </w:r>
      <w:r>
        <w:rPr>
          <w:sz w:val="20"/>
          <w:szCs w:val="20"/>
          <w:color w:val="auto"/>
        </w:rPr>
        <w:tab/>
      </w:r>
      <w:r>
        <w:rPr>
          <w:rFonts w:ascii="Times New Roman" w:cs="Times New Roman" w:eastAsia="Times New Roman" w:hAnsi="Times New Roman"/>
          <w:sz w:val="17"/>
          <w:szCs w:val="17"/>
          <w:b w:val="1"/>
          <w:bCs w:val="1"/>
          <w:color w:val="auto"/>
        </w:rPr>
        <w:t>William Blair</w:t>
      </w:r>
    </w:p>
    <w:p>
      <w:pPr>
        <w:sectPr>
          <w:pgSz w:w="11900" w:h="16846" w:orient="portrait"/>
          <w:cols w:equalWidth="0" w:num="1">
            <w:col w:w="11240"/>
          </w:cols>
          <w:pgMar w:left="320" w:top="441" w:right="339" w:bottom="0" w:gutter="0" w:footer="0" w:header="0"/>
        </w:sectPr>
      </w:pPr>
    </w:p>
    <w:bookmarkStart w:id="1" w:name="page2"/>
    <w:bookmarkEnd w:id="1"/>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Lead Manager</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EF Hutton</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division of Benchmark Investments, LLC</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Co-Managers</w:t>
      </w:r>
    </w:p>
    <w:p>
      <w:pPr>
        <w:sectPr>
          <w:pgSz w:w="11900" w:h="16838" w:orient="portrait"/>
          <w:cols w:equalWidth="0" w:num="1">
            <w:col w:w="9960"/>
          </w:cols>
          <w:pgMar w:left="800" w:top="335" w:right="11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Aegis Capital Corp.</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Brownstone Investment Group</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Huntington Capital Markets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InspereX</w:t>
      </w:r>
    </w:p>
    <w:p>
      <w:pPr>
        <w:spacing w:after="0" w:line="211" w:lineRule="exact"/>
        <w:rPr>
          <w:sz w:val="20"/>
          <w:szCs w:val="20"/>
          <w:color w:val="auto"/>
        </w:rPr>
      </w:pPr>
    </w:p>
    <w:p>
      <w:pPr>
        <w:sectPr>
          <w:pgSz w:w="11900" w:h="16838" w:orient="portrait"/>
          <w:cols w:equalWidth="0" w:num="4">
            <w:col w:w="1620" w:space="720"/>
            <w:col w:w="2500" w:space="720"/>
            <w:col w:w="2900" w:space="720"/>
            <w:col w:w="780"/>
          </w:cols>
          <w:pgMar w:left="800" w:top="335" w:right="1139" w:bottom="1440" w:gutter="0" w:footer="0" w:header="0"/>
          <w:type w:val="continuous"/>
        </w:sectPr>
      </w:pP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Maxim Group LLC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Newbridge Securities Corporation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Revere Securities LLC</w:t>
      </w:r>
    </w:p>
    <w:p>
      <w:pPr>
        <w:spacing w:after="0" w:line="200" w:lineRule="exact"/>
        <w:rPr>
          <w:sz w:val="20"/>
          <w:szCs w:val="20"/>
          <w:color w:val="auto"/>
        </w:rPr>
      </w:pPr>
    </w:p>
    <w:p>
      <w:pPr>
        <w:sectPr>
          <w:pgSz w:w="11900" w:h="16838" w:orient="portrait"/>
          <w:cols w:equalWidth="0" w:num="3">
            <w:col w:w="3120" w:space="720"/>
            <w:col w:w="3640" w:space="720"/>
            <w:col w:w="1760"/>
          </w:cols>
          <w:pgMar w:left="800" w:top="335" w:right="1139" w:bottom="1440" w:gutter="0" w:footer="0" w:header="0"/>
          <w:type w:val="continuous"/>
        </w:sectPr>
      </w:pP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The date of this prospectus supplement is 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299085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800" w:top="335" w:right="11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17"/>
                <w:szCs w:val="17"/>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3"/>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10600" w:type="dxa"/>
            <w:vAlign w:val="bottom"/>
            <w:gridSpan w:val="2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 SUPPLEMENT</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NOTES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MATERIAL U.S. FEDERAL INCOME TAX CONSIDERATIONS</w:t>
            </w:r>
          </w:p>
        </w:tc>
        <w:tc>
          <w:tcPr>
            <w:tcW w:w="492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176"/>
        </w:trPr>
        <w:tc>
          <w:tcPr>
            <w:tcW w:w="50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40" w:type="dxa"/>
            <w:vAlign w:val="bottom"/>
            <w:gridSpan w:val="4"/>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64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6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WARRANTS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28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UNITS</w:t>
            </w:r>
          </w:p>
        </w:tc>
        <w:tc>
          <w:tcPr>
            <w:tcW w:w="77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34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1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50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is a supplement to the accompanying prospectus. This prospectus supplement and the accompanying prospectus are part of a registration statement that we filed with the Securities and Exchange Commission, or SEC, utilizing a shelf registration process. This prospectus supplement provides you with specific information about this offering, including the price and terms of the Notes being offered and the risk of investing in our securities. The accompanying prospectus provides more general information, some of which may not apply to this offering.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this prospectus supplement, the accompanying prospectus, and any related free writing prospectus together with the additional information described in the sections entitled “Incorporation of Certain Documents by Reference” and “Where You Can Find More Information” of this prospectus supplement.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or on behalf of us or to which we have referred you. Neither we nor the underwriters take any responsibility for, and can provide no assurances as to the reliability of, any other information that others may give to you. This prospectus supplement, the accompanying prospectus and any applicable free writing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of this prospectus supplement, but the information and our business, cash flows, condition (financial and otherwise), liquidity, prospects and results of operations may have changed since that date.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or sale of these securities in some jurisdictions may be restricted by law. Persons outside of the United States who come into possession of this prospectus supplement and the accompanying prospectus are required by us and the underwriters to inform themselves about and to observe any applicable restrictions. This prospectus supplement and the accompanying prospectus may not be used for or in connection with an offer or solicitation by any person in any jurisdiction in which that offer or solicitation is not authorized or to any person to whom it is unlawful to make that offer or solicitation.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investing in our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and incorporate by reference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Generally, the words “anticipate,” “believe,” “continue,” “expect,” “intend,” “estimate,” “project,” “plan” and similar expressions identify forward-looking statements. In particular, statements about our expectations, beliefs, plans, objectives, assumptions or future events or performance contain forward-looking statements.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our Annual Report on Form 10-K for the year ended December 31, 2021, Quarterly Reports on Form 10-Q for the quarters ended March 31, 2022, June 30, 2022 and September 30, 2022, and other documents that we file from time to time with the SEC that are incorporated by reference in this prospectus supplement and the accompanying prospectus.</w:t>
      </w:r>
    </w:p>
    <w:p>
      <w:pPr>
        <w:spacing w:after="0" w:line="19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This list of risks and uncertainties, however, is only a summary of some of the most important factors and is not intended to be exhaustive. 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Except as otherwise required by applicable law, we do not undertake and expressly disclaim any obligation to update any such statements or to publicly announce the results of any revisions to any such statements to reflect future events or developments. All subsequent written and oral forward-looking statements attributable to us, or to persons acting on our behalf, are expressly qualified in their entirety by these cautionary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162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or incorporated by reference in this prospectus supplement and the accompanying prospectus. This summary is not complete and does not contain all of the information that you should consider when making your investment decision. You should carefully read the entire prospectus supplement, the accompanying prospectus and the information incorporated herein by reference, including the section entitled “Risk Factors” beginning on page S-9 of this prospectus supplement and the “Risk Factors” section in the accompanying prospectus, in our Annual Report on Form 10-K for the year ended December 31, 2021, Quarterly Reports on Form 10-Q for the quarters ended March 31, 2022, June 30, 2022 and September 30, 2022, and in our other reports that we file with the SEC that are incorporated by reference into this prospectus supplement and the accompanying prospectus.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supplement, unless the context requires otherwise, references to “Harrow,” the “Company,” “we,” “us” and “our” refer to Harrow Health, Inc., together with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eyecare pharmaceutical company exclusively focused on the discovery, development, and commercialization of innovative ophthalmic therapies that are accessible and affordable.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owns non-controlling equity positions in Surface Ophthalmics, Inc. (“Surface”) and Melt Pharmaceuticals, Inc. (“Melt”), both companies that began as subsidiaries of Harrow. Harrow also owns royalty rights in various drug candidates being developed by Surface and Melt.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ImprimisRx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ImprimisRx is our ophthalmology-focused prescription pharmaceutical compounding business. From its inception in 2014, ImprimisRx, which consists of integrated research and development, production, dispensing/distribution, sales, marketing, and customer service capabilities, has offered physician customers and their patients access to critical medicines to meet their clinical needs. Initially, ImprimisRx focused exclusively on compounded medications to serve needs unmet by commercially available medications. We also make these unique formulations available at prices that are, in most cases, lower than non-customized commercial medications. ImprimisRx’s customer base has grown to include more than 10,000 U.S. eyecare dedicated prescribers and institutions. Our current ophthalmology formulary includes over twenty compounded formulations, many of which are patented or patent-pending, and are customizable for the specific needs of a patient. Some of our compounded medications are various combinations of drugs formulated into one bottle and others are preservative free formulations. Depending on the formulation, the regulations of a specific state, and ultimately, the needs of the patient, ImprimisRx products may be dispensed (a) as patient-specific medications from our 503A pharmacy; or, (b) for in-office use made according to current good manufacturing practices (or “cGMPs”) or other FDA-guidance documents, in our FDA-registered New Jersey outsourcing facility (“NJOF”). In August 2020, ImprimisRx entered into a Commercial Alliance Agreement (the “Dexycu Agreement”) with Eyepoint Pharmaceuticals, Inc. (“Eyepoint”), pursuant to which Eyepoint granted ImprimisRx the right to promote DEXYCU® (dexamethasone intraocular suspension) 9% for the treatment of post-operative inflammation following ocular surgery in the United States. Pursuant to the Dexycu Agreement, Eyepoint pays ImprimisRx a fee that is calculated based on the quarterly sales of DEXYCU in the U.S. In October 2022, we entered into a mutual termination agreement with Eyepoint, pursuant to which we agreed to (a) continue to support the sale of DEXYCU through the fourth quarter of 2022, consistent with our level of effort during the January through June 2022 period, (b) decrease the required minimum quarterly sales levels based on DEXYCU unit demand for the fourth quarter of 2022, and (c) terminate the Dexycu Agreement, along with ancillary letter agreements, effective January 1, 2023. As a result, we expect our commissions from sales of DEXYCU to decrease through the end of 2022 and cease in 2023; however such effect is not expected to have a material impact on our business, financial statements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Pharmaceuticals and Drug Candidates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two years, in order to more fully serve the needs of our growing customer base, we have invested in broadening our product portfolio to include FDA-approved products. Our investments in this regard have led to the pursuit and completion of several announced transactions, and others we are continuing to pursue, all of which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145415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8696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696325"/>
                    </a:xfrm>
                    <a:prstGeom prst="rect">
                      <a:avLst/>
                    </a:prstGeom>
                    <a:noFill/>
                  </pic:spPr>
                </pic:pic>
              </a:graphicData>
            </a:graphic>
          </wp:anchor>
        </w:drawing>
        <w:t>IOPIDINE®, MAXITROL®, MOXEZA®</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2021, we acquired U.S. commercial rights to four FDA-approved ophthalmic medicines: IOPIDINE 1% and 0.5% (apraclonidine hydrochloride); MAXITROL (neomycin/polymyxin B/dexamethasone) ophthalmic suspension; and MOXEZA (moxifloxacin hydrochloride). We believe by expanding our product portfolio to include branded FDA-approved products, we will be uniquely positioned to leverage our commercial platform to introduce unique lifecycle management strategies that could grow sales and address needs of our customers that we are unable to meet with our other compounded product offerings.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of closing the acquisition of the four products, we agreed to a transitional period with the seller, which lasted nine months following the closing of the transaction. During the transition period, the seller continued to sell the products and transferred the net profit from those sales to us. Following the transition period which ended in June 2022, we made IOPIDINE 1% and MAXITROL commercially available, and expect to re-launch MOXEZA at a later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IHEEZO</w:t>
      </w:r>
      <w:r>
        <w:rPr>
          <w:rFonts w:ascii="Times New Roman" w:cs="Times New Roman" w:eastAsia="Times New Roman" w:hAnsi="Times New Roman"/>
          <w:sz w:val="29"/>
          <w:szCs w:val="29"/>
          <w:i w:val="1"/>
          <w:iCs w:val="1"/>
          <w:color w:val="auto"/>
          <w:vertAlign w:val="superscript"/>
        </w:rPr>
        <w:t>TM</w:t>
      </w:r>
    </w:p>
    <w:p>
      <w:pPr>
        <w:spacing w:after="0" w:line="1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2021, we acquired the exclusive marketing and supply rights to IHEEZO (chloroprocaine hydrochloride ophthalmic gel) 3% in the U.S. and Canada for ocular surface anesthesia from Sintetica S.A. (“Sintetica”). The FDA approved IHEEZO for ocular surface anesthesia in September 2022. IHEEZO is protected by an Orange Book listed patent that is valid until 2038. We expect to commercially launch IHEEZO in the U.S. market during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MAQ-100</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acquired the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 (a) treatments for alleviation of diabetic macular edema, (b) macular edema associated with retinal vein occlusion (or RVO), and (c) non-infectious uveitis. We intend to leverage the clinical data used for Japanese market approval of MaQaid to support a clinical program and U.S. market NDA submission of MAQ-100 for visualization during vitrectomy. In August 2022, we had a Type B meeting with the FDA to discuss our planned clinical program for MAQ-100. The FDA provided clarity on what would be required for a future NDA filing of MAQ-100, and we are working with Wakamoto accordingly in an effort to efficiently advance the clinical program of MAQ-100.</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continue to acquire and/or develop additional FDA-approved/approvable ophthalmic products and product candidates that will allow us to leverage our commercial infrastructure to promote, sell, and ultimately bring these products to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ownership interests in Surface, Melt, and Eton Pharmaceuticals, Inc. (“Eton”) and hold royalty interests in some of Surface’s and Melt’s drug candidates. These companies are pursuing market approval for their drug candidates under the Food Drug and Cosmetic Act, including in some instances under the abbreviated pathway described in Section 505(b)(2), which permits the submission of an NDA where at least some of the information required for approval comes from studies not conducted by or for the applicant and for which the applicant has not obtained a right of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Equity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Surface Ophthalmics, Inc.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Surface is a clinical-stage pharmaceutical company focused on development and commercialization of innovative therapeutics for ocular surface diseases.</w:t>
      </w:r>
    </w:p>
    <w:p>
      <w:pPr>
        <w:spacing w:after="0" w:line="162" w:lineRule="exact"/>
        <w:rPr>
          <w:sz w:val="20"/>
          <w:szCs w:val="20"/>
          <w:color w:val="auto"/>
        </w:rPr>
      </w:pPr>
    </w:p>
    <w:p>
      <w:pPr>
        <w:jc w:val="both"/>
        <w:ind w:left="1300" w:right="20" w:hanging="647"/>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SURF-100 for Chronic Dry Eye Disease</w:t>
      </w:r>
      <w:r>
        <w:rPr>
          <w:rFonts w:ascii="Times New Roman" w:cs="Times New Roman" w:eastAsia="Times New Roman" w:hAnsi="Times New Roman"/>
          <w:sz w:val="18"/>
          <w:szCs w:val="18"/>
          <w:color w:val="auto"/>
        </w:rPr>
        <w:t>: Surface completed its 350-patient Phase 2 clinical trial, comparing five active arms of SURF-100 study drugs with the current market-leading prescription chronic dry eye treatments. According to Surface, the SURF-100 Phase 2 clinical trial achieved positive results for both signs and symptoms of chronic dry eye disease, as well as generating positive data on onset and duration of action.</w:t>
      </w:r>
    </w:p>
    <w:p>
      <w:pPr>
        <w:spacing w:after="0" w:line="179" w:lineRule="exact"/>
        <w:rPr>
          <w:rFonts w:ascii="Times New Roman" w:cs="Times New Roman" w:eastAsia="Times New Roman" w:hAnsi="Times New Roman"/>
          <w:sz w:val="18"/>
          <w:szCs w:val="18"/>
          <w:color w:val="auto"/>
        </w:rPr>
      </w:pPr>
    </w:p>
    <w:p>
      <w:pPr>
        <w:ind w:left="1300" w:right="20" w:hanging="647"/>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SURF-200 for Acute Dry Eye</w:t>
      </w:r>
      <w:r>
        <w:rPr>
          <w:rFonts w:ascii="Times New Roman" w:cs="Times New Roman" w:eastAsia="Times New Roman" w:hAnsi="Times New Roman"/>
          <w:sz w:val="18"/>
          <w:szCs w:val="18"/>
          <w:color w:val="auto"/>
        </w:rPr>
        <w:t>: Surface has completed enrollment of its Phase 2 clinical trial for SURF-200 and expects to announce top-line results later this year.</w:t>
      </w:r>
    </w:p>
    <w:p>
      <w:pPr>
        <w:spacing w:after="0" w:line="161" w:lineRule="exact"/>
        <w:rPr>
          <w:rFonts w:ascii="Times New Roman" w:cs="Times New Roman" w:eastAsia="Times New Roman" w:hAnsi="Times New Roman"/>
          <w:sz w:val="18"/>
          <w:szCs w:val="18"/>
          <w:color w:val="auto"/>
        </w:rPr>
      </w:pPr>
    </w:p>
    <w:p>
      <w:pPr>
        <w:jc w:val="both"/>
        <w:ind w:left="1300" w:right="20" w:hanging="647"/>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SURF-201 for Pain and Inflammation Following Ocular Surgery</w:t>
      </w:r>
      <w:r>
        <w:rPr>
          <w:rFonts w:ascii="Times New Roman" w:cs="Times New Roman" w:eastAsia="Times New Roman" w:hAnsi="Times New Roman"/>
          <w:sz w:val="18"/>
          <w:szCs w:val="18"/>
          <w:color w:val="auto"/>
        </w:rPr>
        <w:t>: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140335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2" w:right="49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927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5927725"/>
                    </a:xfrm>
                    <a:prstGeom prst="rect">
                      <a:avLst/>
                    </a:prstGeom>
                    <a:noFill/>
                  </pic:spPr>
                </pic:pic>
              </a:graphicData>
            </a:graphic>
          </wp:anchor>
        </w:drawing>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Surface’s equity and voting interests as of September 30, 2022. Harrow owns mid-single digit royalty rights on net sales of SURF-100, SURF-200 and SURF-201.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Pharmaceuticals, Inc.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MELT-300 is a novel, sublingually delivered, non-IV, opioid-free drug candidate being developed for procedural sedation. Melt filed an investigational new drug application (“IND”) with the FDA in June 2020 and began its clinical program for MELT-300. In February 2021, Melt announced data from, and the successful completion of, its Phase 1 study. Melt began enrolling patients in its Phase 2 study for MELT-300 during the fourth quarter of 2021, and we expect Melt to release top-line data related to this study sometime during the fourth quarter of 2022.</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2019, Melt closed an offering of its Series A Preferred Stock. At that time, we gave up our controlling interest and deconsolidated Melt from our consolidated financial statements. We own 3,500,000 shares of Melt common stock, which was approximately 46% of Melt’s equity and voting interests issued and outstanding as of September 30, 2022. In September 2021, we provided Melt with a senior secured loan with a principal amount of $13,500,000, which is intended, among other things, to fund the Phase 2 program of MELT-300. In connection with the loan, we were given the right, but not the obligation, to match any offer received by Melt associated with the commercial rights to any of its drug candidates for a period of five years. In September 2022, Melt filed a registration statement on Form S-1 with the United States Securities and Exchange Commission related to an initial public offering of Melt’s common stock in an underwritten offering (the “Melt IPO”). The registration statement contains, among other things, a description of Melt’s business, financial statements and strategic plans. If the Melt IPO is completed, we expect to settle $10,000,000 of the principal balance of our loan to Melt in exchange for Melt common stock at the price of the Melt IPO, net of any underwriting discounts.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Eton Pharmaceuticals, Inc.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Eton is an innovative pharmaceutical company focused on developing, acquiring, and commercializing treatments for rare diseases. Eton currently commercializes ALKINDI SPRINKLE® and Carglumic Acid tablets and has four additional rare disease products under development, including dehydrated alcohol injection and the ZENEO® hydrocortisone autoinjector. In May 2017, we gave up our controlling interest in Eton. We own 1,982,000 shares of Eton common stock, which was less than 10% of the equity and voting interests issued and outstanding of Eton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145415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985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7985125"/>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from Novartis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13,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“Products”) in the U.S. (the “Acquisition”) :</w:t>
      </w:r>
    </w:p>
    <w:p>
      <w:pPr>
        <w:spacing w:after="0" w:line="176" w:lineRule="exact"/>
        <w:rPr>
          <w:sz w:val="20"/>
          <w:szCs w:val="20"/>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ILEVRO® (nepafenac ophthalmic suspension) 0.3%,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NEVANAC® (nepafenac ophthalmic suspension) 0.1%,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VIGAMOX® (moxifloxacin hydrochloride ophthalmic solution) 0.5%, a fluoroquinolone antibiotic eye drop for the treatment of bacterial conjunctivitis caused by susceptible strains of organisms.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MAXIDEX® (dexamethasone ophthalmic suspension) 0.1%, a steroid eye drop for steroid-responsive inflammatory conditions of the palpebral and bulbar conjunctiva, cornea, and anterior segment of the globe.</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TRIESENCE® (triamcinolone acetonide injectable suspension) 40 mg/ml, a steroid injection for the treatment of certain ophthalmic diseases and for visualization during vitrectomy.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Purchase Agreement, we will make a one-time payment of $130,000,000 at closing, with up to another $45,000,000 due in a milestone payment related to the commercial availability of Triesence. The Acquisition is expected to close in the first quarter of 2023, subject to the satisfaction of customary closing conditions, including clearance under the Hart-Scott Rodino Antitrust Improvements Act. Pursuant to the Purchase Agreement and various ancillary agreements, immediately following the closing and subject to certain conditions, for a period that we expect to last approximately six months, and prior to the transfer of the Products new drug applications (the “NDAs”) to us, Novartis will continue to sell the Products on our behalf and transfer the net profit from the sale of the Products to us. Novartis has agreed to supply certain Products to the Company for a period of time after the NDAs are transferred to us and to assist with technology transfer of the Products manufacturing to other third-party manufacturers, if needed.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Acquisition will help accelerate our vision of becoming a leading U.S. ophthalmic pharmaceutical company. Some of these products are patent protected with established insurance coverage, their brand names are well-known in the ophthalmology industry, and have other unique competitive advantages we intend to utilize to grow sales. We believe these five branded products provide an excellent complement to our existing portfolio of ophthalmic prescription products and will be of tremendous value to our customers – giving them more choices and flexibility when considering the best treatment options for their patients and the specific needs of their practices. As such, we intend to leverage our existing commercial infrastructure and shared resources to generate economies of scale, expand and grow our overall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Adjusted EBITDA and Financial Impact of the Acquisition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in the Company’s Annual Report on Form 10-K and quarterly reports on Form 10-Q incorporated by reference in this prospectus, management also utilizes Adjusted EBITDA, an unaudited financial measure that is not calculated in accordance with GAAP, to evaluate the Company’s financial results and performance and to plan and forecast future periods. Investors are encouraged to review the Company’s complete results of operations and additional information provided in the Company’s Annual Report on Form 10-K and quarterly reports on Form 10-Q incorporated by reference to this prospectus. Management believes that the non-GAAP financial measure reflects an additional way of viewing aspects of the Company’s operations that, when viewed with GAAP results, provides a more complete understanding of the Company’s results of operations and the factors and trends affecting its business.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Given the expected significant impact of the Products acquired in the Acquisition on the Company’s financial results and performance, management believes that it would be meaningful to investors for the Company to present pro forma Adjusted EBITDA for the most recent twelve-month period reflecting management’s estimate of the impact of the Acquisition on Adjusted EBITDA. Historical and pro forma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664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6664960"/>
                    </a:xfrm>
                    <a:prstGeom prst="rect">
                      <a:avLst/>
                    </a:prstGeom>
                    <a:noFill/>
                  </pic:spPr>
                </pic:pic>
              </a:graphicData>
            </a:graphic>
          </wp:anchor>
        </w:drawing>
        <w:t>For the twelve months ended September 30, 2022, the Company generated $13.4 million of Adjusted EBITDA. In the fourth quarter of 2021, the Company expensed $3.1 million of costs in connection with a milestone payment for IHEEZO prior to FDA approval which was accounted for as an acquisition of in-process research and development (“IPR&amp;D”). Management estimates that during the twelve months ended September 30, 2022, the Products acquired in the Acquisition with near immediate commercial availability (Ilevro, Nevanac, Vigamox and Maxidex) would have generated Adjusted EBITDA of $33.3 million which, when aggregated with the Company’s historical Adjusted EBITDA and the acquired IPR&amp;D costs would result in a sum of $49.8 million for the twelve months ended September 30, 2022. Management’s estimate of Adjusted EBITDA generated by the Acquisition for the twelve months ended September 30, 2022 assumes that the Acquisition was completed on October 1, 2021 and does not include sales figures associated with Triesence due to lack of commercial availability, among other factors, and is based on estimates of sales, cost of goods sold and marketing fees provided by Novartis as well as other estimates by management of the Company.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pro forma Adjusted EBITDA, a non-GAAP measure, to the most comparable GAAP measure, net loss, for the twelve months ended September 30, 2022 (amounts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Twelve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Harrow Health Historical Adjusted EBITDA</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Loss(1)</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and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Loss,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Harrow Health Historical Adjusted EBITDA</w:t>
            </w:r>
          </w:p>
        </w:tc>
        <w:tc>
          <w:tcPr>
            <w:tcW w:w="20" w:type="dxa"/>
            <w:vAlign w:val="bottom"/>
          </w:tcPr>
          <w:p>
            <w:pPr>
              <w:spacing w:after="0"/>
              <w:rPr>
                <w:sz w:val="17"/>
                <w:szCs w:val="17"/>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7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Management Estimate of Acquired Asset EBITDA</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7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Harrow Health Historical Adjusted EBITDA + Management Estimate of Acquired Adjusted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60" w:hanging="7"/>
        <w:spacing w:after="0" w:line="261" w:lineRule="auto"/>
        <w:tabs>
          <w:tab w:leader="none" w:pos="9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during the period presented includes $3,117 of acquired IPR&amp;D costs associated with the acquisition of IHEEZO. The Company recently made a change to its methodology for reporting of Adjusted EBITDA to include IPR&amp;D charges. During the 2021 reporting periods, including the fourth quarter of 2021, the IPR&amp;D costs associated with acquisition of IHEEZO and similar IPR&amp;D transactions were excluded from Adjusted EBITDA for reporting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Offering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13, 2022, we also sold, by means of a separate prospectus supplement, 2,376,426 shares of our common stock, par value $0.001 per share to certain institutional investors for aggregate gross proceeds of approximately $25,000,000. This prospectus supplement does not constitute an offer to buy any securities offered in the common stock offering. See “Use of Proceeds” in this prospectus supplement for additional information regarding the anticipated use of proceeds from this offering and the offering of the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241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Financing Commitments / Other Financing Transactions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BRS has committed to provide, through one or more affiliates, secured term indebtedness to the Company (the “Secured Loan”) in an amount equal to $65,000,000. The Secured Loan will have a three-year term, bear interest at a per annum rate equal to 10.875%, and shall be secured by liens on substantially all the assets of the Company and its subsidiaries. The Secured Loan provides for scheduled quarterly amortization payments of 2.5% of the original principal balance of the Secured Loan, and for mandatory prepayments of excess cash flow, proceeds of certain debt financings, and other customary prepayment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Divestment of Non-Ophthalmic Revenues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October 2022, we entered into an Asset Purchase Agreement (the “RPC Agreement”) with Innovation Compounding Pharmacy, LLC (the “Buyer”). The closing of the RPC Agreement was made effective on September 30, 2022. Under the terms of the RPC Agreement, the Company agreed to sell substantially all its assets associated with its non-ophthalmology related compounding business, including but not limited to, certain intellectual property rights, customer lists, databases, and formulations (the “RPC Assets”). The Buyer agreed to make offers of employment to six of the Company’s employees that were responsible for the sales activities associated with the RPC Assets. In connection with the RPC Agreement, the Company entered into a separate transition services agreement with the Buyer related to providing on going services, such as procuring and dispensing prescription orders associated with RPC Assets. The Company expects to provide transition services to the Buyer for up to six months following the effective date of the RPC Agreement. Under the terms of the RPC Agreement, the Buyer paid to the Company an aggregate cash amount of $6,000,000 on October 5, 2022. In addition, the Buyer is obligated to pay up to $4,500,000 to the Company based on mutually agreed upon revenue milestones during the calendar year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Times New Roman" w:cs="Times New Roman" w:eastAsia="Times New Roman" w:hAnsi="Times New Roman"/>
          <w:sz w:val="18"/>
          <w:szCs w:val="18"/>
          <w:i w:val="1"/>
          <w:iCs w:val="1"/>
          <w:color w:val="auto"/>
        </w:rPr>
        <w:t>harrowinc.com</w:t>
      </w:r>
      <w:r>
        <w:rPr>
          <w:rFonts w:ascii="Times New Roman" w:cs="Times New Roman" w:eastAsia="Times New Roman" w:hAnsi="Times New Roman"/>
          <w:sz w:val="18"/>
          <w:szCs w:val="18"/>
          <w:color w:val="auto"/>
        </w:rPr>
        <w:t>. Information contained on our website is not deemed part of this prospectus supplement or the accompanying prospectus and is not incorporated in this prospectus supplement, the accompanying prospectus or any other document that we file with the SEC by reference.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2" w:right="4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436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The Offering</w:t>
      </w:r>
    </w:p>
    <w:p>
      <w:pPr>
        <w:spacing w:after="0" w:line="227" w:lineRule="exact"/>
        <w:rPr>
          <w:sz w:val="20"/>
          <w:szCs w:val="20"/>
          <w:color w:val="auto"/>
        </w:rPr>
      </w:pPr>
    </w:p>
    <w:p>
      <w:pPr>
        <w:ind w:left="160"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material terms of the Notes. For more complete information about the Notes, see “Description of the Notes”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Harrow Health, Inc.</w:t>
            </w:r>
          </w:p>
        </w:tc>
      </w:tr>
      <w:tr>
        <w:trPr>
          <w:trHeight w:val="432"/>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Title of the Securities:</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11.875% Senior Notes due 2027</w:t>
            </w:r>
          </w:p>
        </w:tc>
      </w:tr>
      <w:tr>
        <w:trPr>
          <w:trHeight w:val="432"/>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Principal Amount Offered:</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$35,000,000</w:t>
            </w:r>
          </w:p>
        </w:tc>
      </w:tr>
      <w:tr>
        <w:trPr>
          <w:trHeight w:val="414"/>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Option to Purchase Additional Notes:</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underwriters may also purchase from the Company up to an additional $5,250,000 aggregate</w:t>
            </w: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principal amount of the Notes, within 30 days of the date of this prospectus supplement.</w:t>
            </w:r>
          </w:p>
        </w:tc>
      </w:tr>
      <w:tr>
        <w:trPr>
          <w:trHeight w:val="432"/>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Initial Public Offering Price:</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100% of the principal amount</w:t>
            </w:r>
          </w:p>
        </w:tc>
      </w:tr>
      <w:tr>
        <w:trPr>
          <w:trHeight w:val="432"/>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20, 2022</w:t>
            </w:r>
          </w:p>
        </w:tc>
      </w:tr>
      <w:tr>
        <w:trPr>
          <w:trHeight w:val="432"/>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Notes will mature on December 31, 2027, unless redeemed prior to maturity.</w:t>
            </w:r>
          </w:p>
        </w:tc>
      </w:tr>
      <w:tr>
        <w:trPr>
          <w:trHeight w:val="414"/>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11.875% per year, payable quarterly in arrears on January 31, April 30, July 31 and October 31 of</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each year, commencing on January 31, 2023, and at maturity. If an interest payment date falls on a</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day other than a business day, the applicable interest payment will be made on the next business</w:t>
            </w: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day and no additional interest will accrue as a result of such delayed payment.</w:t>
            </w:r>
          </w:p>
        </w:tc>
      </w:tr>
      <w:tr>
        <w:trPr>
          <w:trHeight w:val="432"/>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None.</w:t>
            </w:r>
          </w:p>
        </w:tc>
      </w:tr>
      <w:tr>
        <w:trPr>
          <w:trHeight w:val="414"/>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Notes will be senior unsecured obligations of the Company, and will rank equal in right of</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 with all of its other existing and future senior unsecured and unsubordinated indebtedness,</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including our outstanding 8.625% Senior Notes due 2026. The Notes will be effectively</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subordinated to all of our existing and future secured indebtedness to the extent of the value of the</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assets securing such indebtedness, including without limitation the Secured Loan. The Notes will</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 structurally subordinated to all existing and future indebtedness (including trade payables) of our</w:t>
            </w: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subsidiaries.</w:t>
            </w:r>
          </w:p>
        </w:tc>
      </w:tr>
      <w:tr>
        <w:trPr>
          <w:trHeight w:val="414"/>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indenture governing the Notes does not limit the amount of indebtedness that we or our</w:t>
            </w: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subsidiaries may incur or whether any such indebtedness can be secured by our assets.</w:t>
            </w:r>
          </w:p>
        </w:tc>
      </w:tr>
      <w:tr>
        <w:trPr>
          <w:trHeight w:val="414"/>
        </w:trPr>
        <w:tc>
          <w:tcPr>
            <w:tcW w:w="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Prior to December 31, 2024 (the “Notes Make-Whole Call Date”), we may, at our option, redeem</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Notes, in whole at any time or in part from time to time, at a redemption price equal to 100% of</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principal amount of the Notes to be redeemed, plus a Make-Whole Amount (as defined in</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“Description of the Notes — Optional Redemption”), if any, plus accrued and unpaid interest to,</w:t>
            </w: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but excluding, the date of redemption.</w:t>
            </w:r>
          </w:p>
        </w:tc>
      </w:tr>
      <w:tr>
        <w:trPr>
          <w:trHeight w:val="414"/>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We may redeem the Notes for cash in whole or in part at any time at our option (i) on or after</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2024 and prior to December 31, 2025, at a price equal to $25.50 per note, plus</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and unpaid interest to, but excluding, the date of redemption, (ii) on or after December 31,</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2025 and prior to December 31, 2026, at a price equal to $25.25 per note, plus accrued and unpaid</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to, but excluding, the date of redemption, and (iii) on or after December 31, 2026 and prior</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 maturity, at a price equal to 100% of their principal amount, plus accrued and unpaid interest to,</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but excluding, the date of redemption. See “Description of the Notes — Optional Redemption” for</w:t>
            </w: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details.</w:t>
            </w:r>
          </w:p>
        </w:tc>
      </w:tr>
      <w:tr>
        <w:trPr>
          <w:trHeight w:val="220"/>
        </w:trPr>
        <w:tc>
          <w:tcPr>
            <w:tcW w:w="20" w:type="dxa"/>
            <w:vAlign w:val="bottom"/>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tcPr>
          <w:p>
            <w:pPr>
              <w:spacing w:after="0"/>
              <w:rPr>
                <w:sz w:val="19"/>
                <w:szCs w:val="19"/>
                <w:color w:val="auto"/>
              </w:rPr>
            </w:pPr>
          </w:p>
        </w:tc>
      </w:tr>
      <w:tr>
        <w:trPr>
          <w:trHeight w:val="442"/>
        </w:trPr>
        <w:tc>
          <w:tcPr>
            <w:tcW w:w="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37"/>
        </w:trPr>
        <w:tc>
          <w:tcPr>
            <w:tcW w:w="40" w:type="dxa"/>
            <w:vAlign w:val="bottom"/>
            <w:tcBorders>
              <w:right w:val="single" w:sz="8" w:color="auto"/>
            </w:tcBorders>
          </w:tcPr>
          <w:p>
            <w:pPr>
              <w:spacing w:after="0"/>
              <w:rPr>
                <w:sz w:val="24"/>
                <w:szCs w:val="24"/>
                <w:color w:val="auto"/>
              </w:rPr>
            </w:pPr>
          </w:p>
        </w:tc>
        <w:tc>
          <w:tcPr>
            <w:tcW w:w="29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Mandatory Redemption:</w:t>
            </w:r>
          </w:p>
        </w:tc>
        <w:tc>
          <w:tcPr>
            <w:tcW w:w="824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In the event we fail to complete the Acquisition (excluding the milestone payment related to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commercial availability of Triesence), within 180 calendar days after the original issue date of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Notes, or, in certain circumstances, there is a Material Change (as defined below), we are required</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to redeem the Notes for cash, in whole but not in part, at the redemption price equal to $25.50 per</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note, plus accrued and unpaid interest to, but excluding, the date of redemption, as described under</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“Description of the Notes — Mandatory Redemption.”</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Sinking Fund:</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Notes will not be subject to any sinking fund (i.e., no amounts will be set aside by us to ensure</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repayment of the Notes at maturity).</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intend to use the net proceeds from the sale of the Notes to fund a portion of the purchase price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payable for the Acquisition, with remaining net proceeds available for general corporate purposes,</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including funding future strategic product acquisitions and related investments, making capital</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expenditures, and funding working capital. See “Use of Proceeds” and “Capitalization.”</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Events of default generally will include (i) failure to pay principal or interest, (ii) failure to observe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or perform any other covenant or warranty in the Notes or in the indenture, and (iii) certain events</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of bankruptcy, insolvency or reorganization. See “Description of the Notes — Events of Default.”</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indenture that governs the Notes contains certain covenants, including, but not limited to,</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restrictions on our ability to merge or consolidate with or into any other entity and a covenant</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regarding no material changes to the Acquisition. See “Description of the Notes — Covenants.”</w:t>
            </w:r>
          </w:p>
        </w:tc>
      </w:tr>
      <w:tr>
        <w:trPr>
          <w:trHeight w:val="432"/>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 Financial Covenants: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indenture governing the Notes does not contain financial covenants.</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Additional Notes: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may create and issue additional Notes ranking equally and ratably with the Notes in all respects,</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so that such additional Notes will constitute and form a single series with the Notes and will have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same terms as to status, redemption or otherwise (except the price to public, the issue date and,</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if applicable, the initial interest accrual date and the initial interest payment date) as the Notes;</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provided that if any such additional Notes are not fungible with the Notes initially offered hereby</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for U.S. federal income tax purposes, such additional Notes will have one or more separate CUSIP</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numbers.</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Notes are subject to legal and covenant defeasance by us. See “Description of the Notes —</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Defeasance” for more information.</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Company intends to apply to list the Notes on Nasdaq under the symbol “HROWM.” If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application is approved, the Company expects trading in the Notes to begin within 30 days after the</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original issue date.</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 and Denomination:</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Notes will be issued in book-entry form in denominations of $25 and integral multiples in</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excess thereof. The Notes will be represented by a permanent global certificate deposited with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trustee as custodian for The Depository Trust Company, or DTC, and registered in the name of a</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nominee of DTC. Beneficial interests in any of the Notes will be shown on, and transfers will be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effected only through, records maintained by DTC and its direct and indirect participants and any</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such interest may not be exchanged for certificated securities, except in limited circumstances.</w:t>
            </w:r>
          </w:p>
        </w:tc>
      </w:tr>
      <w:tr>
        <w:trPr>
          <w:trHeight w:val="432"/>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Notes and the indenture governing the Notes will be governed by and construed in accordance</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with the laws of the State of New York.</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Investing in the Notes involves risks. You should carefully consider the information set forth in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section of this prospectus supplement entitled “Risk Factors” beginning on page S-9, as well as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other information included in or incorporated by reference into this prospectus supplement and the</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accompanying prospectus before deciding whether to invest in the Notes.</w:t>
            </w:r>
          </w:p>
        </w:tc>
      </w:tr>
      <w:tr>
        <w:trPr>
          <w:trHeight w:val="220"/>
        </w:trPr>
        <w:tc>
          <w:tcPr>
            <w:tcW w:w="40" w:type="dxa"/>
            <w:vAlign w:val="bottom"/>
            <w:tcBorders>
              <w:right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8240" w:type="dxa"/>
            <w:vAlign w:val="bottom"/>
            <w:tcBorders>
              <w:bottom w:val="single" w:sz="8" w:color="auto"/>
              <w:right w:val="single" w:sz="8" w:color="auto"/>
            </w:tcBorders>
          </w:tcPr>
          <w:p>
            <w:pPr>
              <w:spacing w:after="0"/>
              <w:rPr>
                <w:sz w:val="19"/>
                <w:szCs w:val="19"/>
                <w:color w:val="auto"/>
              </w:rPr>
            </w:pPr>
          </w:p>
        </w:tc>
      </w:tr>
      <w:tr>
        <w:trPr>
          <w:trHeight w:val="442"/>
        </w:trPr>
        <w:tc>
          <w:tcPr>
            <w:tcW w:w="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240"/>
          </w:cols>
          <w:pgMar w:left="320" w:top="66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the Notes involves significant risks, including the risks described below. Before making an investment in the Notes, you should carefully consider, among other factors, the risks identified under “Risk Factors” in our Annual Report on Form 10-K for the fiscal year ended December 31, 2021 and our Quarterly Reports on Form 10-Q for the quarters ended March 31, 2022, June 30, 2022 and September 30, 2022. Please also refer to the section above entitled “Special Note Regarding Forward-Looking Statements.” Please also see “Forward-Looking Statements” in the accompanying prospectus and the risks described in the documents incorporated by reference in this prospectus supplement and in our other filings. The risks described in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 Notes and the suitability of investing in the Notes in light of your particular circumstances. Our business, financial condition and results of operations could be materially adversely affected by the materialization of any of these risks. The materialization of any of these risks could also result in a complete loss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able to incur substantially more debt, which could have important consequences to you, and we may be unable to service our debt.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The terms of the indenture governing the Notes will not prohibit us from doing so. If we incur any additional indebtedness that ranks equally with the Notes, the holders of that debt will be entitled to share ratably with you in any proceeds distributed in connection with any insolvency, liquidation, reorganization or dissolution. This may have the effect of reducing the amount of proceeds paid to you.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level of indebtedness could have important consequences to you, because:</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affect our ability to satisfy our financial obligations, including those relating to the Notes;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impair our ability to obtain additional debt or equity financing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ability to refinance all or a portion of our indebtedness on or before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flexibility in planning for, or reacting to, changes in our business and industry;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make us more vulnerable to downturns in our business, our industry or the economy in 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may not generate sufficient cash to enable us to service our debt. If we fail to make a payment on the Notes, we could be in default on the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no event of default under the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Notes having any rights to such assets. The indenture governing the Notes will not restrict our ability to incur additional indebtedness.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be unsecured and therefore will be effectively subordinated to any secured indebtedness that we currently have or that we may incur in the future.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Notes will not be secured by any of our assets or any of the assets of our subsidiaries. As a result, the Notes will be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including without limitation the Secured Loan.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Notes are obligations exclusively of the Company and not of any of our subsidiaries. None of our subsidiaries is a guarantor of the Notes, and the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any of our subsidiaries and any subsidiaries that we may in the future acquire or establish as financing vehicles or otherwise. The indenture governing the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limited protection for holders of the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180" w:lineRule="exact"/>
        <w:rPr>
          <w:sz w:val="20"/>
          <w:szCs w:val="20"/>
          <w:color w:val="auto"/>
        </w:rPr>
      </w:pPr>
    </w:p>
    <w:p>
      <w:pPr>
        <w:jc w:val="both"/>
        <w:ind w:left="1300" w:hanging="320"/>
        <w:spacing w:after="0" w:line="25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8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subordinated in right of payment to the Notes;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and may be forced to take other actions to satisfy our obligations under such indebtedness, which may not be successful.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obligations under, our debt will depend on our financial and operating performance and that of our subsidiaries, which, in turn, will be subject to prevailing economic and competitive conditions and to financial and business factors, many of which may be beyond our control.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not maintain a level of cash flow from operating activities sufficient to permit us to pay the principal, premium, if any, and interest on our indebtedness. If our cash flow and capital resources are insufficient to fund our debt service obligations, we may be forced to reduce or delay capital expenditures, sell assets, seek to obtain additional equity capital or restructure our debt. In the future, our cash flow and capital resources may not be sufficient for payments of interest on, and principal of, our debt, and such alternative measures may not be successful and may not permit us to meet our scheduled debt service obligations. We may not be able to refinance any of our indebtedness or obtain additional financing, particularly because of our anticipated high levels of debt and the debt incurrence restrictions imposed by the agreements governing our debt, as well as prevailing market conditions. In the absence of such operating results and resources, we could face substantial liquidity problems and might be required to dispose of material assets or operations to meet our debt service and other obligations. The instruments governing our indebtedness restrict our ability to dispose of assets and use the proceeds from any such dispositions. We may not be able to consummate those sales, or if we do, at an opportune time, the proceeds that we realize may not be adequate to meet debt service obligations when due.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value of the Notes.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Consequently, if you purchase the Notes, and the market interest rates subsequently increase, the market value of your Notes may decline. We cannot predict the future level of market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 which could limit the market price of the Notes or your ability to sell them.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a new issue of debt securities for which there currently is no trading market. We intend to apply to list the Notes on Nasdaq within 30 business days of the original issue date under the symbol “HROWM”.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may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there may be a limited number of buyers when you decide to sell your Notes. This may affect the price, if any, offered for your Notes or your ability to sell your Notes when desired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governing the Notes, we may from time to time without notice to, or the consent of, the holders of the Notes, create and issue additional Notes which will be equal in rank to the Notes. If any such additional Notes are not fungible with the Notes initially offered hereby for U.S. federal income tax purposes, such additional Notes will have one or more separate CUSIP numbers.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rating for the Notes could at any time be revised downward or withdrawn entirely at the discretion of the issuing rating agency.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Notes at our option, and may be required to redeem your Notes, each of which may adversely affect your return.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redeem the Notes, in whole or in part, at our option at any time or from time to time at the applicable redemption prices described in this prospectus supplement. In addition, we are required to redeem the Notes, in whole but not in part, if we fail to complete the Acquisition within 180 calendar days after the original issue date of the Notes. Prevailing interest rates at the time we redeem the Notes may be lower than the interest rate on the Notes. As a result, you may not be able to reinvest the redemption proceeds in a comparable security at an interest rate equal to or higher than the interest rate on the Notes. See “Description of the Notes — Optional Redemption” and “Description of the Notes — Mandatory Redemption” for a more detailed description of the conditions under which we may redeem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pending Acquisition.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the Acquisition will depend on, among other things, our ability to successfully integrate the Products into our commercial platform, transfer the Products NDAs, maintain payer reimbursement coverage, maintain an adequate supply of the Products, market the Products to our existing customers and re-introduce Triesence to the ophthalmic market. It is possible that we may not achieve the anticipated benefits of the Acquisition. If we experience difficulties with the implementation of plans with respect to the Acquisition, the anticipated benefits of the Acquisition may not be realized fully or at all, or may take longer to realize than expected. Integration efforts will also divert management attention and resources. These matters could have an adverse effect during this transition period and for an undetermined period after completion of the Acquisition.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Acquisition has not closed within 180 calendar days after the original issuance of the Notes, or if there is a material change to the terms of the Acquisition or Purchase Agreement that would be materially adverse to you, we will be required to redeem all of the Notes and you may not obtain your expected return on the Notes.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close the Acquisition is subject to various closing conditions, many of which are beyond our control. Therefore we may not be able to close the Acquisition. If the Acquisition (i) is not consummated on or prior to 180 calendar days after the original issuance of the Notes, or (ii) in certain circumstances, there is a Material Change ((i) and (ii), the “Acquisition Requirements”), in each instance, we will be required to redeem all of the Notes at a redemption price equal to $25.50 per note, plus accrued and unpaid interest to, but excluding, the redemption date. If we redeem the Notes pursuant to these redemption provisions, you may not obtain your expected return on the Notes and may not be able to reinvest the proceeds from such redemption in an investment that results in a comparable return. In addition, as a result of the mandatory redemption provisions of the Notes, the trading prices of the Notes may not reflect the financial results of our business or macroeconomic factors. Your decision to invest in the Notes is made at the time of the offering of the Notes. You will have no rights under the mandatory redemption provisions as long as the Acquisition is consummated in accordance with the Acquisition Requirements, nor will you have any right to require us to repurchase your Notes if, between the closing of this offering and the consummation of the Acquisition, we experience any changes (including any material changes) in our business or financial condition. See “Description of Notes – No Material Change to Acquisition.”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deposit the net proceeds of this offering into an escrow account, and we may not be able to raise the funds necessary to finance the mandatory redemption required under certain circumstances by the Indenture.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Acquisition (i) is not consummated on or prior to 180 calendar days after the original issuance of the Notes, or (ii) in certain circumstances, there is a Material Change, we will be required to redeem all of the Notes offered hereby. We will not deposit the net proceeds of this offering into an escrow account pending the closing of the Acquisition for the purpose of redeeming the Notes if the acquisition is not consummated. Our ability to pay the redemption price to holders of the Notes following a mandatory redemption may be limited by our then-existing financial resources, and sufficient funds may not be available when necessary to make any required purchases of the Notes. Any failure to redeem any of the Notes pursuant to the mandatory redemption provisions would constitute a default under the Indenture.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proceeds to be received by us from the sale of Notes in this offering, after deducting underwriting discounts and commissions, the structuring fee, the commitment fee and other offering expenses payable by us, are estimated to be approximately $31,950,000 (or $36,780,000 if the underwriters’ option to purchase up to $5,250,000 additional Notes is exercised in full).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13, 2022, we also sold, by means of a separate prospectus supplement, 2,376,426 shares of our common stock, par value $0.001 per share to certain institutional investors for aggregate gross proceeds of approximately $25,000,000. This prospectus supplement does not constitute an offer to buy any securities offered in the common stock offering.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the offering of common stock and the Secured Loan, along with available cash on hand to fund the purchase price for the Acquisition. Pending such use, we may invest the net proceeds in short-term interest-bearing accounts, securities, or similar investments. See “Capitalization.”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our cash and cash equivalents and our consolidated capitalization as of September 30, 2022:</w:t>
      </w:r>
    </w:p>
    <w:p>
      <w:pPr>
        <w:spacing w:after="0" w:line="225"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after giving effect to (i) the sale of the Notes in this offering (assuming no exercise of the underwriters’ option to purchase additional Notes), after deducting underwriting discounts and commissions, the structuring fee and estimated offering expenses payable by us; and (ii) the issuance and sale by us of 2,376,426 shares of common stock in the common stock offering, and the receipt of the net proceeds from the sale of these shares, after deducting underwriting discounts and commissions and estimated offering expenses payable by us; and</w:t>
      </w:r>
    </w:p>
    <w:p>
      <w:pPr>
        <w:spacing w:after="0" w:line="18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after giving further effect to the receipt of the net proceeds from this offering, the common stock offering and the Secured Loan.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our consolidated financial statements and related notes incorporated by reference in this prospectus supplement.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As of September 30, 2022</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Actual</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Pro Forma</w:t>
            </w: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 Forma as 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(unaudited)</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44,959,000</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99,509,000</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158,659,000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loan payable, net of unamortized debt discount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5,915,000</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portion of long-term debt</w:t>
            </w: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5,915,000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less current installments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Secured loan payable, net of current portion and unamortized</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w:t>
            </w:r>
          </w:p>
        </w:tc>
        <w:tc>
          <w:tcPr>
            <w:tcW w:w="5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53,235,000</w:t>
            </w: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8.625% Senior Notes due April 2026, net of unamortized debt</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w:t>
            </w:r>
          </w:p>
        </w:tc>
        <w:tc>
          <w:tcPr>
            <w:tcW w:w="5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72,239,000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72,239,000</w:t>
            </w: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72,239,000</w:t>
            </w:r>
          </w:p>
        </w:tc>
        <w:tc>
          <w:tcPr>
            <w:tcW w:w="0" w:type="dxa"/>
            <w:vAlign w:val="bottom"/>
          </w:tcPr>
          <w:p>
            <w:pPr>
              <w:spacing w:after="0"/>
              <w:rPr>
                <w:sz w:val="1"/>
                <w:szCs w:val="1"/>
                <w:color w:val="auto"/>
              </w:rPr>
            </w:pPr>
          </w:p>
        </w:tc>
      </w:tr>
      <w:tr>
        <w:trPr>
          <w:trHeight w:val="198"/>
        </w:trPr>
        <w:tc>
          <w:tcPr>
            <w:tcW w:w="5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11.875% senior notes due December 2027, net of unamortized</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w:t>
            </w:r>
          </w:p>
        </w:tc>
        <w:tc>
          <w:tcPr>
            <w:tcW w:w="500" w:type="dxa"/>
            <w:vAlign w:val="bottom"/>
          </w:tcPr>
          <w:p>
            <w:pPr>
              <w:spacing w:after="0"/>
              <w:rPr>
                <w:sz w:val="22"/>
                <w:szCs w:val="22"/>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31,950,000</w:t>
            </w:r>
          </w:p>
        </w:tc>
        <w:tc>
          <w:tcPr>
            <w:tcW w:w="40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31,950,000</w:t>
            </w:r>
          </w:p>
        </w:tc>
        <w:tc>
          <w:tcPr>
            <w:tcW w:w="0" w:type="dxa"/>
            <w:vAlign w:val="bottom"/>
          </w:tcPr>
          <w:p>
            <w:pPr>
              <w:spacing w:after="0"/>
              <w:rPr>
                <w:sz w:val="1"/>
                <w:szCs w:val="1"/>
                <w:color w:val="auto"/>
              </w:rPr>
            </w:pPr>
          </w:p>
        </w:tc>
      </w:tr>
      <w:tr>
        <w:trPr>
          <w:trHeight w:val="236"/>
        </w:trPr>
        <w:tc>
          <w:tcPr>
            <w:tcW w:w="5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less current installments</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72,239,000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104,189,000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157,424,000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72,239,000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104,189,000</w:t>
            </w: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163,339,000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 authorized,</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27,074,307 shares issued</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and outstanding at September 30, 2022, actual; 29,450,733 shares</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pro forma and pro forma as adjusted</w:t>
            </w:r>
          </w:p>
        </w:tc>
        <w:tc>
          <w:tcPr>
            <w:tcW w:w="5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27,000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29,000</w:t>
            </w: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111,738,000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134,336,000</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134,336,000</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(110,548,000)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(110,548,000)</w:t>
            </w:r>
          </w:p>
        </w:tc>
        <w:tc>
          <w:tcPr>
            <w:tcW w:w="4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(110,548,000)</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HARROW HEALTH STOCKHOLDERS’ EQUITY</w:t>
            </w: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1,217,000</w:t>
            </w: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23,817,000</w:t>
            </w:r>
          </w:p>
        </w:tc>
        <w:tc>
          <w:tcPr>
            <w:tcW w:w="3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23,817,000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(355,000)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(355,000)</w:t>
            </w:r>
          </w:p>
        </w:tc>
        <w:tc>
          <w:tcPr>
            <w:tcW w:w="4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862,000</w:t>
            </w: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23,462,000</w:t>
            </w:r>
          </w:p>
        </w:tc>
        <w:tc>
          <w:tcPr>
            <w:tcW w:w="3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23,462,000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73,101,000</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127,651,000</w:t>
            </w: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186,801,000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S-14</w:t>
            </w: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11.875% Senior Notes due 2027 (the “Notes”) are being issued under an indenture dated as of April 20, 2021, as supplemented by the First Supplemental Indenture, dated April 20, 2021, and the Second Supplemental Indenture, to be dated as of December 20, 2022, which we refer to as the “indenture,” between the Company and U.S. Bank Trust Company, National Association, as trustee. Set forth below is a description of the specific terms of the Notes and the indenture. This description supplements the description of the general terms and provisions of our debt securities set forth in the accompanying prospectus under the caption “Description of Debt Securities.” The following description does not purport to be complete and is subject to, and is qualified in its entirety by reference to, the indenture filed as an exhibit to a Current Report on Form 8-K to be filed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w:t>
      </w:r>
    </w:p>
    <w:p>
      <w:pPr>
        <w:spacing w:after="0" w:line="225"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unsecured, senior obligations;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initially limited to an aggregate principal amount of $35,000,000 (assuming no exercise of the underwriters’ option to purchase additional Notes described herein);</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mature on December 31, 2027 unless earlier redeemed or repurchased, and 100% of the aggregate principal amount will be paid at maturity;</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cash interest from December 20, 2022 at an annual rate of 11.875%, payable quarterly in arrears on January 31, April 30, July 31 and October 31 of each year, beginning on January 31, 2023, and at maturity;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redeemable at our option, in whole or in part, at the prices and on the terms described under “— Optional Redemption” below;</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mandatory redemption, in whole, if we do not complete the Acquisition within 180 calendar days after the original issue date of the Notes, at a price of $25.50, or in certain circumstances, if there is a Material Change, in each case as described under “— Mandatory Redemption” below;</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$25 and integral multiples of $25 in excess thereof;</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have a sinking fund;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expected to be listed on Nasdaq under the symbol “HROWM”;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 Covenants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without the consent of the existing holders, issue additional Notes having the same terms as to status, redemption or otherwise (except the price to public, the issue date and, if applicable, the initial interest accrual date and the initial interest payment date) that may constitute a single fungible series with the Notes offered by this prospectus supplement; provided that if any such additional Notes are not fungible with the Notes initially offered hereby for U.S. federal income tax purposes, such additional Notes will have one or more separate CUSIP numbers.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equally) with our future unsecured and unsubordinated indebtedness, including our outstanding 8.625% Senior Notes due 2026,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on the Notes will accrue at an annual rate equal to 11.875% from and including December 20, 2022 to, but excluding, the maturity date or earlier acceleration or redemption and will be payable quarterly in arrears on January 31, April 30, July 31 and October 31 of each year, beginning on January 31, 2023 and at maturity, to the record holders at the close of business on the immediately preceding January 15, April 15, July 15 and October 15, as applicable (whether or not a business day).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interest period for the Notes will be the period from and including December 20, 2022, to, but excluding, January 31, 2023, and subsequent interest periods will be the periods from and including an interest payment date to, but excluding, the next interest payment date or the stated maturity date, as the case may be. 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“Business day” means, for any place where the principal and interest on the Notes is payable, each Monday, Tuesday, Wednesday, Thursday and Friday which is not a day in which banking institutions in such place of payment are authorized or obligated by law or executive order to close.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December 31, 2024 (the “Notes Make-Whole Call Date”), we may, at our option, redeem the Notes, in whole at any time or in part from time to time, at a redemption price equal to the sum of (i) 100% of the principal amount of the Notes being redeemed plus accrued and unpaid interest to, but excluding, the date of redemption and (ii) the Make-Whole Amount, if 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redeem the Notes for cash in whole or in part at any time at our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we default on the payment of the redemption price, on and after the date of redemption, interest will cease to accrue on the Notes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at any time, and from time to time, purchase notes at any price or prices in the open market or otherwise.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“Make-Whole Amount” means, in connection with any optional redemption of any Note, the excess, if any, of (i) the sum of the present values, as of the date of such redemption, of the remaining scheduled payments of principal (including the applicable redemption price of such Note at December 31, 2024) of, and interest (exclusive of interest accrued to, but excluding, the date of redemption) on, such Note, assuming such Note matured on, and that accrued and unpaid interest on such Note was payable through, the Notes Make-Whole Call Date, determined by discounting, on a semi-annual basis (assuming a 360-day year consisting of twelve 30-day months), such principal and interest at the Reinvestment Rate (as defined below) (determined on the third business day preceding the date of redemption) over (ii) the aggregate principal amount of such Notes being redeemed.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“Reinvestment Rate”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December 31, 2024) as of the date of redemption.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“Statistical Release”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Redemption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Mandatory Redemption Event (as defined below) occurs, we will have an obligation to redeem the Notes, in whole but not in part, within 45 days after the occurrence of the Mandatory Redemption Event at a redemption price in cash equal to $25.50 per note plus accrued and unpaid interest, if any, to, but excluding, the date of redemption.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“Mandatory Redemption Event” means (i) a failure by the Company to complete the Acquisition (excluding the milestone payment related to the commercial availability of Triesence) within 180 calendar days after the original issue date of the Notes or (ii) the occurrence of a Material Change, as defined below, and the receipt of written notice of such Material Change from the Company to the trustee under the Indenture governing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Notes will have rights if an Event of Default occurs in respect of the Notes and is not cured, as described later in this subsection.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“Event of Default” in respect of the Notes means any of the following:</w:t>
      </w:r>
    </w:p>
    <w:p>
      <w:pPr>
        <w:spacing w:after="0" w:line="207"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any Note when due, and such default is not cured within 30 days;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the Notes when due and payable;</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events of bankruptcy, insolvency or reorganization occur and remain undischarged or unstayed for a period of 90 days.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Notes of any default, except in the payment of principal or interest, if the trustee in good faith determines the withholding of notice to be in the interest of the holders of the Notes.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At our election, the sole remedy with respect to an Event of Default due to our failure to comply with certain reporting requirements under the Trust Indenture Act or under “— Covenants — Reporting” below, for the first 180 calendar days after the occurrence of such Event of Default, consists exclusively of the right to receive additional interest on the Notes at an annual rate equal to (1) 0.25% for the first 90 calendar days after such default and</w:t>
      </w:r>
    </w:p>
    <w:p>
      <w:pPr>
        <w:spacing w:after="0" w:line="1" w:lineRule="exact"/>
        <w:rPr>
          <w:sz w:val="20"/>
          <w:szCs w:val="20"/>
          <w:color w:val="auto"/>
        </w:rPr>
      </w:pPr>
    </w:p>
    <w:p>
      <w:pPr>
        <w:jc w:val="both"/>
        <w:ind w:firstLine="8"/>
        <w:spacing w:after="0" w:line="227"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0.50% for calendar days 91 through 180 after such default. On the 181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w:t>
      </w:r>
    </w:p>
    <w:p>
      <w:pPr>
        <w:spacing w:after="0" w:line="1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Before a holder of the Notes is allowed to bypass the trustee and bring a lawsuit or other formal legal action or take other steps to enforce such holder’s rights relating to the Notes, the following must occur:</w:t>
      </w:r>
    </w:p>
    <w:p>
      <w:pPr>
        <w:spacing w:after="0" w:line="162"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must give the trustee written notice that the Event of Default has occurred and remains uncured;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of the outstanding principal of the Notes must have made a written request to the trustee to institute proceedings in respect of such Event of Default in its own name as trustee;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must have offered to the trustee indemnity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holders of a majority of the outstanding principal of the Notes.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delay or omission in exercising any right or remedy will be treated as a waiver of that right, remedy or Event of Default.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of the Notes should consult their banks or brokers for information on how to give notice or direction to or make a request of the trustee and how to declare or cancel an acceleration of maturity.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Defaults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of the outstanding principal amount of the Notes may on behalf of the holders of all Notes waive any past default with respect to the Notes other than (i) a default in the payment of principal or interest on the Notes when such payments are due and payable (other than by acceleration as described above), or (ii) in respect of a covenant that cannot be modified or amended without the consent of each holder of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any other covenants described in the accompanying prospectus, as well as standard covenants relating to payment of principal and interest, maintaining an office where payments may be made or securities can be surrendered for payment, payment of taxes by us and related matters, the following covenants will apply to the Notes. To the extent of any conflict or inconsistency between the base indenture and the following covenants, the following covenants will govern.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62" w:lineRule="exact"/>
        <w:rPr>
          <w:sz w:val="20"/>
          <w:szCs w:val="20"/>
          <w:color w:val="auto"/>
        </w:rPr>
      </w:pPr>
    </w:p>
    <w:p>
      <w:pPr>
        <w:jc w:val="both"/>
        <w:ind w:left="1300" w:hanging="320"/>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has occurred and is continuing;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Material Change to the Acquisition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agreed to use our commercially reasonable efforts to maintain the current terms of the Acquisition contained in the Purchase Agreement. If we permit any change to the terms of the Acquisition or Purchase Agreement that would be materially adverse to the holders of the Notes (a “Material Change”), we have agreed to provide written notice of such material adverse change to the trustee under the Indenture governing the Notes. The receipt by the trustee under the Indenture governing the Notes of written notice of a Material Change shall constitute a Mandatory Redemption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60 days of our fiscal quarter end (other than our fourth fiscal quarter). All such financial statements will be prepared, in all material respects, in accordance with GAAP,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 make to the Notes without the specific approval of the holders of the Notes. This type is limited to clarifications and certain other changes that would not adversely affect holders of the Notes in any material respect and include changes:</w:t>
      </w:r>
    </w:p>
    <w:p>
      <w:pPr>
        <w:spacing w:after="0" w:line="162" w:lineRule="exact"/>
        <w:rPr>
          <w:sz w:val="20"/>
          <w:szCs w:val="20"/>
          <w:color w:val="auto"/>
        </w:rPr>
      </w:pPr>
    </w:p>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and the assumption by the successor corporation of our covenants, agreements and obligations under the indenture and the Notes;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the Notes, or to surrender any right or power herein conferred upon the Company and to make the occurrence;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the Notes;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necessary to permit or facilitate the issuance of the Notes in bearer form, registrable or not registrable as to principal, and with or without interest coupons, or to permit or facilitate the issuance of the Notes in uncertificated form;</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provide for a guaranty of the Notes or additional obligors on the Notes;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the Notes;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which may be defective or inconsistent with other provisions, or to make any other provisions with respect to matters or questions arising under the indenture, provided that such action pursuant to this clause shall not adversely affect the interests of the holders of the Notes in any material respect;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23" w:name="page24"/>
    <w:bookmarkEnd w:id="23"/>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including provisions regarding the circumstances under which collateral may be released or substituted;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such extent as shall be necessary to permit or facilitate the defeasance and discharge the Notes, provided that any such action shall not adversely affect the interests of the holders of the Notes in any material respect.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Approval of Each Holder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cannot make certain changes to the Notes without the specific approval of each holder of the Notes. The following is a list of those types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w:t>
      </w:r>
    </w:p>
    <w:p>
      <w:pPr>
        <w:spacing w:after="0" w:line="207"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stated maturity of the principal of, or any installment of interest on, any Note;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or rate of interest of any Note;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place of payment where any Note or any interest is payable;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right to institute suit for the enforcement of any payment on or after the date on which it is due and payable;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in principal amount of holders of the Notes whose consent is needed to modify or amend the indenture;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in principal amount of holders of the Notes whose consent is needed to waive compliance with certain provisions of the indenture or to waive certain defaults.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change to the indenture and the Notes would require the following approval:</w:t>
      </w:r>
    </w:p>
    <w:p>
      <w:pPr>
        <w:spacing w:after="0" w:line="225" w:lineRule="exact"/>
        <w:rPr>
          <w:sz w:val="20"/>
          <w:szCs w:val="20"/>
          <w:color w:val="auto"/>
        </w:rPr>
      </w:pPr>
    </w:p>
    <w:p>
      <w:pPr>
        <w:ind w:left="130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only affects the Notes, it must be approved by holders of not less than a majority in aggregate principal amount of the outstanding Notes;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Consent from holders to any change to the indenture or the Notes must be given in writing.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Details Concerning Voting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Notes deemed to be outstanding for the purpose of voting will include all Notes authenticated and delivered under the indenture as of the date of determination except:</w:t>
      </w:r>
    </w:p>
    <w:p>
      <w:pPr>
        <w:spacing w:after="0" w:line="162"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cancelled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for which have undergone full defeasance, as described below; and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the Notes that are entitled to vote or take other action under the indenture, and the trustee will generally be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must take place on or prior to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record date. We may change the record date at our option, and we will provide written notice to the trustee and to each holder of the Notes of any such change of record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defeasance provisions will be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80" w:lineRule="exact"/>
        <w:rPr>
          <w:sz w:val="20"/>
          <w:szCs w:val="20"/>
          <w:color w:val="auto"/>
        </w:rPr>
      </w:pPr>
    </w:p>
    <w:p>
      <w:pPr>
        <w:jc w:val="both"/>
        <w:ind w:left="1300" w:hanging="320"/>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under U.S. federal income tax law, we may make the above deposit and covenant defeasance without causing holders to be taxed on the Notes differently than if we did not make the deposit and we just repaid the debt securities ourselves at maturity;</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stating that the Notes, if then listed on any securities exchange, will not be delisted as a result of the deposit;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cause the trustee to have a conflicting interest within the meaning of the Trust Indenture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ind w:left="1300" w:hanging="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result in a breach or violation of, or constitute a default under, the indenture or any other material agreements or instruments to which we are a party;</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and a legal opinion from our counsel stating that all conditions precedent with respect to the covenant defeasance have been complied 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income tax law, we can legally release ourselves from all payment and other obligations on the Notes if we take the following actions below:</w:t>
      </w:r>
    </w:p>
    <w:p>
      <w:pPr>
        <w:spacing w:after="0" w:line="162" w:lineRule="exact"/>
        <w:rPr>
          <w:sz w:val="20"/>
          <w:szCs w:val="20"/>
          <w:color w:val="auto"/>
        </w:rPr>
      </w:pPr>
    </w:p>
    <w:p>
      <w:pPr>
        <w:jc w:val="both"/>
        <w:ind w:left="1300" w:hanging="320"/>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to the current U.S. federal income tax law or an Internal Revenue Service ruling that allows us to make the above deposit without causing holders to be taxed on the Notes any differently than if we did not make the deposit and we just repaid the debt securities ourselves at maturity;</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stating that the Notes, if then listed on any securities exchange, will not be delisted as a result of the deposit;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cause the trustee to have a conflicting interest within the meaning of the Trust Indenture Act;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result in a breach or violation of, or constitute a default under, the indenture or any other material agreements or instruments to which we are a party;</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and a legal opinion from our counsel stating that all conditions precedent with respect to the full defeasance have been complied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may be applied to the payment of obligations under the Notes. However, if we make any payment of principal or interest on the Notes to the holders, we will be subrogated to the rights of the holders to receive such payment from the money so held in trust.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applied to list the Notes on Nasdaq under the symbol “HROWM.” If the application is approved, we expect trading in the Notes on Nasdaq to begin within 30 business days of the date of the original issue date. The Notes are expected to trade “flat,” meaning that purchasers will not pay and sellers will not receive any accrued and unpaid interest on the Notes that is not included in the trading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is,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Notes; Book-Entry Issuance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will be issued in the form of one or more global certificates, or Global Notes, registered in the name of The Depository Trust Company, or DTC. DTC has informed us that its nominee will be Cede &amp; Co. Accordingly, we expect Cede &amp; Co. to be the initial registered holder of the Notes. No person that acquires a beneficial interest in the Notes will be entitled to receive a certificate representing that person’s interest in the Notes except as described herein. Unless and until definitive securities are issued under the limited circumstances described below, all references to actions by holders of the Notes will refer to actions taken by DTC upon instructions from its participants, and all references to payments and notices to holders will refer to payments and notices to DTC or Cede &amp; Co., as the registered holder of these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t>
      </w:r>
      <w:r>
        <w:rPr>
          <w:rFonts w:ascii="Times New Roman" w:cs="Times New Roman" w:eastAsia="Times New Roman" w:hAnsi="Times New Roman"/>
          <w:sz w:val="18"/>
          <w:szCs w:val="18"/>
          <w:i w:val="1"/>
          <w:iCs w:val="1"/>
          <w:color w:val="auto"/>
        </w:rPr>
        <w:t>www.dtcc.com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Purchases of the Notes under the DTC system must be made by or through Direct Participants, which will receive a credit for the Notes on DTC’s records. The ownership interest of each actual purchaser of each Note,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Notes are being redeemed, DTC’s practice is to determine by lot the amount of the interest of each Direct Participant in the Notes to be redeemed.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will be governed by standing instructions and customary practices, as is the case with the Notes held for the accounts of customers in bearer form or registered in “street name,” and will be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 the trustee, any depositary, or any agent of any of them will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a Global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 Form, Exchange and Transfer of Certificated Registered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Global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Certificated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at the office of the trustee in the contiguous United States and/or at other offices that may be specified in the indenture or a notice to holders against surrender of the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When Offices Are Closed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they will receive payments on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w:t>
      </w:r>
    </w:p>
    <w:p>
      <w:pPr>
        <w:spacing w:after="0" w:line="207"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notified us at any time that it is unwilling or unable to continue as depositary for the Global Notes;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such Global Note has occurred and is continuing.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redeem any of the Notes, we may block the transfer or exchange of those Notes selected for redemption during the period beginning 15 days before the day we mail the notice of redemption and ending on the day of that mailing, in order to determine or fix the list of holders to prepare the mailing. We may also refuse to register transfer or exchanges of any certificated Notes selected for redemption, except that we will continue to permit transfers and exchanges of the unredeemed portion of any Note that will be partially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Trustee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will be the trustee under the indenture and will be the principal paying agent and registrar for the Notes. The trustee may resign or be removed with respect to the Notes provided that a successor trustee is appointed to act with respect to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acquisition, ownership, and disposition of the Notes that we are offering. The following discussion is not exhaustive of all possible tax considerations. This summary is based upon of the Internal Revenue Code of 1986, as amended, or the Code, regulations promulgated under the Code by the U.S. Treasury Department (including proposed and temporary regulations), rulings, current administrative interpretations and official pronouncements of the Internal Revenue Service, or the IRS, and judicial decisions, all as currently in effect and all of which are subject to differing interpretations or to change, possibly with retroactive effect.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summary is for general information only, and does not address all aspects of U.S. federal income taxation that may be important to a particular holder in light of its investment or tax circumstances or to holders subject to special tax rules, such as pass-through entities (including partnerships and other entities and arrangements classified as partnerships for U.S. federal income tax purposes and S corporations) and beneficial owners of such pass-through entities, banks, financial institutions, tax-exempt entities, insurance companies, regulated investment companies, real estate investment trusts, trusts and estates, dealers in stocks, securities or currencies, traders in securities that have elected to use the mark-to-market method of accounting for their securities, persons holding the Notes as part of an integrated transaction, including a “straddle,” “hedge,” “constructive sale,” or “conversion transaction,” U.S. Holders (as defined below) whose functional currency for tax purposes (as defined in Section 985 of the Code) is not the U.S. dollar, holders subject to Section 451(b) of the Code, and individuals subject to the alternative minimum tax provisions of the Code. This summary does not address the effects of other U.S. federal tax laws (such as estate and gift tax laws) or the tax laws of any state or local governments, or of any foreign government, that may be applicable to a particular holder.</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is directed solely to holders that, except as otherwise specifically noted, will purchase the Notes offered in this prospectus supplement upon original issuance for the “issue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Notes is sold for money to persons, other than to bond houses, brokers or similar persons or organizations acting in the capacity of the underwriters, placement agents or wholesalers) for cash and will hold such securities as capital assets within the meaning of Section 1221 of the Code, which generally means as property held for investment.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summary is not a comprehensive description of all of the U.S. federal tax consequences that may be relevant with respect to the acquisition, ownership and disposition of the Notes. We urge you to consult your own tax advisor regarding your particular circumstances and the U.S. federal tax consequences to you of acquiring, owning and disposing of these securities, as well as any tax consequences arising under the laws of any state, local, foreign, or other tax jurisdiction and the possible effects of changes in U.S. federal or other tax laws.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prospectus supplement, the term “U.S. Holder” means a beneficial owner of Notes that is for U.S. federal income tax purposes:</w:t>
      </w:r>
    </w:p>
    <w:p>
      <w:pPr>
        <w:spacing w:after="0" w:line="225"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of any state of the United States or the District of Columbia;</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the administration of the trust and one or more United States persons have the authority to control all substantial decisions of the trust; or</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if a court within the United States is able to exercise primary supervision over the administration of the trust and one or more United States persons have the authority to control all substantial decisions of the trust, or (b) that was in existence on August 20, 1996 and that has a valid election in effect under applicable Treasury regulations to be treated as a United States person.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the term “Non-U.S. Holder” is a beneficial owner of the Notes (other than a partnership or other entity or arrangement taxable as a partnership) that is not a U.S.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the Notes offered in this prospectus supplement, the U.S. federal income tax treatment of a partner generally will depend upon the status of the partner, the activities of the partnership and certain determinations made at the partner level; accordingly, as provided above, this summary does not apply to partnerships. A partner of a partnership holding the Notes should consult its own tax advisor regarding the U.S. federal income tax consequences to the partner of the acquisition, ownership and disposition of the Notes by the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Contingent Payments</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In certain circumstances, we may redeem the Notes in exchange for payments by us in excess of stated interest or principal or at times earlier than the final maturity. The possibility of such redemptions may implicate special rules under Treasury regulations governing “contingent payment debt instruments.” According to those Treasury regulations, the possibility that we will be required to make such a contingent payment on the Notes will not affect the amount of income a holder recognizes in advance of the payment if there is only a remote chance as of the date the Notes are issued that such payment will be made. We believe and intend to take the position that the contingencies on the Notes will not cause the “contingent payment debt instrument” rules of the Treasury regulations to apply to the Notes. Our position that the “contingent payment debt instrument” rules of the Treasury regulations will not apply to the Notes is binding on a holder unless such holder discloses its contrary position to the IRS in the manner required by applicable Treasury regulations. Our position is not, however, binding on the IRS, and if the IRS were to challenge this position successfully, a holder might be required to, among other things, accrue interest income based on a projected payment schedule and comparable yield, which may be in excess of stated interest, and treat as ordinary income rather than capital gain any income realized on the taxable disposition of a Note. In the event a contingency on the Notes occurs, it could affect the amount, timing and character of the income or loss recognized by a holder. Prospective holders should consult their own tax advisers regarding the tax consequences if the Notes were treated as contingent payment debt instruments. The remainder of this discussion assumes that the Notes will not be considered contingent payment debt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to U.S.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that will apply to U.S. Holders of the Notes.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Payment of Interest</w:t>
      </w:r>
      <w:r>
        <w:rPr>
          <w:rFonts w:ascii="Times New Roman" w:cs="Times New Roman" w:eastAsia="Times New Roman" w:hAnsi="Times New Roman"/>
          <w:sz w:val="18"/>
          <w:szCs w:val="18"/>
          <w:color w:val="auto"/>
        </w:rPr>
        <w:t>. It is expected, and this discussion assumes, that either the issue price of the Notes will equal the stated principal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or the Notes will be issued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for U.S. federal income tax purposes. Accordingly, payments of stated interest on a Note generally will be included in the income of a U.S. Holder as ordinary interest income at the time it is accrued or is received in accordance with the U.S. Holder’s regular method of accounting for U.S. federal income tax purposes.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 Exchange, or Retirement of Notes. </w:t>
      </w:r>
      <w:r>
        <w:rPr>
          <w:rFonts w:ascii="Times New Roman" w:cs="Times New Roman" w:eastAsia="Times New Roman" w:hAnsi="Times New Roman"/>
          <w:sz w:val="18"/>
          <w:szCs w:val="18"/>
          <w:color w:val="auto"/>
        </w:rPr>
        <w:t>Upon the sale, exchange, retirement, or other disposition of a Note, a U.S. Holder will recognize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equal to the difference between the amount realized upon the sale, exchange, retirement or other disposition and the U.S. Holder’s adjusted tax basis in the Note. The amount realized by the U.S. Holder will include the amount of any cash and the fair market value of any other property received for the Note, but will exclude amounts attributable to accrued but unpaid interest which will be treated as described above under “Payments of Interest.” A U.S. Holder’s adjusted tax basis in a Note will generally be the cost of the Note to such U.S. Holder.</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Gain or loss realized on the sale, exchange, retirement, or other disposition of a Note generally will be capital gain or loss, and will be long-term capital gain or loss if the Note has been held by the U.S. Holder for more than one year. Net long-term capital gain recognized by an individual U.S. Holder is generally taxed at preferential rates. The ability of U.S. Holders to deduct capital losses is subject to limitations under the Code.</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Additional Medicare Tax on Unearned Income. </w:t>
      </w:r>
      <w:r>
        <w:rPr>
          <w:rFonts w:ascii="Times New Roman" w:cs="Times New Roman" w:eastAsia="Times New Roman" w:hAnsi="Times New Roman"/>
          <w:sz w:val="18"/>
          <w:szCs w:val="18"/>
          <w:color w:val="auto"/>
        </w:rPr>
        <w:t>Certain U.S. Holders, including individuals, estates and trusts, are subject to an additional 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Medicare tax on unearned income. For individual U.S. Holders,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the deductions that are allocable to such income. Investment income generally includes passive income such as interest and capital gains. U.S. Holders are urged to consult their own tax advisors regarding the implications of the additional Medicare tax resulting from an investment in the Notes.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to Non-U.S.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that will apply to Non-U.S. Holders of a Note.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Payments of Interest</w:t>
      </w:r>
      <w:r>
        <w:rPr>
          <w:rFonts w:ascii="Times New Roman" w:cs="Times New Roman" w:eastAsia="Times New Roman" w:hAnsi="Times New Roman"/>
          <w:sz w:val="18"/>
          <w:szCs w:val="18"/>
          <w:color w:val="auto"/>
        </w:rPr>
        <w:t>. Except as discussed below, principal and interest payments that are received from us and that are not effectively connected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conduct by the Non-U.S. Holder of a trade or business within the United States, or a permanent establishment maintained in the United States if certain tax treaties apply, generally will not be subject to U.S. federal income or withholding tax, except as provided below. Interest may be subject to a 30% withholding tax (or less under an applicable treaty, if any) if:</w:t>
      </w:r>
    </w:p>
    <w:p>
      <w:pPr>
        <w:spacing w:after="0" w:line="182" w:lineRule="exact"/>
        <w:rPr>
          <w:sz w:val="20"/>
          <w:szCs w:val="20"/>
          <w:color w:val="auto"/>
        </w:rPr>
      </w:pPr>
    </w:p>
    <w:p>
      <w:pPr>
        <w:ind w:left="130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actually or constructively owns 10% or more of the total combined voting power of all classes of our stock entitled to vote;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is a “controlled foreign corporation” for U.S. federal income tax purposes that is related to us (directly or indirectly) through stock ownership;</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is a bank extending credit pursuant to a loan agreement entered into in the ordinary course of its trade or business (as described in Section 881(c)(3)(A) of the Code);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satisfy the certification requirements described below.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case of the Notes, a Non-U.S. Holder generally will satisfy the certification requirements if either: (A) the Non-U.S. Holder certifies to us, under penalties of perjury, that it is not a “United States person” (within the meaning of the Code) and provides its name and address (which certification may generally be made on an IRS Form W-8BEN, IRS Form W-8BEN-E or other applicable U.S. nonresident withholding tax certification form), or (B) a securities clearing organization, bank, or other financial institution that holds customer securities in the ordinary course of its trade or business (a “financial institution”) and holds the Note certifies to us under penalties of perjury that either it or another financial institution has received the required statement from the Non-U.S. Holder certifying that it is not a United States person and furnishes us with a copy of the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discussed below, payments not meeting the requirements set forth above and thus subject to withholding of U.S. federal income tax may nevertheless be exempt from withholding (or subject to withholding at a reduced rate) if the Non-U.S. Holder provides us with a properly executed IRS Form W-8BEN, Form W-8BEN-E, or other applicable U.S. nonresident withholding tax certification form, claiming an exemption from, or reduction in, withholding under the benefit of a tax treaty, or IRS Form W-8ECI (or other applicable form) stating that interest paid on the Notes is not subject to withholding tax because it is effectively connected with the conduct of a trade or business within the United States as discussed below. These forms may be required to be updated periodically. To claim benefits under an income tax treaty, a Non-U.S. Holder must obtain a taxpayer identification number and certify as to its eligibility under the appropriate treaty’s limitations on benefits article. In addition, special rules may apply to claims for treaty benefits made by Non-U.S. Holders that are entities rather than individuals. A Non-U.S. Holder that is eligible for a reduced rate of U.S. federal withholding tax pursuant to an income tax treaty may obtain a refund of any excess amounts withheld by timely filing an appropriate claim for refund with the IRS.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Sale, Exchange, or Retirement of Note</w:t>
      </w:r>
      <w:r>
        <w:rPr>
          <w:rFonts w:ascii="Times New Roman" w:cs="Times New Roman" w:eastAsia="Times New Roman" w:hAnsi="Times New Roman"/>
          <w:sz w:val="18"/>
          <w:szCs w:val="18"/>
          <w:color w:val="auto"/>
        </w:rPr>
        <w:t>. Except as discussed below, a Non-U.S. Holder generally will not be subject to U.S. federal income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on any capital gain realized on the sale, exchange, retirement or other disposition of Notes, provided that: (a) the gain is not effectively connected with the conduct of a trade or business within the United States, or a permanent establishment maintained in the United States if certain tax treaties apply, and (b) in the case of a Non-U.S. Holder that is an individual, the Non-U.S. Holder is not present in the United States for 183 days or more in the taxable year of the sale, exchange or other disposition of the Note. An individual Non-U.S. Holder who is present in the United States for 183 days or more in the taxable year of sale, exchange or other disposition of a Note, and if certain other conditions are met, will be subject to U.S. federal income tax at a rate of 30% on the gain realized on the sale, exchange or other disposition of such Note.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Income Effectively Connected with a Trade or Business within the United States</w:t>
      </w:r>
      <w:r>
        <w:rPr>
          <w:rFonts w:ascii="Times New Roman" w:cs="Times New Roman" w:eastAsia="Times New Roman" w:hAnsi="Times New Roman"/>
          <w:sz w:val="18"/>
          <w:szCs w:val="18"/>
          <w:color w:val="auto"/>
        </w:rPr>
        <w:t>. If a Non-U.S. Holder of a Note is engaged in the conduct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 business within the United States and if interest on the Note, or gain realized on the sale, exchange or other disposition of the Note, is effectively connected with the conduct of such trade or business (and, if certain tax treaties apply, is attributable to a permanent establishment maintained by the Non-U.S. Holder in the United States), the Non-U.S. Holder, although exempt from U.S. federal withholding tax (provided that the certification requirements discussed above are satisfied), will generally be subject to U.S. federal income tax on such interest or gain on a net income basis in the same manner as if it were a U.S. Holder. Non-U.S. Holders should read the material under the heading “— Consequences to U.S. Holders,” for a description of the U.S. federal income tax consequences of acquiring, owning, and disposing of a Note. In addition, if such Non-U.S. Holder is a foreign corporation, it may also be subject to a branch profits tax equal to 30% (or such lower rate provided by an applicable U.S. income tax treaty) of all or a portion of its earnings and profits for the taxable year that are effectively connected with its conduct of a trade or business in the United States, subject to certain adjustments.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information returns will be filed annually with the IRS and provided to each U.S. Holder that is not an “exempt recipient” in connection with any interest payments on the Notes and the proceeds from a sale or other disposition of the Notes. In addition, a U.S. Holder may be subject to backup withholding (currently at the rate of 24%) on payments of these amounts unless the U.S. Holder provides a correct taxpayer identification number, or TIN, and certifies, under penalties of perjury, that it is a U.S. person, the TIN is correct (or that the U.S. Holder is awaiting a TIN) and the U.S. Holder either (a) is exempt from backup withholding, (b) has not been informed by the IRS that backup withholding is required due to a prior underreporting of interest or dividends or (c) has been informed by the IRS that backup withholding is no longer required. Non-U.S. Holders generally are exempt from information reporting and backup withholding, provided, if necessary, that they demonstrate their qualification for exemption by providing a properly executed IRS Form W-8BEN, Form W-8BEN-E, or other applicable tax certification form. U.S. Holders should consult their own tax advisors as to their qualification for exemption from backup withholding and the procedure for obtaining such exemption. Backup withholding is not an additional tax. Any amounts withheld under the backup withholding rules from a payment to a holder generally would be allowed as a refund or a credit against such holder’s U.S. federal income tax provided the required information is timely furnished to the IRS.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provisions of the Code, known as the Foreign Account Tax Compliance Act, or FATCA, impose a 30% U.S. withholding tax on certain U.S. source payments, including interest and dividends, if paid to a foreign financial institution (including amounts paid to a foreign financial institution on behalf of a holder), unless (i) such institution enters into an agreement with the U.S. Treasury Department to collect and provide to the U.S. Treasury Department certain information (that is in addition to and significantly more onerous than, the requirement to deliver an applicable U.S. nonresident withholding tax certification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IRS Form W-8BEN), as discussed above) regarding U.S. financial account holders, including certain account holders that are foreign entities with U.S. owners, with such institution or (ii) such institution resides in a jurisdiction that has entered into an intergovernmental agreement, or IGA, with the United States to collect and share such information and are in compliance with the terms of such IGA and any enabling legislation or regulations.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FATCA also generally imposes a withholding tax of 30% on withholdable payments made to a non-financial foreign entity unless such entity provides the withholding agent with a certification that it does not have any substantial U.S. owners or a certification identifying the direct and indirect substantial U.S. owners of the entity. Depending on the status of a holder and the status of the intermediaries through which they hold their Notes, the holder could be subject to this 30% withholding tax with respect to interest paid on the Notes and potentially proceeds from the sale of the Notes to the extent treated as interest for U.S. federal income tax purposes. Under certain circumstances, a holder may be eligible for refunds or credits of such taxes.</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determine withholding is appropriate with respect to the Notes, we will withhold tax at the applicable statutory rate, and we will not pay any additional amounts in respect of such withholding. Holders are urged to consult with their own tax advisors regarding the possible implications of FATCA on their investment in the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Riley Securities, Inc., or BRS, is acting as joint book-running manager and representative of each of the underwriters named below. Subject to the terms and conditions set forth in an underwriting agreement among us and the underwriters dated December 15, 2022, or the Underwriting Agreement, we have agreed to sell to the underwriters, and each of the underwriters has agreed, severally and not jointly, to purchase from us, the principal amount of Notes set forth opposite its name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Principal</w:t>
            </w:r>
          </w:p>
        </w:tc>
      </w:tr>
      <w:tr>
        <w:trPr>
          <w:trHeight w:val="245"/>
        </w:trPr>
        <w:tc>
          <w:tcPr>
            <w:tcW w:w="9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Notes</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20,562,500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Janney Montgomery Scott LLC</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2,887,500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3,412,500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 Hutton, division of Benchmark Investments, LLC</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Aegis Capital Corp.</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Brownstone Investment Group, LLC</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612,500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Huntington Securities, Inc.</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1,225,000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InspereX LLC</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1,487,500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Maxim Group LLC</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962,500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Newbridge Securities Corporation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w:t>
            </w:r>
          </w:p>
        </w:tc>
      </w:tr>
      <w:tr>
        <w:trPr>
          <w:trHeight w:val="237"/>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Revere Securities LLC</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29"/>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These conditions include, among others, the continued accuracy of representations and warranties made by us in the Underwriting Agreement, delivery of legal opinions and the absence of any material changes in our assets, business or prospects after the date of this prospectus supplement.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several obligations of the underwriters under the Underwriting Agreement are conditional and may be terminated on the occurrence of certain stated events, including, in the event that at or prior to the closing of the offering: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SEC,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underwriters, impracticable or inadvisable to proceed with the sale or delivery of the Notes on the terms and in the manner contemplated in this prospectus supplement.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the option to purchase up to an additional $5,250,000 of Notes at the public offering price, less the underwriting discounts, or the Option. If any Notes are purchased pursuant to the Option, the underwriters will, severally but not jointly, purchase the Notes in approximately the same proportions as set forth in the above table. This prospectus supplement also qualifies the grant of the Option and the Notes issuable upon the exercise thereof. A purchaser who acquires any Notes forming part of the underwriters’ Option acquires such Notes under this prospectus supplement, regardless of whether the position is ultimately filled through the exercise of the Option or secondary market purchases.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among other things, liabilities under the Securities Act or to contribute to payments the underwriters may be required to make in respect of those liabilities.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deliver the Note against payment for such notes on or about December 20, 2022, which will be the second business day following the date of the pricing of the Notes (“T + 2”).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Discounts and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the Notes to the public at the public offering price and to dealers at that price less a concession not in excess of $0.60 per Note. After the underwriters have made a reasonable effort to sell all of the Notes at the offering price, such offering price may be decreased and may be further changed from time to time to an amount not greater than the offering price set forth herein, and the compensation realized by the underwriters will effectively be decreased by the amount that the price paid by purchasers for the Notes is less than the original offering price. Any such reduction will not affect the net proceeds received by us. The underwriters reserve the right to withdraw, cancel or modify offers to the public and to reject orders in whole or in part.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per Note and total underwriting discount that we are to pay to the underwriters in connection with this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amounts are shown assuming both no exercise and full exercise of the Option.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Price to</w:t>
            </w:r>
          </w:p>
        </w:tc>
        <w:tc>
          <w:tcPr>
            <w:tcW w:w="140" w:type="dxa"/>
            <w:vAlign w:val="bottom"/>
          </w:tcPr>
          <w:p>
            <w:pPr>
              <w:spacing w:after="0"/>
              <w:rPr>
                <w:sz w:val="19"/>
                <w:szCs w:val="19"/>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77"/>
        </w:trPr>
        <w:tc>
          <w:tcPr>
            <w:tcW w:w="3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the Public</w:t>
            </w:r>
          </w:p>
        </w:tc>
        <w:tc>
          <w:tcPr>
            <w:tcW w:w="140" w:type="dxa"/>
            <w:vAlign w:val="bottom"/>
          </w:tcPr>
          <w:p>
            <w:pPr>
              <w:spacing w:after="0"/>
              <w:rPr>
                <w:sz w:val="24"/>
                <w:szCs w:val="24"/>
                <w:color w:val="auto"/>
              </w:rPr>
            </w:pPr>
          </w:p>
        </w:tc>
        <w:tc>
          <w:tcPr>
            <w:tcW w:w="1660" w:type="dxa"/>
            <w:vAlign w:val="bottom"/>
            <w:gridSpan w:val="2"/>
          </w:tcPr>
          <w:p>
            <w:pPr>
              <w:jc w:val="right"/>
              <w:ind w:right="640"/>
              <w:spacing w:after="0" w:line="270" w:lineRule="exact"/>
              <w:rPr>
                <w:sz w:val="20"/>
                <w:szCs w:val="20"/>
                <w:color w:val="auto"/>
              </w:rPr>
            </w:pPr>
            <w:r>
              <w:rPr>
                <w:rFonts w:ascii="Times New Roman" w:cs="Times New Roman" w:eastAsia="Times New Roman" w:hAnsi="Times New Roman"/>
                <w:sz w:val="18"/>
                <w:szCs w:val="18"/>
                <w:b w:val="1"/>
                <w:bCs w:val="1"/>
                <w:color w:val="auto"/>
              </w:rPr>
              <w:t>Discount</w:t>
            </w:r>
            <w:r>
              <w:rPr>
                <w:rFonts w:ascii="Times New Roman" w:cs="Times New Roman" w:eastAsia="Times New Roman" w:hAnsi="Times New Roman"/>
                <w:sz w:val="29"/>
                <w:szCs w:val="29"/>
                <w:b w:val="1"/>
                <w:bCs w:val="1"/>
                <w:color w:val="auto"/>
                <w:vertAlign w:val="superscript"/>
              </w:rPr>
              <w:t>(1)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3"/>
              </w:rPr>
              <w:t>Proceeds</w:t>
            </w:r>
            <w:r>
              <w:rPr>
                <w:rFonts w:ascii="Times New Roman" w:cs="Times New Roman" w:eastAsia="Times New Roman" w:hAnsi="Times New Roman"/>
                <w:sz w:val="29"/>
                <w:szCs w:val="29"/>
                <w:b w:val="1"/>
                <w:bCs w:val="1"/>
                <w:color w:val="auto"/>
                <w:w w:val="93"/>
                <w:vertAlign w:val="superscript"/>
              </w:rPr>
              <w:t>(2)</w:t>
            </w:r>
          </w:p>
        </w:tc>
      </w:tr>
      <w:tr>
        <w:trPr>
          <w:trHeight w:val="236"/>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27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33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(3)</w:t>
            </w:r>
          </w:p>
        </w:tc>
        <w:tc>
          <w:tcPr>
            <w:tcW w:w="2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1,400,000</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33,600,000</w:t>
            </w:r>
          </w:p>
        </w:tc>
        <w:tc>
          <w:tcPr>
            <w:tcW w:w="100" w:type="dxa"/>
            <w:vAlign w:val="bottom"/>
          </w:tcPr>
          <w:p>
            <w:pPr>
              <w:spacing w:after="0"/>
              <w:rPr>
                <w:sz w:val="22"/>
                <w:szCs w:val="22"/>
                <w:color w:val="auto"/>
              </w:rPr>
            </w:pPr>
          </w:p>
        </w:tc>
      </w:tr>
      <w:tr>
        <w:trPr>
          <w:trHeight w:val="20"/>
        </w:trPr>
        <w:tc>
          <w:tcPr>
            <w:tcW w:w="3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Underwriting Agreement, the underwriters will receive a discount equal to $1.00 per Note.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deducting the underwriting discount but before deducting expenses of the offering.</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 is exercised in full, the total price to the public, underwriting discount and net proceeds to us (after deducting the underwriting discount but before deducting estimated offering expenses) will be $40,250,000, $1,610,000 and $38,640,000, respectively.</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agreed to pay BRS a structuring and advisory fee equal to 1.0% of the gross proceeds from the sale of the Notes for evaluation, analysis and structuring of the Notes. In addition, BRS has committed, prior to the commencement of this offering, to underwrite up to $100.0 million in either this offering or the Secured Loan, subject to customary terms and conditions. In consideration of this underwriting commitment, we have agreed to pay BRS a fee of 3.0% of the commitment amount payable.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underwriting discounts and reimbursements, will be approximately $125,000. We have also agreed to reimburse the underwriters for their reasonable out-of-pocket expenses in connection with this offering and related transactions, including attorneys’ fees, up to $125,000.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agreed for a period of 30 days following the date of this offering that, without the prior written consent of the representative, which may not be unreasonably withheld, on behalf of the underwriters, we will not,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Securities Act with respect to any of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applied to list the Notes on Nasdaq. If the application is approved, trading of the Notes on Nasdaq is expected to begin within 30 days after the date of initial delivery of the Notes. The underwriters will have no obligation to make a market in the Notes, however, and may cease market-making activities, if commenced, at any time. Accordingly, an active trading market on Nasdaq for the Notes may not develop or, even if one develops, may not last, in which case the liquidity and market price of the Notes could be adversely affected, the difference between bid and asked prices could be substantial and your ability to transfer the Notes at the time and price desired will be limited.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distribution of the Notes is completed, SEC rules may limit underwriters and selling group members from bidding for and purchasing our Notes. However, the representative may engage in transactions that have the effect of stabilizing the price of the Notes, such as purchases and other activities that peg, fix or maintain that price.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bid for or purchase and sell our Notes in the open market. These transactions may include short sales and purchases on the open market to cover positions created by short sales. Short sales involve the sale by the underwriters of a greater number of our Notes than they are required to purchase in this offering. “Covered” short sales are sales made in an amount not greater than the Underwriters’ option to purchase additional Notes in this offering. The underwriters may close out any covered short position by either exercising their option to purchase additional Notes or purchasing notes in the open market. In determining the source of notes to close out the covered short position, the underwriters will consider, among other things, the price of notes available for purchase in the open market as compared to the price at which they may purchase additional Notes pursuant to the option granted to them. “Naked” short sales are sales in excess of the option to purchase additional Notes. The underwriters must close out any naked short position by purchasing Notes in the open market. A naked short position is more likely to be created if the underwriters are concerned that there may be downward pressure on the price of our Notes in the open market after pricing that could adversely affect investors who purchase in this offering.</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and other activities may have the effect of raising or maintaining the market price of the Notes or preventing or retarding a decline in the market price of the Notes. As a result, the price of the Notes may be higher than the price that might otherwise exist in the open market. If these activities are commenced, they may be discontinued at any time. The underwriters may conduct these transactions on Nasdaq, in the over-the-counter market or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Notes. In addition, neither we nor any of the underwriters make any representation that the representative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Notes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 electronic format may be made available on websites maintained by one or more of the underwriters, and the underwriters may distribute the prospectus supplement and accompanying prospectus electronically.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this prospectus supplement and the accompanying prospectus in electronic format, the information on any underwriter’s or any selling group member’s website and any information contained in any other website maintained by an underwriter or any selling group member is not part of this prospectus supplement and the accompanying prospectus or the registration statement of which this prospectus supplement and the accompanying prospectus forms a part, has not been approved and/or endorsed by us or any underwriter or any selling group member in its capacity as underwriter or selling group member and should not be relied upon by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Relationships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may provide from time to time in the future in the ordinary course of their business certain commercial banking, financial advisory, investment banking and other services to us for which they will be entitled to receive customary fees and expenses.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BRS acted as underwriter in connection with our common stock offering that is expected to close on December 16,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legal matters will be passed upon for us by Waller Lansden Dortch &amp; Davis, LLP, Nashville, Tennessee, and for the underwriters by Duane Morris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Harrow Health, Inc. and subsidiaries appearing in the Company’s Annual Report on Form 10-K for the year ended December 31, 2021, incorporated by reference in this prospectus supplement, have been audited by KMJ Corbin &amp; Company LLP, an independent registered public accounting firm, as stated in its report appearing therein. Such consolidated financial statements are incorporated herein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in this prospectus supplement and the accompanying prospectus by referring you to those documents. These incorporated documents contain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and later information filed with the SEC will update and supersede this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as well as any future filings made with the SEC under Sections 13(a), 13(c), 14 or 15(d) of the Exchange Act after the date of this prospectus supplement and prior to the termination of this offering ,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180"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2021, filed with the SEC on </w:t>
      </w:r>
      <w:hyperlink r:id="rId55">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June 30, 2022 and September 30, 2022, each filed with the SEC on </w:t>
      </w:r>
      <w:hyperlink r:id="rId56">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August 9, 2022</w:t>
        </w:r>
      </w:hyperlink>
      <w:r>
        <w:rPr>
          <w:rFonts w:ascii="Times New Roman" w:cs="Times New Roman" w:eastAsia="Times New Roman" w:hAnsi="Times New Roman"/>
          <w:sz w:val="18"/>
          <w:szCs w:val="18"/>
          <w:color w:val="auto"/>
        </w:rPr>
        <w:t xml:space="preserve">, and </w:t>
      </w:r>
      <w:hyperlink r:id="rId58">
        <w:r>
          <w:rPr>
            <w:rFonts w:ascii="Times New Roman" w:cs="Times New Roman" w:eastAsia="Times New Roman" w:hAnsi="Times New Roman"/>
            <w:sz w:val="18"/>
            <w:szCs w:val="18"/>
            <w:u w:val="single" w:color="auto"/>
            <w:color w:val="0000EE"/>
          </w:rPr>
          <w:t>November 14, 2022</w:t>
        </w:r>
      </w:hyperlink>
      <w:r>
        <w:rPr>
          <w:rFonts w:ascii="Times New Roman" w:cs="Times New Roman" w:eastAsia="Times New Roman" w:hAnsi="Times New Roman"/>
          <w:sz w:val="18"/>
          <w:szCs w:val="18"/>
          <w:color w:val="auto"/>
        </w:rPr>
        <w:t>, respectively;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6"/>
        </w:numPr>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22,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5,</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 xml:space="preserve">October 11, 2022 </w:t>
        </w:r>
      </w:hyperlink>
      <w:hyperlink r:id="rId5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December 14, 2022</w:t>
        </w:r>
      </w:hyperlink>
      <w:hyperlink r:id="rId59">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supplement and the accompanying prospectus, other than exhibits to those documents unless such exhibits are specifically incorporated by reference into those documents. Such written requests should be addressed to:</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You may also make such requests by contacting us at (615) 733-4730.</w:t>
      </w:r>
    </w:p>
    <w:p>
      <w:pPr>
        <w:spacing w:after="0" w:line="221"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0000EE"/>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 site at </w:t>
      </w:r>
      <w:r>
        <w:rPr>
          <w:rFonts w:ascii="Times New Roman" w:cs="Times New Roman" w:eastAsia="Times New Roman" w:hAnsi="Times New Roman"/>
          <w:sz w:val="18"/>
          <w:szCs w:val="18"/>
          <w:i w:val="1"/>
          <w:iCs w:val="1"/>
          <w:color w:val="auto"/>
        </w:rPr>
        <w:t>www.harrowinc.com</w:t>
      </w:r>
      <w:r>
        <w:rPr>
          <w:rFonts w:ascii="Times New Roman" w:cs="Times New Roman" w:eastAsia="Times New Roman" w:hAnsi="Times New Roman"/>
          <w:sz w:val="18"/>
          <w:szCs w:val="18"/>
          <w:color w:val="auto"/>
        </w:rPr>
        <w:t>. We have not incorporated by reference into this prospectus supplement or the accompanying prospectus the information on our website, and you should not consider it to be a part of this document.</w:t>
      </w:r>
    </w:p>
    <w:p>
      <w:pPr>
        <w:spacing w:after="0" w:line="183"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“HROW.” On May 25, 2022, the closing price of our common stock on the Nasdaq Global Market was $6.50 per share.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Please carefully read the information under “Risk Factors” beginning on page 4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is dated June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1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6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WARRANTS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UNITS</w:t>
            </w:r>
          </w:p>
        </w:tc>
        <w:tc>
          <w:tcPr>
            <w:tcW w:w="77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34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1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50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$300,000,000.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476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ophthalmic-focused healthcare company. Our business specializes in the development, production, sale, and distribution of innovative prescription medications that offer unique competitive advantages and serve unmet needs in the marketplace through our subsidiaries and deconsolidated companies. We own and operate ImprimisRx, one of the nation’s leading ophthalmology-focused pharmaceutical businesses, and Visionology, Inc., or Visionology, a direct-to-consumer digital eyecare subsidiary. In addition to wholly owning ImprimisRx and Visionology, we also have non-controlling equity positions in Surface Ophthalmics, Inc., or Surface, and Melt Pharmaceuticals, Inc., or Melt.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ImprimisRx is our </w:t>
      </w:r>
      <w:r>
        <w:rPr>
          <w:rFonts w:ascii="Times New Roman" w:cs="Times New Roman" w:eastAsia="Times New Roman" w:hAnsi="Times New Roman"/>
          <w:sz w:val="18"/>
          <w:szCs w:val="18"/>
          <w:color w:val="auto"/>
          <w:highlight w:val="white"/>
        </w:rPr>
        <w:t>ophthalmology-focused prescription pharmaceutical business.</w:t>
      </w:r>
      <w:r>
        <w:rPr>
          <w:rFonts w:ascii="Times New Roman" w:cs="Times New Roman" w:eastAsia="Times New Roman" w:hAnsi="Times New Roman"/>
          <w:sz w:val="18"/>
          <w:szCs w:val="18"/>
          <w:color w:val="auto"/>
        </w:rPr>
        <w:t xml:space="preserve"> We offer to over 10,000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outsourcing facility located in New Jersey.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highlight w:val="white"/>
        </w:rPr>
        <w:t>Over the past two years, in order to more fully serve the needs of our growing customer base, we have invested in broadening ImprimisRx’s product portfolio to include FDA-approved products. Our investments in this regard have led to commercial partnerships to sell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minority ownership interests in Surface, Melt and Eton Pharmaceuticals, Inc., all companies that began as our subsidiaries,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We expect any new subsidiaries to be focused on eye care.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1116" w:right="499" w:bottom="1440" w:gutter="0" w:footer="0" w:header="0"/>
        </w:sectPr>
      </w:pPr>
    </w:p>
    <w:bookmarkStart w:id="41" w:name="page42"/>
    <w:bookmarkEnd w:id="4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202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We have incurred significant operating losses and negative cash flows from operations over the course of our business. As of March 31, 2022, we had an accumulated deficit of approximately $97.8 million. Our current projections indicate that we will have operating income and/or net income during 2022; however, these projections may not be correct and our plans could change. Also, we could incur increasing operating losses in the foreseeable future for our commercialization activities, research and development, and our pharmaceutical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operations, our ability to generate the revenues necessary to achieve profitability will depend on many factors.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Times New Roman" w:cs="Times New Roman" w:eastAsia="Times New Roman" w:hAnsi="Times New Roman"/>
          <w:sz w:val="18"/>
          <w:szCs w:val="18"/>
          <w:i w:val="1"/>
          <w:iCs w:val="1"/>
          <w:color w:val="auto"/>
        </w:rPr>
        <w:t>harrowinc.com</w:t>
      </w:r>
      <w:r>
        <w:rPr>
          <w:rFonts w:ascii="Times New Roman" w:cs="Times New Roman" w:eastAsia="Times New Roman" w:hAnsi="Times New Roman"/>
          <w:sz w:val="18"/>
          <w:szCs w:val="18"/>
          <w:color w:val="auto"/>
        </w:rPr>
        <w:t>. Information contained on our website is not deemed part of this prospectus and is not incorporated in this prospectus or any other document that we file with the SEC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offer up to $300.0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4693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27875" cy="4693285"/>
                    </a:xfrm>
                    <a:prstGeom prst="rect">
                      <a:avLst/>
                    </a:prstGeom>
                    <a:noFill/>
                  </pic:spPr>
                </pic:pic>
              </a:graphicData>
            </a:graphic>
          </wp:anchor>
        </w:drawing>
        <w:t>Preferred Stock and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debt securities. We may issue warrants independently or together with other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2021, which is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before and after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products,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May 4, 2022, there were approximately 82 stockholders of record (excluding an indeterminable number of stockholders whose shares are held in street or “nominee” name) of our common stock. In addition, as of March 31, 2022, there were outstanding (i) options to acquire 3,083,796 shares of our common stock with a weighted average exercise price of $5.76 per share, (ii) warrants to purchase 373,847 shares of common stock with a weighted average exercise price of $2.08 per share, (iii) 2,088,558 unvested restricted stock units, and (iv) 277,405 vested restricted stock units for which delivery of the shares had been deferred.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Liability and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“HROW”. The transfer agent and registrar for our common stock is Action Stock Transfer Corporation, 2469 E. Fort Union Blvd., Suite 214, Salt Lake City, UT 84121.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distributed to holders of depositary shares will be reduced by any amounts required to be withheld by us or the depositary on account of taxes or other governmental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0"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 We will also pay charges of the depositary in connection with:</w:t>
      </w:r>
    </w:p>
    <w:p>
      <w:pPr>
        <w:spacing w:after="0" w:line="16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deposit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issuance of the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of the preferred stock; and</w:t>
      </w:r>
    </w:p>
    <w:p>
      <w:pPr>
        <w:spacing w:after="0" w:line="225" w:lineRule="exact"/>
        <w:rPr>
          <w:rFonts w:ascii="Times New Roman" w:cs="Times New Roman" w:eastAsia="Times New Roman" w:hAnsi="Times New Roman"/>
          <w:sz w:val="18"/>
          <w:szCs w:val="18"/>
          <w:color w:val="auto"/>
        </w:rPr>
      </w:pPr>
    </w:p>
    <w:p>
      <w:pPr>
        <w:jc w:val="right"/>
        <w:ind w:left="5580" w:right="5520" w:hanging="4924"/>
        <w:spacing w:after="0" w:line="409" w:lineRule="auto"/>
        <w:tabs>
          <w:tab w:leader="none" w:pos="98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withdrawals of preferred stock by owners of depositary shares.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ind w:firstLine="648"/>
        <w:spacing w:after="0" w:line="282" w:lineRule="auto"/>
        <w:rPr>
          <w:sz w:val="20"/>
          <w:szCs w:val="20"/>
          <w:color w:val="auto"/>
        </w:rPr>
      </w:pPr>
      <w:r>
        <w:rPr>
          <w:rFonts w:ascii="Times New Roman" w:cs="Times New Roman" w:eastAsia="Times New Roman" w:hAnsi="Times New Roman"/>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transfer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dividends and distributions;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3"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advice of counsel or accountants;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provided by holders of depositary receipts or other persons believed in good faith to be competent to give such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16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the currency or currency units in which the offering price, if any, and the exercise price are payable;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common stock or preferred stock will describe the terms of the warrants, including the following:</w:t>
      </w:r>
    </w:p>
    <w:p>
      <w:pPr>
        <w:spacing w:after="0" w:line="378"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that may be purchased upon exercise of a warrant and the exercise price for the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225" w:lineRule="exact"/>
        <w:rPr>
          <w:rFonts w:ascii="Times New Roman" w:cs="Times New Roman" w:eastAsia="Times New Roman" w:hAnsi="Times New Roman"/>
          <w:sz w:val="18"/>
          <w:szCs w:val="18"/>
          <w:color w:val="auto"/>
        </w:rPr>
      </w:pPr>
    </w:p>
    <w:p>
      <w:pPr>
        <w:ind w:left="660" w:right="200" w:hanging="4"/>
        <w:spacing w:after="0" w:line="500" w:lineRule="auto"/>
        <w:tabs>
          <w:tab w:leader="none" w:pos="9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us.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fully registered or in global form;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May and June, 2021, we completed the sale of an aggregate principal amount of $75,000,000 unsecured senior notes in public offerings, which are all treated as a single series (collectively, the “Senior Notes”). The Senior Notes were issued pursuant to that certain Indenture (the “Base Indenture”) and that certain First Supplemental Indenture (the “First Supplemental Indenture” and, together with the Base Indenture, the “Indenture”) each dated April 20, 2021, between the Company and U.S. Bank National Association, as trustee (the “Trustee”). The Senior Notes bear interest at the rate of 8.625% per annum and mature on April 30, 2026. Interest on the Senior Notes is payable quarterly in arrears on January 31, April 30, July 31 and October 31 of each year. The Senior Notes are listed on the Nasdaq Global Market under the symbol “HROWL.”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Notes are senior unsecured obligations of the Company and rank equally in right of payment with all of the Company’s other existing and future senior unsecured and unsubordinated indebtedness. The Senior Notes are effectively subordinated in right of payment to all of the Company’s existing and future secured indebtedness and structurally subordinated to all existing and future indebtedness of the Company’s subsidiaries, including trade payables.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February 1, 2026, the Company may, at its option, redeem the Senior Notes, in whole at any time or in part from time to time, at a redemption price equal to 100% of the principal amount of the Senior Notes to be redeemed, plus a make-whole amount that is further described in the First Supplemental Indenture, if any, plus accrued and unpaid interest to, but excluding, the date of redemption. The Company may redeem the Senior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Senior Notes.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is incorporated by reference into the registration statement of which this prospectus is a part.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may be issued in separate series without limitation as to aggregate principal amount. We may specify a maximum aggregate principal amount for the debt securities of any series.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shall be entitled to receive interest, if other than the record holder on the 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the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may be made;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 or sinking fund provisions and any applicable redemption or purchase prices associated with these provisions;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issued other than in denominations of U.S. $1,000 or any multiple of U.S. $1,000, the denominations in which the debt securities shall be issuable;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maturity, if other than the entire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certificate;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applicable to the subordinated debt securities if different from those described below under “Subordinated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paying agents, authenticating agents, security registrars or other agents for the debt securities, if other than the trustee;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 including any provisions regarding the circumstances under which collateral may be released or substituted;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acceleration provisions or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guaranties for the securities and any circumstances under which there may be additional obligors;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appoint the trustee as the initial security registrar. Any trustee, in addition to the security registrar initially designated by us, will be named in the prospectus supplement. We may designate additional trustees or change trustees or change the office of the trustee. However, we will be required to maintain a trustee in each place of payment for the debt securities of each series.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certificates. Each global certificate will:</w:t>
      </w:r>
    </w:p>
    <w:p>
      <w:pPr>
        <w:spacing w:after="0" w:line="225"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its nominee, that we will identify in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global certificate may be exchanged in whole or in part for debt securities registered in the name of any person other than the depositary or any nominee unless:</w:t>
      </w:r>
    </w:p>
    <w:p>
      <w:pPr>
        <w:spacing w:after="0" w:line="162"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is continuing with respect to the debt securities of the applicable series;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described in a prospectus supplement has occurred permitting or requiring the issuance of any such security.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76"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have the debt securities registered in their names;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physical delivery of certificated debt securities;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business days prior to the date the money would be turned over to the applicable state;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financial or restrictive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debt securities, we may not consolidate with or merge into any other person (other than a wholly owned subsidiary of us) or sell, transfer, lease, convey or otherwise dispose of all or substantially all of our property to, any person (other than a subsidiary of us), unless:</w:t>
      </w:r>
    </w:p>
    <w:p>
      <w:pPr>
        <w:spacing w:after="0" w:line="392" w:lineRule="exact"/>
        <w:rPr>
          <w:sz w:val="20"/>
          <w:szCs w:val="20"/>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the surviving person, or the successor entity, if any, is a U.S. corporation, limited liability company, partnership, trust or other business entity;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other than the Company) expressly assumes our obligations on the debt securities and under the indentures;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no default or event of default shall have occurred and be continuing;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we indicate otherwise in a prospectus supplement, the following will be events of default for any series of debt securities under the indentures:</w:t>
      </w:r>
    </w:p>
    <w:p>
      <w:pPr>
        <w:spacing w:after="0" w:line="162"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principal of or any premium on any debt security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on any debt security of that series for 60 days after it becomes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deposit any sinking fund payment when due;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perform any other covenant in the indenture and such failure continues for 90 days after we are given the notice required in the indentures;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62" w:lineRule="exact"/>
        <w:rPr>
          <w:sz w:val="20"/>
          <w:szCs w:val="20"/>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make modifications and amendments to the indentures for the benefit of holders without their consent, for certain purposes including, but not limited to:</w:t>
      </w:r>
    </w:p>
    <w:p>
      <w:pPr>
        <w:spacing w:after="0" w:line="162"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our successor to assume the covenants under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covenants or events of default;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certain changes to facilitate the issuance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the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successor trustee or additional trustees;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any ambiguities or inconsistencies;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guaranties of, or additional obligors on,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or facilitating the defeasance and discharge of the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specified in the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62"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or any other debt security payable on acceleration of maturity;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currency in which any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subordinated debt securities, modify the subordination provisions in a materially adverse manner to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any debt security if the debt security is a convertible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6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be subject to U.S. federal income tax differently than if we did not make the election and instead paid the amounts due on the debt securities as and when due.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debt securities of any series that are denominated in a currency other than United States dollars, “foreign government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7" w:lineRule="exact"/>
        <w:rPr>
          <w:sz w:val="20"/>
          <w:szCs w:val="20"/>
          <w:color w:val="auto"/>
        </w:rPr>
      </w:pPr>
    </w:p>
    <w:p>
      <w:pPr>
        <w:jc w:val="both"/>
        <w:ind w:left="980" w:hanging="324"/>
        <w:spacing w:after="0" w:line="261"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payment default, when the default is cured or waived or ceases to exist,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nonpayment default, the earlier of when the default is cured or waived or ceases to exist or 179 days after the receipt of the payment blockage notice.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or different subordination provisions may be described in a prospectus supplement relating to a particular series of debt securities.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62"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evidenced by a credit or loan agreement, note, bond, debenture or other written obligation;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for money borrowed;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evidenced by a note or similar instrument given in connection with the acquisition of any businesses, properties or assets of any kind,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lessee under leases required to be capitalized on the balance sheet of the lessee under generally accepted accounting principles, or</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lessee under leases for facilities, capital equipment or related assets, whether or not capitalized, entered into or leased for financing purposes;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under interest rate and currency swaps, caps, floors, collars, hedge agreements, forward contracts or similar agreements or arrangements;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with respect to letters of credit, bankers’ acceptances and similar facilities, including reimbursement obligations with respect to the foregoing;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76" w:lineRule="exact"/>
        <w:rPr>
          <w:sz w:val="20"/>
          <w:szCs w:val="20"/>
          <w:color w:val="auto"/>
        </w:rPr>
      </w:pPr>
    </w:p>
    <w:p>
      <w:pPr>
        <w:jc w:val="both"/>
        <w:ind w:left="98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69"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0"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auctions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KMJ Corbin &amp; Company LLP, an independent registered public accounting firm, has audited our consolidated financial statements included in our Annual Report on Form 10-K for the year ended December 31, 2021, as set forth in its report, which is incorporated by reference in this prospectus and elsewhere in the registration statement. Our consolidated financial statements are incorporated by reference in reliance upon the report of such firm given upon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80"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2021 filed with the SEC on </w:t>
      </w:r>
      <w:hyperlink r:id="rId55">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as amended, filed with the SEC on </w:t>
      </w:r>
      <w:hyperlink r:id="rId94">
        <w:r>
          <w:rPr>
            <w:rFonts w:ascii="Times New Roman" w:cs="Times New Roman" w:eastAsia="Times New Roman" w:hAnsi="Times New Roman"/>
            <w:sz w:val="18"/>
            <w:szCs w:val="18"/>
            <w:u w:val="single" w:color="auto"/>
            <w:color w:val="0000EE"/>
          </w:rPr>
          <w:t>April 26,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2022, filed with the SEC on </w:t>
      </w:r>
      <w:hyperlink r:id="rId56">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95">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6">
        <w:r>
          <w:rPr>
            <w:rFonts w:ascii="Times New Roman" w:cs="Times New Roman" w:eastAsia="Times New Roman" w:hAnsi="Times New Roman"/>
            <w:sz w:val="18"/>
            <w:szCs w:val="18"/>
            <w:u w:val="single" w:color="auto"/>
            <w:color w:val="0000EE"/>
          </w:rPr>
          <w:t>April 13,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97">
        <w:r>
          <w:rPr>
            <w:rFonts w:ascii="Times New Roman" w:cs="Times New Roman" w:eastAsia="Times New Roman" w:hAnsi="Times New Roman"/>
            <w:sz w:val="18"/>
            <w:szCs w:val="18"/>
            <w:u w:val="single" w:color="auto"/>
            <w:color w:val="0000EE"/>
          </w:rPr>
          <w:t>February 7, 2013</w:t>
        </w:r>
      </w:hyperlink>
      <w:r>
        <w:rPr>
          <w:rFonts w:ascii="Times New Roman" w:cs="Times New Roman" w:eastAsia="Times New Roman" w:hAnsi="Times New Roman"/>
          <w:sz w:val="18"/>
          <w:szCs w:val="18"/>
          <w:color w:val="auto"/>
        </w:rPr>
        <w:t>, and any amendments or reports filed for the purpose of updating such description;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7"/>
        </w:numPr>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auto"/>
          </w:rPr>
          <w:t xml:space="preserve">the description of our 8.625% Senior Notes due 2026 contained in our Registration Statement on Form 8-A filed with the SEC on </w:t>
        </w:r>
        <w:r>
          <w:rPr>
            <w:rFonts w:ascii="Times New Roman" w:cs="Times New Roman" w:eastAsia="Times New Roman" w:hAnsi="Times New Roman"/>
            <w:sz w:val="18"/>
            <w:szCs w:val="18"/>
            <w:u w:val="single" w:color="auto"/>
            <w:color w:val="0000EE"/>
          </w:rPr>
          <w:t>April 20,</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001-35814), pursuant to Section 12(b) of the Exchange Act, including any amendment or report filed for the purpose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updating such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also make such requests by contacting us at (615) 733-4730.</w:t>
      </w:r>
    </w:p>
    <w:p>
      <w:pPr>
        <w:spacing w:after="0" w:line="22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163830</wp:posOffset>
            </wp:positionV>
            <wp:extent cx="1808480" cy="9512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180848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Harrow Health,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11.875%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24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780" w:type="dxa"/>
            <w:vAlign w:val="bottom"/>
          </w:tcPr>
          <w:p>
            <w:pPr>
              <w:spacing w:after="0"/>
              <w:rPr>
                <w:sz w:val="20"/>
                <w:szCs w:val="20"/>
                <w:color w:val="auto"/>
              </w:rPr>
            </w:pPr>
          </w:p>
        </w:tc>
      </w:tr>
      <w:tr>
        <w:trPr>
          <w:trHeight w:val="223"/>
        </w:trPr>
        <w:tc>
          <w:tcPr>
            <w:tcW w:w="2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0" w:type="dxa"/>
            <w:vAlign w:val="bottom"/>
            <w:tcBorders>
              <w:bottom w:val="single" w:sz="8" w:color="auto"/>
            </w:tcBorders>
            <w:gridSpan w:val="2"/>
          </w:tcPr>
          <w:p>
            <w:pPr>
              <w:spacing w:after="0"/>
              <w:rPr>
                <w:sz w:val="19"/>
                <w:szCs w:val="19"/>
                <w:color w:val="auto"/>
              </w:rPr>
            </w:pPr>
          </w:p>
        </w:tc>
        <w:tc>
          <w:tcPr>
            <w:tcW w:w="14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45"/>
        </w:trPr>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4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i w:val="1"/>
                <w:iCs w:val="1"/>
                <w:color w:val="auto"/>
              </w:rPr>
              <w:t>Book-Running Managers</w:t>
            </w:r>
          </w:p>
        </w:tc>
        <w:tc>
          <w:tcPr>
            <w:tcW w:w="2780" w:type="dxa"/>
            <w:vAlign w:val="bottom"/>
          </w:tcPr>
          <w:p>
            <w:pPr>
              <w:spacing w:after="0"/>
              <w:rPr>
                <w:sz w:val="24"/>
                <w:szCs w:val="24"/>
                <w:color w:val="auto"/>
              </w:rPr>
            </w:pPr>
          </w:p>
        </w:tc>
      </w:tr>
      <w:tr>
        <w:trPr>
          <w:trHeight w:val="432"/>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Riley Securities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Janney Montgomery Scott</w:t>
            </w:r>
          </w:p>
        </w:tc>
        <w:tc>
          <w:tcPr>
            <w:tcW w:w="32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Ladenburg Thalmann</w:t>
            </w:r>
          </w:p>
        </w:tc>
        <w:tc>
          <w:tcPr>
            <w:tcW w:w="27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William Blair</w:t>
            </w:r>
          </w:p>
        </w:tc>
      </w:tr>
      <w:tr>
        <w:trPr>
          <w:trHeight w:val="432"/>
        </w:trPr>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4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i w:val="1"/>
                <w:iCs w:val="1"/>
                <w:color w:val="auto"/>
                <w:w w:val="99"/>
              </w:rPr>
              <w:t>Lead Manager</w:t>
            </w:r>
          </w:p>
        </w:tc>
        <w:tc>
          <w:tcPr>
            <w:tcW w:w="2780" w:type="dxa"/>
            <w:vAlign w:val="bottom"/>
          </w:tcPr>
          <w:p>
            <w:pPr>
              <w:spacing w:after="0"/>
              <w:rPr>
                <w:sz w:val="24"/>
                <w:szCs w:val="24"/>
                <w:color w:val="auto"/>
              </w:rPr>
            </w:pPr>
          </w:p>
        </w:tc>
      </w:tr>
      <w:tr>
        <w:trPr>
          <w:trHeight w:val="410"/>
        </w:trPr>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6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6"/>
              </w:rPr>
              <w:t>EF Hutton</w:t>
            </w:r>
          </w:p>
        </w:tc>
        <w:tc>
          <w:tcPr>
            <w:tcW w:w="2780" w:type="dxa"/>
            <w:vAlign w:val="bottom"/>
          </w:tcPr>
          <w:p>
            <w:pPr>
              <w:spacing w:after="0"/>
              <w:rPr>
                <w:sz w:val="24"/>
                <w:szCs w:val="24"/>
                <w:color w:val="auto"/>
              </w:rPr>
            </w:pPr>
          </w:p>
        </w:tc>
      </w:tr>
      <w:tr>
        <w:trPr>
          <w:trHeight w:val="238"/>
        </w:trPr>
        <w:tc>
          <w:tcPr>
            <w:tcW w:w="2480" w:type="dxa"/>
            <w:vAlign w:val="bottom"/>
          </w:tcPr>
          <w:p>
            <w:pPr>
              <w:spacing w:after="0"/>
              <w:rPr>
                <w:sz w:val="20"/>
                <w:szCs w:val="20"/>
                <w:color w:val="auto"/>
              </w:rPr>
            </w:pPr>
          </w:p>
        </w:tc>
        <w:tc>
          <w:tcPr>
            <w:tcW w:w="59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division of Benchmark Investments, LLC</w:t>
            </w:r>
          </w:p>
        </w:tc>
        <w:tc>
          <w:tcPr>
            <w:tcW w:w="2780" w:type="dxa"/>
            <w:vAlign w:val="bottom"/>
          </w:tcPr>
          <w:p>
            <w:pPr>
              <w:spacing w:after="0"/>
              <w:rPr>
                <w:sz w:val="20"/>
                <w:szCs w:val="20"/>
                <w:color w:val="auto"/>
              </w:rPr>
            </w:pPr>
          </w:p>
        </w:tc>
      </w:tr>
      <w:tr>
        <w:trPr>
          <w:trHeight w:val="432"/>
        </w:trPr>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4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i w:val="1"/>
                <w:iCs w:val="1"/>
                <w:color w:val="auto"/>
                <w:w w:val="99"/>
              </w:rPr>
              <w:t>Co-Managers</w:t>
            </w:r>
          </w:p>
        </w:tc>
        <w:tc>
          <w:tcPr>
            <w:tcW w:w="2780" w:type="dxa"/>
            <w:vAlign w:val="bottom"/>
          </w:tcPr>
          <w:p>
            <w:pPr>
              <w:spacing w:after="0"/>
              <w:rPr>
                <w:sz w:val="24"/>
                <w:szCs w:val="24"/>
                <w:color w:val="auto"/>
              </w:rPr>
            </w:pPr>
          </w:p>
        </w:tc>
      </w:tr>
      <w:tr>
        <w:trPr>
          <w:trHeight w:val="432"/>
        </w:trPr>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Aegis Capital Corp.</w:t>
            </w:r>
          </w:p>
        </w:tc>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Brownstone Investment Group</w:t>
            </w:r>
          </w:p>
        </w:tc>
        <w:tc>
          <w:tcPr>
            <w:tcW w:w="32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Huntington Capital Markets</w:t>
            </w:r>
          </w:p>
        </w:tc>
        <w:tc>
          <w:tcPr>
            <w:tcW w:w="27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InspereX</w:t>
            </w:r>
          </w:p>
        </w:tc>
      </w:tr>
      <w:tr>
        <w:trPr>
          <w:trHeight w:val="432"/>
        </w:trPr>
        <w:tc>
          <w:tcPr>
            <w:tcW w:w="2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Maxim Group LLC</w:t>
            </w:r>
          </w:p>
        </w:tc>
        <w:tc>
          <w:tcPr>
            <w:tcW w:w="1740" w:type="dxa"/>
            <w:vAlign w:val="bottom"/>
          </w:tcPr>
          <w:p>
            <w:pPr>
              <w:spacing w:after="0"/>
              <w:rPr>
                <w:sz w:val="24"/>
                <w:szCs w:val="24"/>
                <w:color w:val="auto"/>
              </w:rPr>
            </w:pPr>
          </w:p>
        </w:tc>
        <w:tc>
          <w:tcPr>
            <w:tcW w:w="424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Newbridge Securities Corporation</w:t>
            </w:r>
          </w:p>
        </w:tc>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Revere Securities LLC</w:t>
            </w:r>
          </w:p>
        </w:tc>
      </w:tr>
      <w:tr>
        <w:trPr>
          <w:trHeight w:val="432"/>
        </w:trPr>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4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December 15, 2022</w:t>
            </w:r>
          </w:p>
        </w:tc>
        <w:tc>
          <w:tcPr>
            <w:tcW w:w="2780" w:type="dxa"/>
            <w:vAlign w:val="bottom"/>
          </w:tcPr>
          <w:p>
            <w:pPr>
              <w:spacing w:after="0"/>
              <w:rPr>
                <w:sz w:val="24"/>
                <w:szCs w:val="24"/>
                <w:color w:val="auto"/>
              </w:rPr>
            </w:pPr>
          </w:p>
        </w:tc>
      </w:tr>
      <w:tr>
        <w:trPr>
          <w:trHeight w:val="223"/>
        </w:trPr>
        <w:tc>
          <w:tcPr>
            <w:tcW w:w="24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r>
      <w:tr>
        <w:trPr>
          <w:trHeight w:val="27"/>
        </w:trPr>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68"/>
        </w:trPr>
        <w:tc>
          <w:tcPr>
            <w:tcW w:w="248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8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2780" w:type="dxa"/>
            <w:vAlign w:val="bottom"/>
            <w:shd w:val="clear" w:color="auto" w:fill="000000"/>
          </w:tcPr>
          <w:p>
            <w:pPr>
              <w:spacing w:after="0"/>
              <w:rPr>
                <w:sz w:val="5"/>
                <w:szCs w:val="5"/>
                <w:color w:val="auto"/>
              </w:rPr>
            </w:pPr>
          </w:p>
        </w:tc>
      </w:tr>
      <w:tr>
        <w:trPr>
          <w:trHeight w:val="439"/>
        </w:trPr>
        <w:tc>
          <w:tcPr>
            <w:tcW w:w="2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color w:val="auto"/>
                <w:w w:val="99"/>
              </w:rPr>
              <w:t>27</w:t>
            </w:r>
          </w:p>
        </w:tc>
        <w:tc>
          <w:tcPr>
            <w:tcW w:w="1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lowerRoman"/>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2"/>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lvl w:ilvl="1">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jpeg"/><Relationship Id="rId103" Type="http://schemas.openxmlformats.org/officeDocument/2006/relationships/image" Target="media/image84.png"/><Relationship Id="rId55" Type="http://schemas.openxmlformats.org/officeDocument/2006/relationships/hyperlink" Target="https://www.sec.gov/Archives/edgar/data/1360214/000149315222006525/form-10k.htm" TargetMode="External"/><Relationship Id="rId56" Type="http://schemas.openxmlformats.org/officeDocument/2006/relationships/hyperlink" Target="https://www.sec.gov/Archives/edgar/data/1360214/000149315222012261/form10q.htm" TargetMode="External"/><Relationship Id="rId57" Type="http://schemas.openxmlformats.org/officeDocument/2006/relationships/hyperlink" Target="https://www.sec.gov/Archives/edgar/data/1360214/000149315222021769/form10-q.htm" TargetMode="External"/><Relationship Id="rId58" Type="http://schemas.openxmlformats.org/officeDocument/2006/relationships/hyperlink" Target="https://www.sec.gov/Archives/edgar/data/1360214/000149315222032076/form10-q.htm" TargetMode="External"/><Relationship Id="rId59" Type="http://schemas.openxmlformats.org/officeDocument/2006/relationships/hyperlink" Target="https://www.sec.gov/Archives/edgar/data/1360214/000149315222027737/form8-k.htm" TargetMode="External"/><Relationship Id="rId60" Type="http://schemas.openxmlformats.org/officeDocument/2006/relationships/hyperlink" Target="https://www.sec.gov/Archives/edgar/data/1360214/000149315222028146/form8-k.htm" TargetMode="External"/><Relationship Id="rId61" Type="http://schemas.openxmlformats.org/officeDocument/2006/relationships/hyperlink" Target="https://www.sec.gov/Archives/edgar/data/1360214/000149315222035374/form8-k.htm" TargetMode="External"/><Relationship Id="rId94" Type="http://schemas.openxmlformats.org/officeDocument/2006/relationships/hyperlink" Target="https://www.sec.gov/Archives/edgar/data/1360214/000149315222011172/formdefa14a.htm" TargetMode="External"/><Relationship Id="rId95" Type="http://schemas.openxmlformats.org/officeDocument/2006/relationships/hyperlink" Target="https://www.sec.gov/Archives/edgar/data/1360214/000149315222008268/form8-k.htm" TargetMode="External"/><Relationship Id="rId96" Type="http://schemas.openxmlformats.org/officeDocument/2006/relationships/hyperlink" Target="https://www.sec.gov/Archives/edgar/data/1360214/000149315222009817/form8-k.htm" TargetMode="External"/><Relationship Id="rId97" Type="http://schemas.openxmlformats.org/officeDocument/2006/relationships/hyperlink" Target="https://www.sec.gov/Archives/edgar/data/1360214/000135448813000459/immy_8a12b.htm" TargetMode="External"/><Relationship Id="rId98" Type="http://schemas.openxmlformats.org/officeDocument/2006/relationships/hyperlink" Target="https://www.sec.gov/Archives/edgar/data/1360214/000149315221009251/form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2022-12-19T15:57:08Z</dcterms:created>
  <dcterms:modified xsi:type="dcterms:W3CDTF">2022-12-19T15:57:08Z</dcterms:modified>
</cp:coreProperties>
</file>