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HARROW,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04/25/2024</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04/25/2024</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9"/>
                <w:szCs w:val="9"/>
                <w:color w:val="auto"/>
              </w:rPr>
            </w:pPr>
          </w:p>
        </w:tc>
        <w:tc>
          <w:tcPr>
            <w:tcW w:w="620" w:type="dxa"/>
            <w:vAlign w:val="bottom"/>
            <w:gridSpan w:val="3"/>
            <w:vMerge w:val="restart"/>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3,815,000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$9.91-$10.01 inclusive. The reporting person undertakes to provide, upon request by the SEC staff, the issuer, or a security holder of the issuer, full information regarding the number of shares purchased at each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04/25/2024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2024-04-25T16:46:34Z</dcterms:created>
  <dcterms:modified xsi:type="dcterms:W3CDTF">2024-04-25T16:46:34Z</dcterms:modified>
</cp:coreProperties>
</file>