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12,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34"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2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12, 2016, Imprimis Pharmaceuticals, Inc. (the “Company”) issued a press release announcing its financial results for the first quarter ended March 31, 2016.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12, 2016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May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 May 12, 2016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226060</wp:posOffset>
            </wp:positionV>
            <wp:extent cx="1800860" cy="823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00860" cy="82359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First Quarter 2016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San Diego, CA – May 12, 2016 — Imprimis Pharmaceuticals, Inc. (NASDAQ: IMMY), a pharmaceutical company dedicated to making drugs affordable again through its Branded Compounding™ business model, today reported financial results for the first quarter 2016, and will provide an update on recent business developments on a conference call this afternoon.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comparing the first quarter revenue figures of 2016 to the same period of 2015, the company reported that: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grew over 180% to $4.4 million from $1.6 million.</w:t>
      </w:r>
    </w:p>
    <w:p>
      <w:pPr>
        <w:spacing w:after="0" w:line="225" w:lineRule="exact"/>
        <w:rPr>
          <w:rFonts w:ascii="Arial" w:cs="Arial" w:eastAsia="Arial" w:hAnsi="Arial"/>
          <w:sz w:val="18"/>
          <w:szCs w:val="18"/>
          <w:color w:val="auto"/>
        </w:rPr>
      </w:pPr>
    </w:p>
    <w:p>
      <w:pPr>
        <w:ind w:right="5200" w:firstLine="332"/>
        <w:spacing w:after="0" w:line="501"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Ophthalmology related sales grew over 450% to $1.8 million from $320,000. Other 2016 first quarter financial highlights included: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Operating expenses decreased during first quarter 2016 by $0.4 million, as compared to </w:t>
      </w:r>
      <w:r>
        <w:rPr>
          <w:rFonts w:ascii="Arial" w:cs="Arial" w:eastAsia="Arial" w:hAnsi="Arial"/>
          <w:sz w:val="18"/>
          <w:szCs w:val="18"/>
          <w:u w:val="single" w:color="auto"/>
          <w:color w:val="auto"/>
        </w:rPr>
        <w:t>prior quarter</w:t>
      </w:r>
      <w:r>
        <w:rPr>
          <w:rFonts w:ascii="Arial" w:cs="Arial" w:eastAsia="Arial" w:hAnsi="Arial"/>
          <w:sz w:val="18"/>
          <w:szCs w:val="18"/>
          <w:color w:val="auto"/>
        </w:rPr>
        <w:t xml:space="preserve"> ended December 31, 2015.</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loss for the first quarter 2016 was $(2.5) million, or approximately $(0.24) per share of common stock, compared to the prior quarter ended December 31, 2015, where adjusted EBITDA loss was $(2.97) million, or approximately $(0.31) per share.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Amending the note purchase agreement with an affiliate of Life Sciences Alternative Funding, LLC and issued a $3 million convertible note in exchange for $3 million in gross proceeds.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Completing a public offering of common stock for a total of $12 million in gross proceeds, before deducting underwriting and other offering expenses.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 L. Baum, CEO of Imprimis, stated, “This was an important quarter in our company’s financial history and represented our sixth consecutive period of quarter over quarter increases in revenues. Notably, during the first quarter we strengthened our balance sheet and reduced our operating losses, while significantly growing sales. We continue to grow at a rapid rate and are well positioned to begin to accelerate on projected growth in the second half of the year as we begin to increase production capacity and realize other operating efficiencies. With the certain shift in reimbursements and payments for drug benefits, we believe that more business will be moved to lower-cost, high quality innovation-focused companies, like Imprimis, as we meet the promise of Making Drugs Affordable Again™. We look forward to setting additional growth milestones throughout 2016 and beyond as we advance the company towards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Commercialization and Corporate Developments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Launched the company’s patent-pending </w:t>
      </w:r>
      <w:r>
        <w:rPr>
          <w:rFonts w:ascii="Arial" w:cs="Arial" w:eastAsia="Arial" w:hAnsi="Arial"/>
          <w:sz w:val="18"/>
          <w:szCs w:val="18"/>
          <w:u w:val="single" w:color="auto"/>
          <w:color w:val="auto"/>
        </w:rPr>
        <w:t>IV Free MKO Melt™</w:t>
      </w:r>
      <w:r>
        <w:rPr>
          <w:rFonts w:ascii="Arial" w:cs="Arial" w:eastAsia="Arial" w:hAnsi="Arial"/>
          <w:sz w:val="18"/>
          <w:szCs w:val="18"/>
          <w:color w:val="auto"/>
        </w:rPr>
        <w:t xml:space="preserve"> (midazolam, ketamine and ondansetron) compounded conscious sedation formulation, an alternative option to IV anesthetic for patients undergoing ocular and other surgical procedures. The company introduced the IV Free™ educational campaign earlier this month to attendees at the 2016 American Society of Cataract and Refractive Surgery (ASCRS) symposium in New Orleans and at the American Urological Association annual meeting in San Diego.</w:t>
      </w:r>
    </w:p>
    <w:p>
      <w:pPr>
        <w:spacing w:after="0" w:line="18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Announced positive findings of an investigator-initiated study presented at the 2016 ASCRS meeting demonstrating a significant reduction in cystoid macular edema (CME) in post-cataract surgery patients with the company’s injectable </w:t>
      </w:r>
      <w:r>
        <w:rPr>
          <w:rFonts w:ascii="Arial" w:cs="Arial" w:eastAsia="Arial" w:hAnsi="Arial"/>
          <w:sz w:val="16"/>
          <w:szCs w:val="16"/>
          <w:u w:val="single" w:color="auto"/>
          <w:color w:val="auto"/>
        </w:rPr>
        <w:t>Dropless Therapy®</w:t>
      </w:r>
      <w:r>
        <w:rPr>
          <w:rFonts w:ascii="Arial" w:cs="Arial" w:eastAsia="Arial" w:hAnsi="Arial"/>
          <w:sz w:val="16"/>
          <w:szCs w:val="16"/>
          <w:color w:val="auto"/>
        </w:rPr>
        <w:t xml:space="preserve"> (Tri-Moxi-Vanc) and an added NSAID topical eye drop compared to patients treated with traditional individual NSAID and steroid topical drops following cataract surgery.</w:t>
      </w:r>
    </w:p>
    <w:p>
      <w:pPr>
        <w:spacing w:after="0" w:line="146"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Expanded the </w:t>
      </w:r>
      <w:r>
        <w:rPr>
          <w:rFonts w:ascii="Arial" w:cs="Arial" w:eastAsia="Arial" w:hAnsi="Arial"/>
          <w:sz w:val="18"/>
          <w:szCs w:val="18"/>
          <w:u w:val="single" w:color="auto"/>
          <w:color w:val="auto"/>
        </w:rPr>
        <w:t>LessDrops®</w:t>
      </w:r>
      <w:r>
        <w:rPr>
          <w:rFonts w:ascii="Arial" w:cs="Arial" w:eastAsia="Arial" w:hAnsi="Arial"/>
          <w:sz w:val="18"/>
          <w:szCs w:val="18"/>
          <w:color w:val="auto"/>
        </w:rPr>
        <w:t xml:space="preserve"> portfolio with the introduction of a new proprietary Pred-Moxi-Nepafenac (prednisolone acetate, moxifloxacin hydrocholoride and nepafenac) combination topical eye drop formulation. Imprimis now offers four unique proprietary antibiotic, steroid and nonsteroidal combination LessDrops formulations: Pred-Moxi, Pred-Ketor, Pred-Moxi-Ketor and the new Pred-Moxi-Nepafenac for use following cataract, LASIK, photorefractive keratectomy (PRK) and other ocular surgeries.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Began dispensing the company’s Tri-Mix and proprietary Tri-Mix-L formulations for erectile dysfunction to one of the largest managed healthcare organizations in the U.S.</w:t>
      </w:r>
    </w:p>
    <w:p>
      <w:pPr>
        <w:spacing w:after="0" w:line="17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Introduced a lower-cost </w:t>
      </w:r>
      <w:r>
        <w:rPr>
          <w:rFonts w:ascii="Arial" w:cs="Arial" w:eastAsia="Arial" w:hAnsi="Arial"/>
          <w:sz w:val="18"/>
          <w:szCs w:val="18"/>
          <w:u w:val="single" w:color="auto"/>
          <w:color w:val="auto"/>
        </w:rPr>
        <w:t>therapeutic alternative</w:t>
      </w:r>
      <w:r>
        <w:rPr>
          <w:rFonts w:ascii="Arial" w:cs="Arial" w:eastAsia="Arial" w:hAnsi="Arial"/>
          <w:sz w:val="18"/>
          <w:szCs w:val="18"/>
          <w:color w:val="auto"/>
        </w:rPr>
        <w:t xml:space="preserve"> to Thiola® for the treatment of cystinuria. Imprimis currently offers tiopronin delayed-release (DR) formulations available in customizable doses including 200mg and 250mg capsules, and tiopronin-K DR, which is comprised of tiopronin along with potassium citrate for those patients who have had their potassium citrate dosing titrated.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Expanded the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compounded alternatives portfolio and broadened its contracted network, including the top five pharmacy benefit managers in the country, to provide an efficient claims adjudication of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prescriptions.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ImprimisRx Pharmacy Operations</w:t>
      </w:r>
    </w:p>
    <w:p>
      <w:pPr>
        <w:spacing w:after="0" w:line="22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Registered </w:t>
      </w:r>
      <w:r>
        <w:rPr>
          <w:rFonts w:ascii="Arial" w:cs="Arial" w:eastAsia="Arial" w:hAnsi="Arial"/>
          <w:sz w:val="18"/>
          <w:szCs w:val="18"/>
          <w:u w:val="single" w:color="auto"/>
          <w:color w:val="auto"/>
        </w:rPr>
        <w:t>ImprimisRx TX</w:t>
      </w:r>
      <w:r>
        <w:rPr>
          <w:rFonts w:ascii="Arial" w:cs="Arial" w:eastAsia="Arial" w:hAnsi="Arial"/>
          <w:sz w:val="18"/>
          <w:szCs w:val="18"/>
          <w:color w:val="auto"/>
        </w:rPr>
        <w:t xml:space="preserve"> with the U.S. Food and Drug Administration (FDA) as a 503B outsourcing facility with plans to begin dispensing certain ophthalmic formulations as an outsourcing facility on or around the end of the second quarter 2016.</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Moved the NJ compounding operations into the company’s 8,600 square foot facility in Roxbury, NJ, with plans to register it with the FDA as a 503B outsourcing facility once the facility and the formulations are validated.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Selected highlights regarding operating results for the three months ended March 31, 2016 and for the same period in 2015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For the three months ended</w:t>
            </w:r>
          </w:p>
        </w:tc>
        <w:tc>
          <w:tcPr>
            <w:tcW w:w="140" w:type="dxa"/>
            <w:vAlign w:val="bottom"/>
          </w:tcPr>
          <w:p>
            <w:pPr>
              <w:spacing w:after="0"/>
              <w:rPr>
                <w:sz w:val="18"/>
                <w:szCs w:val="18"/>
                <w:color w:val="auto"/>
              </w:rPr>
            </w:pPr>
          </w:p>
        </w:tc>
        <w:tc>
          <w:tcPr>
            <w:tcW w:w="2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41"/>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 2016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 2015</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2,249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00" w:type="dxa"/>
            <w:vAlign w:val="bottom"/>
          </w:tcPr>
          <w:p>
            <w:pPr>
              <w:spacing w:after="0"/>
              <w:rPr>
                <w:sz w:val="18"/>
                <w:szCs w:val="18"/>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3,940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2,480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jc w:val="right"/>
              <w:ind w:right="141"/>
              <w:spacing w:after="0"/>
              <w:rPr>
                <w:sz w:val="20"/>
                <w:szCs w:val="20"/>
                <w:color w:val="auto"/>
              </w:rPr>
            </w:pPr>
            <w:r>
              <w:rPr>
                <w:rFonts w:ascii="Arial" w:cs="Arial" w:eastAsia="Arial" w:hAnsi="Arial"/>
                <w:sz w:val="15"/>
                <w:szCs w:val="15"/>
                <w:b w:val="1"/>
                <w:bCs w:val="1"/>
                <w:color w:val="auto"/>
                <w:w w:val="71"/>
              </w:rPr>
              <w:t>$</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(4,496)</w:t>
            </w:r>
          </w:p>
        </w:tc>
        <w:tc>
          <w:tcPr>
            <w:tcW w:w="42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(3,093)</w:t>
            </w: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300" w:type="dxa"/>
            <w:vAlign w:val="bottom"/>
          </w:tcPr>
          <w:p>
            <w:pPr>
              <w:jc w:val="right"/>
              <w:ind w:right="141"/>
              <w:spacing w:after="0"/>
              <w:rPr>
                <w:sz w:val="20"/>
                <w:szCs w:val="20"/>
                <w:color w:val="auto"/>
              </w:rPr>
            </w:pPr>
            <w:r>
              <w:rPr>
                <w:rFonts w:ascii="Arial" w:cs="Arial" w:eastAsia="Arial" w:hAnsi="Arial"/>
                <w:sz w:val="15"/>
                <w:szCs w:val="15"/>
                <w:b w:val="1"/>
                <w:bCs w:val="1"/>
                <w:color w:val="auto"/>
                <w:w w:val="71"/>
              </w:rPr>
              <w: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(0.43)</w:t>
            </w:r>
          </w:p>
        </w:tc>
        <w:tc>
          <w:tcPr>
            <w:tcW w:w="420" w:type="dxa"/>
            <w:vAlign w:val="bottom"/>
            <w:gridSpan w:val="2"/>
          </w:tcPr>
          <w:p>
            <w:pPr>
              <w:jc w:val="right"/>
              <w:ind w:right="117"/>
              <w:spacing w:after="0"/>
              <w:rPr>
                <w:sz w:val="20"/>
                <w:szCs w:val="20"/>
                <w:color w:val="auto"/>
              </w:rPr>
            </w:pPr>
            <w:r>
              <w:rPr>
                <w:rFonts w:ascii="Arial" w:cs="Arial" w:eastAsia="Arial" w:hAnsi="Arial"/>
                <w:sz w:val="18"/>
                <w:szCs w:val="18"/>
                <w:b w:val="1"/>
                <w:bCs w:val="1"/>
                <w:color w:val="auto"/>
              </w:rPr>
              <w:t>$</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(0.33)</w:t>
            </w:r>
          </w:p>
        </w:tc>
      </w:tr>
      <w:tr>
        <w:trPr>
          <w:trHeight w:val="421"/>
        </w:trPr>
        <w:tc>
          <w:tcPr>
            <w:tcW w:w="6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For the three months ended</w:t>
            </w:r>
          </w:p>
        </w:tc>
        <w:tc>
          <w:tcPr>
            <w:tcW w:w="3440" w:type="dxa"/>
            <w:vAlign w:val="bottom"/>
          </w:tcPr>
          <w:p>
            <w:pPr>
              <w:spacing w:after="0"/>
              <w:rPr>
                <w:sz w:val="18"/>
                <w:szCs w:val="18"/>
                <w:color w:val="auto"/>
              </w:rPr>
            </w:pPr>
          </w:p>
        </w:tc>
      </w:tr>
      <w:tr>
        <w:trPr>
          <w:trHeight w:val="241"/>
        </w:trPr>
        <w:tc>
          <w:tcPr>
            <w:tcW w:w="4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 2016</w:t>
            </w:r>
          </w:p>
        </w:tc>
        <w:tc>
          <w:tcPr>
            <w:tcW w:w="3440" w:type="dxa"/>
            <w:vAlign w:val="bottom"/>
          </w:tcPr>
          <w:p>
            <w:pPr>
              <w:spacing w:after="0"/>
              <w:rPr>
                <w:sz w:val="20"/>
                <w:szCs w:val="20"/>
                <w:color w:val="auto"/>
              </w:rPr>
            </w:pP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(4,496)</w:t>
            </w:r>
          </w:p>
        </w:tc>
        <w:tc>
          <w:tcPr>
            <w:tcW w:w="3440" w:type="dxa"/>
            <w:vAlign w:val="bottom"/>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1,064</w:t>
            </w:r>
          </w:p>
        </w:tc>
        <w:tc>
          <w:tcPr>
            <w:tcW w:w="34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440" w:type="dxa"/>
            <w:vAlign w:val="bottom"/>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Taxes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40" w:type="dxa"/>
            <w:vAlign w:val="bottom"/>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91</w:t>
            </w:r>
          </w:p>
        </w:tc>
        <w:tc>
          <w:tcPr>
            <w:tcW w:w="34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40" w:type="dxa"/>
            <w:vAlign w:val="bottom"/>
          </w:tcPr>
          <w:p>
            <w:pPr>
              <w:spacing w:after="0"/>
              <w:rPr>
                <w:sz w:val="18"/>
                <w:szCs w:val="18"/>
                <w:color w:val="auto"/>
              </w:rPr>
            </w:pPr>
          </w:p>
        </w:tc>
      </w:tr>
      <w:tr>
        <w:trPr>
          <w:trHeight w:val="234"/>
        </w:trPr>
        <w:tc>
          <w:tcPr>
            <w:tcW w:w="454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1500" w:type="dxa"/>
            <w:vAlign w:val="bottom"/>
            <w:gridSpan w:val="2"/>
          </w:tcPr>
          <w:p>
            <w:pPr>
              <w:ind w:left="1220"/>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(2,516)</w:t>
            </w:r>
          </w:p>
        </w:tc>
        <w:tc>
          <w:tcPr>
            <w:tcW w:w="3440" w:type="dxa"/>
            <w:vAlign w:val="bottom"/>
          </w:tcPr>
          <w:p>
            <w:pPr>
              <w:spacing w:after="0"/>
              <w:rPr>
                <w:sz w:val="20"/>
                <w:szCs w:val="20"/>
                <w:color w:val="auto"/>
              </w:rPr>
            </w:pPr>
          </w:p>
        </w:tc>
      </w:tr>
      <w:tr>
        <w:trPr>
          <w:trHeight w:val="421"/>
        </w:trPr>
        <w:tc>
          <w:tcPr>
            <w:tcW w:w="4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will hold a conference call and audio-only webcast today at 4:30 p.m. EDT (1:30 p.m. PDT). The conference call and webcast will be open to all listeners and a question and answer session will follow the prepared remarks. To participate in this event, dial 877-407-8035 domestically, or 201-689-8035 internationally, approximately 5 to 10 minutes prior to the start of the call. Additionally, you can listen to the event online at </w:t>
      </w:r>
      <w:r>
        <w:rPr>
          <w:rFonts w:ascii="Arial" w:cs="Arial" w:eastAsia="Arial" w:hAnsi="Arial"/>
          <w:sz w:val="16"/>
          <w:szCs w:val="16"/>
          <w:u w:val="single" w:color="auto"/>
          <w:color w:val="auto"/>
        </w:rPr>
        <w:t>http://www.investorcalendar.com/IC/CEPage.asp?ID=174995</w:t>
      </w:r>
      <w:r>
        <w:rPr>
          <w:rFonts w:ascii="Arial" w:cs="Arial" w:eastAsia="Arial" w:hAnsi="Arial"/>
          <w:sz w:val="16"/>
          <w:szCs w:val="16"/>
          <w:color w:val="auto"/>
        </w:rPr>
        <w:t xml:space="preserve">, as well as at the company’s website at </w:t>
      </w:r>
      <w:r>
        <w:rPr>
          <w:rFonts w:ascii="Arial" w:cs="Arial" w:eastAsia="Arial" w:hAnsi="Arial"/>
          <w:sz w:val="16"/>
          <w:szCs w:val="16"/>
          <w:u w:val="single" w:color="auto"/>
          <w:color w:val="auto"/>
        </w:rPr>
        <w:t>www.imprimispharma.com</w:t>
      </w:r>
      <w:r>
        <w:rPr>
          <w:rFonts w:ascii="Arial" w:cs="Arial" w:eastAsia="Arial" w:hAnsi="Arial"/>
          <w:sz w:val="16"/>
          <w:szCs w:val="16"/>
          <w:color w:val="auto"/>
        </w:rPr>
        <w:t xml:space="preserve">. If you are unable to participate, the event archive will be available at </w:t>
      </w:r>
      <w:r>
        <w:rPr>
          <w:rFonts w:ascii="Arial" w:cs="Arial" w:eastAsia="Arial" w:hAnsi="Arial"/>
          <w:sz w:val="16"/>
          <w:szCs w:val="16"/>
          <w:u w:val="single" w:color="auto"/>
          <w:color w:val="auto"/>
        </w:rPr>
        <w:t>http://www.investorcalendar.com/IC/CEPage.asp?ID=174995.</w:t>
      </w:r>
      <w:r>
        <w:rPr>
          <w:rFonts w:ascii="Arial" w:cs="Arial" w:eastAsia="Arial" w:hAnsi="Arial"/>
          <w:sz w:val="16"/>
          <w:szCs w:val="16"/>
          <w:color w:val="auto"/>
        </w:rPr>
        <w:t xml:space="preserve"> You may access the teleconference replay by dialing 877-660-6853 domestically or 201-612-7415 internationally, referencing conference 13636652. The replay will be available until June 12,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Imprimis Pharmaceuticals, Inc. (NASDAQ: IMMY) is a pharmaceutical company dedicated to making drugs affordable again through its Branded Compounding™ business model. The company is focused on patient outcomes and affordability and offers high quality lower-cost custom compounded drugs in all 50 states. Headquartered in San Diego, California, Imprimis owns and operates four dispensing facilities located in California, Texas, New Jersey and Pennsylvania. For more information about Imprimis, please visit the corporate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i w:val="1"/>
          <w:iCs w:val="1"/>
          <w:color w:val="auto"/>
        </w:rPr>
        <w:t>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Paul Rabin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paul@pascalecommunications.com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516.503.0271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2020-01-20T11:16:40Z</dcterms:created>
  <dcterms:modified xsi:type="dcterms:W3CDTF">2020-01-20T11:16:40Z</dcterms:modified>
</cp:coreProperties>
</file>