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Helvetica" w:hAnsi="Helvetica"/>
          <w:b/>
          <w:sz w:val="20"/>
        </w:rPr>
      </w:pPr>
      <w:bookmarkStart w:id="0" w:name="tdlp_s1a.htm"/>
      <w:bookmarkStart w:id="1" w:name="kstdlp_s1a"/>
      <w:bookmarkEnd w:id="0"/>
      <w:bookmarkEnd w:id="1"/>
      <w:r>
        <w:rPr>
          <w:rFonts w:ascii="Helvetica" w:hAnsi="Helvetica"/>
          <w:b/>
          <w:sz w:val="20"/>
        </w:rPr>
        <w:t>As filed with the Securities and Exchange Commission on August 16, 2012</w:t>
      </w:r>
    </w:p>
    <w:p>
      <w:pPr>
        <w:pStyle w:val="TextBody"/>
        <w:spacing w:before="0" w:after="0"/>
        <w:ind w:left="0" w:right="0" w:hanging="0"/>
        <w:jc w:val="right"/>
        <w:rPr>
          <w:rFonts w:ascii="Helvetica" w:hAnsi="Helvetica"/>
          <w:b/>
          <w:sz w:val="20"/>
        </w:rPr>
      </w:pPr>
      <w:r>
        <w:rPr>
          <w:rFonts w:ascii="Helvetica" w:hAnsi="Helvetica"/>
          <w:b/>
          <w:sz w:val="20"/>
        </w:rPr>
        <w:t>No. 333-182846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center"/>
        <w:rPr>
          <w:rFonts w:ascii="Helvetica" w:hAnsi="Helvetica"/>
          <w:b/>
          <w:sz w:val="24"/>
        </w:rPr>
      </w:pPr>
      <w:r>
        <w:rPr>
          <w:rFonts w:ascii="Helvetica" w:hAnsi="Helvetica"/>
          <w:b/>
          <w:sz w:val="24"/>
        </w:rPr>
        <w:t>UNITED STATES</w:t>
      </w:r>
    </w:p>
    <w:p>
      <w:pPr>
        <w:pStyle w:val="TextBody"/>
        <w:spacing w:before="0" w:after="0"/>
        <w:ind w:left="0" w:right="0" w:hanging="0"/>
        <w:jc w:val="center"/>
        <w:rPr>
          <w:rFonts w:ascii="Helvetica" w:hAnsi="Helvetica"/>
          <w:b/>
          <w:sz w:val="24"/>
        </w:rPr>
      </w:pPr>
      <w:r>
        <w:rPr>
          <w:rFonts w:ascii="Helvetica" w:hAnsi="Helvetica"/>
          <w:b/>
          <w:sz w:val="24"/>
        </w:rPr>
        <w:t>SECURITIES AND EXCHANGE COMMISSION</w:t>
      </w:r>
    </w:p>
    <w:p>
      <w:pPr>
        <w:pStyle w:val="TextBody"/>
        <w:spacing w:before="0" w:after="0"/>
        <w:ind w:left="0" w:right="0" w:hanging="0"/>
        <w:jc w:val="center"/>
        <w:rPr>
          <w:rFonts w:ascii="Helvetica" w:hAnsi="Helvetica"/>
          <w:b/>
          <w:sz w:val="20"/>
        </w:rPr>
      </w:pPr>
      <w:r>
        <w:rPr>
          <w:rFonts w:ascii="Helvetica" w:hAnsi="Helvetica"/>
          <w:b/>
          <w:sz w:val="20"/>
        </w:rPr>
        <w:t>Washington, D.C. 20549</w:t>
      </w:r>
    </w:p>
    <w:p>
      <w:pPr>
        <w:pStyle w:val="TextBody"/>
        <w:spacing w:before="0" w:after="0"/>
        <w:jc w:val="center"/>
        <w:rPr/>
      </w:pPr>
      <w:r>
        <w:rPr>
          <w:sz w:val="28"/>
        </w:rPr>
        <w:t>___________________</w:t>
        <w:br/>
      </w:r>
      <w:r>
        <w:rPr>
          <w:rFonts w:ascii="helvetica" w:hAnsi="helvetica"/>
          <w:b/>
          <w:sz w:val="20"/>
        </w:rPr>
        <w:t>Amendment No. 1</w:t>
      </w:r>
      <w:r>
        <w:rPr/>
        <w:t xml:space="preserve"> </w:t>
      </w:r>
    </w:p>
    <w:p>
      <w:pPr>
        <w:pStyle w:val="TextBody"/>
        <w:spacing w:before="0" w:after="0"/>
        <w:jc w:val="center"/>
        <w:rPr>
          <w:b/>
        </w:rPr>
      </w:pPr>
      <w:r>
        <w:rPr>
          <w:b/>
        </w:rPr>
        <w:t xml:space="preserve">to </w:t>
      </w:r>
    </w:p>
    <w:p>
      <w:pPr>
        <w:pStyle w:val="TextBody"/>
        <w:spacing w:before="0" w:after="0"/>
        <w:jc w:val="center"/>
        <w:rPr/>
      </w:pPr>
      <w:r>
        <w:rPr/>
        <w:t> </w:t>
      </w:r>
    </w:p>
    <w:p>
      <w:pPr>
        <w:pStyle w:val="TextBody"/>
        <w:spacing w:before="0" w:after="0"/>
        <w:jc w:val="center"/>
        <w:rPr>
          <w:rFonts w:ascii="Helvetica" w:hAnsi="Helvetica"/>
          <w:b/>
          <w:sz w:val="28"/>
        </w:rPr>
      </w:pPr>
      <w:r>
        <w:rPr>
          <w:rFonts w:ascii="Helvetica" w:hAnsi="Helvetica"/>
          <w:b/>
          <w:sz w:val="28"/>
        </w:rPr>
        <w:t>FORM S-1</w:t>
      </w:r>
    </w:p>
    <w:p>
      <w:pPr>
        <w:pStyle w:val="TextBody"/>
        <w:spacing w:before="0" w:after="0"/>
        <w:ind w:left="0" w:right="0" w:hanging="0"/>
        <w:jc w:val="center"/>
        <w:rPr>
          <w:rFonts w:ascii="Helvetica" w:hAnsi="Helvetica"/>
          <w:b/>
          <w:sz w:val="20"/>
        </w:rPr>
      </w:pPr>
      <w:r>
        <w:rPr>
          <w:rFonts w:ascii="Helvetica" w:hAnsi="Helvetica"/>
          <w:b/>
          <w:sz w:val="20"/>
        </w:rPr>
        <w:t>REGISTRATION STATEMENT UNDER THE SECURITIES ACT OF 1933</w:t>
      </w:r>
    </w:p>
    <w:p>
      <w:pPr>
        <w:pStyle w:val="TextBody"/>
        <w:spacing w:before="0" w:after="0"/>
        <w:ind w:left="0" w:right="0" w:hanging="0"/>
        <w:jc w:val="center"/>
        <w:rPr/>
      </w:pPr>
      <w:r>
        <w:rPr/>
        <w:t>___________________________</w:t>
      </w:r>
    </w:p>
    <w:p>
      <w:pPr>
        <w:pStyle w:val="TextBody"/>
        <w:spacing w:before="0" w:after="0"/>
        <w:ind w:left="0" w:right="0" w:hanging="0"/>
        <w:jc w:val="center"/>
        <w:rPr>
          <w:rFonts w:ascii="Helvetica" w:hAnsi="Helvetica"/>
          <w:b/>
          <w:sz w:val="28"/>
        </w:rPr>
      </w:pPr>
      <w:r>
        <w:rPr>
          <w:rFonts w:ascii="Helvetica" w:hAnsi="Helvetica"/>
          <w:b/>
          <w:sz w:val="28"/>
        </w:rPr>
        <w:t>IMPRIMIS PHARMACEUTICALS, INC.</w:t>
      </w:r>
    </w:p>
    <w:p>
      <w:pPr>
        <w:pStyle w:val="TextBody"/>
        <w:spacing w:before="0" w:after="0"/>
        <w:ind w:left="0" w:right="0" w:hanging="0"/>
        <w:jc w:val="center"/>
        <w:rPr>
          <w:rFonts w:ascii="Helvetica" w:hAnsi="Helvetica"/>
          <w:sz w:val="20"/>
        </w:rPr>
      </w:pPr>
      <w:r>
        <w:rPr>
          <w:rFonts w:ascii="Helvetica" w:hAnsi="Helvetica"/>
          <w:sz w:val="20"/>
        </w:rPr>
        <w:t>(Exact name of registrant as specified in its charter)</w:t>
      </w:r>
    </w:p>
    <w:p>
      <w:pPr>
        <w:pStyle w:val="TextBody"/>
        <w:spacing w:before="0" w:after="0"/>
        <w:ind w:left="0" w:right="0" w:hanging="0"/>
        <w:jc w:val="center"/>
        <w:rPr/>
      </w:pPr>
      <w:r>
        <w:rPr/>
        <w:t>___________________________</w:t>
      </w:r>
    </w:p>
    <w:p>
      <w:pPr>
        <w:pStyle w:val="TextBody"/>
        <w:spacing w:before="0" w:after="0"/>
        <w:jc w:val="center"/>
        <w:rPr/>
      </w:pPr>
      <w:r>
        <w:rPr/>
      </w:r>
    </w:p>
    <w:tbl>
      <w:tblPr>
        <w:tblW w:w="4250" w:type="pct"/>
        <w:jc w:val="center"/>
        <w:tblInd w:w="0" w:type="dxa"/>
        <w:tblCellMar>
          <w:top w:w="0" w:type="dxa"/>
          <w:left w:w="0" w:type="dxa"/>
          <w:bottom w:w="28" w:type="dxa"/>
          <w:right w:w="0" w:type="dxa"/>
        </w:tblCellMar>
      </w:tblPr>
      <w:tblGrid>
        <w:gridCol w:w="2602"/>
        <w:gridCol w:w="433"/>
        <w:gridCol w:w="2603"/>
        <w:gridCol w:w="433"/>
        <w:gridCol w:w="2603"/>
      </w:tblGrid>
      <w:tr>
        <w:trPr/>
        <w:tc>
          <w:tcPr>
            <w:tcW w:w="2602"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Delaware</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2834</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45-0567010</w:t>
            </w:r>
          </w:p>
        </w:tc>
      </w:tr>
      <w:tr>
        <w:trPr/>
        <w:tc>
          <w:tcPr>
            <w:tcW w:w="2602"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(State or other jurisdiction of</w:t>
            </w:r>
          </w:p>
          <w:p>
            <w:pPr>
              <w:pStyle w:val="TableContents"/>
              <w:spacing w:before="0" w:after="0"/>
              <w:ind w:left="0" w:right="0" w:hanging="0"/>
              <w:jc w:val="center"/>
              <w:rPr>
                <w:rFonts w:ascii="helvetica" w:hAnsi="helvetica"/>
                <w:sz w:val="20"/>
              </w:rPr>
            </w:pPr>
            <w:r>
              <w:rPr>
                <w:rFonts w:ascii="helvetica" w:hAnsi="helvetica"/>
                <w:sz w:val="20"/>
              </w:rPr>
              <w:t>incorporation or organization)</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(Primary Standard Industrial</w:t>
            </w:r>
          </w:p>
          <w:p>
            <w:pPr>
              <w:pStyle w:val="TableContents"/>
              <w:spacing w:before="0" w:after="0"/>
              <w:ind w:left="0" w:right="0" w:hanging="0"/>
              <w:jc w:val="center"/>
              <w:rPr>
                <w:rFonts w:ascii="helvetica" w:hAnsi="helvetica"/>
                <w:sz w:val="20"/>
              </w:rPr>
            </w:pPr>
            <w:r>
              <w:rPr>
                <w:rFonts w:ascii="helvetica" w:hAnsi="helvetica"/>
                <w:sz w:val="20"/>
              </w:rPr>
              <w:t>Classification Code Number)</w:t>
            </w:r>
          </w:p>
        </w:tc>
        <w:tc>
          <w:tcPr>
            <w:tcW w:w="433" w:type="dxa"/>
            <w:tcBorders/>
            <w:shd w:fill="auto" w:val="clear"/>
            <w:tcMar>
              <w:bottom w:w="0" w:type="dxa"/>
            </w:tcMar>
            <w:vAlign w:val="bottom"/>
          </w:tcPr>
          <w:p>
            <w:pPr>
              <w:pStyle w:val="TableContents"/>
              <w:spacing w:before="0" w:after="283"/>
              <w:rPr/>
            </w:pPr>
            <w:r>
              <w:rPr/>
              <w:t xml:space="preserve">  </w:t>
            </w:r>
          </w:p>
        </w:tc>
        <w:tc>
          <w:tcPr>
            <w:tcW w:w="2603"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(I.R.S. Employer</w:t>
            </w:r>
          </w:p>
          <w:p>
            <w:pPr>
              <w:pStyle w:val="TableContents"/>
              <w:spacing w:before="0" w:after="0"/>
              <w:ind w:left="0" w:right="0" w:hanging="0"/>
              <w:jc w:val="center"/>
              <w:rPr>
                <w:rFonts w:ascii="helvetica" w:hAnsi="helvetica"/>
                <w:sz w:val="20"/>
              </w:rPr>
            </w:pPr>
            <w:r>
              <w:rPr>
                <w:rFonts w:ascii="helvetica" w:hAnsi="helvetica"/>
                <w:sz w:val="20"/>
              </w:rPr>
              <w:t>Identification Number)</w:t>
            </w:r>
          </w:p>
        </w:tc>
      </w:tr>
    </w:tbl>
    <w:p>
      <w:pPr>
        <w:pStyle w:val="TextBody"/>
        <w:spacing w:before="0" w:after="0"/>
        <w:jc w:val="center"/>
        <w:rPr/>
      </w:pPr>
      <w:r>
        <w:rPr/>
      </w:r>
    </w:p>
    <w:p>
      <w:pPr>
        <w:pStyle w:val="TextBody"/>
        <w:spacing w:before="0" w:after="0"/>
        <w:ind w:left="0" w:right="0" w:hanging="0"/>
        <w:jc w:val="center"/>
        <w:rPr>
          <w:rFonts w:ascii="Helvetica" w:hAnsi="Helvetica"/>
          <w:b/>
          <w:sz w:val="20"/>
        </w:rPr>
      </w:pPr>
      <w:r>
        <w:rPr>
          <w:rFonts w:ascii="Helvetica" w:hAnsi="Helvetica"/>
          <w:b/>
          <w:sz w:val="20"/>
        </w:rPr>
        <w:t>437 S. Hwy 101, Suite 209</w:t>
      </w:r>
    </w:p>
    <w:p>
      <w:pPr>
        <w:pStyle w:val="TextBody"/>
        <w:spacing w:before="0" w:after="0"/>
        <w:ind w:left="0" w:right="0" w:hanging="0"/>
        <w:jc w:val="center"/>
        <w:rPr>
          <w:rFonts w:ascii="Helvetica" w:hAnsi="Helvetica"/>
          <w:b/>
          <w:sz w:val="20"/>
        </w:rPr>
      </w:pPr>
      <w:r>
        <w:rPr>
          <w:rFonts w:ascii="Helvetica" w:hAnsi="Helvetica"/>
          <w:b/>
          <w:sz w:val="20"/>
        </w:rPr>
        <w:t>Solana Beach, CA 92075</w:t>
      </w:r>
    </w:p>
    <w:p>
      <w:pPr>
        <w:pStyle w:val="TextBody"/>
        <w:spacing w:before="0" w:after="0"/>
        <w:ind w:left="0" w:right="0" w:hanging="0"/>
        <w:jc w:val="center"/>
        <w:rPr>
          <w:rFonts w:ascii="Helvetica" w:hAnsi="Helvetica"/>
          <w:b/>
          <w:sz w:val="20"/>
        </w:rPr>
      </w:pPr>
      <w:r>
        <w:rPr>
          <w:rFonts w:ascii="Helvetica" w:hAnsi="Helvetica"/>
          <w:b/>
          <w:sz w:val="20"/>
        </w:rPr>
        <w:t>(858) 433-2800</w:t>
      </w:r>
    </w:p>
    <w:p>
      <w:pPr>
        <w:pStyle w:val="TextBody"/>
        <w:spacing w:before="0" w:after="0"/>
        <w:ind w:left="0" w:right="0" w:hanging="0"/>
        <w:jc w:val="center"/>
        <w:rPr>
          <w:rFonts w:ascii="Helvetica" w:hAnsi="Helvetica"/>
          <w:sz w:val="20"/>
        </w:rPr>
      </w:pPr>
      <w:r>
        <w:rPr>
          <w:rFonts w:ascii="Helvetica" w:hAnsi="Helvetica"/>
          <w:sz w:val="20"/>
        </w:rPr>
        <w:t>(Address, including zip code, and telephone number, including</w:t>
      </w:r>
    </w:p>
    <w:p>
      <w:pPr>
        <w:pStyle w:val="TextBody"/>
        <w:spacing w:before="0" w:after="0"/>
        <w:ind w:left="0" w:right="0" w:hanging="0"/>
        <w:jc w:val="center"/>
        <w:rPr>
          <w:rFonts w:ascii="Helvetica" w:hAnsi="Helvetica"/>
          <w:sz w:val="20"/>
        </w:rPr>
      </w:pPr>
      <w:r>
        <w:rPr>
          <w:rFonts w:ascii="Helvetica" w:hAnsi="Helvetica"/>
          <w:sz w:val="20"/>
        </w:rPr>
        <w:t>area code, of registrant’s principal executive offices)</w:t>
      </w:r>
    </w:p>
    <w:p>
      <w:pPr>
        <w:pStyle w:val="TextBody"/>
        <w:spacing w:before="0" w:after="0"/>
        <w:ind w:left="0" w:right="0" w:hanging="0"/>
        <w:jc w:val="center"/>
        <w:rPr/>
      </w:pPr>
      <w:r>
        <w:rPr/>
        <w:t>___________________________</w:t>
      </w:r>
    </w:p>
    <w:p>
      <w:pPr>
        <w:pStyle w:val="TextBody"/>
        <w:spacing w:before="0" w:after="0"/>
        <w:ind w:left="0" w:right="0" w:hanging="0"/>
        <w:jc w:val="center"/>
        <w:rPr>
          <w:rFonts w:ascii="Helvetica" w:hAnsi="Helvetica"/>
          <w:b/>
          <w:sz w:val="20"/>
        </w:rPr>
      </w:pPr>
      <w:r>
        <w:rPr>
          <w:rFonts w:ascii="Helvetica" w:hAnsi="Helvetica"/>
          <w:b/>
          <w:sz w:val="20"/>
        </w:rPr>
        <w:t>Mark L. Baum</w:t>
      </w:r>
    </w:p>
    <w:p>
      <w:pPr>
        <w:pStyle w:val="TextBody"/>
        <w:spacing w:before="0" w:after="0"/>
        <w:ind w:left="0" w:right="0" w:hanging="0"/>
        <w:jc w:val="center"/>
        <w:rPr>
          <w:rFonts w:ascii="Helvetica" w:hAnsi="Helvetica"/>
          <w:b/>
          <w:sz w:val="20"/>
        </w:rPr>
      </w:pPr>
      <w:r>
        <w:rPr>
          <w:rFonts w:ascii="Helvetica" w:hAnsi="Helvetica"/>
          <w:b/>
          <w:sz w:val="20"/>
        </w:rPr>
        <w:t>Chief Executive Officer</w:t>
      </w:r>
    </w:p>
    <w:p>
      <w:pPr>
        <w:pStyle w:val="TextBody"/>
        <w:spacing w:before="0" w:after="0"/>
        <w:ind w:left="0" w:right="0" w:hanging="0"/>
        <w:jc w:val="center"/>
        <w:rPr>
          <w:rFonts w:ascii="Helvetica" w:hAnsi="Helvetica"/>
          <w:b/>
          <w:sz w:val="20"/>
        </w:rPr>
      </w:pPr>
      <w:r>
        <w:rPr>
          <w:rFonts w:ascii="Helvetica" w:hAnsi="Helvetica"/>
          <w:b/>
          <w:sz w:val="20"/>
        </w:rPr>
        <w:t>437 S. Hwy 101, Suite 209</w:t>
      </w:r>
    </w:p>
    <w:p>
      <w:pPr>
        <w:pStyle w:val="TextBody"/>
        <w:spacing w:before="0" w:after="0"/>
        <w:ind w:left="0" w:right="0" w:hanging="0"/>
        <w:jc w:val="center"/>
        <w:rPr>
          <w:rFonts w:ascii="Helvetica" w:hAnsi="Helvetica"/>
          <w:b/>
          <w:sz w:val="20"/>
        </w:rPr>
      </w:pPr>
      <w:r>
        <w:rPr>
          <w:rFonts w:ascii="Helvetica" w:hAnsi="Helvetica"/>
          <w:b/>
          <w:sz w:val="20"/>
        </w:rPr>
        <w:t>Solana Beach, CA 92075</w:t>
      </w:r>
    </w:p>
    <w:p>
      <w:pPr>
        <w:pStyle w:val="TextBody"/>
        <w:spacing w:before="0" w:after="0"/>
        <w:ind w:left="0" w:right="0" w:hanging="0"/>
        <w:jc w:val="center"/>
        <w:rPr>
          <w:rFonts w:ascii="Helvetica" w:hAnsi="Helvetica"/>
          <w:b/>
          <w:sz w:val="20"/>
        </w:rPr>
      </w:pPr>
      <w:r>
        <w:rPr>
          <w:rFonts w:ascii="Helvetica" w:hAnsi="Helvetica"/>
          <w:b/>
          <w:sz w:val="20"/>
        </w:rPr>
        <w:t>(858) 433-2800</w:t>
      </w:r>
    </w:p>
    <w:p>
      <w:pPr>
        <w:pStyle w:val="TextBody"/>
        <w:spacing w:before="0" w:after="0"/>
        <w:ind w:left="0" w:right="0" w:hanging="0"/>
        <w:jc w:val="center"/>
        <w:rPr/>
      </w:pPr>
      <w:r>
        <w:rPr/>
        <w:t> </w:t>
      </w:r>
      <w:r>
        <w:rPr>
          <w:rFonts w:ascii="Helvetica" w:hAnsi="Helvetica"/>
          <w:sz w:val="20"/>
        </w:rPr>
        <w:t>(Name, address, including zip code, and telephone number, including</w:t>
      </w:r>
    </w:p>
    <w:p>
      <w:pPr>
        <w:pStyle w:val="TextBody"/>
        <w:spacing w:before="0" w:after="0"/>
        <w:ind w:left="0" w:right="0" w:hanging="0"/>
        <w:jc w:val="center"/>
        <w:rPr>
          <w:rFonts w:ascii="Helvetica" w:hAnsi="Helvetica"/>
          <w:sz w:val="20"/>
        </w:rPr>
      </w:pPr>
      <w:r>
        <w:rPr>
          <w:rFonts w:ascii="Helvetica" w:hAnsi="Helvetica"/>
          <w:sz w:val="20"/>
        </w:rPr>
        <w:t>area code, of agent for service)</w:t>
      </w:r>
    </w:p>
    <w:p>
      <w:pPr>
        <w:pStyle w:val="TextBody"/>
        <w:spacing w:before="0" w:after="0"/>
        <w:jc w:val="center"/>
        <w:rPr/>
      </w:pPr>
      <w:r>
        <w:rPr/>
        <w:t>___________________________</w:t>
      </w:r>
    </w:p>
    <w:p>
      <w:pPr>
        <w:pStyle w:val="TextBody"/>
        <w:spacing w:before="0" w:after="0"/>
        <w:ind w:left="0" w:right="0" w:hanging="0"/>
        <w:jc w:val="center"/>
        <w:rPr>
          <w:rFonts w:ascii="Helvetica" w:hAnsi="Helvetica"/>
          <w:b/>
          <w:sz w:val="20"/>
        </w:rPr>
      </w:pPr>
      <w:r>
        <w:rPr>
          <w:rFonts w:ascii="Helvetica" w:hAnsi="Helvetica"/>
          <w:b/>
          <w:sz w:val="20"/>
        </w:rPr>
        <w:t>Copies to:</w:t>
      </w:r>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jc w:val="left"/>
              <w:rPr/>
            </w:pPr>
            <w:r>
              <w:rPr/>
              <w:t xml:space="preserve">  </w:t>
            </w:r>
          </w:p>
        </w:tc>
        <w:tc>
          <w:tcPr>
            <w:tcW w:w="5103" w:type="dxa"/>
            <w:tcBorders/>
            <w:shd w:fill="auto" w:val="clear"/>
            <w:vAlign w:val="center"/>
          </w:tcPr>
          <w:p>
            <w:pPr>
              <w:pStyle w:val="TableContents"/>
              <w:spacing w:before="0" w:after="283"/>
              <w:rPr/>
            </w:pPr>
            <w:r>
              <w:rPr/>
              <w:t xml:space="preserve">  </w:t>
            </w:r>
          </w:p>
        </w:tc>
      </w:tr>
      <w:tr>
        <w:trPr/>
        <w:tc>
          <w:tcPr>
            <w:tcW w:w="5102" w:type="dxa"/>
            <w:vMerge w:val="restart"/>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Steven G. Rowles, Esq.</w:t>
            </w:r>
          </w:p>
          <w:p>
            <w:pPr>
              <w:pStyle w:val="TableContents"/>
              <w:spacing w:before="0" w:after="0"/>
              <w:ind w:left="0" w:right="0" w:hanging="0"/>
              <w:jc w:val="center"/>
              <w:rPr>
                <w:rFonts w:ascii="helvetica" w:hAnsi="helvetica"/>
                <w:b/>
                <w:sz w:val="20"/>
              </w:rPr>
            </w:pPr>
            <w:r>
              <w:rPr>
                <w:rFonts w:ascii="helvetica" w:hAnsi="helvetica"/>
                <w:b/>
                <w:sz w:val="20"/>
              </w:rPr>
              <w:t>Jeannette V. Filippone, Esq.</w:t>
            </w:r>
          </w:p>
          <w:p>
            <w:pPr>
              <w:pStyle w:val="TableContents"/>
              <w:spacing w:before="0" w:after="0"/>
              <w:ind w:left="0" w:right="0" w:hanging="0"/>
              <w:jc w:val="center"/>
              <w:rPr>
                <w:rFonts w:ascii="helvetica" w:hAnsi="helvetica"/>
                <w:b/>
                <w:sz w:val="20"/>
              </w:rPr>
            </w:pPr>
            <w:r>
              <w:rPr>
                <w:rFonts w:ascii="helvetica" w:hAnsi="helvetica"/>
                <w:b/>
                <w:sz w:val="20"/>
              </w:rPr>
              <w:t>Morrison &amp; Foerster LLP</w:t>
            </w:r>
          </w:p>
          <w:p>
            <w:pPr>
              <w:pStyle w:val="TableContents"/>
              <w:spacing w:before="0" w:after="0"/>
              <w:ind w:left="0" w:right="0" w:hanging="0"/>
              <w:jc w:val="center"/>
              <w:rPr>
                <w:rFonts w:ascii="helvetica" w:hAnsi="helvetica"/>
                <w:b/>
                <w:sz w:val="20"/>
              </w:rPr>
            </w:pPr>
            <w:r>
              <w:rPr>
                <w:rFonts w:ascii="helvetica" w:hAnsi="helvetica"/>
                <w:b/>
                <w:sz w:val="20"/>
              </w:rPr>
              <w:t>12531 High Bluff Drive, Suite 100</w:t>
            </w:r>
          </w:p>
          <w:p>
            <w:pPr>
              <w:pStyle w:val="TableContents"/>
              <w:spacing w:before="0" w:after="0"/>
              <w:ind w:left="0" w:right="0" w:hanging="0"/>
              <w:jc w:val="center"/>
              <w:rPr>
                <w:rFonts w:ascii="helvetica" w:hAnsi="helvetica"/>
                <w:b/>
                <w:sz w:val="20"/>
              </w:rPr>
            </w:pPr>
            <w:r>
              <w:rPr>
                <w:rFonts w:ascii="helvetica" w:hAnsi="helvetica"/>
                <w:b/>
                <w:sz w:val="20"/>
              </w:rPr>
              <w:t>San Diego, California 92130</w:t>
            </w:r>
          </w:p>
          <w:p>
            <w:pPr>
              <w:pStyle w:val="TableContents"/>
              <w:spacing w:before="0" w:after="0"/>
              <w:ind w:left="0" w:right="0" w:hanging="0"/>
              <w:jc w:val="center"/>
              <w:rPr>
                <w:rFonts w:ascii="helvetica" w:hAnsi="helvetica"/>
                <w:b/>
                <w:sz w:val="20"/>
              </w:rPr>
            </w:pPr>
            <w:r>
              <w:rPr>
                <w:rFonts w:ascii="helvetica" w:hAnsi="helvetica"/>
                <w:b/>
                <w:sz w:val="20"/>
              </w:rPr>
              <w:t>Tel: (858) 720-5100</w:t>
            </w:r>
          </w:p>
          <w:p>
            <w:pPr>
              <w:pStyle w:val="TableContents"/>
              <w:spacing w:before="0" w:after="0"/>
              <w:ind w:left="0" w:right="0" w:hanging="0"/>
              <w:jc w:val="center"/>
              <w:rPr>
                <w:rFonts w:ascii="helvetica" w:hAnsi="helvetica"/>
                <w:b/>
                <w:sz w:val="20"/>
              </w:rPr>
            </w:pPr>
            <w:r>
              <w:rPr>
                <w:rFonts w:ascii="helvetica" w:hAnsi="helvetica"/>
                <w:b/>
                <w:sz w:val="20"/>
              </w:rPr>
              <w:t>Fax: (858) 720-5125</w:t>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Kevin Friedmann, Esq.</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Marc A. Jones, Esq.</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Richardson &amp; Patel LLP</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750 Third Avenue, 9th Floor</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New York, New York 10017</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Tel: (212) 561-5559</w:t>
            </w:r>
          </w:p>
        </w:tc>
      </w:tr>
      <w:tr>
        <w:trPr/>
        <w:tc>
          <w:tcPr>
            <w:tcW w:w="5102" w:type="dxa"/>
            <w:vMerge w:val="continue"/>
            <w:tcBorders/>
            <w:shd w:fill="auto" w:val="clear"/>
          </w:tcPr>
          <w:p>
            <w:pPr>
              <w:pStyle w:val="Normal"/>
              <w:rPr/>
            </w:pPr>
            <w:r>
              <w:rPr/>
            </w:r>
          </w:p>
        </w:tc>
        <w:tc>
          <w:tcPr>
            <w:tcW w:w="5103"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Fax: (917) 591-6898</w:t>
            </w:r>
          </w:p>
        </w:tc>
      </w:tr>
    </w:tbl>
    <w:p>
      <w:pPr>
        <w:pStyle w:val="TextBody"/>
        <w:spacing w:before="0" w:after="0"/>
        <w:jc w:val="center"/>
        <w:rPr/>
      </w:pPr>
      <w:r>
        <w:rPr/>
      </w:r>
    </w:p>
    <w:p>
      <w:pPr>
        <w:pStyle w:val="TextBody"/>
        <w:spacing w:before="0" w:after="0"/>
        <w:ind w:left="0" w:right="0" w:hanging="0"/>
        <w:jc w:val="left"/>
        <w:rPr>
          <w:rFonts w:ascii="Helvetica" w:hAnsi="Helvetica"/>
          <w:b/>
          <w:sz w:val="20"/>
        </w:rPr>
      </w:pPr>
      <w:r>
        <w:rPr>
          <w:rFonts w:ascii="Helvetica" w:hAnsi="Helvetica"/>
          <w:b/>
          <w:sz w:val="20"/>
        </w:rPr>
        <w:t>Approximate date of commencement of proposed sale to the public: As soon as possible after the effective date of this registration statement.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any of the securities being registered on this Form are to be offered on a delayed or continuous basis pursuant to Rule 415 under the Securities Act of 1933 check the following box.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left"/>
        <w:rPr/>
      </w:pPr>
      <w:r>
        <w:rPr/>
        <w:t> </w:t>
      </w:r>
    </w:p>
    <w:tbl>
      <w:tblPr>
        <w:tblW w:w="5000" w:type="pct"/>
        <w:jc w:val="center"/>
        <w:tblInd w:w="0" w:type="dxa"/>
        <w:tblCellMar>
          <w:top w:w="0" w:type="dxa"/>
          <w:left w:w="0" w:type="dxa"/>
          <w:bottom w:w="0" w:type="dxa"/>
          <w:right w:w="0" w:type="dxa"/>
        </w:tblCellMar>
      </w:tblPr>
      <w:tblGrid>
        <w:gridCol w:w="6995"/>
        <w:gridCol w:w="3210"/>
      </w:tblGrid>
      <w:tr>
        <w:trPr/>
        <w:tc>
          <w:tcPr>
            <w:tcW w:w="699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 xml:space="preserve">Large accelerated filer </w:t>
            </w:r>
            <w:r>
              <w:rPr>
                <w:rFonts w:ascii="wingdings" w:hAnsi="wingdings"/>
                <w:sz w:val="20"/>
              </w:rPr>
              <w:t>o</w:t>
            </w:r>
          </w:p>
        </w:tc>
        <w:tc>
          <w:tcPr>
            <w:tcW w:w="321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Accelerated filer                   </w:t>
            </w:r>
            <w:r>
              <w:rPr>
                <w:rFonts w:ascii="wingdings" w:hAnsi="wingdings"/>
                <w:sz w:val="20"/>
              </w:rPr>
              <w:t>o</w:t>
            </w:r>
          </w:p>
        </w:tc>
      </w:tr>
      <w:tr>
        <w:trPr/>
        <w:tc>
          <w:tcPr>
            <w:tcW w:w="699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Non-accelerated filer   </w:t>
            </w:r>
            <w:r>
              <w:rPr>
                <w:rFonts w:ascii="wingdings" w:hAnsi="wingdings"/>
                <w:sz w:val="20"/>
              </w:rPr>
              <w:t>o</w:t>
            </w:r>
            <w:r>
              <w:rPr>
                <w:rFonts w:ascii="helvetica" w:hAnsi="helvetica"/>
                <w:sz w:val="20"/>
              </w:rPr>
              <w:t xml:space="preserve"> (Do not check if a smaller reporting company)</w:t>
            </w:r>
          </w:p>
        </w:tc>
        <w:tc>
          <w:tcPr>
            <w:tcW w:w="321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Smaller reporting company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Helvetica" w:hAnsi="Helvetica"/>
          <w:b/>
          <w:sz w:val="20"/>
        </w:rPr>
      </w:pPr>
      <w:r>
        <w:rPr>
          <w:rFonts w:ascii="Helvetica" w:hAnsi="Helvetica"/>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color w:val="CD5C5C"/>
          <w:sz w:val="20"/>
        </w:rPr>
      </w:pPr>
      <w:r>
        <w:rPr>
          <w:rFonts w:ascii="Helvetica" w:hAnsi="Helvetica"/>
          <w:b/>
          <w:color w:val="CD5C5C"/>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color w:val="CD5C5C"/>
          <w:sz w:val="20"/>
        </w:rPr>
      </w:pPr>
      <w:r>
        <w:rPr>
          <w:rFonts w:ascii="Helvetica" w:hAnsi="Helvetica"/>
          <w:b/>
          <w:color w:val="CD5C5C"/>
          <w:sz w:val="20"/>
        </w:rPr>
        <w:t>SUBJECT TO COMPLETION, DATED AUGUST 16, 2012</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4"/>
        </w:rPr>
      </w:pPr>
      <w:r>
        <w:rPr>
          <w:rFonts w:ascii="Helvetica" w:hAnsi="Helvetica"/>
          <w:b/>
          <w:sz w:val="24"/>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PRELIMINARY PROSPECTUS</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Shares of Common Stock</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offering                 shares of our common stock in a firm commitment offering.   After the effectiveness of the registration statement of which this prospectus is a part and concurrently with the pricing of this offering, we will effect a one-for-five 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is quoted on the OTC Markets Group’s OTCQB tier under the symbol “IMMY”.  On August 15, 2012, the closing price of our common stock on the OTCQB was $3.25 per share (assuming a one-for-five stock split). We intend to apply for listing of our common stock on The NASDAQ Capital Market, which listing we expect to occur at the consummation of this offering. No assurance can be given that our application will be approved.  If the application is not approved, we will not commence this offering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Investing in our common stock involves a high degree of risk. Before making any investment in our common stock, you should read and carefully consider the risks described in this prospectus under “Risk Factors” beginning on page 8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You should rely only on the information contained in this prospectus or any prospectus supplement or amendment thereto. We have not authorized anyone to provide you with different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before="0" w:after="0"/>
        <w:ind w:left="0" w:right="0" w:hanging="0"/>
        <w:jc w:val="both"/>
        <w:rPr/>
      </w:pPr>
      <w:r>
        <w:rPr/>
        <w:t> </w:t>
      </w:r>
    </w:p>
    <w:tbl>
      <w:tblPr>
        <w:tblW w:w="4250" w:type="pct"/>
        <w:jc w:val="center"/>
        <w:tblInd w:w="0" w:type="dxa"/>
        <w:tblCellMar>
          <w:top w:w="0" w:type="dxa"/>
          <w:left w:w="0" w:type="dxa"/>
          <w:bottom w:w="0" w:type="dxa"/>
          <w:right w:w="0" w:type="dxa"/>
        </w:tblCellMar>
      </w:tblPr>
      <w:tblGrid>
        <w:gridCol w:w="6177"/>
        <w:gridCol w:w="113"/>
        <w:gridCol w:w="319"/>
        <w:gridCol w:w="712"/>
        <w:gridCol w:w="113"/>
        <w:gridCol w:w="113"/>
        <w:gridCol w:w="295"/>
        <w:gridCol w:w="700"/>
        <w:gridCol w:w="132"/>
      </w:tblGrid>
      <w:tr>
        <w:trPr/>
        <w:tc>
          <w:tcPr>
            <w:tcW w:w="6177"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w:t>
            </w:r>
          </w:p>
        </w:tc>
        <w:tc>
          <w:tcPr>
            <w:tcW w:w="10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Per Share</w:t>
            </w:r>
          </w:p>
        </w:tc>
        <w:tc>
          <w:tcPr>
            <w:tcW w:w="113"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jc w:val="left"/>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32" w:type="dxa"/>
            <w:tcBorders/>
            <w:shd w:fill="auto" w:val="clear"/>
            <w:vAlign w:val="bottom"/>
          </w:tcPr>
          <w:p>
            <w:pPr>
              <w:pStyle w:val="TableContents"/>
              <w:spacing w:before="0" w:after="283"/>
              <w:jc w:val="left"/>
              <w:rPr/>
            </w:pPr>
            <w:r>
              <w:rPr/>
              <w:t> </w:t>
            </w:r>
          </w:p>
        </w:tc>
      </w:tr>
      <w:tr>
        <w:trPr/>
        <w:tc>
          <w:tcPr>
            <w:tcW w:w="617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Initial price to public</w:t>
            </w:r>
          </w:p>
        </w:tc>
        <w:tc>
          <w:tcPr>
            <w:tcW w:w="113"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12"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00"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617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Underwriting discount</w:t>
            </w:r>
          </w:p>
        </w:tc>
        <w:tc>
          <w:tcPr>
            <w:tcW w:w="113"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71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rPr/>
            </w:pPr>
            <w:r>
              <w:rPr/>
              <w:t> </w:t>
            </w:r>
          </w:p>
        </w:tc>
        <w:tc>
          <w:tcPr>
            <w:tcW w:w="29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70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617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before expenses, to Imprimis Pharmaceuticals</w:t>
            </w:r>
          </w:p>
        </w:tc>
        <w:tc>
          <w:tcPr>
            <w:tcW w:w="113"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12"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700"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underwriter sells more than            shares of common stock, the underwriter has the option to purchase up to an additional                    shares from us at the initial price to the public less the underwriting discount.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expects to deliver the shares on or about                     , 2012.</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MDB Capital Group LLC</w:t>
            </w:r>
          </w:p>
        </w:tc>
      </w:tr>
    </w:tbl>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This prospectus is dated                      , 2012</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1"/>
      <w:bookmarkStart w:id="7" w:name="PGBRK1"/>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1"/>
      <w:bookmarkStart w:id="9" w:name="FTR1"/>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 w:name="PN"/>
      <w:bookmarkEnd w:id="1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15" w:hanging="0"/>
        <w:jc w:val="center"/>
        <w:rPr/>
      </w:pPr>
      <w:r>
        <w:rPr/>
        <w:t> </w:t>
      </w:r>
    </w:p>
    <w:p>
      <w:pPr>
        <w:pStyle w:val="TextBody"/>
        <w:spacing w:before="0" w:after="0"/>
        <w:ind w:left="0" w:right="115" w:hanging="0"/>
        <w:jc w:val="center"/>
        <w:rPr>
          <w:rFonts w:ascii="Helvetica" w:hAnsi="Helvetica"/>
          <w:b/>
          <w:sz w:val="20"/>
        </w:rPr>
      </w:pPr>
      <w:r>
        <w:rPr>
          <w:rFonts w:ascii="Helvetica" w:hAnsi="Helvetica"/>
          <w:b/>
          <w:sz w:val="20"/>
        </w:rPr>
        <w:t>TABLE OF CONTENTS</w:t>
      </w:r>
    </w:p>
    <w:p>
      <w:pPr>
        <w:pStyle w:val="TextBody"/>
        <w:spacing w:before="0" w:after="0"/>
        <w:ind w:left="0" w:right="115" w:hanging="0"/>
        <w:jc w:val="center"/>
        <w:rPr/>
      </w:pPr>
      <w:r>
        <w:rPr/>
        <w:t> </w:t>
      </w:r>
    </w:p>
    <w:tbl>
      <w:tblPr>
        <w:tblW w:w="5000" w:type="pct"/>
        <w:jc w:val="left"/>
        <w:tblInd w:w="0" w:type="dxa"/>
        <w:tblCellMar>
          <w:top w:w="0" w:type="dxa"/>
          <w:left w:w="0" w:type="dxa"/>
          <w:bottom w:w="0" w:type="dxa"/>
          <w:right w:w="0" w:type="dxa"/>
        </w:tblCellMar>
      </w:tblPr>
      <w:tblGrid>
        <w:gridCol w:w="8983"/>
        <w:gridCol w:w="101"/>
        <w:gridCol w:w="101"/>
        <w:gridCol w:w="918"/>
        <w:gridCol w:w="102"/>
      </w:tblGrid>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PROSPECTUS SUMMARY</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 FACTORS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SPECIAL NOTE REGARDING FORWARD-LOOKING STATEMENTS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USE OF PROCEEDS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CAPITAL STOCK</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CAPITALIZATION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DILUTION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UNDERWRITING</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MARKET PRICE OF AND DIVIDENDS ON COMMON STOCK AND RELATED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SHARES AVAILABLE FOR FUTURE SALE</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MANAGEMENT'S DISCUSSION AND ANALYSIS OF FINANCIAL CONDITION AND RESULTS OF OPERATIONS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THE BUSINESS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DIRECTORS, EXECUTIVE OFFICERS AND CORPORATE GOVERNANCE</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EXECUTIVE COMPENSATION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CERTAIN RELATIONSHIPS AND RELATED TRANSACTIONS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65</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SECURITY OWNERSHIP OF CERTAIN BENEFICIAL OWNERS AND MANAGEMENT AND RELATED STOCKHOLDER MATTERS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LEGAL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EXPERTS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WHERE YOU CAN FIND MORE INFORMATION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FINANCIAL STATEMENTS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F-1</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About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should rely only on the information that we have provided or incorporated by reference in this prospectus or any prospectus supplement.  We have not authorized anyone to provide you with different information. No dealer, salesperson or other person is authorized to give any information or to represent anything not contained in this prospectus or any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any sale of a security.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pending trademark applications for Imprimis Pharmaceuticals, Accudel and Impracor.  All other trademarks, tradenames and service marks included in this prospectus or any related prospectus supplement, are the property of their respective owners.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2"/>
      <w:bookmarkStart w:id="16" w:name="PGBRK2"/>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2"/>
      <w:bookmarkStart w:id="18" w:name="FTR2"/>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0" w:name="PN1"/>
      <w:bookmarkEnd w:id="20"/>
      <w:r>
        <w:rPr>
          <w:rFonts w:ascii="Helvetica" w:hAnsi="Helvetica"/>
          <w:sz w:val="20"/>
        </w:rPr>
        <w:t>- i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 SUMMARY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This summary highlights selected information contained elsewhere in this prospectus and does not contain all of the information that should be considered before investing in our common stock. Investors should read the entire prospectus carefully, including the more detailed information regarding our business, the risks of purchasing our common stock discussed in this prospectus under “Risk Factors” beginning on page 8 of this prospectus, “Management’s Discussion and Analysis of Financial Condition and Results of Operations” beginning on page 37 of this prospectus, and our consolidated financial statements and the accompanying notes beginning on page F-1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used in this prospectus, unless the context requires otherwise, the “Company”, “we”, “us”, and “our” refer to Imprimis Pharmaceuticals, Inc., a Delaware corporation.</w:t>
      </w:r>
    </w:p>
    <w:p>
      <w:pPr>
        <w:pStyle w:val="TextBody"/>
        <w:spacing w:before="0" w:after="0"/>
        <w:ind w:left="0" w:right="0" w:hanging="0"/>
        <w:jc w:val="both"/>
        <w:rPr/>
      </w:pPr>
      <w:r>
        <w:rPr/>
        <w:t> </w:t>
      </w:r>
    </w:p>
    <w:p>
      <w:pPr>
        <w:pStyle w:val="TextBody"/>
        <w:spacing w:before="0" w:after="0"/>
        <w:ind w:left="0" w:right="0" w:hanging="0"/>
        <w:rPr/>
      </w:pPr>
      <w:bookmarkStart w:id="24" w:name="TAB2"/>
      <w:bookmarkEnd w:id="24"/>
      <w:r>
        <w:rPr>
          <w:color w:val="000000"/>
          <w:spacing w:val="180"/>
        </w:rPr>
        <w:t> </w:t>
      </w:r>
      <w:r>
        <w:rPr>
          <w:rFonts w:ascii="Helvetica" w:hAnsi="Helvetica"/>
          <w:b/>
          <w:sz w:val="20"/>
        </w:rPr>
        <w:t>Our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has been quoted in the over-the-counter market since October 1, 2007 and is currently quoted on OTC Markets Group’s OTCQB tier under the symbol “IMMY”.  Our executive offices are located at 437 S. Hwy 101, Suite 209, Solana Beach, CA 92075 and our telephone number is (858) 433-2800.  Our website address is www.imprimispharma.com.  Information contained on our website is not deemed part of this prospectus.</w:t>
      </w:r>
    </w:p>
    <w:p>
      <w:pPr>
        <w:pStyle w:val="TextBody"/>
        <w:spacing w:before="0" w:after="0"/>
        <w:ind w:left="0" w:right="0" w:hanging="0"/>
        <w:jc w:val="both"/>
        <w:rPr/>
      </w:pPr>
      <w:r>
        <w:rPr/>
        <w:t> </w:t>
      </w:r>
    </w:p>
    <w:p>
      <w:pPr>
        <w:pStyle w:val="TextBody"/>
        <w:spacing w:before="0" w:after="0"/>
        <w:ind w:left="0" w:right="0" w:hanging="0"/>
        <w:rPr/>
      </w:pPr>
      <w:bookmarkStart w:id="25" w:name="TAB21"/>
      <w:bookmarkEnd w:id="25"/>
      <w:r>
        <w:rPr>
          <w:color w:val="000000"/>
          <w:spacing w:val="180"/>
        </w:rPr>
        <w:t> </w:t>
      </w:r>
      <w:r>
        <w:rPr>
          <w:rFonts w:ascii="Helvetica" w:hAnsi="Helvetica"/>
          <w:b/>
          <w:sz w:val="20"/>
        </w:rPr>
        <w:t>Reverse Stock Split and NASDAQ Listing Application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(the “Board of Directors” or the “Board”)</w:t>
      </w:r>
      <w:r>
        <w:rPr>
          <w:rFonts w:ascii="Times New Roman" w:hAnsi="Times New Roman"/>
          <w:sz w:val="20"/>
        </w:rPr>
        <w:t xml:space="preserve"> </w:t>
      </w:r>
      <w:r>
        <w:rPr>
          <w:rFonts w:ascii="Helvetica" w:hAnsi="Helvetica"/>
          <w:sz w:val="20"/>
        </w:rPr>
        <w:t>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Securities Exchange Act of 1934 (the “Exchange Act”).  We anticipate that immediately following the effectiveness of the registration statement of which this prospectus forms a part, and prior to the closing of this offering, our Board of Directors will effect a reverse stock split at a ratio of one-for-five (the “reverse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reverse stock split is intended to allow us to meet the minimum share price requirement of The NASDAQ Capital Market.  We intend to apply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Other than as otherwise indicated and except in our consolidated financial statements, all information regarding share amounts of common stock and prices per share of common stock contained in this prospectus assume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rPr/>
      </w:pPr>
      <w:bookmarkStart w:id="26" w:name="TAB22"/>
      <w:bookmarkEnd w:id="26"/>
      <w:r>
        <w:rPr>
          <w:color w:val="000000"/>
          <w:spacing w:val="180"/>
        </w:rPr>
        <w:t> </w:t>
      </w: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non-steroidal anti-inflammatory drug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 w:name="PGBRK3"/>
      <w:bookmarkStart w:id="28" w:name="PGBRK3"/>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FTR3"/>
      <w:bookmarkStart w:id="30" w:name="FTR3"/>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 w:name="GLFTR2"/>
      <w:bookmarkEnd w:id="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2" w:name="PN2"/>
      <w:bookmarkEnd w:id="32"/>
      <w:r>
        <w:rPr>
          <w:rFonts w:ascii="Helvetica" w:hAnsi="Helvetica"/>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HDR2"/>
      <w:bookmarkStart w:id="34" w:name="HD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 w:name="GLHDR2"/>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Initially we plan to commence two Phase 3 studies of Impracor in patients experiencing pain from osteoarthritis flare in their hands or knees.  The U.S. Food and Drug Administration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 NSAID wash-out period, the proposed design study has the patients dosed with placebo or Impracor three times daily for 14 days. The primary endpoint for both trials is expected to employ well accepted pain measurements, which will be measured on day 14.  It is expected that the planned trials, if successful, would provide sufficient data for subsequent registration filing to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timing of Phase 3 trials and the other supportive studies will be dependent on obtaining adequate financing to support the execution of these activities and for other working capital expenditures, as well as feedback from the FDA.  Upon receipt of such financing, we anticipate initiating the supportive studies and Phase 3 trials in late 2012 and early 2013.  Assuming successful completion and outcome of the additional Phase 3 trials, we would expect to file the New Drug Application in 2014.</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 w:name="PGBRK4"/>
      <w:bookmarkStart w:id="37" w:name="PGBRK4"/>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FTR4"/>
      <w:bookmarkStart w:id="39" w:name="FTR4"/>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 w:name="GLFTR3"/>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1" w:name="PN3"/>
      <w:bookmarkEnd w:id="41"/>
      <w:r>
        <w:rPr>
          <w:rFonts w:ascii="Helvetica" w:hAnsi="Helvetica"/>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HDR3"/>
      <w:bookmarkStart w:id="43" w:name="HDR3"/>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 w:name="GLHDR3"/>
      <w:bookmarkEnd w:id="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pPr>
      <w:r>
        <w:rPr/>
        <w:drawing>
          <wp:inline distT="0" distB="0" distL="0" distR="0">
            <wp:extent cx="5248275" cy="2209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48275" cy="2209800"/>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 w:name="list"/>
      <w:bookmarkStart w:id="46" w:name="list"/>
      <w:bookmarkEnd w:id="4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(PLO)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 w:name="list1"/>
      <w:bookmarkStart w:id="48" w:name="list1"/>
      <w:bookmarkEnd w:id="48"/>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 w:name="list2"/>
      <w:bookmarkStart w:id="50" w:name="list2"/>
      <w:bookmarkEnd w:id="50"/>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1" w:name="list3"/>
      <w:bookmarkStart w:id="52" w:name="list3"/>
      <w:bookmarkEnd w:id="52"/>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 w:name="list4"/>
      <w:bookmarkStart w:id="54" w:name="list4"/>
      <w:bookmarkEnd w:id="54"/>
    </w:p>
    <w:tbl>
      <w:tblPr>
        <w:tblW w:w="5000" w:type="pct"/>
        <w:jc w:val="left"/>
        <w:tblInd w:w="0" w:type="dxa"/>
        <w:tblCellMar>
          <w:top w:w="0" w:type="dxa"/>
          <w:left w:w="0" w:type="dxa"/>
          <w:bottom w:w="0" w:type="dxa"/>
          <w:right w:w="0" w:type="dxa"/>
        </w:tblCellMar>
      </w:tblPr>
      <w:tblGrid>
        <w:gridCol w:w="364"/>
        <w:gridCol w:w="9841"/>
      </w:tblGrid>
      <w:tr>
        <w:trPr/>
        <w:tc>
          <w:tcPr>
            <w:tcW w:w="364" w:type="dxa"/>
            <w:tcBorders/>
            <w:shd w:fill="auto" w:val="clear"/>
          </w:tcPr>
          <w:p>
            <w:pPr>
              <w:pStyle w:val="TableContents"/>
              <w:spacing w:before="0" w:after="0"/>
              <w:jc w:val="right"/>
              <w:rPr/>
            </w:pPr>
            <w:r>
              <w:rPr/>
              <w:t>●  </w:t>
            </w:r>
          </w:p>
        </w:tc>
        <w:tc>
          <w:tcPr>
            <w:tcW w:w="984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(GRAS)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5" w:name="list5"/>
      <w:bookmarkStart w:id="56" w:name="list5"/>
      <w:bookmarkEnd w:id="56"/>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 w:name="list6"/>
      <w:bookmarkStart w:id="58" w:name="list6"/>
      <w:bookmarkEnd w:id="58"/>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9" w:name="list7"/>
      <w:bookmarkStart w:id="60" w:name="list7"/>
      <w:bookmarkEnd w:id="60"/>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 w:name="list8"/>
      <w:bookmarkStart w:id="62" w:name="list8"/>
      <w:bookmarkEnd w:id="62"/>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 w:name="list9"/>
      <w:bookmarkStart w:id="64" w:name="list9"/>
      <w:bookmarkEnd w:id="64"/>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clinical success of Impracor will facilitate the use of the Accudel delivery technology in other products.  We have identified co-development opportunities for potential products in pain management and other therapeutic areas utilizing the Accudel platform technology and we are exploring potential commercial relationships for these identified product candidates.  Some of these co-development areas could include additional pain relief products, muscle relaxants, antiemetic and dermatological products using our Accudel delivery system.  We may also pursue the out-licensing of our Accudel drug delivery technology for the development and commercialization of additional innovative drug and cosmeceutical products.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Completed Clinical Studies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(AEs) reported. Furthermore, Impracor was observed to be well absorbed through the skin and only minimal blood concentrations of ketoprofen were detected in a subset of patients who underwent blood sampling for pharmacokinetic (PK) analyses following repeated topical applications.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5"/>
      <w:bookmarkStart w:id="66" w:name="PGBRK5"/>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FTR5"/>
      <w:bookmarkStart w:id="68" w:name="FTR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 w:name="GLFTR4"/>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0" w:name="PN4"/>
      <w:bookmarkEnd w:id="70"/>
      <w:r>
        <w:rPr>
          <w:rFonts w:ascii="Helvetica" w:hAnsi="Helvetica"/>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HDR4"/>
      <w:bookmarkStart w:id="72" w:name="HDR4"/>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 w:name="GLHDR4"/>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proportion of subjects who were satisfied with the treatment and achieved moderate or higher pain relief - as recorded on a 7 point Likert Scale - was statistically significantly greater with Impracor on day 3  (p= 0.023).</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was approximately $506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More than 70% of Americans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death resulting from gastro-intestinal complications was the 15th most common cause of death in the U.S., higher than cervical cancer, asthma and malignant melanoma.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oral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more information regarding our business, see “Management’s Discussion and Analysis of Financial Condition and Results of Operations” and “Business,” included elsewhere in this prospectus.</w:t>
      </w:r>
    </w:p>
    <w:p>
      <w:pPr>
        <w:pStyle w:val="TextBody"/>
        <w:spacing w:before="0" w:after="0"/>
        <w:ind w:left="0" w:right="0" w:hanging="0"/>
        <w:jc w:val="both"/>
        <w:rPr/>
      </w:pPr>
      <w:r>
        <w:rPr/>
        <w:t> </w:t>
      </w:r>
    </w:p>
    <w:p>
      <w:pPr>
        <w:pStyle w:val="TextBody"/>
        <w:spacing w:before="0" w:after="0"/>
        <w:ind w:left="0" w:right="0" w:hanging="0"/>
        <w:rPr/>
      </w:pPr>
      <w:bookmarkStart w:id="74" w:name="TAB23"/>
      <w:bookmarkEnd w:id="74"/>
      <w:r>
        <w:rPr>
          <w:color w:val="000000"/>
          <w:spacing w:val="180"/>
        </w:rPr>
        <w:t> </w:t>
      </w: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rPr/>
      </w:pPr>
      <w:bookmarkStart w:id="75" w:name="TAB24"/>
      <w:bookmarkEnd w:id="75"/>
      <w:r>
        <w:rPr>
          <w:color w:val="000000"/>
          <w:spacing w:val="180"/>
        </w:rPr>
        <w:t> </w:t>
      </w: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 w:name="PGBRK6"/>
      <w:bookmarkStart w:id="77" w:name="PGBRK6"/>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6"/>
      <w:bookmarkStart w:id="79" w:name="FTR6"/>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 w:name="GLFTR5"/>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1" w:name="PN5"/>
      <w:bookmarkEnd w:id="81"/>
      <w:r>
        <w:rPr>
          <w:rFonts w:ascii="Helvetica" w:hAnsi="Helvetica"/>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5"/>
      <w:bookmarkStart w:id="83" w:name="HDR5"/>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 w:name="GLHDR5"/>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bookmarkStart w:id="85" w:name="TAB25"/>
      <w:bookmarkEnd w:id="85"/>
      <w:r>
        <w:rPr>
          <w:color w:val="000000"/>
          <w:spacing w:val="180"/>
        </w:rPr>
        <w:t> </w:t>
      </w:r>
      <w:r>
        <w:rPr>
          <w:rFonts w:ascii="Helvetica" w:hAnsi="Helvetica"/>
          <w:b/>
          <w:i/>
          <w:sz w:val="20"/>
        </w:rPr>
        <w:t>Conversion of Convertible Note and Balance Under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immediately following the effective time of the Certificate of Amendment to our Certificate of Incorporation increasing the number of authorized shares of our common stock on February 28, 2012, the entire outstanding balance and all accrued but unpaid interest owing under our $1,000,000 7.5% Convertible Promissory Note issued on April 5, 2010, as well as certain outstanding accounts payable held by DermaStar International, LLC (“DermaStar”), were converted into 1,835,830 shares of common stock, and the convertible promissory note was terminated.  DermaStar was the holder of 80% of the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our line of credit with DermaStar, an aggregate of $762,534, was converted into 193,047 shares of common stock and warrants to purchase 48,262 shares of our common stock pursuant to a conversion agreement we entered into with DermaStar on April 20, 2012.  The warrants have substantially the same terms as the warrants issued in the April Private Placement.  The line of credit was terminated upon the completion of the conversion.  Director and Chief Executive Officer Mark L. Baum and the Chairman of our Board of Directors, Robert J. Kammer, were the Managing Members of DermaStar prior to its dissolution in July 2012.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rPr/>
      </w:pPr>
      <w:bookmarkStart w:id="86" w:name="TAB26"/>
      <w:bookmarkEnd w:id="86"/>
      <w:r>
        <w:rPr>
          <w:color w:val="000000"/>
          <w:spacing w:val="180"/>
        </w:rPr>
        <w:t> </w:t>
      </w:r>
      <w:r>
        <w:rPr>
          <w:rFonts w:ascii="Helvetica" w:hAnsi="Helvetica"/>
          <w:b/>
          <w:i/>
          <w:sz w:val="20"/>
        </w:rPr>
        <w:t>Written Consent of the Stockholders Approving Increase in Option Plan Reserve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stockholders holding a majority of our outstanding voting power approved an amendment to our 2007 Incentive Stock and Awards Plan (the “2007 Plan”) to increase the number of shares available for issuance under the 2007 Plan from 750,000 to 2,400,000.  The stockholder approval of the increase will not become effective until we have complied with certain notice requirements under the Exchange Act.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Going Concern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Our independent registered public accounting firm has issued an unqualified opinion with an explanatory paragraph to the effect that there is substantial doubt about our ability to continue as a going concern. This unqualified opinion with an explanatory paragraph could have a material adverse effect on our business, financial condition, results of operations and cash flows. See “Management’s Discussion and Analysis of Financial Condition and Results of Operations - Liquidity and Capital Resources” and Note 2 to our consolidated financial statements included elsewhere in this prospectus.  We experienced net losses of $(953,936) and $(2,531,228) for the years ended December 31, 2011 and 2010, respectively. As of June 30, 2012, our accumulated deficit was $(21,405,414). </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Unless and until we execute an underwriting agreement with our underwriter in connection with this offering, we have no committed sources of capital and do not know whether additional financing will be available when needed on terms that are acceptable, if at all. The going concern statement from our independent registered public accounting firm may discourage some investors from purchasing our stock or from providing alternative capital financing to us. The failure to satisfy our capital requirements would adversely affect our business, financial condition, results of operations and prospects.</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Unless we raise additional funds, either through the sale of equity securities such as through this offering or one or more collaborative arrangements, we will not have sufficient funds to continue operations. Even if we take these actions, the funds we raise may be insufficient, particularly if our costs are higher than projected or unforeseen expenses arise.</w:t>
      </w:r>
    </w:p>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Risks Related to Our Business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business is subject to a number of risks. You should understand these risks before making an investment decision. If any of these risks actually occurs, our business, financial condition or results of operations would likely be materially adversely affected. In such case, the trading price of our common stock would likely decline, and you may lose all or part of your investment. Below is a summary of some of the principal risks we face. The risks are discussed more fully in the section of this prospectus below entitled “Risk Factors.” </w:t>
      </w:r>
    </w:p>
    <w:p>
      <w:pPr>
        <w:pStyle w:val="TextBody"/>
        <w:spacing w:before="0" w:after="0"/>
        <w:ind w:left="0" w:right="0" w:hanging="0"/>
        <w:rPr/>
      </w:pPr>
      <w:r>
        <w:rPr/>
      </w:r>
    </w:p>
    <w:p>
      <w:pPr>
        <w:pStyle w:val="Normal"/>
        <w:spacing w:before="0" w:after="0"/>
        <w:rPr>
          <w:sz w:val="4"/>
          <w:szCs w:val="4"/>
        </w:rPr>
      </w:pPr>
      <w:r>
        <w:rPr>
          <w:sz w:val="4"/>
          <w:szCs w:val="4"/>
        </w:rPr>
      </w:r>
      <w:bookmarkStart w:id="87" w:name="list10"/>
      <w:bookmarkStart w:id="88" w:name="list10"/>
      <w:bookmarkEnd w:id="8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7"/>
      <w:bookmarkStart w:id="90" w:name="PGBRK7"/>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FTR7"/>
      <w:bookmarkStart w:id="92" w:name="FTR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 w:name="GLFTR6"/>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4" w:name="PN6"/>
      <w:bookmarkEnd w:id="94"/>
      <w:r>
        <w:rPr>
          <w:rFonts w:ascii="Helvetica" w:hAnsi="Helvetica"/>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6"/>
      <w:bookmarkStart w:id="96" w:name="HDR6"/>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 w:name="GLHDR6"/>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Normal"/>
        <w:spacing w:before="0" w:after="0"/>
        <w:rPr>
          <w:sz w:val="4"/>
          <w:szCs w:val="4"/>
        </w:rPr>
      </w:pPr>
      <w:r>
        <w:rPr>
          <w:sz w:val="4"/>
          <w:szCs w:val="4"/>
        </w:rPr>
      </w:r>
      <w:bookmarkStart w:id="98" w:name="list11"/>
      <w:bookmarkStart w:id="99" w:name="list11"/>
      <w:bookmarkEnd w:id="9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report of our independent registered public accounting firm on our 2011 consolidated financial statements contains a going concern modification.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00" w:name="list12"/>
      <w:bookmarkStart w:id="101" w:name="list12"/>
      <w:bookmarkEnd w:id="10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incurred losses in the research and development of Impracor and our Accudel technology since inception. We may never generate revenue or become profitable.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2" w:name="list13"/>
      <w:bookmarkStart w:id="103" w:name="list13"/>
      <w:bookmarkEnd w:id="10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Timing and results of clinical trials to demonstrate the safety and efficacy of products as well as FDA approval of products are uncertain.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4" w:name="list14"/>
      <w:bookmarkStart w:id="105" w:name="list14"/>
      <w:bookmarkEnd w:id="10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the conduct or completion of our clinical and non-clinical trials for Impracor or the analysis of the data from our clinical or non-clinical trials may result in delays in our planned filings for regulatory approvals, and may adversely affect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6" w:name="list15"/>
      <w:bookmarkStart w:id="107" w:name="list15"/>
      <w:bookmarkEnd w:id="10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we are not successful in introducing our products or if the market does not accept our products, our business, financial position and results of operations may be materially adversely affected and the market price for our common stock would decline.</w:t>
            </w:r>
          </w:p>
        </w:tc>
      </w:tr>
    </w:tbl>
    <w:p>
      <w:pPr>
        <w:pStyle w:val="TextBody"/>
        <w:spacing w:before="0" w:after="0"/>
        <w:ind w:left="0" w:right="0" w:hanging="0"/>
        <w:rPr/>
      </w:pPr>
      <w:r>
        <w:rPr/>
      </w:r>
    </w:p>
    <w:p>
      <w:pPr>
        <w:pStyle w:val="Normal"/>
        <w:spacing w:before="0" w:after="0"/>
        <w:rPr>
          <w:sz w:val="4"/>
          <w:szCs w:val="4"/>
        </w:rPr>
      </w:pPr>
      <w:r>
        <w:rPr>
          <w:sz w:val="4"/>
          <w:szCs w:val="4"/>
        </w:rPr>
      </w:r>
      <w:bookmarkStart w:id="108" w:name="list16"/>
      <w:bookmarkStart w:id="109" w:name="list16"/>
      <w:bookmarkEnd w:id="10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our patents are determined to be unenforceable or expire, or if we are unable to obtain new patents based on current patent applications or for future inventions, we may not be able to prevent others from using our intellectual property.</w:t>
            </w:r>
          </w:p>
        </w:tc>
      </w:tr>
    </w:tbl>
    <w:p>
      <w:pPr>
        <w:pStyle w:val="TextBody"/>
        <w:spacing w:before="0" w:after="0"/>
        <w:ind w:left="0" w:right="0" w:hanging="0"/>
        <w:rPr/>
      </w:pPr>
      <w:r>
        <w:rPr/>
      </w:r>
    </w:p>
    <w:p>
      <w:pPr>
        <w:pStyle w:val="Normal"/>
        <w:spacing w:before="0" w:after="0"/>
        <w:rPr>
          <w:sz w:val="4"/>
          <w:szCs w:val="4"/>
        </w:rPr>
      </w:pPr>
      <w:r>
        <w:rPr>
          <w:sz w:val="4"/>
          <w:szCs w:val="4"/>
        </w:rPr>
      </w:r>
      <w:bookmarkStart w:id="110" w:name="list17"/>
      <w:bookmarkStart w:id="111" w:name="list17"/>
      <w:bookmarkEnd w:id="11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principal stockholders have the ability to exert significant control in matters requiring a stockholder vote and could delay, deter or prevent a change in control of our company.</w:t>
            </w:r>
          </w:p>
        </w:tc>
      </w:tr>
    </w:tbl>
    <w:p>
      <w:pPr>
        <w:pStyle w:val="TextBody"/>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112" w:name="PGBRK8"/>
      <w:bookmarkStart w:id="113" w:name="PGBRK8"/>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14" w:name="FTR8"/>
      <w:bookmarkStart w:id="115" w:name="FTR8"/>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16" w:name="GLFTR7"/>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7" w:name="PN7"/>
      <w:bookmarkEnd w:id="117"/>
      <w:r>
        <w:rPr>
          <w:rFonts w:ascii="Helvetica" w:hAnsi="Helvetica"/>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18" w:name="HDR7"/>
      <w:bookmarkStart w:id="119" w:name="HDR7"/>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20" w:name="GLHDR7"/>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br/>
      </w:r>
      <w:r>
        <w:rPr>
          <w:rFonts w:ascii="Helvetica" w:hAnsi="Helvetica"/>
          <w:b/>
          <w:sz w:val="20"/>
        </w:rPr>
        <w:t>THE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The following summary contains basic information about the offering and our common stock and is not intended to be complete. It does not contain all the information that is important to you. For a more complete understanding of our common stock, please refer to the section of this prospectus entitled “Description of Capital Stock.”</w:t>
      </w:r>
    </w:p>
    <w:p>
      <w:pPr>
        <w:pStyle w:val="TextBody"/>
        <w:spacing w:before="0" w:after="0"/>
        <w:ind w:left="0" w:right="0" w:hanging="0"/>
        <w:rPr/>
      </w:pPr>
      <w:r>
        <w:rPr/>
      </w:r>
    </w:p>
    <w:p>
      <w:pPr>
        <w:pStyle w:val="TextBody"/>
        <w:spacing w:before="0" w:after="0"/>
        <w:ind w:left="0" w:right="0" w:hanging="0"/>
        <w:jc w:val="left"/>
        <w:rPr>
          <w:rFonts w:ascii="Helvetica" w:hAnsi="Helvetica"/>
          <w:i/>
          <w:sz w:val="20"/>
        </w:rPr>
      </w:pPr>
      <w:r>
        <w:rPr>
          <w:rFonts w:ascii="Helvetica" w:hAnsi="Helvetica"/>
          <w:i/>
          <w:sz w:val="20"/>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rPr/>
      </w:pPr>
      <w:r>
        <w:rPr/>
      </w:r>
    </w:p>
    <w:tbl>
      <w:tblPr>
        <w:tblW w:w="5000" w:type="pct"/>
        <w:jc w:val="left"/>
        <w:tblInd w:w="0" w:type="dxa"/>
        <w:tblCellMar>
          <w:top w:w="45" w:type="dxa"/>
          <w:left w:w="45" w:type="dxa"/>
          <w:bottom w:w="45" w:type="dxa"/>
          <w:right w:w="45"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Issuer</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Imprimis Pharmaceuticals, Inc.</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Securities offered</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Up to                       shares of common stock</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prior to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5,939,243(1)</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after the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(1)(2)</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Use of Proceeds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We expect to use the net proceeds received from the offering, to fund our clinical trials and for working capital and general corporate purposes. See “Use of Proceeds” for more information.</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OTC Markets Group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Proposed NASDAQ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r>
              <w:rPr/>
              <w:t xml:space="preserve"> </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Risk Factors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See “Risk Factors” beginning on page 8 and other information in this prospectus for a discussion of the factors you should consider before you decide to invest in our common stock.</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Underwriter common stock purchase warrant</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 connection with this offering, we have also agreed to sell to MDB Capital Group LLC and its designees a warrant to purchase up to 8.5% of the shares of common stock sold in this offering. If this warrant is exercised, each share may be purchased by MDB Capital Group LLC at $              per share ( 100% of the price of the shares sold in this offering.)</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Lock-Up Agreements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Each of our officers, directors and shareholders beneficially owning 5% or more of our common stock have agreed that for a period of 180 days from the effective date of this offering, they will be subject to a lockup prohibiting any sales, transfers or hedging transactions in our securities held by them. See section titled “Lock-Up Agreements” in this prospectus.</w:t>
            </w:r>
          </w:p>
        </w:tc>
      </w:tr>
    </w:tbl>
    <w:p>
      <w:pPr>
        <w:pStyle w:val="TextBody"/>
        <w:spacing w:before="0" w:after="0"/>
        <w:ind w:left="0" w:right="0" w:hanging="0"/>
        <w:rPr/>
      </w:pPr>
      <w:r>
        <w:rPr/>
      </w:r>
    </w:p>
    <w:p>
      <w:pPr>
        <w:pStyle w:val="TextBody"/>
        <w:spacing w:before="0" w:after="0"/>
        <w:ind w:left="0" w:right="0" w:hanging="0"/>
        <w:jc w:val="left"/>
        <w:rPr>
          <w:rFonts w:ascii="Helvetica" w:hAnsi="Helvetica"/>
          <w:sz w:val="20"/>
        </w:rPr>
      </w:pPr>
      <w:r>
        <w:rPr>
          <w:rFonts w:ascii="Helvetica" w:hAnsi="Helvetica"/>
          <w:sz w:val="20"/>
        </w:rPr>
        <w:t xml:space="preserve">(1) Excludes (i) 570,290 shares of common stock issuable upon the exercise of outstanding warrants with exercise prices ranging from $5.925 to $176.00 per share , (ii)  917,154 shares of our common stock issuable upon exercise of outstanding options with a weighted average exercise price of $5.15 per share outstanding under the 2007 Plan , and (iii) 200,000 shares of common stock underlying restricted stock units granted outside the 2007 Plan.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(2) Excludes any shares of common stock issuable pursuant to the exercise of the underwriter’s over-allotment option and any shares of common stock issuable upon the exercise of warrants issuable to the underwriter upon the closing of this offering.</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1" w:name="PGBRK9"/>
      <w:bookmarkStart w:id="122" w:name="PGBRK9"/>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FTR9"/>
      <w:bookmarkStart w:id="124" w:name="FTR9"/>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 w:name="GLFTR8"/>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6" w:name="PN8"/>
      <w:bookmarkEnd w:id="126"/>
      <w:r>
        <w:rPr>
          <w:rFonts w:ascii="Helvetica" w:hAnsi="Helvetica"/>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HDR8"/>
      <w:bookmarkStart w:id="128" w:name="HDR8"/>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 w:name="GLHDR8"/>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RISK FACTORS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Investing in our common stock involves a high degree of risk.  You should carefully consider the following risk factors in addition to the other information contained in this prospectus. This prospectus contains forward-looking statements.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w:t>
      </w:r>
    </w:p>
    <w:p>
      <w:pPr>
        <w:pStyle w:val="TextBody"/>
        <w:spacing w:before="0" w:after="0"/>
        <w:ind w:left="0" w:right="0" w:hanging="0"/>
        <w:jc w:val="both"/>
        <w:rPr/>
      </w:pPr>
      <w:r>
        <w:rPr/>
        <w:t> </w:t>
      </w:r>
    </w:p>
    <w:p>
      <w:pPr>
        <w:pStyle w:val="TextBody"/>
        <w:spacing w:before="0" w:after="0"/>
        <w:ind w:left="0" w:right="0" w:hanging="0"/>
        <w:rPr/>
      </w:pPr>
      <w:bookmarkStart w:id="130" w:name="TAB27"/>
      <w:bookmarkEnd w:id="130"/>
      <w:r>
        <w:rPr>
          <w:color w:val="000000"/>
          <w:spacing w:val="180"/>
        </w:rPr>
        <w:t> </w:t>
      </w:r>
      <w:r>
        <w:rPr>
          <w:rFonts w:ascii="Helvetica" w:hAnsi="Helvetica"/>
          <w:b/>
          <w:sz w:val="20"/>
        </w:rPr>
        <w:t>Risks Related to Our Business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assemble an effective management team, or hire and retain qualified individuals.  As a result, we may be unable to successfully resume our operations and pursue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must raise additional capital in order to continue operating our business, and such additional funds may not be available on acceptable terms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generate any cash from operations and must raise additional funds in order to continue operating our business.  We expect to continue to fund our operations primarily through equity and debt financings in the future. If additional capital is not available when necessary, we may not be able to continue to operate our business pursuant to our business plan or we may have to discontinue our operations entirely. Based on our proposed use of proceeds from this offering, even following the completion of this offering, we will likely need significant additional capital, which we may seek to raise through, among other things, public and private equity offerings and debt financing.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our total expenditures over the next 12 months to be approximately $7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cannot raise the money that we need in order to continue to develop our business, we will be forced to delay, scale back or eliminate some or all of our proposed operations. If any of these events were to occur, there is a substantial risk that our business would fail.  Following this offering, we expect to continue to seek funding from our existing stockholders and other qualified investors in order to pursue our business plan.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If we cannot raise the funds that we need, we will be unable to continue our operations, and our stockholders could lose their entire investment in our company.</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10"/>
      <w:bookmarkStart w:id="132" w:name="PGBRK10"/>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FTR10"/>
      <w:bookmarkStart w:id="134" w:name="FTR10"/>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 w:name="GLFTR9"/>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6" w:name="PN9"/>
      <w:bookmarkEnd w:id="136"/>
      <w:r>
        <w:rPr>
          <w:rFonts w:ascii="Helvetica" w:hAnsi="Helvetica"/>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HDR9"/>
      <w:bookmarkStart w:id="138" w:name="HDR9"/>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 w:name="GLHDR9"/>
      <w:bookmarkEnd w:id="1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will be required to pursue sources of additional capital to fund our operations through various means, including equity or debt financing, funding from a corporate partnership or licensing arrangement or any similar financing. However, we may be unable to obtain such financings on reasonable terms, or at all.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have previously filed for Chapter 11 bankruptcy, and will need significant additional funds to execute the additional Phase 3 clinical trials and supportive studies in order to obtain regulatory approval to market Impracor,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limited remaining funds to support our operations. We have prepared our consolidated financial statements for the fiscal year ended December 31, 2011 and the  six months ended June 30,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We received proceeds, net of offering costs, of approximately $7.93 million in the April Private Placement, which will enable us to pursue obtaining regulatory approval to market Impracor. As a result of the April Private Placement, with our current cash and cash equivalents position as of the date of this prospectus, we expect to have adequate resources in order to operate our business for at least the next twelve months.  However, 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may materially and adversely affect our stock price or our ability to raise new capital.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incurred losses in the research and development of Impracor and our Accudel technology since inception. We may never generate revenue or become profitable.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incurred losses in every year of our operations, including net losses of $(953,936) and $(2,531,228) for the years ended December 31, 2011 and 2010, respectively. As of June 30, 2012, our accumulated deficit was $(21,405,414).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0" w:name="PGBRK11"/>
      <w:bookmarkStart w:id="141" w:name="PGBRK11"/>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FTR11"/>
      <w:bookmarkStart w:id="143" w:name="FTR11"/>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 w:name="GLFTR10"/>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5" w:name="PN10"/>
      <w:bookmarkEnd w:id="145"/>
      <w:r>
        <w:rPr>
          <w:rFonts w:ascii="Helvetica" w:hAnsi="Helvetica"/>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HDR10"/>
      <w:bookmarkStart w:id="147" w:name="HDR10"/>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 w:name="GLHDR10"/>
      <w:bookmarkEnd w:id="1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correctly estimate our future operating expenses, which could lead to cash shortfalls.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operating expenses may fluctuate significantly in the future as a result of a variety of factors, many of which are outside of our control. These factors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9" w:name="list18"/>
      <w:bookmarkStart w:id="150" w:name="list18"/>
      <w:bookmarkEnd w:id="15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time and resources required to develop, conduct clinical trials and obtain regulatory approvals for our drug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1" w:name="list19"/>
      <w:bookmarkStart w:id="152" w:name="list19"/>
      <w:bookmarkEnd w:id="15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to rebuild our management team following the dismissal of the Chapter 11 Case, including attracting and retaining personnel with the skills required for effective operations;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3" w:name="list20"/>
      <w:bookmarkStart w:id="154" w:name="list20"/>
      <w:bookmarkEnd w:id="15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clinical trials may not demonstrate the safety and efficacy of our product candidates.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505(b) (2) New Drug Application. We have not yet initiated these Phase 3 clinical trials.  The results of any future clinical trials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Delays in the conduct or completion of our clinical and non-clinical trials for Impracor or the analysis of the data from our clinical or non-clinical trials may adversely affect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5" w:name="list21"/>
      <w:bookmarkStart w:id="156" w:name="list21"/>
      <w:bookmarkEnd w:id="156"/>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pPr>
            <w:r>
              <w:rPr/>
              <w:t>●  </w:t>
            </w:r>
          </w:p>
        </w:tc>
        <w:tc>
          <w:tcPr>
            <w:tcW w:w="988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failure of the FDA to approve the scope or design of our clinical or non-clinical trials or manufacturing plans;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7" w:name="list22"/>
      <w:bookmarkStart w:id="158" w:name="list22"/>
      <w:bookmarkEnd w:id="158"/>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enrolling volunteers in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9" w:name="list23"/>
      <w:bookmarkStart w:id="160" w:name="list23"/>
      <w:bookmarkEnd w:id="160"/>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insufficient supply or deficient quality of materials necessary for the performance of clinical or non-clinical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1" w:name="list24"/>
      <w:bookmarkStart w:id="162" w:name="list24"/>
      <w:bookmarkEnd w:id="162"/>
    </w:p>
    <w:tbl>
      <w:tblPr>
        <w:tblW w:w="5000" w:type="pct"/>
        <w:jc w:val="left"/>
        <w:tblInd w:w="0" w:type="dxa"/>
        <w:tblCellMar>
          <w:top w:w="0" w:type="dxa"/>
          <w:left w:w="0" w:type="dxa"/>
          <w:bottom w:w="0" w:type="dxa"/>
          <w:right w:w="0" w:type="dxa"/>
        </w:tblCellMar>
      </w:tblPr>
      <w:tblGrid>
        <w:gridCol w:w="623"/>
        <w:gridCol w:w="9582"/>
      </w:tblGrid>
      <w:tr>
        <w:trPr/>
        <w:tc>
          <w:tcPr>
            <w:tcW w:w="623" w:type="dxa"/>
            <w:tcBorders/>
            <w:shd w:fill="auto" w:val="clear"/>
          </w:tcPr>
          <w:p>
            <w:pPr>
              <w:pStyle w:val="TableContents"/>
              <w:spacing w:before="0" w:after="0"/>
              <w:jc w:val="right"/>
              <w:rPr/>
            </w:pPr>
            <w:r>
              <w:rPr/>
              <w:t>●  </w:t>
            </w:r>
          </w:p>
        </w:tc>
        <w:tc>
          <w:tcPr>
            <w:tcW w:w="95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negative results of clinical or non-clinical studies;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3" w:name="list25"/>
      <w:bookmarkStart w:id="164" w:name="list25"/>
      <w:bookmarkEnd w:id="164"/>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pPr>
            <w:r>
              <w:rPr/>
              <w:t>●  </w:t>
            </w:r>
          </w:p>
        </w:tc>
        <w:tc>
          <w:tcPr>
            <w:tcW w:w="98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adverse side effects experienced by study participants in clinical trials relating to a specific product.</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5" w:name="PGBRK12"/>
      <w:bookmarkStart w:id="166" w:name="PGBRK12"/>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7" w:name="FTR12"/>
      <w:bookmarkStart w:id="168" w:name="FTR12"/>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9" w:name="GLFTR11"/>
      <w:bookmarkEnd w:id="1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70" w:name="PN11"/>
      <w:bookmarkEnd w:id="170"/>
      <w:r>
        <w:rPr>
          <w:rFonts w:ascii="Helvetica" w:hAnsi="Helvetica"/>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1" w:name="HDR11"/>
      <w:bookmarkStart w:id="172" w:name="HDR11"/>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3" w:name="GLHDR11"/>
      <w:bookmarkEnd w:id="1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may be other circumstances other than the ones described above, over which we may have no control that could materially delay the successful completion of our clinical and non-clinical studies.Furthermore, we expect to rely on contract research organizations, or CROs, to ensure the proper and timely conduct of our clinical trials, and while we expect to enter into agreements governing their committed activities, we have limited influence over their actual performance.  </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our patents are determined to be unenforceable or expire, or if we are unable to obtain new patents based on current patent applications or for future inventions, we may not be able to prevent others from using our 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success will depend in part on our ability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74" w:name="list26"/>
      <w:bookmarkStart w:id="175" w:name="list26"/>
      <w:bookmarkEnd w:id="175"/>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pPr>
            <w:r>
              <w:rPr/>
              <w:t>●  </w:t>
            </w:r>
          </w:p>
        </w:tc>
        <w:tc>
          <w:tcPr>
            <w:tcW w:w="96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and maintain patent protection with respect to our products;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6" w:name="list27"/>
      <w:bookmarkStart w:id="177" w:name="list27"/>
      <w:bookmarkEnd w:id="177"/>
    </w:p>
    <w:tbl>
      <w:tblPr>
        <w:tblW w:w="5000" w:type="pct"/>
        <w:jc w:val="left"/>
        <w:tblInd w:w="0" w:type="dxa"/>
        <w:tblCellMar>
          <w:top w:w="0" w:type="dxa"/>
          <w:left w:w="0" w:type="dxa"/>
          <w:bottom w:w="0" w:type="dxa"/>
          <w:right w:w="0" w:type="dxa"/>
        </w:tblCellMar>
      </w:tblPr>
      <w:tblGrid>
        <w:gridCol w:w="542"/>
        <w:gridCol w:w="9663"/>
      </w:tblGrid>
      <w:tr>
        <w:trPr/>
        <w:tc>
          <w:tcPr>
            <w:tcW w:w="542" w:type="dxa"/>
            <w:tcBorders/>
            <w:shd w:fill="auto" w:val="clear"/>
          </w:tcPr>
          <w:p>
            <w:pPr>
              <w:pStyle w:val="TableContents"/>
              <w:spacing w:before="0" w:after="0"/>
              <w:jc w:val="right"/>
              <w:rPr/>
            </w:pPr>
            <w:r>
              <w:rPr/>
              <w:t>●  </w:t>
            </w:r>
          </w:p>
        </w:tc>
        <w:tc>
          <w:tcPr>
            <w:tcW w:w="966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prevent third parties from infringing upon our proprietary rights;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8" w:name="list28"/>
      <w:bookmarkStart w:id="179" w:name="list28"/>
      <w:bookmarkEnd w:id="179"/>
    </w:p>
    <w:tbl>
      <w:tblPr>
        <w:tblW w:w="5000" w:type="pct"/>
        <w:jc w:val="left"/>
        <w:tblInd w:w="0" w:type="dxa"/>
        <w:tblCellMar>
          <w:top w:w="0" w:type="dxa"/>
          <w:left w:w="0" w:type="dxa"/>
          <w:bottom w:w="0" w:type="dxa"/>
          <w:right w:w="0" w:type="dxa"/>
        </w:tblCellMar>
      </w:tblPr>
      <w:tblGrid>
        <w:gridCol w:w="1332"/>
        <w:gridCol w:w="8873"/>
      </w:tblGrid>
      <w:tr>
        <w:trPr/>
        <w:tc>
          <w:tcPr>
            <w:tcW w:w="1332" w:type="dxa"/>
            <w:tcBorders/>
            <w:shd w:fill="auto" w:val="clear"/>
          </w:tcPr>
          <w:p>
            <w:pPr>
              <w:pStyle w:val="TableContents"/>
              <w:spacing w:before="0" w:after="0"/>
              <w:jc w:val="right"/>
              <w:rPr/>
            </w:pPr>
            <w:r>
              <w:rPr/>
              <w:t>●  </w:t>
            </w:r>
          </w:p>
        </w:tc>
        <w:tc>
          <w:tcPr>
            <w:tcW w:w="887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maintain trade secrets;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0" w:name="list29"/>
      <w:bookmarkStart w:id="181" w:name="list29"/>
      <w:bookmarkEnd w:id="181"/>
    </w:p>
    <w:tbl>
      <w:tblPr>
        <w:tblW w:w="5000" w:type="pct"/>
        <w:jc w:val="left"/>
        <w:tblInd w:w="0" w:type="dxa"/>
        <w:tblCellMar>
          <w:top w:w="0" w:type="dxa"/>
          <w:left w:w="0" w:type="dxa"/>
          <w:bottom w:w="0" w:type="dxa"/>
          <w:right w:w="0" w:type="dxa"/>
        </w:tblCellMar>
      </w:tblPr>
      <w:tblGrid>
        <w:gridCol w:w="434"/>
        <w:gridCol w:w="9771"/>
      </w:tblGrid>
      <w:tr>
        <w:trPr/>
        <w:tc>
          <w:tcPr>
            <w:tcW w:w="434" w:type="dxa"/>
            <w:tcBorders/>
            <w:shd w:fill="auto" w:val="clear"/>
          </w:tcPr>
          <w:p>
            <w:pPr>
              <w:pStyle w:val="TableContents"/>
              <w:spacing w:before="0" w:after="0"/>
              <w:jc w:val="right"/>
              <w:rPr/>
            </w:pPr>
            <w:r>
              <w:rPr/>
              <w:t>●  </w:t>
            </w:r>
          </w:p>
        </w:tc>
        <w:tc>
          <w:tcPr>
            <w:tcW w:w="97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operate without infringing upon the patents and proprietary rights of others;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2" w:name="list30"/>
      <w:bookmarkStart w:id="183" w:name="list30"/>
      <w:bookmarkEnd w:id="18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appropriate licenses to patents or proprietary rights held by third parties if infringement would otherwise occur.</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None of our pharmaceutical product candidates, other than Impracor, have commenced clinical trials.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None of our pharmaceutical product candidates, other than Impracor,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4" w:name="PGBRK13"/>
      <w:bookmarkStart w:id="185" w:name="PGBRK13"/>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FTR13"/>
      <w:bookmarkStart w:id="187" w:name="FTR13"/>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8" w:name="GLFTR12"/>
      <w:bookmarkEnd w:id="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89" w:name="PN12"/>
      <w:bookmarkEnd w:id="189"/>
      <w:r>
        <w:rPr>
          <w:rFonts w:ascii="Helvetica" w:hAnsi="Helvetica"/>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HDR12"/>
      <w:bookmarkStart w:id="191" w:name="HDR12"/>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2" w:name="GLHDR12"/>
      <w:bookmarkEnd w:id="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Once approved, failure to comply with continuing federal and state regulations could result in the loss of approvals to market our drugs.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93" w:name="list31"/>
      <w:bookmarkStart w:id="194" w:name="list31"/>
      <w:bookmarkEnd w:id="194"/>
    </w:p>
    <w:tbl>
      <w:tblPr>
        <w:tblW w:w="5000" w:type="pct"/>
        <w:jc w:val="left"/>
        <w:tblInd w:w="0" w:type="dxa"/>
        <w:tblCellMar>
          <w:top w:w="0" w:type="dxa"/>
          <w:left w:w="0" w:type="dxa"/>
          <w:bottom w:w="0" w:type="dxa"/>
          <w:right w:w="0" w:type="dxa"/>
        </w:tblCellMar>
      </w:tblPr>
      <w:tblGrid>
        <w:gridCol w:w="1424"/>
        <w:gridCol w:w="8781"/>
      </w:tblGrid>
      <w:tr>
        <w:trPr/>
        <w:tc>
          <w:tcPr>
            <w:tcW w:w="1424" w:type="dxa"/>
            <w:tcBorders/>
            <w:shd w:fill="auto" w:val="clear"/>
          </w:tcPr>
          <w:p>
            <w:pPr>
              <w:pStyle w:val="TableContents"/>
              <w:spacing w:before="0" w:after="0"/>
              <w:jc w:val="right"/>
              <w:rPr/>
            </w:pPr>
            <w:r>
              <w:rPr/>
              <w:t>●  </w:t>
            </w:r>
          </w:p>
        </w:tc>
        <w:tc>
          <w:tcPr>
            <w:tcW w:w="87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issue warning letters;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5" w:name="list32"/>
      <w:bookmarkStart w:id="196" w:name="list32"/>
      <w:bookmarkEnd w:id="196"/>
    </w:p>
    <w:tbl>
      <w:tblPr>
        <w:tblW w:w="5000" w:type="pct"/>
        <w:jc w:val="left"/>
        <w:tblInd w:w="0" w:type="dxa"/>
        <w:tblCellMar>
          <w:top w:w="0" w:type="dxa"/>
          <w:left w:w="0" w:type="dxa"/>
          <w:bottom w:w="0" w:type="dxa"/>
          <w:right w:w="0" w:type="dxa"/>
        </w:tblCellMar>
      </w:tblPr>
      <w:tblGrid>
        <w:gridCol w:w="962"/>
        <w:gridCol w:w="9243"/>
      </w:tblGrid>
      <w:tr>
        <w:trPr/>
        <w:tc>
          <w:tcPr>
            <w:tcW w:w="962" w:type="dxa"/>
            <w:tcBorders/>
            <w:shd w:fill="auto" w:val="clear"/>
          </w:tcPr>
          <w:p>
            <w:pPr>
              <w:pStyle w:val="TableContents"/>
              <w:spacing w:before="0" w:after="0"/>
              <w:jc w:val="right"/>
              <w:rPr/>
            </w:pPr>
            <w:r>
              <w:rPr/>
              <w:t>●  </w:t>
            </w:r>
          </w:p>
        </w:tc>
        <w:tc>
          <w:tcPr>
            <w:tcW w:w="92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civil or criminal penalties;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7" w:name="list33"/>
      <w:bookmarkStart w:id="198" w:name="list33"/>
      <w:bookmarkEnd w:id="198"/>
    </w:p>
    <w:tbl>
      <w:tblPr>
        <w:tblW w:w="5000" w:type="pct"/>
        <w:jc w:val="left"/>
        <w:tblInd w:w="0" w:type="dxa"/>
        <w:tblCellMar>
          <w:top w:w="0" w:type="dxa"/>
          <w:left w:w="0" w:type="dxa"/>
          <w:bottom w:w="0" w:type="dxa"/>
          <w:right w:w="0" w:type="dxa"/>
        </w:tblCellMar>
      </w:tblPr>
      <w:tblGrid>
        <w:gridCol w:w="739"/>
        <w:gridCol w:w="9466"/>
      </w:tblGrid>
      <w:tr>
        <w:trPr/>
        <w:tc>
          <w:tcPr>
            <w:tcW w:w="739" w:type="dxa"/>
            <w:tcBorders/>
            <w:shd w:fill="auto" w:val="clear"/>
          </w:tcPr>
          <w:p>
            <w:pPr>
              <w:pStyle w:val="TableContents"/>
              <w:spacing w:before="0" w:after="0"/>
              <w:jc w:val="right"/>
              <w:rPr/>
            </w:pPr>
            <w:r>
              <w:rPr/>
              <w:t>●  </w:t>
            </w:r>
          </w:p>
        </w:tc>
        <w:tc>
          <w:tcPr>
            <w:tcW w:w="946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withdraw our regulatory approval;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9" w:name="list34"/>
      <w:bookmarkStart w:id="200" w:name="list34"/>
      <w:bookmarkEnd w:id="200"/>
    </w:p>
    <w:tbl>
      <w:tblPr>
        <w:tblW w:w="5000" w:type="pct"/>
        <w:jc w:val="left"/>
        <w:tblInd w:w="0" w:type="dxa"/>
        <w:tblCellMar>
          <w:top w:w="0" w:type="dxa"/>
          <w:left w:w="0" w:type="dxa"/>
          <w:bottom w:w="0" w:type="dxa"/>
          <w:right w:w="0" w:type="dxa"/>
        </w:tblCellMar>
      </w:tblPr>
      <w:tblGrid>
        <w:gridCol w:w="618"/>
        <w:gridCol w:w="9587"/>
      </w:tblGrid>
      <w:tr>
        <w:trPr/>
        <w:tc>
          <w:tcPr>
            <w:tcW w:w="618" w:type="dxa"/>
            <w:tcBorders/>
            <w:shd w:fill="auto" w:val="clear"/>
          </w:tcPr>
          <w:p>
            <w:pPr>
              <w:pStyle w:val="TableContents"/>
              <w:spacing w:before="0" w:after="0"/>
              <w:jc w:val="right"/>
              <w:rPr/>
            </w:pPr>
            <w:r>
              <w:rPr/>
              <w:t>●  </w:t>
            </w:r>
          </w:p>
        </w:tc>
        <w:tc>
          <w:tcPr>
            <w:tcW w:w="95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terminate any of our ongoing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1" w:name="list35"/>
      <w:bookmarkStart w:id="202" w:name="list35"/>
      <w:bookmarkEnd w:id="202"/>
    </w:p>
    <w:tbl>
      <w:tblPr>
        <w:tblW w:w="5000" w:type="pct"/>
        <w:jc w:val="left"/>
        <w:tblInd w:w="0" w:type="dxa"/>
        <w:tblCellMar>
          <w:top w:w="0" w:type="dxa"/>
          <w:left w:w="0" w:type="dxa"/>
          <w:bottom w:w="0" w:type="dxa"/>
          <w:right w:w="0" w:type="dxa"/>
        </w:tblCellMar>
      </w:tblPr>
      <w:tblGrid>
        <w:gridCol w:w="376"/>
        <w:gridCol w:w="9829"/>
      </w:tblGrid>
      <w:tr>
        <w:trPr/>
        <w:tc>
          <w:tcPr>
            <w:tcW w:w="376" w:type="dxa"/>
            <w:tcBorders/>
            <w:shd w:fill="auto" w:val="clear"/>
          </w:tcPr>
          <w:p>
            <w:pPr>
              <w:pStyle w:val="TableContents"/>
              <w:spacing w:before="0" w:after="0"/>
              <w:jc w:val="right"/>
              <w:rPr/>
            </w:pPr>
            <w:r>
              <w:rPr/>
              <w:t>●  </w:t>
            </w:r>
          </w:p>
        </w:tc>
        <w:tc>
          <w:tcPr>
            <w:tcW w:w="982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refuse to approve pending applications or supplements to approved applications filed by us;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3" w:name="list36"/>
      <w:bookmarkStart w:id="204" w:name="list36"/>
      <w:bookmarkEnd w:id="204"/>
    </w:p>
    <w:tbl>
      <w:tblPr>
        <w:tblW w:w="5000" w:type="pct"/>
        <w:jc w:val="left"/>
        <w:tblInd w:w="0" w:type="dxa"/>
        <w:tblCellMar>
          <w:top w:w="0" w:type="dxa"/>
          <w:left w:w="0" w:type="dxa"/>
          <w:bottom w:w="0" w:type="dxa"/>
          <w:right w:w="0" w:type="dxa"/>
        </w:tblCellMar>
      </w:tblPr>
      <w:tblGrid>
        <w:gridCol w:w="862"/>
        <w:gridCol w:w="9343"/>
      </w:tblGrid>
      <w:tr>
        <w:trPr/>
        <w:tc>
          <w:tcPr>
            <w:tcW w:w="862" w:type="dxa"/>
            <w:tcBorders/>
            <w:shd w:fill="auto" w:val="clear"/>
          </w:tcPr>
          <w:p>
            <w:pPr>
              <w:pStyle w:val="TableContents"/>
              <w:spacing w:before="0" w:after="0"/>
              <w:jc w:val="right"/>
              <w:rPr/>
            </w:pPr>
            <w:r>
              <w:rPr/>
              <w:t>●  </w:t>
            </w:r>
          </w:p>
        </w:tc>
        <w:tc>
          <w:tcPr>
            <w:tcW w:w="93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restrictions on our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5" w:name="list37"/>
      <w:bookmarkStart w:id="206" w:name="list37"/>
      <w:bookmarkEnd w:id="206"/>
    </w:p>
    <w:tbl>
      <w:tblPr>
        <w:tblW w:w="5000" w:type="pct"/>
        <w:jc w:val="left"/>
        <w:tblInd w:w="0" w:type="dxa"/>
        <w:tblCellMar>
          <w:top w:w="0" w:type="dxa"/>
          <w:left w:w="0" w:type="dxa"/>
          <w:bottom w:w="0" w:type="dxa"/>
          <w:right w:w="0" w:type="dxa"/>
        </w:tblCellMar>
      </w:tblPr>
      <w:tblGrid>
        <w:gridCol w:w="644"/>
        <w:gridCol w:w="9561"/>
      </w:tblGrid>
      <w:tr>
        <w:trPr/>
        <w:tc>
          <w:tcPr>
            <w:tcW w:w="644" w:type="dxa"/>
            <w:tcBorders/>
            <w:shd w:fill="auto" w:val="clear"/>
          </w:tcPr>
          <w:p>
            <w:pPr>
              <w:pStyle w:val="TableContents"/>
              <w:spacing w:before="0" w:after="0"/>
              <w:jc w:val="right"/>
              <w:rPr/>
            </w:pPr>
            <w:r>
              <w:rPr/>
              <w:t>●  </w:t>
            </w:r>
          </w:p>
        </w:tc>
        <w:tc>
          <w:tcPr>
            <w:tcW w:w="95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close the facilities of our contract manufacturers;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7" w:name="list38"/>
      <w:bookmarkStart w:id="208" w:name="list38"/>
      <w:bookmarkEnd w:id="208"/>
    </w:p>
    <w:tbl>
      <w:tblPr>
        <w:tblW w:w="5000" w:type="pct"/>
        <w:jc w:val="left"/>
        <w:tblInd w:w="0" w:type="dxa"/>
        <w:tblCellMar>
          <w:top w:w="0" w:type="dxa"/>
          <w:left w:w="0" w:type="dxa"/>
          <w:bottom w:w="0" w:type="dxa"/>
          <w:right w:w="0" w:type="dxa"/>
        </w:tblCellMar>
      </w:tblPr>
      <w:tblGrid>
        <w:gridCol w:w="655"/>
        <w:gridCol w:w="9550"/>
      </w:tblGrid>
      <w:tr>
        <w:trPr/>
        <w:tc>
          <w:tcPr>
            <w:tcW w:w="655" w:type="dxa"/>
            <w:tcBorders/>
            <w:shd w:fill="auto" w:val="clear"/>
          </w:tcPr>
          <w:p>
            <w:pPr>
              <w:pStyle w:val="TableContents"/>
              <w:spacing w:before="0" w:after="0"/>
              <w:jc w:val="right"/>
              <w:rPr/>
            </w:pPr>
            <w:r>
              <w:rPr/>
              <w:t>●  </w:t>
            </w:r>
          </w:p>
        </w:tc>
        <w:tc>
          <w:tcPr>
            <w:tcW w:w="95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Once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9" w:name="PGBRK14"/>
      <w:bookmarkStart w:id="210" w:name="PGBRK14"/>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FTR14"/>
      <w:bookmarkStart w:id="212" w:name="FTR14"/>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3" w:name="GLFTR13"/>
      <w:bookmarkEnd w:id="2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14" w:name="PN13"/>
      <w:bookmarkEnd w:id="214"/>
      <w:r>
        <w:rPr>
          <w:rFonts w:ascii="Helvetica" w:hAnsi="Helvetica"/>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HDR13"/>
      <w:bookmarkStart w:id="216" w:name="HDR13"/>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7" w:name="GLHDR13"/>
      <w:bookmarkEnd w:id="2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be subject to product liability claims.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successful in receiving additional patents based on our intellectual property strategy.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use of our technologies could potentially conflict with the rights of others.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8" w:name="PGBRK15"/>
      <w:bookmarkStart w:id="219" w:name="PGBRK15"/>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 w:name="FTR15"/>
      <w:bookmarkStart w:id="221" w:name="FTR15"/>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2" w:name="GLFTR14"/>
      <w:bookmarkEnd w:id="2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23" w:name="PN14"/>
      <w:bookmarkEnd w:id="223"/>
      <w:r>
        <w:rPr>
          <w:rFonts w:ascii="Helvetica" w:hAnsi="Helvetica"/>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HDR14"/>
      <w:bookmarkStart w:id="225" w:name="HDR14"/>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6" w:name="GLHDR14"/>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employ personnel or possess the facilities necessary to conduct many of the activities associated with our programs. We expect to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cosmetic product development program may not be successful.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product development program has included cosmetic products, which utilizes the basis of our patented transdermal delivery system technology, Accudel. Since our primary focus will remain on seeking FDA approval for Impracor, we plan to use limited resources on our cosmetic development program and, as a result, we will need to partner with third parties to perform formulation, clinical research, manufacturing, sales and marketing activities. We have developed, formulated and pilot produced an anti-cellulite product candidate that we expect to further develop and market in the future.  We cannot assure you that the results of any further studies that may be required before this product can be commercialized will be successful, that we will enter into additional commercial agreements with third parties for this product on acceptable terms, or at all, or that this product will be successfully commercialized. Even if we are not required to obtain FDA pre-market approval for this product, we will still be subject to a number of federal and state regulations, including regulation by the FDA and the Federal Trade Commission on any marketing claims we make about the anti-cellulite product. We may be unsuccessful in developing any other cosmetic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currently have no internal sales and marketing resources and may have to rely on third parties in the event that we successfully commercialize our product.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7" w:name="PGBRK16"/>
      <w:bookmarkStart w:id="228" w:name="PGBRK16"/>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FTR16"/>
      <w:bookmarkStart w:id="230" w:name="FTR16"/>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1" w:name="GLFTR15"/>
      <w:bookmarkEnd w:id="2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32" w:name="PN15"/>
      <w:bookmarkEnd w:id="232"/>
      <w:r>
        <w:rPr>
          <w:rFonts w:ascii="Helvetica" w:hAnsi="Helvetica"/>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HDR15"/>
      <w:bookmarkStart w:id="234" w:name="HDR15"/>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5" w:name="GLHDR15"/>
      <w:bookmarkEnd w:id="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retain our key personnel or attract additional professional staff, we may be unable to maintain or expand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elsewhere in this prospectus,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Risks Relating to Our Industry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compete with other companies that develop rival products to our products, then we may never gain market share or achieve profitability.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ability to generate revenues will be diminished if we fail to obtain acceptable prices or an adequate level of reimbursement from third-party payors.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6" w:name="PGBRK17"/>
      <w:bookmarkStart w:id="237" w:name="PGBRK17"/>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 w:name="FTR17"/>
      <w:bookmarkStart w:id="239" w:name="FTR17"/>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0" w:name="GLFTR16"/>
      <w:bookmarkEnd w:id="2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41" w:name="PN16"/>
      <w:bookmarkEnd w:id="241"/>
      <w:r>
        <w:rPr>
          <w:rFonts w:ascii="Helvetica" w:hAnsi="Helvetica"/>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HDR16"/>
      <w:bookmarkStart w:id="243" w:name="HDR16"/>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4" w:name="GLHDR16"/>
      <w:bookmarkEnd w:id="2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Changes in the healthcare industry that are beyond our control may be detrimental to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Risks Relating to the Offering and Ownership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You will experience immediate and substantial dilution as a result of this offering and may experience additional dilution in the future.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will incur immediate and substantial dilution as a result of this offering. After giving effect to the sale by us of up to                    shares of common stock, and after deducting underwriting fees and estimated offering expenses payable by us, investors in this offering can expect an immediate dilution of $               per share, or           %, at the public offering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inception we have funded our operations primarily through equity and debt financings and we expect to continue to do so in the future. Any additional equity or convertible debt offerings we may effect in the future will further dilute your ownership interest in the Company.   To the extent any of the warrants and options we have issued is ultimately exercised you will sustain future dilution. We may also acquire or license other technologies or finance strategic alliances by issuing equity, which may result in additional dilution to our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allocate the net proceeds from this offering in ways that differ from our estimates based on our current plans and assumptions discussed in the section titled “Use of Proceeds” and with which you may not agree.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allocation of net proceeds of the offering set forth in the “Use of Proceeds” section below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entitled “Use of Proceeds” below. You may not have an opportunity to evaluate the economic, financial or other information on which we base our decisions on how to use our proceeds. As a result, you and other stockholders may not agree with our decisions. See "Use of Proceeds" for additional information.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Sales of common stock by our stockholders, or the perception that such sales may occur, could depress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of our common stock in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 w:name="PGBRK18"/>
      <w:bookmarkStart w:id="246" w:name="PGBRK18"/>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FTR18"/>
      <w:bookmarkStart w:id="248" w:name="FTR18"/>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9" w:name="GLFTR17"/>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50" w:name="PN17"/>
      <w:bookmarkEnd w:id="250"/>
      <w:r>
        <w:rPr>
          <w:rFonts w:ascii="Helvetica" w:hAnsi="Helvetica"/>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HDR17"/>
      <w:bookmarkStart w:id="252" w:name="HDR17"/>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3" w:name="GLHDR17"/>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An active trading market for shares of our common stock may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54" w:name="TAB28"/>
      <w:bookmarkEnd w:id="254"/>
      <w:r>
        <w:rPr>
          <w:color w:val="000000"/>
          <w:spacing w:val="180"/>
        </w:rPr>
        <w:t> </w:t>
      </w:r>
      <w:r>
        <w:rPr>
          <w:rFonts w:ascii="Helvetica" w:hAnsi="Helvetica"/>
          <w:sz w:val="20"/>
        </w:rPr>
        <w:t>Trading in our common stock is sporadic and volatile. We cannot predict the extent to which an active public market for our common stock will develop or be sustained. It is a condition of this offering that we be listed on The NASDAQ Capital Market, but we may not be able to meet the requirements for continued listing going forward. Our common stock has historically been sporadically or “thinly-traded” in the over-the-counter market.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 broader or more active public trading market for our common stock will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55" w:name="TAB29"/>
      <w:bookmarkEnd w:id="255"/>
      <w:r>
        <w:rPr>
          <w:color w:val="000000"/>
          <w:spacing w:val="180"/>
        </w:rPr>
        <w:t> </w:t>
      </w:r>
      <w:r>
        <w:rPr>
          <w:rFonts w:ascii="Helvetica" w:hAnsi="Helvetica"/>
          <w:sz w:val="20"/>
        </w:rPr>
        <w:t>There may not be any broker interested in making a market for our stock. Therefore, it may be difficult to sell your shares of common stock if you desire or need to sell them. Our underwriter, MDB Capital Group LLC, is not obligated to make a market in our securities, and even if it chooses to do so it can discontinue at any time without notice. It is possible that an active and liquid trading market in our securities may never develop or, if one does develop, that the market will not continue.</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executive officers and directors own or have the right to acquire within 60 days, in the aggregate, approximately 24% of the shares of common stock outstanding following such issuance to them. In addition, four individual stockholders hold an additional approximately 40%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6" w:name="list39"/>
      <w:bookmarkStart w:id="257" w:name="list39"/>
      <w:bookmarkEnd w:id="257"/>
    </w:p>
    <w:tbl>
      <w:tblPr>
        <w:tblW w:w="5000" w:type="pct"/>
        <w:jc w:val="left"/>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0"/>
              <w:jc w:val="right"/>
              <w:rPr/>
            </w:pPr>
            <w:r>
              <w:rPr/>
              <w:t>●  </w:t>
            </w:r>
          </w:p>
        </w:tc>
        <w:tc>
          <w:tcPr>
            <w:tcW w:w="971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delaying, deferring, or preventing a change in control of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8" w:name="list40"/>
      <w:bookmarkStart w:id="259" w:name="list40"/>
      <w:bookmarkEnd w:id="259"/>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impeding a merger, consolidation, takeover, or other business combination involving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0" w:name="list41"/>
      <w:bookmarkStart w:id="261" w:name="list41"/>
      <w:bookmarkEnd w:id="261"/>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pPr>
            <w:r>
              <w:rPr/>
              <w:t>●  </w:t>
            </w:r>
          </w:p>
        </w:tc>
        <w:tc>
          <w:tcPr>
            <w:tcW w:w="98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causing us to enter into transactions or agreements that are not in the best interests of all stockholders;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2" w:name="list42"/>
      <w:bookmarkStart w:id="263" w:name="list42"/>
      <w:bookmarkEnd w:id="26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discouraging a potential acquirer from making a tender offer or otherwise attempting to obtain control of our company.</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We have identified material weaknesses in our internal control over financial reporting. If we fail to maintain an effective system of internal controls, we may not be able to accurately report our financial results or prevent fraud.</w:t>
      </w:r>
    </w:p>
    <w:p>
      <w:pPr>
        <w:pStyle w:val="TextBody"/>
        <w:spacing w:before="0" w:after="0"/>
        <w:ind w:left="0" w:right="0" w:hanging="0"/>
        <w:jc w:val="both"/>
        <w:rPr/>
      </w:pPr>
      <w:r>
        <w:rPr/>
        <w:t> </w:t>
      </w:r>
    </w:p>
    <w:p>
      <w:pPr>
        <w:pStyle w:val="TextBody"/>
        <w:spacing w:before="0" w:after="0"/>
        <w:ind w:left="0" w:right="0" w:firstLine="720"/>
        <w:rPr/>
      </w:pPr>
      <w:bookmarkStart w:id="264" w:name="TAB210"/>
      <w:bookmarkEnd w:id="264"/>
      <w:r>
        <w:rPr>
          <w:color w:val="000000"/>
          <w:spacing w:val="180"/>
        </w:rPr>
        <w:t> </w:t>
      </w:r>
      <w:r>
        <w:rPr>
          <w:rFonts w:ascii="Helvetica" w:hAnsi="Helvetica"/>
          <w:sz w:val="20"/>
        </w:rPr>
        <w:t>As described in our periodic reports filed with the SEC, including Item 4 of Part I of our Quarterly Report on Form 10-Q for the period ended June 30,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5" w:name="PGBRK19"/>
      <w:bookmarkStart w:id="266" w:name="PGBRK19"/>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FTR19"/>
      <w:bookmarkStart w:id="268" w:name="FTR19"/>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9" w:name="GLFTR18"/>
      <w:bookmarkEnd w:id="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70" w:name="PN18"/>
      <w:bookmarkEnd w:id="270"/>
      <w:r>
        <w:rPr>
          <w:rFonts w:ascii="Helvetica" w:hAnsi="Helvetica"/>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HDR18"/>
      <w:bookmarkStart w:id="272" w:name="HDR18"/>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3" w:name="GLHDR18"/>
      <w:bookmarkEnd w:id="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stock price may be volatile.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market price of our common stock is likely to be highly volatile and could fluctuate widely in response to various factors, many of which are beyond our control,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4" w:name="list43"/>
      <w:bookmarkStart w:id="275" w:name="list43"/>
      <w:bookmarkEnd w:id="275"/>
    </w:p>
    <w:tbl>
      <w:tblPr>
        <w:tblW w:w="5000" w:type="pct"/>
        <w:jc w:val="left"/>
        <w:tblInd w:w="0" w:type="dxa"/>
        <w:tblCellMar>
          <w:top w:w="0" w:type="dxa"/>
          <w:left w:w="0" w:type="dxa"/>
          <w:bottom w:w="0" w:type="dxa"/>
          <w:right w:w="0" w:type="dxa"/>
        </w:tblCellMar>
      </w:tblPr>
      <w:tblGrid>
        <w:gridCol w:w="629"/>
        <w:gridCol w:w="9576"/>
      </w:tblGrid>
      <w:tr>
        <w:trPr/>
        <w:tc>
          <w:tcPr>
            <w:tcW w:w="629" w:type="dxa"/>
            <w:tcBorders/>
            <w:shd w:fill="auto" w:val="clear"/>
          </w:tcPr>
          <w:p>
            <w:pPr>
              <w:pStyle w:val="TableContents"/>
              <w:spacing w:before="0" w:after="0"/>
              <w:jc w:val="right"/>
              <w:rPr/>
            </w:pPr>
            <w:r>
              <w:rPr/>
              <w:t>●  </w:t>
            </w:r>
          </w:p>
        </w:tc>
        <w:tc>
          <w:tcPr>
            <w:tcW w:w="957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changes in the pharmaceutical industry and markets;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6" w:name="list44"/>
      <w:bookmarkStart w:id="277" w:name="list44"/>
      <w:bookmarkEnd w:id="277"/>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right"/>
              <w:rPr/>
            </w:pPr>
            <w:r>
              <w:rPr/>
              <w:t>●  </w:t>
            </w:r>
          </w:p>
        </w:tc>
        <w:tc>
          <w:tcPr>
            <w:tcW w:w="91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competitive pricing pressures;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8" w:name="list45"/>
      <w:bookmarkStart w:id="279" w:name="list45"/>
      <w:bookmarkEnd w:id="279"/>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pPr>
            <w:r>
              <w:rPr/>
              <w:t>●  </w:t>
            </w:r>
          </w:p>
        </w:tc>
        <w:tc>
          <w:tcPr>
            <w:tcW w:w="94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working capital financing;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 w:name="list46"/>
      <w:bookmarkStart w:id="281" w:name="list46"/>
      <w:bookmarkEnd w:id="281"/>
    </w:p>
    <w:tbl>
      <w:tblPr>
        <w:tblW w:w="5000" w:type="pct"/>
        <w:jc w:val="left"/>
        <w:tblInd w:w="0" w:type="dxa"/>
        <w:tblCellMar>
          <w:top w:w="0" w:type="dxa"/>
          <w:left w:w="0" w:type="dxa"/>
          <w:bottom w:w="0" w:type="dxa"/>
          <w:right w:w="0" w:type="dxa"/>
        </w:tblCellMar>
      </w:tblPr>
      <w:tblGrid>
        <w:gridCol w:w="1028"/>
        <w:gridCol w:w="9177"/>
      </w:tblGrid>
      <w:tr>
        <w:trPr/>
        <w:tc>
          <w:tcPr>
            <w:tcW w:w="1028" w:type="dxa"/>
            <w:tcBorders/>
            <w:shd w:fill="auto" w:val="clear"/>
          </w:tcPr>
          <w:p>
            <w:pPr>
              <w:pStyle w:val="TableContents"/>
              <w:spacing w:before="0" w:after="0"/>
              <w:jc w:val="right"/>
              <w:rPr/>
            </w:pPr>
            <w:r>
              <w:rPr/>
              <w:t>●  </w:t>
            </w:r>
          </w:p>
        </w:tc>
        <w:tc>
          <w:tcPr>
            <w:tcW w:w="91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new competitors in our market;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2" w:name="list47"/>
      <w:bookmarkStart w:id="283" w:name="list47"/>
      <w:bookmarkEnd w:id="283"/>
    </w:p>
    <w:tbl>
      <w:tblPr>
        <w:tblW w:w="5000" w:type="pct"/>
        <w:jc w:val="left"/>
        <w:tblInd w:w="0" w:type="dxa"/>
        <w:tblCellMar>
          <w:top w:w="0" w:type="dxa"/>
          <w:left w:w="0" w:type="dxa"/>
          <w:bottom w:w="0" w:type="dxa"/>
          <w:right w:w="0" w:type="dxa"/>
        </w:tblCellMar>
      </w:tblPr>
      <w:tblGrid>
        <w:gridCol w:w="802"/>
        <w:gridCol w:w="9403"/>
      </w:tblGrid>
      <w:tr>
        <w:trPr/>
        <w:tc>
          <w:tcPr>
            <w:tcW w:w="802" w:type="dxa"/>
            <w:tcBorders/>
            <w:shd w:fill="auto" w:val="clear"/>
          </w:tcPr>
          <w:p>
            <w:pPr>
              <w:pStyle w:val="TableContents"/>
              <w:spacing w:before="0" w:after="0"/>
              <w:jc w:val="right"/>
              <w:rPr/>
            </w:pPr>
            <w:r>
              <w:rPr/>
              <w:t>●  </w:t>
            </w:r>
          </w:p>
        </w:tc>
        <w:tc>
          <w:tcPr>
            <w:tcW w:w="940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additions or departures of key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4" w:name="list48"/>
      <w:bookmarkStart w:id="285" w:name="list48"/>
      <w:bookmarkEnd w:id="28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limited “public float” in the hands of a small number of persons whose sales or lack of sales could result in positive or negative pricing pressure on the market price for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6" w:name="list49"/>
      <w:bookmarkStart w:id="287" w:name="list49"/>
      <w:bookmarkEnd w:id="287"/>
    </w:p>
    <w:tbl>
      <w:tblPr>
        <w:tblW w:w="5000" w:type="pct"/>
        <w:jc w:val="left"/>
        <w:tblInd w:w="0" w:type="dxa"/>
        <w:tblCellMar>
          <w:top w:w="0" w:type="dxa"/>
          <w:left w:w="0" w:type="dxa"/>
          <w:bottom w:w="0" w:type="dxa"/>
          <w:right w:w="0" w:type="dxa"/>
        </w:tblCellMar>
      </w:tblPr>
      <w:tblGrid>
        <w:gridCol w:w="1123"/>
        <w:gridCol w:w="9082"/>
      </w:tblGrid>
      <w:tr>
        <w:trPr/>
        <w:tc>
          <w:tcPr>
            <w:tcW w:w="1123" w:type="dxa"/>
            <w:tcBorders/>
            <w:shd w:fill="auto" w:val="clear"/>
          </w:tcPr>
          <w:p>
            <w:pPr>
              <w:pStyle w:val="TableContents"/>
              <w:spacing w:before="0" w:after="0"/>
              <w:jc w:val="right"/>
              <w:rPr/>
            </w:pPr>
            <w:r>
              <w:rPr/>
              <w:t>●  </w:t>
            </w:r>
          </w:p>
        </w:tc>
        <w:tc>
          <w:tcPr>
            <w:tcW w:w="90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sales of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8" w:name="list50"/>
      <w:bookmarkStart w:id="289" w:name="list50"/>
      <w:bookmarkEnd w:id="289"/>
    </w:p>
    <w:tbl>
      <w:tblPr>
        <w:tblW w:w="5000" w:type="pct"/>
        <w:jc w:val="left"/>
        <w:tblInd w:w="0" w:type="dxa"/>
        <w:tblCellMar>
          <w:top w:w="0" w:type="dxa"/>
          <w:left w:w="0" w:type="dxa"/>
          <w:bottom w:w="0" w:type="dxa"/>
          <w:right w:w="0" w:type="dxa"/>
        </w:tblCellMar>
      </w:tblPr>
      <w:tblGrid>
        <w:gridCol w:w="818"/>
        <w:gridCol w:w="9387"/>
      </w:tblGrid>
      <w:tr>
        <w:trPr/>
        <w:tc>
          <w:tcPr>
            <w:tcW w:w="818" w:type="dxa"/>
            <w:tcBorders/>
            <w:shd w:fill="auto" w:val="clear"/>
          </w:tcPr>
          <w:p>
            <w:pPr>
              <w:pStyle w:val="TableContents"/>
              <w:spacing w:before="0" w:after="0"/>
              <w:jc w:val="right"/>
              <w:rPr/>
            </w:pPr>
            <w:r>
              <w:rPr/>
              <w:t>●  </w:t>
            </w:r>
          </w:p>
        </w:tc>
        <w:tc>
          <w:tcPr>
            <w:tcW w:w="93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execute our business plan;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0" w:name="list51"/>
      <w:bookmarkStart w:id="291" w:name="list51"/>
      <w:bookmarkEnd w:id="291"/>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operating results that fall below expectations;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2" w:name="list52"/>
      <w:bookmarkStart w:id="293" w:name="list52"/>
      <w:bookmarkEnd w:id="29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loss of any strategic relationship with our contract manufacturers and clinical and non-clinical research organizations;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4" w:name="list53"/>
      <w:bookmarkStart w:id="295" w:name="list53"/>
      <w:bookmarkEnd w:id="295"/>
    </w:p>
    <w:tbl>
      <w:tblPr>
        <w:tblW w:w="5000" w:type="pct"/>
        <w:jc w:val="left"/>
        <w:tblInd w:w="0" w:type="dxa"/>
        <w:tblCellMar>
          <w:top w:w="0" w:type="dxa"/>
          <w:left w:w="0" w:type="dxa"/>
          <w:bottom w:w="0" w:type="dxa"/>
          <w:right w:w="0" w:type="dxa"/>
        </w:tblCellMar>
      </w:tblPr>
      <w:tblGrid>
        <w:gridCol w:w="834"/>
        <w:gridCol w:w="9371"/>
      </w:tblGrid>
      <w:tr>
        <w:trPr/>
        <w:tc>
          <w:tcPr>
            <w:tcW w:w="834" w:type="dxa"/>
            <w:tcBorders/>
            <w:shd w:fill="auto" w:val="clear"/>
          </w:tcPr>
          <w:p>
            <w:pPr>
              <w:pStyle w:val="TableContents"/>
              <w:spacing w:before="0" w:after="0"/>
              <w:jc w:val="right"/>
              <w:rPr/>
            </w:pPr>
            <w:r>
              <w:rPr/>
              <w:t>●  </w:t>
            </w:r>
          </w:p>
        </w:tc>
        <w:tc>
          <w:tcPr>
            <w:tcW w:w="93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industry or regulatory developments;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6" w:name="list54"/>
      <w:bookmarkStart w:id="297" w:name="list54"/>
      <w:bookmarkEnd w:id="297"/>
    </w:p>
    <w:tbl>
      <w:tblPr>
        <w:tblW w:w="5000" w:type="pct"/>
        <w:jc w:val="left"/>
        <w:tblInd w:w="0" w:type="dxa"/>
        <w:tblCellMar>
          <w:top w:w="0" w:type="dxa"/>
          <w:left w:w="0" w:type="dxa"/>
          <w:bottom w:w="0" w:type="dxa"/>
          <w:right w:w="0" w:type="dxa"/>
        </w:tblCellMar>
      </w:tblPr>
      <w:tblGrid>
        <w:gridCol w:w="884"/>
        <w:gridCol w:w="9321"/>
      </w:tblGrid>
      <w:tr>
        <w:trPr/>
        <w:tc>
          <w:tcPr>
            <w:tcW w:w="884" w:type="dxa"/>
            <w:tcBorders/>
            <w:shd w:fill="auto" w:val="clear"/>
          </w:tcPr>
          <w:p>
            <w:pPr>
              <w:pStyle w:val="TableContents"/>
              <w:spacing w:before="0" w:after="0"/>
              <w:jc w:val="right"/>
              <w:rPr/>
            </w:pPr>
            <w:r>
              <w:rPr/>
              <w:t>●  </w:t>
            </w:r>
          </w:p>
        </w:tc>
        <w:tc>
          <w:tcPr>
            <w:tcW w:w="932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economic and other external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the right to issue shares of preferred stock. If we were to issue preferred stock, it is likely to have rights, preferences and privileges superior to those of our common stock.</w:t>
      </w:r>
    </w:p>
    <w:p>
      <w:pPr>
        <w:pStyle w:val="TextBody"/>
        <w:spacing w:before="0" w:after="0"/>
        <w:ind w:left="0" w:right="0" w:hanging="0"/>
        <w:jc w:val="both"/>
        <w:rPr/>
      </w:pPr>
      <w:r>
        <w:rPr/>
        <w:t> </w:t>
      </w:r>
    </w:p>
    <w:p>
      <w:pPr>
        <w:pStyle w:val="TextBody"/>
        <w:spacing w:before="0" w:after="0"/>
        <w:ind w:left="0" w:right="0" w:firstLine="720"/>
        <w:rPr/>
      </w:pPr>
      <w:bookmarkStart w:id="298" w:name="TAB211"/>
      <w:bookmarkEnd w:id="298"/>
      <w:r>
        <w:rPr>
          <w:color w:val="000000"/>
          <w:spacing w:val="180"/>
        </w:rPr>
        <w:t> </w:t>
      </w:r>
      <w:r>
        <w:rPr/>
        <w:t> </w:t>
      </w:r>
      <w:r>
        <w:rPr>
          <w:rFonts w:ascii="Helvetica" w:hAnsi="Helvetica"/>
          <w:sz w:val="20"/>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9" w:name="PGBRK20"/>
      <w:bookmarkStart w:id="300" w:name="PGBRK20"/>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1" w:name="FTR20"/>
      <w:bookmarkStart w:id="302" w:name="FTR20"/>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3" w:name="GLFTR19"/>
      <w:bookmarkEnd w:id="3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04" w:name="PN19"/>
      <w:bookmarkEnd w:id="304"/>
      <w:r>
        <w:rPr>
          <w:rFonts w:ascii="Helvetica" w:hAnsi="Helvetica"/>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HDR19"/>
      <w:bookmarkStart w:id="306" w:name="HDR19"/>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7" w:name="GLHDR19"/>
      <w:bookmarkEnd w:id="3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Offers or availability for sale of a substantial number of shares of our common stock may cause the price of our common stock to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8" w:name="PGBRK21"/>
      <w:bookmarkStart w:id="309" w:name="PGBRK21"/>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0" w:name="FTR21"/>
      <w:bookmarkStart w:id="311" w:name="FTR21"/>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2" w:name="GLFTR20"/>
      <w:bookmarkEnd w:id="3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13" w:name="PN20"/>
      <w:bookmarkEnd w:id="313"/>
      <w:r>
        <w:rPr>
          <w:rFonts w:ascii="Helvetica" w:hAnsi="Helvetica"/>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 w:name="HDR20"/>
      <w:bookmarkStart w:id="315" w:name="HDR20"/>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6" w:name="GLHDR20"/>
      <w:bookmarkEnd w:id="3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SPECIAL NOTE REGARDING FORWARD-LOOKING STATEMENTS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Information contained in this prospectus contains forward-looking statements.  This information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“will,” “should,” “expect,” “anticipate,” “estimate,” “believe,” “intend” or “project” or the negative of these words or other variations on these words or comparable terminology. In addition to the risks and uncertainties described in “Risk Factors” above and elsewhere in this prospectus, these risks and uncertainties may include risks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7" w:name="list55"/>
      <w:bookmarkStart w:id="318" w:name="list55"/>
      <w:bookmarkEnd w:id="31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resume operations and implement our business plan following dismissal of the Chapter 11 Case;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9" w:name="list56"/>
      <w:bookmarkStart w:id="320" w:name="list56"/>
      <w:bookmarkEnd w:id="320"/>
    </w:p>
    <w:tbl>
      <w:tblPr>
        <w:tblW w:w="5000" w:type="pct"/>
        <w:jc w:val="left"/>
        <w:tblInd w:w="0" w:type="dxa"/>
        <w:tblCellMar>
          <w:top w:w="0" w:type="dxa"/>
          <w:left w:w="0" w:type="dxa"/>
          <w:bottom w:w="0" w:type="dxa"/>
          <w:right w:w="0" w:type="dxa"/>
        </w:tblCellMar>
      </w:tblPr>
      <w:tblGrid>
        <w:gridCol w:w="775"/>
        <w:gridCol w:w="9430"/>
      </w:tblGrid>
      <w:tr>
        <w:trPr/>
        <w:tc>
          <w:tcPr>
            <w:tcW w:w="775" w:type="dxa"/>
            <w:tcBorders/>
            <w:shd w:fill="auto" w:val="clear"/>
          </w:tcPr>
          <w:p>
            <w:pPr>
              <w:pStyle w:val="TableContents"/>
              <w:spacing w:before="0" w:after="0"/>
              <w:jc w:val="right"/>
              <w:rPr/>
            </w:pPr>
            <w:r>
              <w:rPr/>
              <w:t>●  </w:t>
            </w:r>
          </w:p>
        </w:tc>
        <w:tc>
          <w:tcPr>
            <w:tcW w:w="943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success of our proposed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1" w:name="list57"/>
      <w:bookmarkStart w:id="322" w:name="list57"/>
      <w:bookmarkEnd w:id="322"/>
    </w:p>
    <w:tbl>
      <w:tblPr>
        <w:tblW w:w="5000" w:type="pct"/>
        <w:jc w:val="left"/>
        <w:tblInd w:w="0" w:type="dxa"/>
        <w:tblCellMar>
          <w:top w:w="0" w:type="dxa"/>
          <w:left w:w="0" w:type="dxa"/>
          <w:bottom w:w="0" w:type="dxa"/>
          <w:right w:w="0" w:type="dxa"/>
        </w:tblCellMar>
      </w:tblPr>
      <w:tblGrid>
        <w:gridCol w:w="472"/>
        <w:gridCol w:w="9733"/>
      </w:tblGrid>
      <w:tr>
        <w:trPr/>
        <w:tc>
          <w:tcPr>
            <w:tcW w:w="472" w:type="dxa"/>
            <w:tcBorders/>
            <w:shd w:fill="auto" w:val="clear"/>
          </w:tcPr>
          <w:p>
            <w:pPr>
              <w:pStyle w:val="TableContents"/>
              <w:spacing w:before="0" w:after="0"/>
              <w:jc w:val="right"/>
              <w:rPr/>
            </w:pPr>
            <w:r>
              <w:rPr/>
              <w:t>●  </w:t>
            </w:r>
          </w:p>
        </w:tc>
        <w:tc>
          <w:tcPr>
            <w:tcW w:w="97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research and successfully develop our product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3" w:name="list58"/>
      <w:bookmarkStart w:id="324" w:name="list58"/>
      <w:bookmarkEnd w:id="324"/>
    </w:p>
    <w:tbl>
      <w:tblPr>
        <w:tblW w:w="5000" w:type="pct"/>
        <w:jc w:val="left"/>
        <w:tblInd w:w="0" w:type="dxa"/>
        <w:tblCellMar>
          <w:top w:w="0" w:type="dxa"/>
          <w:left w:w="0" w:type="dxa"/>
          <w:bottom w:w="0" w:type="dxa"/>
          <w:right w:w="0" w:type="dxa"/>
        </w:tblCellMar>
      </w:tblPr>
      <w:tblGrid>
        <w:gridCol w:w="761"/>
        <w:gridCol w:w="9444"/>
      </w:tblGrid>
      <w:tr>
        <w:trPr/>
        <w:tc>
          <w:tcPr>
            <w:tcW w:w="761" w:type="dxa"/>
            <w:tcBorders/>
            <w:shd w:fill="auto" w:val="clear"/>
          </w:tcPr>
          <w:p>
            <w:pPr>
              <w:pStyle w:val="TableContents"/>
              <w:spacing w:before="0" w:after="0"/>
              <w:jc w:val="right"/>
              <w:rPr/>
            </w:pPr>
            <w:r>
              <w:rPr/>
              <w:t>●  </w:t>
            </w:r>
          </w:p>
        </w:tc>
        <w:tc>
          <w:tcPr>
            <w:tcW w:w="94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general economic and business conditions;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5" w:name="list59"/>
      <w:bookmarkStart w:id="326" w:name="list59"/>
      <w:bookmarkEnd w:id="326"/>
    </w:p>
    <w:tbl>
      <w:tblPr>
        <w:tblW w:w="5000" w:type="pct"/>
        <w:jc w:val="left"/>
        <w:tblInd w:w="0" w:type="dxa"/>
        <w:tblCellMar>
          <w:top w:w="0" w:type="dxa"/>
          <w:left w:w="0" w:type="dxa"/>
          <w:bottom w:w="0" w:type="dxa"/>
          <w:right w:w="0" w:type="dxa"/>
        </w:tblCellMar>
      </w:tblPr>
      <w:tblGrid>
        <w:gridCol w:w="783"/>
        <w:gridCol w:w="9422"/>
      </w:tblGrid>
      <w:tr>
        <w:trPr/>
        <w:tc>
          <w:tcPr>
            <w:tcW w:w="783" w:type="dxa"/>
            <w:tcBorders/>
            <w:shd w:fill="auto" w:val="clear"/>
          </w:tcPr>
          <w:p>
            <w:pPr>
              <w:pStyle w:val="TableContents"/>
              <w:spacing w:before="0" w:after="0"/>
              <w:jc w:val="right"/>
              <w:rPr/>
            </w:pPr>
            <w:r>
              <w:rPr/>
              <w:t>●  </w:t>
            </w:r>
          </w:p>
        </w:tc>
        <w:tc>
          <w:tcPr>
            <w:tcW w:w="942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continue as a going concern;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7" w:name="list60"/>
      <w:bookmarkStart w:id="328" w:name="list60"/>
      <w:bookmarkEnd w:id="328"/>
    </w:p>
    <w:tbl>
      <w:tblPr>
        <w:tblW w:w="5000" w:type="pct"/>
        <w:jc w:val="left"/>
        <w:tblInd w:w="0" w:type="dxa"/>
        <w:tblCellMar>
          <w:top w:w="0" w:type="dxa"/>
          <w:left w:w="0" w:type="dxa"/>
          <w:bottom w:w="0" w:type="dxa"/>
          <w:right w:w="0" w:type="dxa"/>
        </w:tblCellMar>
      </w:tblPr>
      <w:tblGrid>
        <w:gridCol w:w="523"/>
        <w:gridCol w:w="9682"/>
      </w:tblGrid>
      <w:tr>
        <w:trPr/>
        <w:tc>
          <w:tcPr>
            <w:tcW w:w="523" w:type="dxa"/>
            <w:tcBorders/>
            <w:shd w:fill="auto" w:val="clear"/>
          </w:tcPr>
          <w:p>
            <w:pPr>
              <w:pStyle w:val="TableContents"/>
              <w:spacing w:before="0" w:after="0"/>
              <w:jc w:val="right"/>
              <w:rPr/>
            </w:pPr>
            <w:r>
              <w:rPr/>
              <w:t>●  </w:t>
            </w:r>
          </w:p>
        </w:tc>
        <w:tc>
          <w:tcPr>
            <w:tcW w:w="96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financing necessary to operate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9" w:name="list61"/>
      <w:bookmarkStart w:id="330" w:name="list61"/>
      <w:bookmarkEnd w:id="330"/>
    </w:p>
    <w:tbl>
      <w:tblPr>
        <w:tblW w:w="5000" w:type="pct"/>
        <w:jc w:val="left"/>
        <w:tblInd w:w="0" w:type="dxa"/>
        <w:tblCellMar>
          <w:top w:w="0" w:type="dxa"/>
          <w:left w:w="0" w:type="dxa"/>
          <w:bottom w:w="0" w:type="dxa"/>
          <w:right w:w="0" w:type="dxa"/>
        </w:tblCellMar>
      </w:tblPr>
      <w:tblGrid>
        <w:gridCol w:w="1111"/>
        <w:gridCol w:w="9094"/>
      </w:tblGrid>
      <w:tr>
        <w:trPr/>
        <w:tc>
          <w:tcPr>
            <w:tcW w:w="1111" w:type="dxa"/>
            <w:tcBorders/>
            <w:shd w:fill="auto" w:val="clear"/>
          </w:tcPr>
          <w:p>
            <w:pPr>
              <w:pStyle w:val="TableContents"/>
              <w:spacing w:before="0" w:after="0"/>
              <w:jc w:val="right"/>
              <w:rPr/>
            </w:pPr>
            <w:r>
              <w:rPr/>
              <w:t>●  </w:t>
            </w:r>
          </w:p>
        </w:tc>
        <w:tc>
          <w:tcPr>
            <w:tcW w:w="90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limited operating history;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1" w:name="list62"/>
      <w:bookmarkStart w:id="332" w:name="list62"/>
      <w:bookmarkEnd w:id="332"/>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0"/>
              <w:jc w:val="right"/>
              <w:rPr/>
            </w:pPr>
            <w:r>
              <w:rPr/>
              <w:t>●  </w:t>
            </w:r>
          </w:p>
        </w:tc>
        <w:tc>
          <w:tcPr>
            <w:tcW w:w="953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recruit and retain qualified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3" w:name="list63"/>
      <w:bookmarkStart w:id="334" w:name="list63"/>
      <w:bookmarkEnd w:id="334"/>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jc w:val="right"/>
              <w:rPr/>
            </w:pPr>
            <w:r>
              <w:rPr/>
              <w:t>●  </w:t>
            </w:r>
          </w:p>
        </w:tc>
        <w:tc>
          <w:tcPr>
            <w:tcW w:w="929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manage future growth;</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5" w:name="list64"/>
      <w:bookmarkStart w:id="336" w:name="list64"/>
      <w:bookmarkEnd w:id="336"/>
    </w:p>
    <w:tbl>
      <w:tblPr>
        <w:tblW w:w="5000" w:type="pct"/>
        <w:jc w:val="left"/>
        <w:tblInd w:w="0" w:type="dxa"/>
        <w:tblCellMar>
          <w:top w:w="0" w:type="dxa"/>
          <w:left w:w="0" w:type="dxa"/>
          <w:bottom w:w="0" w:type="dxa"/>
          <w:right w:w="0" w:type="dxa"/>
        </w:tblCellMar>
      </w:tblPr>
      <w:tblGrid>
        <w:gridCol w:w="365"/>
        <w:gridCol w:w="9840"/>
      </w:tblGrid>
      <w:tr>
        <w:trPr/>
        <w:tc>
          <w:tcPr>
            <w:tcW w:w="365" w:type="dxa"/>
            <w:tcBorders/>
            <w:shd w:fill="auto" w:val="clear"/>
          </w:tcPr>
          <w:p>
            <w:pPr>
              <w:pStyle w:val="TableContents"/>
              <w:spacing w:before="0" w:after="0"/>
              <w:jc w:val="right"/>
              <w:rPr/>
            </w:pPr>
            <w:r>
              <w:rPr/>
              <w:t>●  </w:t>
            </w:r>
          </w:p>
        </w:tc>
        <w:tc>
          <w:tcPr>
            <w:tcW w:w="984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complete potential acquisitions and collaborative arrangements;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7" w:name="list65"/>
      <w:bookmarkStart w:id="338" w:name="list65"/>
      <w:bookmarkEnd w:id="338"/>
    </w:p>
    <w:tbl>
      <w:tblPr>
        <w:tblW w:w="5000" w:type="pct"/>
        <w:jc w:val="left"/>
        <w:tblInd w:w="0" w:type="dxa"/>
        <w:tblCellMar>
          <w:top w:w="0" w:type="dxa"/>
          <w:left w:w="0" w:type="dxa"/>
          <w:bottom w:w="0" w:type="dxa"/>
          <w:right w:w="0" w:type="dxa"/>
        </w:tblCellMar>
      </w:tblPr>
      <w:tblGrid>
        <w:gridCol w:w="520"/>
        <w:gridCol w:w="9685"/>
      </w:tblGrid>
      <w:tr>
        <w:trPr/>
        <w:tc>
          <w:tcPr>
            <w:tcW w:w="520" w:type="dxa"/>
            <w:tcBorders/>
            <w:shd w:fill="auto" w:val="clear"/>
          </w:tcPr>
          <w:p>
            <w:pPr>
              <w:pStyle w:val="TableContents"/>
              <w:spacing w:before="0" w:after="0"/>
              <w:jc w:val="right"/>
              <w:rPr/>
            </w:pPr>
            <w:r>
              <w:rPr/>
              <w:t>●  </w:t>
            </w:r>
          </w:p>
        </w:tc>
        <w:tc>
          <w:tcPr>
            <w:tcW w:w="968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other factors discussed under the section entitled “Risk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Forward-looking statements are based on assumptions that may be incorrect, and there can be no assurance that any projections or other expectations included in any forward-looking statements will come to pass.  Moreover, we operate in a competitive and rapidly changing environment in which new risks emerge from time to time.  Our actual results could differ materially from those expressed or implied by the forward-looking statements as a result of various factors. Except as required by applicable laws, we undertake no obligation to update publicly any forward-looking statements for any reason, even if new information becomes available or other events occur in the future.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9" w:name="PGBRK22"/>
      <w:bookmarkStart w:id="340" w:name="PGBRK22"/>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1" w:name="FTR22"/>
      <w:bookmarkStart w:id="342" w:name="FTR22"/>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3" w:name="GLFTR21"/>
      <w:bookmarkEnd w:id="3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44" w:name="PN21"/>
      <w:bookmarkEnd w:id="344"/>
      <w:r>
        <w:rPr>
          <w:rFonts w:ascii="Helvetica" w:hAnsi="Helvetica"/>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HDR21"/>
      <w:bookmarkStart w:id="346" w:name="HDR21"/>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7" w:name="GLHDR21"/>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USE OF PROCEEDS</w:t>
      </w:r>
    </w:p>
    <w:p>
      <w:pPr>
        <w:pStyle w:val="TextBody"/>
        <w:spacing w:before="0" w:after="0"/>
        <w:ind w:left="0" w:right="0" w:hanging="0"/>
        <w:jc w:val="both"/>
        <w:rPr/>
      </w:pPr>
      <w:r>
        <w:rPr/>
        <w:t> </w:t>
      </w:r>
    </w:p>
    <w:p>
      <w:pPr>
        <w:pStyle w:val="TextBody"/>
        <w:spacing w:before="0" w:after="0"/>
        <w:ind w:left="0" w:right="0" w:firstLine="720"/>
        <w:rPr/>
      </w:pPr>
      <w:bookmarkStart w:id="348" w:name="TAB212"/>
      <w:bookmarkEnd w:id="348"/>
      <w:r>
        <w:rPr>
          <w:color w:val="000000"/>
          <w:spacing w:val="180"/>
        </w:rPr>
        <w:t> </w:t>
      </w:r>
      <w:r>
        <w:rPr>
          <w:rFonts w:ascii="Helvetica" w:hAnsi="Helvetica"/>
          <w:sz w:val="20"/>
        </w:rPr>
        <w:t>Based on an assumed offering price of $                 per share, we estimate the gross proceeds from the sale of              shares of common stock, prior to deducting underwriting discounts and commissions and the estimated offering expenses payable by us, will be approximately $              million (approximately $              million if the over-allotment option granted to the underwriter is exercised in full).</w:t>
      </w:r>
    </w:p>
    <w:p>
      <w:pPr>
        <w:pStyle w:val="TextBody"/>
        <w:spacing w:before="0" w:after="0"/>
        <w:ind w:left="0" w:right="0" w:firstLine="720"/>
        <w:rPr>
          <w:color w:val="000000"/>
          <w:spacing w:val="180"/>
        </w:rPr>
      </w:pPr>
      <w:bookmarkStart w:id="349" w:name="TAB213"/>
      <w:bookmarkEnd w:id="349"/>
      <w:r>
        <w:rPr>
          <w:color w:val="000000"/>
          <w:spacing w:val="180"/>
        </w:rPr>
        <w:t> </w:t>
      </w:r>
    </w:p>
    <w:p>
      <w:pPr>
        <w:pStyle w:val="TextBody"/>
        <w:spacing w:before="0" w:after="0"/>
        <w:ind w:left="0" w:right="0" w:firstLine="720"/>
        <w:rPr/>
      </w:pPr>
      <w:bookmarkStart w:id="350" w:name="TAB214"/>
      <w:bookmarkEnd w:id="350"/>
      <w:r>
        <w:rPr>
          <w:color w:val="000000"/>
          <w:spacing w:val="180"/>
        </w:rPr>
        <w:t> </w:t>
      </w:r>
      <w:r>
        <w:rPr>
          <w:rFonts w:ascii="Helvetica" w:hAnsi="Helvetica"/>
          <w:sz w:val="20"/>
        </w:rPr>
        <w:t>We estimate that we will receive net proceeds of $             million, after deducting underwriting discounts and commissions and our underwriter’s expense allowance and estimated expenses of approximately $          million, which includes legal, accounting, printing costs and various fees associated with the registration and listing of our shares. If the underwriter exercises its right to purchase an additional                shares of common stock to cover over-allotments, we will receive an additional $             million, after deducting $              for underwriting discounts and commissions.</w:t>
      </w:r>
    </w:p>
    <w:p>
      <w:pPr>
        <w:pStyle w:val="TextBody"/>
        <w:spacing w:before="0" w:after="0"/>
        <w:ind w:left="0" w:right="0" w:firstLine="720"/>
        <w:rPr>
          <w:color w:val="000000"/>
          <w:spacing w:val="180"/>
        </w:rPr>
      </w:pPr>
      <w:bookmarkStart w:id="351" w:name="TAB215"/>
      <w:bookmarkEnd w:id="351"/>
      <w:r>
        <w:rPr>
          <w:color w:val="000000"/>
          <w:spacing w:val="180"/>
        </w:rPr>
        <w:t> </w:t>
      </w:r>
    </w:p>
    <w:p>
      <w:pPr>
        <w:pStyle w:val="TextBody"/>
        <w:spacing w:before="0" w:after="0"/>
        <w:ind w:left="0" w:right="0" w:firstLine="720"/>
        <w:jc w:val="left"/>
        <w:rPr>
          <w:rFonts w:ascii="Helvetica" w:hAnsi="Helvetica"/>
          <w:sz w:val="20"/>
        </w:rPr>
      </w:pPr>
      <w:r>
        <w:rPr>
          <w:rFonts w:ascii="Helvetica" w:hAnsi="Helvetica"/>
          <w:sz w:val="20"/>
        </w:rPr>
        <w:t>We currently expect to use $11.76 million to fund our Phase 3 clinical trials and supportive studies for Impracor and $3.24 million for IP protection, further Accudel related research and development, working capital and general corporate purposes, including general development efforts.  We intend to use the net proceeds from this offering along with the $7.95 million raised in our April Private Placement to fund these efforts. We may also use a portion of these proceeds for the potential acquisition of, or investment in, product candidates, technologies, formulations or companies that complement our business, although we have no current understandings, commitments, or agreements to do so. The following table summarizes our intent regarding use of such proceeds:</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5778"/>
        <w:gridCol w:w="106"/>
        <w:gridCol w:w="153"/>
        <w:gridCol w:w="1278"/>
        <w:gridCol w:w="106"/>
        <w:gridCol w:w="106"/>
        <w:gridCol w:w="106"/>
        <w:gridCol w:w="816"/>
        <w:gridCol w:w="225"/>
      </w:tblGrid>
      <w:tr>
        <w:trPr/>
        <w:tc>
          <w:tcPr>
            <w:tcW w:w="5778"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Clinical:</w:t>
            </w:r>
          </w:p>
        </w:tc>
        <w:tc>
          <w:tcPr>
            <w:tcW w:w="106" w:type="dxa"/>
            <w:tcBorders/>
            <w:shd w:fill="auto" w:val="clear"/>
            <w:vAlign w:val="bottom"/>
          </w:tcPr>
          <w:p>
            <w:pPr>
              <w:pStyle w:val="TableContents"/>
              <w:spacing w:before="0" w:after="283"/>
              <w:rPr/>
            </w:pPr>
            <w:r>
              <w:rPr/>
              <w:t> </w:t>
            </w:r>
          </w:p>
        </w:tc>
        <w:tc>
          <w:tcPr>
            <w:tcW w:w="1431"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left"/>
              <w:rPr/>
            </w:pPr>
            <w:r>
              <w:rPr/>
              <w:t> </w:t>
            </w:r>
          </w:p>
        </w:tc>
      </w:tr>
      <w:tr>
        <w:trPr/>
        <w:tc>
          <w:tcPr>
            <w:tcW w:w="577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Phase 3 Acute OA Flare Trial - Hand</w:t>
            </w:r>
          </w:p>
        </w:tc>
        <w:tc>
          <w:tcPr>
            <w:tcW w:w="106"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7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5,000,000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w:t>
            </w:r>
          </w:p>
        </w:tc>
        <w:tc>
          <w:tcPr>
            <w:tcW w:w="2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7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Phase 3 Acute OA Flare Trial - Knee</w:t>
            </w:r>
          </w:p>
        </w:tc>
        <w:tc>
          <w:tcPr>
            <w:tcW w:w="106"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27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4,500,000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w:t>
            </w:r>
          </w:p>
        </w:tc>
        <w:tc>
          <w:tcPr>
            <w:tcW w:w="2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7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Supportive Studies:</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left"/>
              <w:rPr/>
            </w:pPr>
            <w:r>
              <w:rPr/>
              <w:t> </w:t>
            </w:r>
          </w:p>
        </w:tc>
      </w:tr>
      <w:tr>
        <w:trPr/>
        <w:tc>
          <w:tcPr>
            <w:tcW w:w="577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Allergenicity Trial</w:t>
            </w:r>
          </w:p>
        </w:tc>
        <w:tc>
          <w:tcPr>
            <w:tcW w:w="106"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27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800,000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w:t>
            </w:r>
          </w:p>
        </w:tc>
        <w:tc>
          <w:tcPr>
            <w:tcW w:w="2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7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Heat and Exercise Trial</w:t>
            </w:r>
          </w:p>
        </w:tc>
        <w:tc>
          <w:tcPr>
            <w:tcW w:w="106"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460,000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2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7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Manufacturing</w:t>
            </w:r>
          </w:p>
        </w:tc>
        <w:tc>
          <w:tcPr>
            <w:tcW w:w="106" w:type="dxa"/>
            <w:tcBorders/>
            <w:shd w:fill="FFFFFF" w:val="clear"/>
            <w:vAlign w:val="bottom"/>
          </w:tcPr>
          <w:p>
            <w:pPr>
              <w:pStyle w:val="TableContents"/>
              <w:spacing w:before="0" w:after="283"/>
              <w:jc w:val="right"/>
              <w:rPr/>
            </w:pPr>
            <w:r>
              <w:rPr/>
              <w:t> </w:t>
            </w:r>
          </w:p>
        </w:tc>
        <w:tc>
          <w:tcPr>
            <w:tcW w:w="153" w:type="dxa"/>
            <w:tcBorders/>
            <w:shd w:fill="FFFFFF" w:val="clear"/>
            <w:vAlign w:val="bottom"/>
          </w:tcPr>
          <w:p>
            <w:pPr>
              <w:pStyle w:val="TableContents"/>
              <w:spacing w:before="0" w:after="283"/>
              <w:jc w:val="left"/>
              <w:rPr/>
            </w:pPr>
            <w:r>
              <w:rPr/>
              <w:t> </w:t>
            </w:r>
          </w:p>
        </w:tc>
        <w:tc>
          <w:tcPr>
            <w:tcW w:w="127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8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w:t>
            </w:r>
          </w:p>
        </w:tc>
        <w:tc>
          <w:tcPr>
            <w:tcW w:w="2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7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IP Protection, Research and Development</w:t>
            </w:r>
          </w:p>
        </w:tc>
        <w:tc>
          <w:tcPr>
            <w:tcW w:w="106"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7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340,000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2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7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Working Capital and General Corporate Purposes</w:t>
            </w:r>
          </w:p>
        </w:tc>
        <w:tc>
          <w:tcPr>
            <w:tcW w:w="106" w:type="dxa"/>
            <w:tcBorders/>
            <w:shd w:fill="FFFFFF" w:val="clear"/>
            <w:vAlign w:val="bottom"/>
          </w:tcPr>
          <w:p>
            <w:pPr>
              <w:pStyle w:val="TableContents"/>
              <w:spacing w:before="0" w:after="283"/>
              <w:jc w:val="right"/>
              <w:rPr/>
            </w:pPr>
            <w:r>
              <w:rPr/>
              <w:t> </w:t>
            </w:r>
          </w:p>
        </w:tc>
        <w:tc>
          <w:tcPr>
            <w:tcW w:w="15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2,900,000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0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w:t>
            </w:r>
          </w:p>
        </w:tc>
        <w:tc>
          <w:tcPr>
            <w:tcW w:w="2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7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w:t>
            </w:r>
          </w:p>
        </w:tc>
        <w:tc>
          <w:tcPr>
            <w:tcW w:w="106" w:type="dxa"/>
            <w:tcBorders/>
            <w:shd w:fill="CCEEFF" w:val="clear"/>
            <w:vAlign w:val="bottom"/>
          </w:tcPr>
          <w:p>
            <w:pPr>
              <w:pStyle w:val="TableContents"/>
              <w:spacing w:before="0" w:after="283"/>
              <w:jc w:val="left"/>
              <w:rPr/>
            </w:pPr>
            <w:r>
              <w:rPr/>
              <w:t> </w:t>
            </w:r>
          </w:p>
        </w:tc>
        <w:tc>
          <w:tcPr>
            <w:tcW w:w="153"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7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15,000,000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8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w:t>
            </w:r>
          </w:p>
        </w:tc>
        <w:tc>
          <w:tcPr>
            <w:tcW w:w="2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r>
    </w:p>
    <w:p>
      <w:pPr>
        <w:pStyle w:val="TextBody"/>
        <w:spacing w:before="0" w:after="0"/>
        <w:ind w:left="0" w:right="0" w:firstLine="720"/>
        <w:jc w:val="both"/>
        <w:rPr>
          <w:rFonts w:ascii="Helvetica" w:hAnsi="Helvetica"/>
          <w:sz w:val="20"/>
        </w:rPr>
      </w:pPr>
      <w:r>
        <w:rPr>
          <w:rFonts w:ascii="Helvetica" w:hAnsi="Helvetica"/>
          <w:sz w:val="20"/>
        </w:rPr>
        <w:t>The amounts that will actually be spent by us for any specific purpose may vary significantly, and will depend on a number of factors including the pace of progress of our Phase 3 Trials, development and actual needs with respect to product testing, development and research, market conditions, and changes in or revisions to our marketing and/or licensing strategies.  In addition, we may allocate capital from the above referenced net proceeds to uses other than those described above in the event one or more opportunities become available to invest in near term drug development projects that are as advanced as our Impracor program is or that we believe have a greater chance for positive clinical results with at least as large of a market opportunity as Impracor has; however, we do not have any commitments for any opportunities of this nature at this time.</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The amounts and timing of our actual expenditures will depend upon numerous factors, including market conditions, cash generated by our operations, business developments and related rate of growth, sales and marketing activities and competition.  Accordingly, our management will have broad discretion in the application of the net proceeds, and investors will be relying on the judgment of our management regarding the application of the proceeds from this offering.  We may find it necessary or advisable to use portions of the proceeds from this offering for other purposes.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2" w:name="PGBRK23"/>
      <w:bookmarkStart w:id="353" w:name="PGBRK23"/>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FTR23"/>
      <w:bookmarkStart w:id="355" w:name="FTR23"/>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6" w:name="GLFTR22"/>
      <w:bookmarkEnd w:id="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57" w:name="PN22"/>
      <w:bookmarkEnd w:id="357"/>
      <w:r>
        <w:rPr>
          <w:rFonts w:ascii="Helvetica" w:hAnsi="Helvetica"/>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HDR22"/>
      <w:bookmarkStart w:id="359" w:name="HDR22"/>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0" w:name="GLHDR22"/>
      <w:bookmarkEnd w:id="3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Circumstances that may give rise to a change in the use of proceeds and the alternate purposes for which the proceeds may be used include:</w:t>
      </w:r>
    </w:p>
    <w:p>
      <w:pPr>
        <w:pStyle w:val="TextBody"/>
        <w:spacing w:before="0" w:after="0"/>
        <w:ind w:left="0" w:right="0" w:firstLine="720"/>
        <w:jc w:val="left"/>
        <w:rPr/>
      </w:pPr>
      <w:r>
        <w:rPr/>
        <w:t> </w:t>
      </w:r>
    </w:p>
    <w:p>
      <w:pPr>
        <w:pStyle w:val="Normal"/>
        <w:spacing w:before="0" w:after="0"/>
        <w:rPr>
          <w:sz w:val="4"/>
          <w:szCs w:val="4"/>
        </w:rPr>
      </w:pPr>
      <w:r>
        <w:rPr>
          <w:sz w:val="4"/>
          <w:szCs w:val="4"/>
        </w:rPr>
      </w:r>
      <w:bookmarkStart w:id="361" w:name="list66"/>
      <w:bookmarkStart w:id="362" w:name="list66"/>
      <w:bookmarkEnd w:id="362"/>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existence of other opportunities or the need to take advantage of changes in timing of our existing activities;</w:t>
            </w:r>
          </w:p>
        </w:tc>
      </w:tr>
    </w:tbl>
    <w:p>
      <w:pPr>
        <w:pStyle w:val="Normal"/>
        <w:spacing w:before="0" w:after="0"/>
        <w:rPr>
          <w:sz w:val="4"/>
          <w:szCs w:val="4"/>
        </w:rPr>
      </w:pPr>
      <w:r>
        <w:rPr>
          <w:sz w:val="4"/>
          <w:szCs w:val="4"/>
        </w:rPr>
      </w:r>
      <w:bookmarkStart w:id="363" w:name="list67"/>
      <w:bookmarkStart w:id="364" w:name="list67"/>
      <w:bookmarkEnd w:id="36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need or desire on our part to accelerate, increase or eliminate existing initiatives due to, among other things, changing market conditions and competitive developments; and/or</w:t>
            </w:r>
          </w:p>
        </w:tc>
      </w:tr>
    </w:tbl>
    <w:p>
      <w:pPr>
        <w:pStyle w:val="Normal"/>
        <w:spacing w:before="0" w:after="0"/>
        <w:rPr>
          <w:sz w:val="4"/>
          <w:szCs w:val="4"/>
        </w:rPr>
      </w:pPr>
      <w:r>
        <w:rPr>
          <w:sz w:val="4"/>
          <w:szCs w:val="4"/>
        </w:rPr>
      </w:r>
      <w:bookmarkStart w:id="365" w:name="list68"/>
      <w:bookmarkStart w:id="366" w:name="list68"/>
      <w:bookmarkEnd w:id="36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strategic opportunities of which we are not currently aware present themselves (including acquisitions, joint ventures, licensing and other similar transactions).</w:t>
            </w:r>
          </w:p>
        </w:tc>
      </w:tr>
    </w:tbl>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From time to time, we evaluate these and other factors and we anticipate continuing to make such evaluations to determine if the existing allocation of resources, including the proceeds of this offering, is being optimized.</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Pending its use, we intend to invest the net proceeds of this offering in direct and guaranteed obligations of the United States, interest-bearing, investment-grade instruments or certificates of deposit.</w:t>
      </w: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367" w:name="TAB1"/>
      <w:bookmarkEnd w:id="367"/>
      <w:r>
        <w:rPr>
          <w:rFonts w:ascii="Helvetica" w:hAnsi="Helvetica"/>
          <w:b/>
          <w:sz w:val="20"/>
        </w:rPr>
        <w:t>DESCRIPTION OF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Preferred Stock.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  The anticipated reverse split of our common stock will not affect the number of shares of authorized common stock or the par value of our shares of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Authorized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authorized, issued and outstanding common stock.  Our authorized capital stock now consists of 400,000,000 shares, 395,000,000 of which are designated as common stock, par value $0.001 per share, and 5,000,000 of which are designated as preferred stock, par value $0.001 per share.</w:t>
      </w:r>
    </w:p>
    <w:p>
      <w:pPr>
        <w:pStyle w:val="TextBody"/>
        <w:spacing w:before="0" w:after="0"/>
        <w:ind w:left="0" w:right="0" w:hanging="0"/>
        <w:rPr/>
      </w:pPr>
      <w:r>
        <w:rPr/>
      </w:r>
    </w:p>
    <w:p>
      <w:pPr>
        <w:pStyle w:val="TextBody"/>
        <w:spacing w:before="0" w:after="0"/>
        <w:ind w:left="0" w:right="0" w:hanging="0"/>
        <w:rPr>
          <w:rFonts w:ascii="Helvetica" w:hAnsi="Helvetica"/>
          <w:b/>
          <w:sz w:val="20"/>
        </w:rPr>
      </w:pPr>
      <w:r>
        <w:rPr>
          <w:rFonts w:ascii="Helvetica" w:hAnsi="Helvetica"/>
          <w:b/>
          <w:sz w:val="20"/>
        </w:rPr>
        <w:t>Capital Stock Issued and Outstanding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As of August 10, 2012, we had outstanding 5,939,243 shares of common stock held by 176 stockholders of record.  In addition, as of August 10, 2012, we had outstanding (i) options to acquire  917,154 shares of our common stock with a weighted average exercise price of $5.15 per share, all of which are held by current or former employees, directors and consultants, (ii) warrants to purchase 570,290 shares of common stock with exercise prices ranging from $5.925 to $176.00 per share , and (iii) 200,000 shares of common stock underlying restricted stock units granted outside the 2007 Plan.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8" w:name="PGBRK24"/>
      <w:bookmarkStart w:id="369" w:name="PGBRK24"/>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0" w:name="FTR24"/>
      <w:bookmarkStart w:id="371" w:name="FTR24"/>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2" w:name="GLFTR23"/>
      <w:bookmarkEnd w:id="3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73" w:name="PN23"/>
      <w:bookmarkEnd w:id="373"/>
      <w:r>
        <w:rPr>
          <w:rFonts w:ascii="Helvetica" w:hAnsi="Helvetica"/>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4" w:name="HDR23"/>
      <w:bookmarkStart w:id="375" w:name="HDR23"/>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6" w:name="GLHDR23"/>
      <w:bookmarkEnd w:id="3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rFonts w:ascii="Helvetica" w:hAnsi="Helvetica"/>
          <w:b/>
          <w:sz w:val="20"/>
        </w:rPr>
      </w:pPr>
      <w:r>
        <w:rPr>
          <w:rFonts w:ascii="Helvetica" w:hAnsi="Helvetica"/>
          <w:b/>
          <w:sz w:val="20"/>
        </w:rPr>
        <w:t>Description of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authorized to issue 395,000,000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Description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Undesignated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Series A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December 12, 2011, we issued 10 shares of Series A Preferred Stock to DermaStar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$0.06668,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  On June 29, 2012, DermaStar converted the 10 shares of Series A Preferred Stock held by it into 1,499,700 shares of common stock.  Immediately following the conversion of the Series A Preferred Stock, all 10 shares were retired to our treasury and cancelled.</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Anti-Takeover Provisions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7" w:name="PGBRK25"/>
      <w:bookmarkStart w:id="378" w:name="PGBRK25"/>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 w:name="FTR25"/>
      <w:bookmarkStart w:id="380" w:name="FTR25"/>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1" w:name="GLFTR24"/>
      <w:bookmarkEnd w:id="3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82" w:name="PN24"/>
      <w:bookmarkEnd w:id="382"/>
      <w:r>
        <w:rPr>
          <w:rFonts w:ascii="Helvetica" w:hAnsi="Helvetica"/>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3" w:name="HDR24"/>
      <w:bookmarkStart w:id="384" w:name="HDR24"/>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5" w:name="GLHDR24"/>
      <w:bookmarkEnd w:id="3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Liability and Indemnification of Directors and Officers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Any repeal or modification of these provisions approved by our stockholders shall be prospective only, and shall not adversely affect any limitation on the liability of a director or officer existing as of the time of such repeal or modification.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Transfer Agent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transfer agent and registrar for our common stock is Action Stock Transfer Corporation, 2469 E. Fort Union Blvd., Suite 214, Salt Lake City, UT 84121.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6" w:name="PGBRK26"/>
      <w:bookmarkStart w:id="387" w:name="PGBRK26"/>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FTR26"/>
      <w:bookmarkStart w:id="389" w:name="FTR26"/>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0" w:name="GLFTR25"/>
      <w:bookmarkEnd w:id="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91" w:name="PN25"/>
      <w:bookmarkEnd w:id="391"/>
      <w:r>
        <w:rPr>
          <w:rFonts w:ascii="Helvetica" w:hAnsi="Helvetica"/>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HDR25"/>
      <w:bookmarkStart w:id="393" w:name="HDR25"/>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4" w:name="GLHDR25"/>
      <w:bookmarkEnd w:id="3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CAPITALIZATION</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following table sets forth our capitalization as of June 30, 2012: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5" w:name="list69"/>
      <w:bookmarkStart w:id="396" w:name="list69"/>
      <w:bookmarkEnd w:id="396"/>
    </w:p>
    <w:tbl>
      <w:tblPr>
        <w:tblW w:w="5000" w:type="pct"/>
        <w:jc w:val="left"/>
        <w:tblInd w:w="0" w:type="dxa"/>
        <w:tblCellMar>
          <w:top w:w="0" w:type="dxa"/>
          <w:left w:w="0" w:type="dxa"/>
          <w:bottom w:w="0" w:type="dxa"/>
          <w:right w:w="0" w:type="dxa"/>
        </w:tblCellMar>
      </w:tblPr>
      <w:tblGrid>
        <w:gridCol w:w="1765"/>
        <w:gridCol w:w="8440"/>
      </w:tblGrid>
      <w:tr>
        <w:trPr/>
        <w:tc>
          <w:tcPr>
            <w:tcW w:w="1765" w:type="dxa"/>
            <w:tcBorders/>
            <w:shd w:fill="auto" w:val="clear"/>
          </w:tcPr>
          <w:p>
            <w:pPr>
              <w:pStyle w:val="TableContents"/>
              <w:spacing w:before="0" w:after="0"/>
              <w:jc w:val="right"/>
              <w:rPr/>
            </w:pPr>
            <w:r>
              <w:rPr/>
              <w:t xml:space="preserve">●   </w:t>
            </w:r>
          </w:p>
        </w:tc>
        <w:tc>
          <w:tcPr>
            <w:tcW w:w="8440" w:type="dxa"/>
            <w:tcBorders/>
            <w:shd w:fill="auto" w:val="clear"/>
          </w:tcPr>
          <w:p>
            <w:pPr>
              <w:pStyle w:val="TableContents"/>
              <w:spacing w:before="0" w:after="0"/>
              <w:ind w:left="0" w:right="0" w:hanging="0"/>
              <w:jc w:val="both"/>
              <w:rPr/>
            </w:pPr>
            <w:r>
              <w:rPr>
                <w:rFonts w:ascii="helvetica" w:hAnsi="helvetica"/>
                <w:sz w:val="20"/>
              </w:rPr>
              <w:t>on an actual basis;</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7" w:name="list70"/>
      <w:bookmarkStart w:id="398" w:name="list70"/>
      <w:bookmarkEnd w:id="398"/>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pPr>
            <w:r>
              <w:rPr/>
              <w:t xml:space="preserve">●   </w:t>
            </w:r>
          </w:p>
        </w:tc>
        <w:tc>
          <w:tcPr>
            <w:tcW w:w="9886" w:type="dxa"/>
            <w:tcBorders/>
            <w:shd w:fill="auto" w:val="clear"/>
          </w:tcPr>
          <w:p>
            <w:pPr>
              <w:pStyle w:val="TableContents"/>
              <w:spacing w:before="0" w:after="0"/>
              <w:ind w:left="0" w:right="0" w:hanging="0"/>
              <w:jc w:val="both"/>
              <w:rPr/>
            </w:pPr>
            <w:r>
              <w:rPr>
                <w:rFonts w:ascii="helvetica" w:hAnsi="helvetica"/>
                <w:sz w:val="20"/>
              </w:rPr>
              <w:t>on an as adjusted basis, giving effect to the sale by us of                 shares of common stock in this offering at an assumed public offering price of $            per share, which was the last reported sale price of our common stock on the Pink Sheets on                 , after deducting the estimated underwriting discounts and commissions and estimated offering expenses payable by us</w:t>
            </w:r>
            <w:r>
              <w:rPr>
                <w:rFonts w:ascii="times new roman" w:hAnsi="times new roman"/>
                <w:sz w:val="20"/>
              </w:rPr>
              <w:t>.</w:t>
            </w:r>
            <w:r>
              <w:rPr/>
              <w:t xml:space="preserve"> </w:t>
            </w:r>
          </w:p>
        </w:tc>
      </w:tr>
    </w:tbl>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You should read this table together with “Selected Consolidated Financial Data” and “Management’s Discussion and Analysis of Financial Condition and Results of Operations” and our consolidated financial statements and the related notes appearing elsewhere in this prospectus.</w:t>
      </w:r>
      <w:r>
        <w:rPr/>
        <w:t xml:space="preserve"> </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507"/>
        <w:gridCol w:w="115"/>
        <w:gridCol w:w="174"/>
        <w:gridCol w:w="1495"/>
        <w:gridCol w:w="188"/>
        <w:gridCol w:w="115"/>
        <w:gridCol w:w="604"/>
        <w:gridCol w:w="817"/>
        <w:gridCol w:w="190"/>
      </w:tblGrid>
      <w:tr>
        <w:trPr/>
        <w:tc>
          <w:tcPr>
            <w:tcW w:w="6507"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xml:space="preserve">  </w:t>
            </w:r>
          </w:p>
        </w:tc>
        <w:tc>
          <w:tcPr>
            <w:tcW w:w="3393" w:type="dxa"/>
            <w:gridSpan w:val="6"/>
            <w:tcBorders/>
            <w:shd w:fill="auto" w:val="clear"/>
            <w:vAlign w:val="bottom"/>
          </w:tcPr>
          <w:p>
            <w:pPr>
              <w:pStyle w:val="TableContents"/>
              <w:spacing w:before="0" w:after="0"/>
              <w:ind w:left="0" w:right="0" w:hanging="0"/>
              <w:jc w:val="center"/>
              <w:rPr/>
            </w:pPr>
            <w:r>
              <w:rPr>
                <w:rFonts w:ascii="helvetica" w:hAnsi="helvetica"/>
                <w:b/>
                <w:sz w:val="16"/>
              </w:rPr>
              <w:t>June 30, 2012</w:t>
            </w:r>
            <w:r>
              <w:rPr/>
              <w:t xml:space="preserve"> </w:t>
            </w:r>
          </w:p>
        </w:tc>
        <w:tc>
          <w:tcPr>
            <w:tcW w:w="190" w:type="dxa"/>
            <w:tcBorders/>
            <w:shd w:fill="auto" w:val="clear"/>
            <w:vAlign w:val="bottom"/>
          </w:tcPr>
          <w:p>
            <w:pPr>
              <w:pStyle w:val="TableContents"/>
              <w:spacing w:before="0" w:after="283"/>
              <w:jc w:val="left"/>
              <w:rPr/>
            </w:pPr>
            <w:r>
              <w:rPr/>
              <w:t xml:space="preserve">  </w:t>
            </w:r>
          </w:p>
        </w:tc>
      </w:tr>
      <w:tr>
        <w:trPr/>
        <w:tc>
          <w:tcPr>
            <w:tcW w:w="6507"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xml:space="preserve">  </w:t>
            </w:r>
          </w:p>
        </w:tc>
        <w:tc>
          <w:tcPr>
            <w:tcW w:w="1669" w:type="dxa"/>
            <w:gridSpan w:val="2"/>
            <w:tcBorders/>
            <w:shd w:fill="auto" w:val="clear"/>
            <w:vAlign w:val="bottom"/>
          </w:tcPr>
          <w:p>
            <w:pPr>
              <w:pStyle w:val="TableContents"/>
              <w:spacing w:before="0" w:after="0"/>
              <w:ind w:left="0" w:right="0" w:hanging="0"/>
              <w:jc w:val="center"/>
              <w:rPr/>
            </w:pPr>
            <w:r>
              <w:rPr>
                <w:rFonts w:ascii="helvetica" w:hAnsi="helvetica"/>
                <w:b/>
                <w:sz w:val="16"/>
              </w:rPr>
              <w:t>Actual</w:t>
            </w:r>
            <w:r>
              <w:rPr/>
              <w:t xml:space="preserve"> </w:t>
            </w:r>
          </w:p>
        </w:tc>
        <w:tc>
          <w:tcPr>
            <w:tcW w:w="188" w:type="dxa"/>
            <w:tcBorders/>
            <w:shd w:fill="auto" w:val="clear"/>
            <w:vAlign w:val="bottom"/>
          </w:tcPr>
          <w:p>
            <w:pPr>
              <w:pStyle w:val="TableContents"/>
              <w:spacing w:before="0" w:after="283"/>
              <w:jc w:val="left"/>
              <w:rPr/>
            </w:pPr>
            <w:r>
              <w:rPr/>
              <w:t xml:space="preserve">  </w:t>
            </w:r>
          </w:p>
        </w:tc>
        <w:tc>
          <w:tcPr>
            <w:tcW w:w="115" w:type="dxa"/>
            <w:tcBorders/>
            <w:shd w:fill="auto" w:val="clear"/>
            <w:vAlign w:val="bottom"/>
          </w:tcPr>
          <w:p>
            <w:pPr>
              <w:pStyle w:val="TableContents"/>
              <w:spacing w:before="0" w:after="283"/>
              <w:rPr/>
            </w:pPr>
            <w:r>
              <w:rPr/>
              <w:t xml:space="preserve">  </w:t>
            </w:r>
          </w:p>
        </w:tc>
        <w:tc>
          <w:tcPr>
            <w:tcW w:w="1421" w:type="dxa"/>
            <w:gridSpan w:val="2"/>
            <w:tcBorders/>
            <w:shd w:fill="auto" w:val="clear"/>
            <w:vAlign w:val="bottom"/>
          </w:tcPr>
          <w:p>
            <w:pPr>
              <w:pStyle w:val="TableContents"/>
              <w:spacing w:before="0" w:after="0"/>
              <w:ind w:left="0" w:right="0" w:hanging="0"/>
              <w:jc w:val="center"/>
              <w:rPr/>
            </w:pPr>
            <w:r>
              <w:rPr>
                <w:rFonts w:ascii="helvetica" w:hAnsi="helvetica"/>
                <w:b/>
                <w:sz w:val="16"/>
              </w:rPr>
              <w:t>As Adjusted</w:t>
            </w:r>
            <w:r>
              <w:rPr/>
              <w:t xml:space="preserve"> </w:t>
            </w:r>
          </w:p>
        </w:tc>
        <w:tc>
          <w:tcPr>
            <w:tcW w:w="190" w:type="dxa"/>
            <w:tcBorders/>
            <w:shd w:fill="auto" w:val="clear"/>
            <w:vAlign w:val="bottom"/>
          </w:tcPr>
          <w:p>
            <w:pPr>
              <w:pStyle w:val="TableContents"/>
              <w:spacing w:before="0" w:after="283"/>
              <w:jc w:val="left"/>
              <w:rPr/>
            </w:pPr>
            <w:r>
              <w:rPr/>
              <w:t xml:space="preserve">  </w:t>
            </w:r>
          </w:p>
        </w:tc>
      </w:tr>
      <w:tr>
        <w:trPr/>
        <w:tc>
          <w:tcPr>
            <w:tcW w:w="6507"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xml:space="preserve">  </w:t>
            </w:r>
          </w:p>
        </w:tc>
        <w:tc>
          <w:tcPr>
            <w:tcW w:w="1669" w:type="dxa"/>
            <w:gridSpan w:val="2"/>
            <w:tcBorders/>
            <w:shd w:fill="auto" w:val="clear"/>
            <w:vAlign w:val="bottom"/>
          </w:tcPr>
          <w:p>
            <w:pPr>
              <w:pStyle w:val="TableContents"/>
              <w:spacing w:before="0" w:after="0"/>
              <w:ind w:left="0" w:right="0" w:hanging="0"/>
              <w:jc w:val="center"/>
              <w:rPr/>
            </w:pPr>
            <w:r>
              <w:rPr>
                <w:rFonts w:ascii="helvetica" w:hAnsi="helvetica"/>
                <w:b/>
                <w:sz w:val="16"/>
              </w:rPr>
              <w:t>(unaudited)</w:t>
            </w:r>
            <w:r>
              <w:rPr/>
              <w:t xml:space="preserve"> </w:t>
            </w:r>
          </w:p>
        </w:tc>
        <w:tc>
          <w:tcPr>
            <w:tcW w:w="188" w:type="dxa"/>
            <w:tcBorders/>
            <w:shd w:fill="auto" w:val="clear"/>
            <w:vAlign w:val="bottom"/>
          </w:tcPr>
          <w:p>
            <w:pPr>
              <w:pStyle w:val="TableContents"/>
              <w:spacing w:before="0" w:after="283"/>
              <w:jc w:val="left"/>
              <w:rPr/>
            </w:pPr>
            <w:r>
              <w:rPr/>
              <w:t xml:space="preserve">  </w:t>
            </w:r>
          </w:p>
        </w:tc>
        <w:tc>
          <w:tcPr>
            <w:tcW w:w="115" w:type="dxa"/>
            <w:tcBorders/>
            <w:shd w:fill="auto" w:val="clear"/>
            <w:vAlign w:val="bottom"/>
          </w:tcPr>
          <w:p>
            <w:pPr>
              <w:pStyle w:val="TableContents"/>
              <w:spacing w:before="0" w:after="283"/>
              <w:rPr/>
            </w:pPr>
            <w:r>
              <w:rPr/>
              <w:t xml:space="preserve">  </w:t>
            </w:r>
          </w:p>
        </w:tc>
        <w:tc>
          <w:tcPr>
            <w:tcW w:w="1421" w:type="dxa"/>
            <w:gridSpan w:val="2"/>
            <w:tcBorders/>
            <w:shd w:fill="auto" w:val="clear"/>
            <w:vAlign w:val="bottom"/>
          </w:tcPr>
          <w:p>
            <w:pPr>
              <w:pStyle w:val="TableContents"/>
              <w:spacing w:before="0" w:after="0"/>
              <w:ind w:left="0" w:right="0" w:hanging="0"/>
              <w:jc w:val="center"/>
              <w:rPr/>
            </w:pPr>
            <w:r>
              <w:rPr>
                <w:rFonts w:ascii="helvetica" w:hAnsi="helvetica"/>
                <w:b/>
                <w:sz w:val="16"/>
              </w:rPr>
              <w:t>(unaudited)</w:t>
            </w:r>
            <w:r>
              <w:rPr/>
              <w:t xml:space="preserve"> </w:t>
            </w:r>
          </w:p>
        </w:tc>
        <w:tc>
          <w:tcPr>
            <w:tcW w:w="190" w:type="dxa"/>
            <w:tcBorders/>
            <w:shd w:fill="auto" w:val="clear"/>
            <w:vAlign w:val="bottom"/>
          </w:tcPr>
          <w:p>
            <w:pPr>
              <w:pStyle w:val="TableContents"/>
              <w:spacing w:before="0" w:after="283"/>
              <w:jc w:val="left"/>
              <w:rPr/>
            </w:pPr>
            <w:r>
              <w:rPr/>
              <w:t xml:space="preserve">  </w:t>
            </w:r>
          </w:p>
        </w:tc>
      </w:tr>
      <w:tr>
        <w:trPr/>
        <w:tc>
          <w:tcPr>
            <w:tcW w:w="6507" w:type="dxa"/>
            <w:tcBorders/>
            <w:shd w:fill="CCEEFF" w:val="clear"/>
            <w:vAlign w:val="bottom"/>
          </w:tcPr>
          <w:p>
            <w:pPr>
              <w:pStyle w:val="TableContents"/>
              <w:spacing w:before="0" w:after="0"/>
              <w:ind w:left="0" w:right="0" w:hanging="0"/>
              <w:jc w:val="left"/>
              <w:rPr/>
            </w:pPr>
            <w:r>
              <w:rPr>
                <w:rFonts w:ascii="helvetica" w:hAnsi="helvetica"/>
                <w:sz w:val="20"/>
              </w:rPr>
              <w:t>Cash and cash equivalents</w:t>
            </w:r>
            <w:r>
              <w:rPr/>
              <w:t xml:space="preserve"> </w:t>
            </w:r>
          </w:p>
        </w:tc>
        <w:tc>
          <w:tcPr>
            <w:tcW w:w="115" w:type="dxa"/>
            <w:tcBorders/>
            <w:shd w:fill="CCEEFF" w:val="clear"/>
            <w:vAlign w:val="bottom"/>
          </w:tcPr>
          <w:p>
            <w:pPr>
              <w:pStyle w:val="TableContents"/>
              <w:spacing w:before="0" w:after="283"/>
              <w:jc w:val="left"/>
              <w:rPr/>
            </w:pPr>
            <w:r>
              <w:rPr/>
              <w:t xml:space="preserve">  </w:t>
            </w:r>
          </w:p>
        </w:tc>
        <w:tc>
          <w:tcPr>
            <w:tcW w:w="174"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495"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7,717,292</w:t>
            </w:r>
            <w:r>
              <w:rPr/>
              <w:t xml:space="preserve"> </w:t>
            </w:r>
          </w:p>
        </w:tc>
        <w:tc>
          <w:tcPr>
            <w:tcW w:w="18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jc w:val="left"/>
              <w:rPr/>
            </w:pPr>
            <w:r>
              <w:rPr/>
              <w:t xml:space="preserve">  </w:t>
            </w:r>
          </w:p>
        </w:tc>
        <w:tc>
          <w:tcPr>
            <w:tcW w:w="604"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817"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6507" w:type="dxa"/>
            <w:tcBorders/>
            <w:shd w:fill="FFFFFF" w:val="clear"/>
            <w:vAlign w:val="bottom"/>
          </w:tcPr>
          <w:p>
            <w:pPr>
              <w:pStyle w:val="TableContents"/>
              <w:spacing w:before="0" w:after="0"/>
              <w:ind w:left="0" w:right="0" w:hanging="0"/>
              <w:jc w:val="left"/>
              <w:rPr/>
            </w:pPr>
            <w:r>
              <w:rPr>
                <w:rFonts w:ascii="helvetica" w:hAnsi="helvetica"/>
                <w:sz w:val="20"/>
              </w:rPr>
              <w:t>Total debt</w:t>
            </w:r>
            <w:r>
              <w:rPr/>
              <w:t xml:space="preserve"> </w:t>
            </w:r>
          </w:p>
        </w:tc>
        <w:tc>
          <w:tcPr>
            <w:tcW w:w="115" w:type="dxa"/>
            <w:tcBorders/>
            <w:shd w:fill="FFFFFF" w:val="clear"/>
            <w:vAlign w:val="bottom"/>
          </w:tcPr>
          <w:p>
            <w:pPr>
              <w:pStyle w:val="TableContents"/>
              <w:spacing w:before="0" w:after="283"/>
              <w:jc w:val="left"/>
              <w:rPr/>
            </w:pPr>
            <w:r>
              <w:rPr/>
              <w:t xml:space="preserve">  </w:t>
            </w:r>
          </w:p>
        </w:tc>
        <w:tc>
          <w:tcPr>
            <w:tcW w:w="174" w:type="dxa"/>
            <w:tcBorders>
              <w:bottom w:val="single" w:sz="12"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495"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8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jc w:val="left"/>
              <w:rPr/>
            </w:pPr>
            <w:r>
              <w:rPr/>
              <w:t xml:space="preserve">  </w:t>
            </w:r>
          </w:p>
        </w:tc>
        <w:tc>
          <w:tcPr>
            <w:tcW w:w="604"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81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90" w:type="dxa"/>
            <w:tcBorders/>
            <w:shd w:fill="FFFFFF" w:val="clear"/>
            <w:vAlign w:val="bottom"/>
          </w:tcPr>
          <w:p>
            <w:pPr>
              <w:pStyle w:val="TableContents"/>
              <w:spacing w:before="0" w:after="283"/>
              <w:jc w:val="left"/>
              <w:rPr/>
            </w:pPr>
            <w:r>
              <w:rPr/>
              <w:t xml:space="preserve">  </w:t>
            </w:r>
          </w:p>
        </w:tc>
      </w:tr>
      <w:tr>
        <w:trPr/>
        <w:tc>
          <w:tcPr>
            <w:tcW w:w="6507" w:type="dxa"/>
            <w:tcBorders/>
            <w:shd w:fill="CCEEFF" w:val="clear"/>
            <w:vAlign w:val="bottom"/>
          </w:tcPr>
          <w:p>
            <w:pPr>
              <w:pStyle w:val="TableContents"/>
              <w:spacing w:before="0" w:after="0"/>
              <w:ind w:left="0" w:right="0" w:hanging="0"/>
              <w:jc w:val="left"/>
              <w:rPr/>
            </w:pPr>
            <w:r>
              <w:rPr>
                <w:rFonts w:ascii="helvetica" w:hAnsi="helvetica"/>
                <w:sz w:val="20"/>
              </w:rPr>
              <w:t>Stockholders' equity :</w:t>
            </w:r>
            <w:r>
              <w:rPr/>
              <w:t xml:space="preserve"> </w:t>
            </w:r>
          </w:p>
        </w:tc>
        <w:tc>
          <w:tcPr>
            <w:tcW w:w="115"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495"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604" w:type="dxa"/>
            <w:tcBorders/>
            <w:shd w:fill="CCEEFF" w:val="clear"/>
            <w:vAlign w:val="bottom"/>
          </w:tcPr>
          <w:p>
            <w:pPr>
              <w:pStyle w:val="TableContents"/>
              <w:spacing w:before="0" w:after="283"/>
              <w:jc w:val="left"/>
              <w:rPr/>
            </w:pPr>
            <w:r>
              <w:rPr/>
              <w:t xml:space="preserve">  </w:t>
            </w:r>
          </w:p>
        </w:tc>
        <w:tc>
          <w:tcPr>
            <w:tcW w:w="81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6507" w:type="dxa"/>
            <w:tcBorders/>
            <w:shd w:fill="FFFFFF" w:val="clear"/>
            <w:vAlign w:val="bottom"/>
          </w:tcPr>
          <w:p>
            <w:pPr>
              <w:pStyle w:val="TableContents"/>
              <w:spacing w:before="0" w:after="0"/>
              <w:ind w:left="0" w:right="0" w:hanging="0"/>
              <w:jc w:val="left"/>
              <w:rPr/>
            </w:pPr>
            <w:r>
              <w:rPr>
                <w:rFonts w:ascii="helvetica" w:hAnsi="helvetica"/>
                <w:sz w:val="20"/>
              </w:rPr>
              <w:t>Preferred stock, $0.001 par value; 5,000,000 shares authorized,</w:t>
            </w:r>
            <w:r>
              <w:rPr/>
              <w:t xml:space="preserve"> </w:t>
            </w:r>
          </w:p>
        </w:tc>
        <w:tc>
          <w:tcPr>
            <w:tcW w:w="115"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495"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604" w:type="dxa"/>
            <w:tcBorders/>
            <w:shd w:fill="FFFFFF" w:val="clear"/>
            <w:vAlign w:val="bottom"/>
          </w:tcPr>
          <w:p>
            <w:pPr>
              <w:pStyle w:val="TableContents"/>
              <w:spacing w:before="0" w:after="283"/>
              <w:jc w:val="left"/>
              <w:rPr/>
            </w:pPr>
            <w:r>
              <w:rPr/>
              <w:t xml:space="preserve">  </w:t>
            </w:r>
          </w:p>
        </w:tc>
        <w:tc>
          <w:tcPr>
            <w:tcW w:w="817" w:type="dxa"/>
            <w:tcBorders/>
            <w:shd w:fill="FFFFFF" w:val="clear"/>
            <w:vAlign w:val="bottom"/>
          </w:tcPr>
          <w:p>
            <w:pPr>
              <w:pStyle w:val="TableContents"/>
              <w:spacing w:before="0" w:after="283"/>
              <w:jc w:val="right"/>
              <w:rPr/>
            </w:pPr>
            <w:r>
              <w:rPr/>
              <w:t xml:space="preserve">  </w:t>
            </w:r>
          </w:p>
        </w:tc>
        <w:tc>
          <w:tcPr>
            <w:tcW w:w="190" w:type="dxa"/>
            <w:tcBorders/>
            <w:shd w:fill="FFFFFF" w:val="clear"/>
            <w:vAlign w:val="bottom"/>
          </w:tcPr>
          <w:p>
            <w:pPr>
              <w:pStyle w:val="TableContents"/>
              <w:spacing w:before="0" w:after="283"/>
              <w:jc w:val="left"/>
              <w:rPr/>
            </w:pPr>
            <w:r>
              <w:rPr/>
              <w:t xml:space="preserve">  </w:t>
            </w:r>
          </w:p>
        </w:tc>
      </w:tr>
      <w:tr>
        <w:trPr/>
        <w:tc>
          <w:tcPr>
            <w:tcW w:w="6507" w:type="dxa"/>
            <w:tcBorders/>
            <w:shd w:fill="CCEEFF" w:val="clear"/>
            <w:vAlign w:val="bottom"/>
          </w:tcPr>
          <w:p>
            <w:pPr>
              <w:pStyle w:val="TableContents"/>
              <w:spacing w:before="0" w:after="0"/>
              <w:ind w:left="0" w:right="0" w:hanging="0"/>
              <w:jc w:val="left"/>
              <w:rPr/>
            </w:pPr>
            <w:r>
              <w:rPr>
                <w:rFonts w:ascii="helvetica" w:hAnsi="helvetica"/>
                <w:sz w:val="20"/>
              </w:rPr>
              <w:t>no shares issued and outstanding, actual and as adjusted</w:t>
            </w:r>
            <w:r>
              <w:rPr/>
              <w:t xml:space="preserve"> </w:t>
            </w:r>
          </w:p>
        </w:tc>
        <w:tc>
          <w:tcPr>
            <w:tcW w:w="115" w:type="dxa"/>
            <w:tcBorders/>
            <w:shd w:fill="CCEEFF" w:val="clear"/>
            <w:vAlign w:val="bottom"/>
          </w:tcPr>
          <w:p>
            <w:pPr>
              <w:pStyle w:val="TableContents"/>
              <w:spacing w:before="0" w:after="283"/>
              <w:jc w:val="lef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495"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8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jc w:val="left"/>
              <w:rPr/>
            </w:pPr>
            <w:r>
              <w:rPr/>
              <w:t xml:space="preserve">  </w:t>
            </w:r>
          </w:p>
        </w:tc>
        <w:tc>
          <w:tcPr>
            <w:tcW w:w="604" w:type="dxa"/>
            <w:tcBorders/>
            <w:shd w:fill="CCEEFF" w:val="clear"/>
            <w:vAlign w:val="bottom"/>
          </w:tcPr>
          <w:p>
            <w:pPr>
              <w:pStyle w:val="TableContents"/>
              <w:spacing w:before="0" w:after="283"/>
              <w:jc w:val="left"/>
              <w:rPr/>
            </w:pPr>
            <w:r>
              <w:rPr/>
              <w:t xml:space="preserve">  </w:t>
            </w:r>
          </w:p>
        </w:tc>
        <w:tc>
          <w:tcPr>
            <w:tcW w:w="81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6507" w:type="dxa"/>
            <w:tcBorders/>
            <w:shd w:fill="FFFFFF" w:val="clear"/>
            <w:vAlign w:val="bottom"/>
          </w:tcPr>
          <w:p>
            <w:pPr>
              <w:pStyle w:val="TableContents"/>
              <w:spacing w:before="0" w:after="0"/>
              <w:ind w:left="0" w:right="0" w:hanging="0"/>
              <w:jc w:val="left"/>
              <w:rPr/>
            </w:pPr>
            <w:r>
              <w:rPr>
                <w:rFonts w:ascii="helvetica" w:hAnsi="helvetica"/>
                <w:sz w:val="20"/>
              </w:rPr>
              <w:t>Common stock, $0.001 par value; 395,000,000 shares authorized,</w:t>
            </w:r>
            <w:r>
              <w:rPr/>
              <w:t xml:space="preserve"> </w:t>
            </w:r>
          </w:p>
        </w:tc>
        <w:tc>
          <w:tcPr>
            <w:tcW w:w="115" w:type="dxa"/>
            <w:tcBorders/>
            <w:shd w:fill="FFFFFF" w:val="cle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495" w:type="dxa"/>
            <w:tcBorders/>
            <w:shd w:fill="FFFFFF" w:val="clear"/>
            <w:vAlign w:val="bottom"/>
          </w:tcPr>
          <w:p>
            <w:pPr>
              <w:pStyle w:val="TableContents"/>
              <w:spacing w:before="0" w:after="283"/>
              <w:jc w:val="right"/>
              <w:rPr/>
            </w:pPr>
            <w:r>
              <w:rPr/>
              <w:t xml:space="preserve">  </w:t>
            </w:r>
          </w:p>
        </w:tc>
        <w:tc>
          <w:tcPr>
            <w:tcW w:w="18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604" w:type="dxa"/>
            <w:tcBorders/>
            <w:shd w:fill="FFFFFF" w:val="clear"/>
            <w:vAlign w:val="bottom"/>
          </w:tcPr>
          <w:p>
            <w:pPr>
              <w:pStyle w:val="TableContents"/>
              <w:spacing w:before="0" w:after="283"/>
              <w:jc w:val="left"/>
              <w:rPr/>
            </w:pPr>
            <w:r>
              <w:rPr/>
              <w:t xml:space="preserve">  </w:t>
            </w:r>
          </w:p>
        </w:tc>
        <w:tc>
          <w:tcPr>
            <w:tcW w:w="817" w:type="dxa"/>
            <w:tcBorders/>
            <w:shd w:fill="FFFFFF" w:val="clear"/>
            <w:vAlign w:val="bottom"/>
          </w:tcPr>
          <w:p>
            <w:pPr>
              <w:pStyle w:val="TableContents"/>
              <w:spacing w:before="0" w:after="283"/>
              <w:jc w:val="right"/>
              <w:rPr/>
            </w:pPr>
            <w:r>
              <w:rPr/>
              <w:t xml:space="preserve">  </w:t>
            </w:r>
          </w:p>
        </w:tc>
        <w:tc>
          <w:tcPr>
            <w:tcW w:w="190" w:type="dxa"/>
            <w:tcBorders/>
            <w:shd w:fill="FFFFFF" w:val="clear"/>
            <w:vAlign w:val="bottom"/>
          </w:tcPr>
          <w:p>
            <w:pPr>
              <w:pStyle w:val="TableContents"/>
              <w:spacing w:before="0" w:after="283"/>
              <w:jc w:val="left"/>
              <w:rPr/>
            </w:pPr>
            <w:r>
              <w:rPr/>
              <w:t xml:space="preserve">  </w:t>
            </w:r>
          </w:p>
        </w:tc>
      </w:tr>
      <w:tr>
        <w:trPr/>
        <w:tc>
          <w:tcPr>
            <w:tcW w:w="6507" w:type="dxa"/>
            <w:tcBorders/>
            <w:shd w:fill="CCEEFF" w:val="clear"/>
            <w:vAlign w:val="bottom"/>
          </w:tcPr>
          <w:p>
            <w:pPr>
              <w:pStyle w:val="TableContents"/>
              <w:spacing w:before="0" w:after="0"/>
              <w:ind w:left="0" w:right="0" w:hanging="0"/>
              <w:jc w:val="left"/>
              <w:rPr/>
            </w:pPr>
            <w:r>
              <w:rPr>
                <w:rFonts w:ascii="helvetica" w:hAnsi="helvetica"/>
                <w:sz w:val="20"/>
              </w:rPr>
              <w:t>5,939,243 shares issued and outstanding, actual;                      shares</w:t>
            </w:r>
            <w:r>
              <w:rPr/>
              <w:t xml:space="preserve"> </w:t>
            </w:r>
          </w:p>
        </w:tc>
        <w:tc>
          <w:tcPr>
            <w:tcW w:w="115" w:type="dxa"/>
            <w:tcBorders/>
            <w:shd w:fill="CCEEFF" w:val="clear"/>
            <w:vAlign w:val="bottom"/>
          </w:tcPr>
          <w:p>
            <w:pPr>
              <w:pStyle w:val="TableContents"/>
              <w:spacing w:before="0" w:after="283"/>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495" w:type="dxa"/>
            <w:tcBorders/>
            <w:shd w:fill="CCEEFF" w:val="clear"/>
            <w:vAlign w:val="bottom"/>
          </w:tcPr>
          <w:p>
            <w:pPr>
              <w:pStyle w:val="TableContents"/>
              <w:spacing w:before="0" w:after="283"/>
              <w:jc w:val="right"/>
              <w:rPr/>
            </w:pPr>
            <w:r>
              <w:rPr/>
              <w:t xml:space="preserve">  </w:t>
            </w:r>
          </w:p>
        </w:tc>
        <w:tc>
          <w:tcPr>
            <w:tcW w:w="18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604" w:type="dxa"/>
            <w:tcBorders/>
            <w:shd w:fill="CCEEFF" w:val="clear"/>
            <w:vAlign w:val="bottom"/>
          </w:tcPr>
          <w:p>
            <w:pPr>
              <w:pStyle w:val="TableContents"/>
              <w:spacing w:before="0" w:after="283"/>
              <w:jc w:val="left"/>
              <w:rPr/>
            </w:pPr>
            <w:r>
              <w:rPr/>
              <w:t xml:space="preserve">  </w:t>
            </w:r>
          </w:p>
        </w:tc>
        <w:tc>
          <w:tcPr>
            <w:tcW w:w="81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6507" w:type="dxa"/>
            <w:tcBorders/>
            <w:shd w:fill="FFFFFF" w:val="clear"/>
            <w:vAlign w:val="bottom"/>
          </w:tcPr>
          <w:p>
            <w:pPr>
              <w:pStyle w:val="TableContents"/>
              <w:spacing w:before="0" w:after="0"/>
              <w:ind w:left="0" w:right="0" w:hanging="0"/>
              <w:jc w:val="left"/>
              <w:rPr/>
            </w:pPr>
            <w:r>
              <w:rPr>
                <w:rFonts w:ascii="helvetica" w:hAnsi="helvetica"/>
                <w:sz w:val="20"/>
              </w:rPr>
              <w:t>issued and outstanding, as adjusted</w:t>
            </w:r>
            <w:r>
              <w:rPr/>
              <w:t xml:space="preserve"> </w:t>
            </w:r>
          </w:p>
        </w:tc>
        <w:tc>
          <w:tcPr>
            <w:tcW w:w="115" w:type="dxa"/>
            <w:tcBorders/>
            <w:shd w:fill="FFFFFF" w:val="clear"/>
            <w:vAlign w:val="bottom"/>
          </w:tcPr>
          <w:p>
            <w:pPr>
              <w:pStyle w:val="TableContents"/>
              <w:spacing w:before="0" w:after="283"/>
              <w:jc w:val="lef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1495" w:type="dxa"/>
            <w:tcBorders/>
            <w:shd w:fill="FFFFFF" w:val="clear"/>
            <w:vAlign w:val="bottom"/>
          </w:tcPr>
          <w:p>
            <w:pPr>
              <w:pStyle w:val="TableContents"/>
              <w:spacing w:before="0" w:after="283"/>
              <w:jc w:val="right"/>
              <w:rPr/>
            </w:pPr>
            <w:r>
              <w:rPr>
                <w:rFonts w:ascii="helvetica" w:hAnsi="helvetica"/>
                <w:sz w:val="20"/>
              </w:rPr>
              <w:t>5,939</w:t>
            </w:r>
            <w:r>
              <w:rPr/>
              <w:t xml:space="preserve"> </w:t>
            </w:r>
          </w:p>
        </w:tc>
        <w:tc>
          <w:tcPr>
            <w:tcW w:w="18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rPr/>
            </w:pPr>
            <w:r>
              <w:rPr/>
              <w:t xml:space="preserve">  </w:t>
            </w:r>
          </w:p>
        </w:tc>
        <w:tc>
          <w:tcPr>
            <w:tcW w:w="604" w:type="dxa"/>
            <w:tcBorders/>
            <w:shd w:fill="FFFFFF" w:val="clear"/>
            <w:vAlign w:val="bottom"/>
          </w:tcPr>
          <w:p>
            <w:pPr>
              <w:pStyle w:val="TableContents"/>
              <w:spacing w:before="0" w:after="283"/>
              <w:jc w:val="left"/>
              <w:rPr/>
            </w:pPr>
            <w:r>
              <w:rPr/>
              <w:t xml:space="preserve">  </w:t>
            </w:r>
          </w:p>
        </w:tc>
        <w:tc>
          <w:tcPr>
            <w:tcW w:w="817" w:type="dxa"/>
            <w:tcBorders/>
            <w:shd w:fill="FFFFFF" w:val="clear"/>
            <w:vAlign w:val="bottom"/>
          </w:tcPr>
          <w:p>
            <w:pPr>
              <w:pStyle w:val="TableContents"/>
              <w:spacing w:before="0" w:after="283"/>
              <w:jc w:val="right"/>
              <w:rPr/>
            </w:pPr>
            <w:r>
              <w:rPr/>
              <w:t xml:space="preserve">  </w:t>
            </w:r>
          </w:p>
        </w:tc>
        <w:tc>
          <w:tcPr>
            <w:tcW w:w="190" w:type="dxa"/>
            <w:tcBorders/>
            <w:shd w:fill="FFFFFF" w:val="clear"/>
            <w:vAlign w:val="bottom"/>
          </w:tcPr>
          <w:p>
            <w:pPr>
              <w:pStyle w:val="TableContents"/>
              <w:spacing w:before="0" w:after="283"/>
              <w:jc w:val="left"/>
              <w:rPr/>
            </w:pPr>
            <w:r>
              <w:rPr/>
              <w:t xml:space="preserve">  </w:t>
            </w:r>
          </w:p>
        </w:tc>
      </w:tr>
      <w:tr>
        <w:trPr/>
        <w:tc>
          <w:tcPr>
            <w:tcW w:w="6507" w:type="dxa"/>
            <w:tcBorders/>
            <w:shd w:fill="CCEEFF" w:val="clear"/>
            <w:vAlign w:val="bottom"/>
          </w:tcPr>
          <w:p>
            <w:pPr>
              <w:pStyle w:val="TableContents"/>
              <w:spacing w:before="0" w:after="0"/>
              <w:ind w:left="0" w:right="0" w:hanging="0"/>
              <w:jc w:val="left"/>
              <w:rPr/>
            </w:pPr>
            <w:r>
              <w:rPr>
                <w:rFonts w:ascii="helvetica" w:hAnsi="helvetica"/>
                <w:sz w:val="20"/>
              </w:rPr>
              <w:t>Additional paid-in capital</w:t>
            </w:r>
            <w:r>
              <w:rPr/>
              <w:t xml:space="preserve"> </w:t>
            </w:r>
          </w:p>
        </w:tc>
        <w:tc>
          <w:tcPr>
            <w:tcW w:w="115" w:type="dxa"/>
            <w:tcBorders/>
            <w:shd w:fill="CCEEFF" w:val="clear"/>
            <w:vAlign w:val="bottom"/>
          </w:tcPr>
          <w:p>
            <w:pPr>
              <w:pStyle w:val="TableContents"/>
              <w:spacing w:before="0" w:after="283"/>
              <w:jc w:val="lef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1495" w:type="dxa"/>
            <w:tcBorders/>
            <w:shd w:fill="CCEEFF" w:val="clear"/>
            <w:vAlign w:val="bottom"/>
          </w:tcPr>
          <w:p>
            <w:pPr>
              <w:pStyle w:val="TableContents"/>
              <w:spacing w:before="0" w:after="283"/>
              <w:jc w:val="right"/>
              <w:rPr/>
            </w:pPr>
            <w:r>
              <w:rPr>
                <w:rFonts w:ascii="helvetica" w:hAnsi="helvetica"/>
                <w:sz w:val="20"/>
              </w:rPr>
              <w:t>28,803,306</w:t>
            </w:r>
            <w:r>
              <w:rPr/>
              <w:t xml:space="preserve"> </w:t>
            </w:r>
          </w:p>
        </w:tc>
        <w:tc>
          <w:tcPr>
            <w:tcW w:w="18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rPr/>
            </w:pPr>
            <w:r>
              <w:rPr/>
              <w:t xml:space="preserve">  </w:t>
            </w:r>
          </w:p>
        </w:tc>
        <w:tc>
          <w:tcPr>
            <w:tcW w:w="604" w:type="dxa"/>
            <w:tcBorders/>
            <w:shd w:fill="CCEEFF" w:val="clear"/>
            <w:vAlign w:val="bottom"/>
          </w:tcPr>
          <w:p>
            <w:pPr>
              <w:pStyle w:val="TableContents"/>
              <w:spacing w:before="0" w:after="283"/>
              <w:jc w:val="left"/>
              <w:rPr/>
            </w:pPr>
            <w:r>
              <w:rPr/>
              <w:t xml:space="preserve">  </w:t>
            </w:r>
          </w:p>
        </w:tc>
        <w:tc>
          <w:tcPr>
            <w:tcW w:w="817" w:type="dxa"/>
            <w:tcBorders/>
            <w:shd w:fill="CCEEFF" w:val="clear"/>
            <w:vAlign w:val="bottom"/>
          </w:tcPr>
          <w:p>
            <w:pPr>
              <w:pStyle w:val="TableContents"/>
              <w:spacing w:before="0" w:after="283"/>
              <w:jc w:val="right"/>
              <w:rPr/>
            </w:pP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6507" w:type="dxa"/>
            <w:tcBorders/>
            <w:shd w:fill="FFFFFF" w:val="clear"/>
            <w:vAlign w:val="bottom"/>
          </w:tcPr>
          <w:p>
            <w:pPr>
              <w:pStyle w:val="TableContents"/>
              <w:spacing w:before="0" w:after="0"/>
              <w:ind w:left="0" w:right="0" w:hanging="0"/>
              <w:jc w:val="left"/>
              <w:rPr/>
            </w:pPr>
            <w:r>
              <w:rPr>
                <w:rFonts w:ascii="helvetica" w:hAnsi="helvetica"/>
                <w:sz w:val="20"/>
              </w:rPr>
              <w:t>Deficit accumulated during the development stage</w:t>
            </w:r>
            <w:r>
              <w:rPr/>
              <w:t xml:space="preserve"> </w:t>
            </w:r>
          </w:p>
        </w:tc>
        <w:tc>
          <w:tcPr>
            <w:tcW w:w="115" w:type="dxa"/>
            <w:tcBorders/>
            <w:shd w:fill="FFFFFF" w:val="clear"/>
            <w:vAlign w:val="bottom"/>
          </w:tcPr>
          <w:p>
            <w:pPr>
              <w:pStyle w:val="TableContents"/>
              <w:spacing w:before="0" w:after="283"/>
              <w:jc w:val="left"/>
              <w:rPr/>
            </w:pPr>
            <w:r>
              <w:rPr/>
              <w:t xml:space="preserve">  </w:t>
            </w:r>
          </w:p>
        </w:tc>
        <w:tc>
          <w:tcPr>
            <w:tcW w:w="174"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495"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(21,405,414</w:t>
            </w:r>
            <w:r>
              <w:rPr/>
              <w:t xml:space="preserve"> </w:t>
            </w:r>
          </w:p>
        </w:tc>
        <w:tc>
          <w:tcPr>
            <w:tcW w:w="18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15" w:type="dxa"/>
            <w:tcBorders/>
            <w:shd w:fill="FFFFFF" w:val="clear"/>
            <w:vAlign w:val="bottom"/>
          </w:tcPr>
          <w:p>
            <w:pPr>
              <w:pStyle w:val="TableContents"/>
              <w:spacing w:before="0" w:after="283"/>
              <w:jc w:val="left"/>
              <w:rPr/>
            </w:pPr>
            <w:r>
              <w:rPr/>
              <w:t xml:space="preserve">  </w:t>
            </w:r>
          </w:p>
        </w:tc>
        <w:tc>
          <w:tcPr>
            <w:tcW w:w="604"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817" w:type="dxa"/>
            <w:tcBorders>
              <w:bottom w:val="single" w:sz="12" w:space="0" w:color="000000"/>
            </w:tcBorders>
            <w:shd w:fill="FFFFFF" w:val="clear"/>
            <w:tcMar>
              <w:bottom w:w="28" w:type="dxa"/>
            </w:tcMar>
            <w:vAlign w:val="bottom"/>
          </w:tcPr>
          <w:p>
            <w:pPr>
              <w:pStyle w:val="TableContents"/>
              <w:spacing w:before="0" w:after="283"/>
              <w:jc w:val="right"/>
              <w:rPr/>
            </w:pPr>
            <w:r>
              <w:rPr/>
              <w:t xml:space="preserve">  </w:t>
            </w:r>
          </w:p>
        </w:tc>
        <w:tc>
          <w:tcPr>
            <w:tcW w:w="190" w:type="dxa"/>
            <w:tcBorders/>
            <w:shd w:fill="FFFFFF" w:val="clear"/>
            <w:vAlign w:val="bottom"/>
          </w:tcPr>
          <w:p>
            <w:pPr>
              <w:pStyle w:val="TableContents"/>
              <w:spacing w:before="0" w:after="283"/>
              <w:jc w:val="left"/>
              <w:rPr/>
            </w:pPr>
            <w:r>
              <w:rPr/>
              <w:t xml:space="preserve">  </w:t>
            </w:r>
          </w:p>
        </w:tc>
      </w:tr>
      <w:tr>
        <w:trPr/>
        <w:tc>
          <w:tcPr>
            <w:tcW w:w="6507" w:type="dxa"/>
            <w:tcBorders/>
            <w:shd w:fill="CCEEFF" w:val="clear"/>
            <w:vAlign w:val="bottom"/>
          </w:tcPr>
          <w:p>
            <w:pPr>
              <w:pStyle w:val="TableContents"/>
              <w:spacing w:before="0" w:after="0"/>
              <w:ind w:left="0" w:right="0" w:hanging="0"/>
              <w:jc w:val="left"/>
              <w:rPr/>
            </w:pPr>
            <w:r>
              <w:rPr>
                <w:rFonts w:ascii="helvetica" w:hAnsi="helvetica"/>
                <w:sz w:val="20"/>
              </w:rPr>
              <w:t>Total stockholders' equity</w:t>
            </w:r>
            <w:r>
              <w:rPr/>
              <w:t xml:space="preserve"> </w:t>
            </w:r>
          </w:p>
        </w:tc>
        <w:tc>
          <w:tcPr>
            <w:tcW w:w="115" w:type="dxa"/>
            <w:tcBorders/>
            <w:shd w:fill="CCEEFF" w:val="clear"/>
            <w:vAlign w:val="bottom"/>
          </w:tcPr>
          <w:p>
            <w:pPr>
              <w:pStyle w:val="TableContents"/>
              <w:spacing w:before="0" w:after="283"/>
              <w:jc w:val="left"/>
              <w:rPr/>
            </w:pPr>
            <w:r>
              <w:rPr/>
              <w:t xml:space="preserve">  </w:t>
            </w:r>
          </w:p>
        </w:tc>
        <w:tc>
          <w:tcPr>
            <w:tcW w:w="174"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495"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7,403,831</w:t>
            </w:r>
            <w:r>
              <w:rPr/>
              <w:t xml:space="preserve"> </w:t>
            </w:r>
          </w:p>
        </w:tc>
        <w:tc>
          <w:tcPr>
            <w:tcW w:w="188" w:type="dxa"/>
            <w:tcBorders/>
            <w:shd w:fill="CCEEFF" w:val="clear"/>
            <w:vAlign w:val="bottom"/>
          </w:tcPr>
          <w:p>
            <w:pPr>
              <w:pStyle w:val="TableContents"/>
              <w:spacing w:before="0" w:after="283"/>
              <w:jc w:val="left"/>
              <w:rPr/>
            </w:pPr>
            <w:r>
              <w:rPr/>
              <w:t xml:space="preserve">  </w:t>
            </w:r>
          </w:p>
        </w:tc>
        <w:tc>
          <w:tcPr>
            <w:tcW w:w="115" w:type="dxa"/>
            <w:tcBorders/>
            <w:shd w:fill="CCEEFF" w:val="clear"/>
            <w:vAlign w:val="bottom"/>
          </w:tcPr>
          <w:p>
            <w:pPr>
              <w:pStyle w:val="TableContents"/>
              <w:spacing w:before="0" w:after="283"/>
              <w:jc w:val="left"/>
              <w:rPr/>
            </w:pPr>
            <w:r>
              <w:rPr/>
              <w:t xml:space="preserve">  </w:t>
            </w:r>
          </w:p>
        </w:tc>
        <w:tc>
          <w:tcPr>
            <w:tcW w:w="604"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817"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90" w:type="dxa"/>
            <w:tcBorders/>
            <w:shd w:fill="CCEEFF" w:val="clear"/>
            <w:vAlign w:val="bottom"/>
          </w:tcPr>
          <w:p>
            <w:pPr>
              <w:pStyle w:val="TableContents"/>
              <w:spacing w:before="0" w:after="283"/>
              <w:jc w:val="left"/>
              <w:rPr/>
            </w:pPr>
            <w:r>
              <w:rPr/>
              <w:t xml:space="preserve">  </w:t>
            </w:r>
          </w:p>
        </w:tc>
      </w:tr>
      <w:tr>
        <w:trPr/>
        <w:tc>
          <w:tcPr>
            <w:tcW w:w="6507" w:type="dxa"/>
            <w:tcBorders/>
            <w:shd w:fill="FFFFFF" w:val="clear"/>
            <w:vAlign w:val="bottom"/>
          </w:tcPr>
          <w:p>
            <w:pPr>
              <w:pStyle w:val="TableContents"/>
              <w:spacing w:before="0" w:after="0"/>
              <w:ind w:left="0" w:right="0" w:hanging="0"/>
              <w:jc w:val="left"/>
              <w:rPr/>
            </w:pPr>
            <w:r>
              <w:rPr>
                <w:rFonts w:ascii="helvetica" w:hAnsi="helvetica"/>
                <w:sz w:val="20"/>
              </w:rPr>
              <w:t>Total capitalization</w:t>
            </w:r>
            <w:r>
              <w:rPr/>
              <w:t xml:space="preserve"> </w:t>
            </w:r>
          </w:p>
        </w:tc>
        <w:tc>
          <w:tcPr>
            <w:tcW w:w="115" w:type="dxa"/>
            <w:tcBorders/>
            <w:shd w:fill="FFFFFF" w:val="clear"/>
            <w:vAlign w:val="bottom"/>
          </w:tcPr>
          <w:p>
            <w:pPr>
              <w:pStyle w:val="TableContents"/>
              <w:spacing w:before="0" w:after="283"/>
              <w:jc w:val="left"/>
              <w:rPr/>
            </w:pPr>
            <w:r>
              <w:rPr/>
              <w:t xml:space="preserve">  </w:t>
            </w:r>
          </w:p>
        </w:tc>
        <w:tc>
          <w:tcPr>
            <w:tcW w:w="174"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495"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7,403,831</w:t>
            </w:r>
            <w:r>
              <w:rPr/>
              <w:t xml:space="preserve"> </w:t>
            </w:r>
          </w:p>
        </w:tc>
        <w:tc>
          <w:tcPr>
            <w:tcW w:w="18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jc w:val="left"/>
              <w:rPr/>
            </w:pPr>
            <w:r>
              <w:rPr/>
              <w:t xml:space="preserve">  </w:t>
            </w:r>
          </w:p>
        </w:tc>
        <w:tc>
          <w:tcPr>
            <w:tcW w:w="604"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817"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90"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9" w:name="PGBRK27"/>
      <w:bookmarkStart w:id="400" w:name="PGBRK27"/>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1" w:name="FTR27"/>
      <w:bookmarkStart w:id="402" w:name="FTR27"/>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3" w:name="GLFTR26"/>
      <w:bookmarkEnd w:id="4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04" w:name="PN26"/>
      <w:bookmarkEnd w:id="404"/>
      <w:r>
        <w:rPr>
          <w:rFonts w:ascii="Helvetica" w:hAnsi="Helvetica"/>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5" w:name="HDR26"/>
      <w:bookmarkStart w:id="406" w:name="HDR26"/>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7" w:name="GLHDR26"/>
      <w:bookmarkEnd w:id="4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The number of shares of our common stock to be outstanding after this offering is based on 5,939,243 shares outstanding as of June 30, 2012, and excludes:</w:t>
      </w:r>
      <w:r>
        <w:rPr/>
        <w:t xml:space="preserve"> </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08" w:name="list71"/>
      <w:bookmarkStart w:id="409" w:name="list71"/>
      <w:bookmarkEnd w:id="409"/>
    </w:p>
    <w:tbl>
      <w:tblPr>
        <w:tblW w:w="5000" w:type="pct"/>
        <w:jc w:val="left"/>
        <w:tblInd w:w="0" w:type="dxa"/>
        <w:tblCellMar>
          <w:top w:w="0" w:type="dxa"/>
          <w:left w:w="0" w:type="dxa"/>
          <w:bottom w:w="0" w:type="dxa"/>
          <w:right w:w="0" w:type="dxa"/>
        </w:tblCellMar>
      </w:tblPr>
      <w:tblGrid>
        <w:gridCol w:w="334"/>
        <w:gridCol w:w="9871"/>
      </w:tblGrid>
      <w:tr>
        <w:trPr/>
        <w:tc>
          <w:tcPr>
            <w:tcW w:w="334" w:type="dxa"/>
            <w:tcBorders/>
            <w:shd w:fill="auto" w:val="clear"/>
          </w:tcPr>
          <w:p>
            <w:pPr>
              <w:pStyle w:val="TableContents"/>
              <w:spacing w:before="0" w:after="0"/>
              <w:jc w:val="right"/>
              <w:rPr/>
            </w:pPr>
            <w:r>
              <w:rPr/>
              <w:t xml:space="preserve">●   </w:t>
            </w:r>
          </w:p>
        </w:tc>
        <w:tc>
          <w:tcPr>
            <w:tcW w:w="9871" w:type="dxa"/>
            <w:tcBorders/>
            <w:shd w:fill="auto" w:val="clear"/>
          </w:tcPr>
          <w:p>
            <w:pPr>
              <w:pStyle w:val="TableContents"/>
              <w:spacing w:before="0" w:after="0"/>
              <w:ind w:left="0" w:right="0" w:hanging="0"/>
              <w:jc w:val="both"/>
              <w:rPr/>
            </w:pPr>
            <w:r>
              <w:rPr>
                <w:rFonts w:ascii="helvetica" w:hAnsi="helvetica"/>
                <w:sz w:val="20"/>
              </w:rPr>
              <w:t>900,031 shares of common stock issuable upon the exercise of options outstanding as of June 30, 2012 with exercise prices ranging from $2.40 to $80.00 and a weighted average exercise price of $5.15 per share;</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0" w:name="list72"/>
      <w:bookmarkStart w:id="411" w:name="list72"/>
      <w:bookmarkEnd w:id="411"/>
    </w:p>
    <w:tbl>
      <w:tblPr>
        <w:tblW w:w="5000" w:type="pct"/>
        <w:jc w:val="left"/>
        <w:tblInd w:w="0" w:type="dxa"/>
        <w:tblCellMar>
          <w:top w:w="0" w:type="dxa"/>
          <w:left w:w="0" w:type="dxa"/>
          <w:bottom w:w="0" w:type="dxa"/>
          <w:right w:w="0" w:type="dxa"/>
        </w:tblCellMar>
      </w:tblPr>
      <w:tblGrid>
        <w:gridCol w:w="340"/>
        <w:gridCol w:w="9865"/>
      </w:tblGrid>
      <w:tr>
        <w:trPr/>
        <w:tc>
          <w:tcPr>
            <w:tcW w:w="340" w:type="dxa"/>
            <w:tcBorders/>
            <w:shd w:fill="auto" w:val="clear"/>
          </w:tcPr>
          <w:p>
            <w:pPr>
              <w:pStyle w:val="TableContents"/>
              <w:spacing w:before="0" w:after="0"/>
              <w:jc w:val="right"/>
              <w:rPr/>
            </w:pPr>
            <w:r>
              <w:rPr/>
              <w:t xml:space="preserve">●   </w:t>
            </w:r>
          </w:p>
        </w:tc>
        <w:tc>
          <w:tcPr>
            <w:tcW w:w="9865" w:type="dxa"/>
            <w:tcBorders/>
            <w:shd w:fill="auto" w:val="clear"/>
          </w:tcPr>
          <w:p>
            <w:pPr>
              <w:pStyle w:val="TableContents"/>
              <w:spacing w:before="0" w:after="0"/>
              <w:ind w:left="0" w:right="0" w:hanging="0"/>
              <w:jc w:val="both"/>
              <w:rPr/>
            </w:pPr>
            <w:r>
              <w:rPr>
                <w:rFonts w:ascii="helvetica" w:hAnsi="helvetica"/>
                <w:sz w:val="20"/>
              </w:rPr>
              <w:t>17,123 shares of common stock issuable upon the exercise of outstanding options granted subsequent to June 30, 2012 at a weighted average exercise price of $4.50 per share;</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2" w:name="list73"/>
      <w:bookmarkStart w:id="413" w:name="list73"/>
      <w:bookmarkEnd w:id="413"/>
    </w:p>
    <w:tbl>
      <w:tblPr>
        <w:tblW w:w="5000" w:type="pct"/>
        <w:jc w:val="left"/>
        <w:tblInd w:w="0" w:type="dxa"/>
        <w:tblCellMar>
          <w:top w:w="0" w:type="dxa"/>
          <w:left w:w="0" w:type="dxa"/>
          <w:bottom w:w="0" w:type="dxa"/>
          <w:right w:w="0" w:type="dxa"/>
        </w:tblCellMar>
      </w:tblPr>
      <w:tblGrid>
        <w:gridCol w:w="330"/>
        <w:gridCol w:w="9875"/>
      </w:tblGrid>
      <w:tr>
        <w:trPr/>
        <w:tc>
          <w:tcPr>
            <w:tcW w:w="330" w:type="dxa"/>
            <w:tcBorders/>
            <w:shd w:fill="auto" w:val="clear"/>
          </w:tcPr>
          <w:p>
            <w:pPr>
              <w:pStyle w:val="TableContents"/>
              <w:spacing w:before="0" w:after="0"/>
              <w:jc w:val="right"/>
              <w:rPr/>
            </w:pPr>
            <w:r>
              <w:rPr/>
              <w:t xml:space="preserve">●   </w:t>
            </w:r>
          </w:p>
        </w:tc>
        <w:tc>
          <w:tcPr>
            <w:tcW w:w="9875" w:type="dxa"/>
            <w:tcBorders/>
            <w:shd w:fill="auto" w:val="clear"/>
          </w:tcPr>
          <w:p>
            <w:pPr>
              <w:pStyle w:val="TableContents"/>
              <w:spacing w:before="0" w:after="0"/>
              <w:ind w:left="0" w:right="0" w:hanging="0"/>
              <w:jc w:val="both"/>
              <w:rPr/>
            </w:pPr>
            <w:r>
              <w:rPr>
                <w:rFonts w:ascii="helvetica" w:hAnsi="helvetica"/>
                <w:sz w:val="20"/>
              </w:rPr>
              <w:t>570,290 shares of common stock underlying warrants issuable upon the exercise of warrants outstanding as of June 30, 2012 with exercise prices ranging from $5.925 to $176.00 and a weighted average exercise price of $11.25 per share;</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4" w:name="list74"/>
      <w:bookmarkStart w:id="415" w:name="list74"/>
      <w:bookmarkEnd w:id="415"/>
    </w:p>
    <w:tbl>
      <w:tblPr>
        <w:tblW w:w="5000" w:type="pct"/>
        <w:jc w:val="left"/>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jc w:val="right"/>
              <w:rPr/>
            </w:pPr>
            <w:r>
              <w:rPr/>
              <w:t xml:space="preserve">● </w:t>
            </w:r>
          </w:p>
        </w:tc>
        <w:tc>
          <w:tcPr>
            <w:tcW w:w="9973" w:type="dxa"/>
            <w:tcBorders/>
            <w:shd w:fill="auto" w:val="clear"/>
          </w:tcPr>
          <w:p>
            <w:pPr>
              <w:pStyle w:val="TableContents"/>
              <w:spacing w:before="0" w:after="0"/>
              <w:ind w:left="0" w:right="0" w:hanging="0"/>
              <w:jc w:val="both"/>
              <w:rPr/>
            </w:pPr>
            <w:r>
              <w:rPr>
                <w:rFonts w:ascii="helvetica" w:hAnsi="helvetica"/>
                <w:sz w:val="20"/>
              </w:rPr>
              <w:t>200,000 shares of common stock issuable underlying restricted stock units granted subsequent to June 30, 2012  outside of our 2007 Plan;</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6" w:name="list75"/>
      <w:bookmarkStart w:id="417" w:name="list75"/>
      <w:bookmarkEnd w:id="417"/>
    </w:p>
    <w:tbl>
      <w:tblPr>
        <w:tblW w:w="5000" w:type="pct"/>
        <w:jc w:val="left"/>
        <w:tblInd w:w="0" w:type="dxa"/>
        <w:tblCellMar>
          <w:top w:w="0" w:type="dxa"/>
          <w:left w:w="0" w:type="dxa"/>
          <w:bottom w:w="0" w:type="dxa"/>
          <w:right w:w="0" w:type="dxa"/>
        </w:tblCellMar>
      </w:tblPr>
      <w:tblGrid>
        <w:gridCol w:w="349"/>
        <w:gridCol w:w="9856"/>
      </w:tblGrid>
      <w:tr>
        <w:trPr/>
        <w:tc>
          <w:tcPr>
            <w:tcW w:w="349" w:type="dxa"/>
            <w:tcBorders/>
            <w:shd w:fill="auto" w:val="clear"/>
          </w:tcPr>
          <w:p>
            <w:pPr>
              <w:pStyle w:val="TableContents"/>
              <w:spacing w:before="0" w:after="0"/>
              <w:jc w:val="right"/>
              <w:rPr/>
            </w:pPr>
            <w:r>
              <w:rPr/>
              <w:t xml:space="preserve">●   </w:t>
            </w:r>
          </w:p>
        </w:tc>
        <w:tc>
          <w:tcPr>
            <w:tcW w:w="9856" w:type="dxa"/>
            <w:tcBorders/>
            <w:shd w:fill="auto" w:val="clear"/>
          </w:tcPr>
          <w:p>
            <w:pPr>
              <w:pStyle w:val="TableContents"/>
              <w:spacing w:before="0" w:after="0"/>
              <w:ind w:left="0" w:right="0" w:hanging="0"/>
              <w:jc w:val="both"/>
              <w:rPr/>
            </w:pPr>
            <w:r>
              <w:rPr>
                <w:rFonts w:ascii="helvetica" w:hAnsi="helvetica"/>
                <w:sz w:val="20"/>
              </w:rPr>
              <w:t>warrants to purchase up to               shares of our common stock issuable to the underwriter in connection with the completion of this offering;</w:t>
            </w:r>
            <w:r>
              <w:rPr/>
              <w:t xml:space="preserve"> </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8" w:name="list76"/>
      <w:bookmarkStart w:id="419" w:name="list76"/>
      <w:bookmarkEnd w:id="419"/>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pPr>
            <w:r>
              <w:rPr/>
              <w:t xml:space="preserve">●   </w:t>
            </w:r>
          </w:p>
        </w:tc>
        <w:tc>
          <w:tcPr>
            <w:tcW w:w="9807" w:type="dxa"/>
            <w:tcBorders/>
            <w:shd w:fill="auto" w:val="clear"/>
          </w:tcPr>
          <w:p>
            <w:pPr>
              <w:pStyle w:val="TableContents"/>
              <w:spacing w:before="0" w:after="0"/>
              <w:ind w:left="0" w:right="0" w:hanging="0"/>
              <w:jc w:val="both"/>
              <w:rPr/>
            </w:pPr>
            <w:r>
              <w:rPr>
                <w:rFonts w:ascii="helvetica" w:hAnsi="helvetica"/>
                <w:sz w:val="20"/>
              </w:rPr>
              <w:t>1,483,864 shares of common stock available for future grant as of June 30, 2012 under our 2007 Plan.</w:t>
            </w:r>
            <w:r>
              <w:rPr/>
              <w:t xml:space="preserve">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0" w:name="PGBRK28"/>
      <w:bookmarkStart w:id="421" w:name="PGBRK28"/>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 w:name="FTR28"/>
      <w:bookmarkStart w:id="423" w:name="FTR28"/>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4" w:name="GLFTR27"/>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25" w:name="PN27"/>
      <w:bookmarkEnd w:id="425"/>
      <w:r>
        <w:rPr>
          <w:rFonts w:ascii="Helvetica" w:hAnsi="Helvetica"/>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HDR27"/>
      <w:bookmarkStart w:id="427" w:name="HDR27"/>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8" w:name="GLHDR27"/>
      <w:bookmarkEnd w:id="4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Helvetica" w:hAnsi="Helvetica"/>
          <w:b/>
          <w:sz w:val="20"/>
        </w:rPr>
      </w:pPr>
      <w:r>
        <w:rPr>
          <w:rFonts w:ascii="Helvetica" w:hAnsi="Helvetica"/>
          <w:b/>
          <w:sz w:val="20"/>
        </w:rPr>
        <w:t>DILUTION</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If you invest in the securities offered in this offering, your interest will be diluted immediately to the extent of the difference between the assumed public offering price per share of our common stock and the as adjusted net tangible book value per share of our common stock after this offering. As of June 30, 2012, our net tangible book value was $7,403,831, or $1.25 per share of common stock.   Net tangible book value per share represents the total tangible assets of the Company, less all liabilities, divided by the number of shares of common stock outstanding.</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Net tangible book value dilution per share represents the difference between the amount per share of common stock paid by the new investors who purchase securities in this offering and the pro forma net tangible book value per share in common stock immediately after completion of this offering, assuming no value is attributed to the warrants. After giving effect to our sale of                     shares of common stock at a public offering price of     $           per share, and after underwriting fees and commissions and estimated offering expenses payable by us, our pro forma as adjusted net tangible book value as of June 30, 2012 would have been $          , or $        per share. This represents an immediate increase of net tangible book value of $         per share to our existing stockholders and an immediate dilution in net tangible book value of $             per share to purchasers of our common stock in this offering. The following table illustrates this per share dilution:</w:t>
      </w:r>
      <w:r>
        <w:rPr/>
        <w:t xml:space="preserve">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509"/>
        <w:gridCol w:w="133"/>
        <w:gridCol w:w="185"/>
        <w:gridCol w:w="1208"/>
        <w:gridCol w:w="170"/>
      </w:tblGrid>
      <w:tr>
        <w:trPr/>
        <w:tc>
          <w:tcPr>
            <w:tcW w:w="8509" w:type="dxa"/>
            <w:tcBorders/>
            <w:shd w:fill="auto" w:val="clear"/>
            <w:vAlign w:val="bottom"/>
          </w:tcPr>
          <w:p>
            <w:pPr>
              <w:pStyle w:val="TableContents"/>
              <w:spacing w:before="0" w:after="283"/>
              <w:rPr/>
            </w:pPr>
            <w:r>
              <w:rPr/>
              <w:t xml:space="preserve">  </w:t>
            </w:r>
          </w:p>
        </w:tc>
        <w:tc>
          <w:tcPr>
            <w:tcW w:w="133" w:type="dxa"/>
            <w:tcBorders/>
            <w:shd w:fill="auto" w:val="clear"/>
            <w:vAlign w:val="bottom"/>
          </w:tcPr>
          <w:p>
            <w:pPr>
              <w:pStyle w:val="TableContents"/>
              <w:spacing w:before="0" w:after="283"/>
              <w:jc w:val="left"/>
              <w:rPr/>
            </w:pPr>
            <w:r>
              <w:rPr/>
              <w:t xml:space="preserve">  </w:t>
            </w:r>
          </w:p>
        </w:tc>
        <w:tc>
          <w:tcPr>
            <w:tcW w:w="13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Adjusted</w:t>
            </w:r>
            <w:r>
              <w:rPr/>
              <w:t xml:space="preserve"> </w:t>
            </w:r>
          </w:p>
        </w:tc>
        <w:tc>
          <w:tcPr>
            <w:tcW w:w="170" w:type="dxa"/>
            <w:tcBorders/>
            <w:shd w:fill="auto" w:val="clear"/>
            <w:vAlign w:val="bottom"/>
          </w:tcPr>
          <w:p>
            <w:pPr>
              <w:pStyle w:val="TableContents"/>
              <w:spacing w:before="0" w:after="283"/>
              <w:jc w:val="left"/>
              <w:rPr/>
            </w:pPr>
            <w:r>
              <w:rPr/>
              <w:t xml:space="preserve">  </w:t>
            </w:r>
          </w:p>
        </w:tc>
      </w:tr>
      <w:tr>
        <w:trPr/>
        <w:tc>
          <w:tcPr>
            <w:tcW w:w="8509" w:type="dxa"/>
            <w:tcBorders/>
            <w:shd w:fill="auto" w:val="clear"/>
            <w:vAlign w:val="bottom"/>
          </w:tcPr>
          <w:p>
            <w:pPr>
              <w:pStyle w:val="TableContents"/>
              <w:spacing w:before="0" w:after="0"/>
              <w:ind w:left="0" w:right="0" w:hanging="0"/>
              <w:jc w:val="left"/>
              <w:rPr/>
            </w:pPr>
            <w:r>
              <w:rPr>
                <w:rFonts w:ascii="helvetica" w:hAnsi="helvetica"/>
                <w:sz w:val="20"/>
              </w:rPr>
              <w:t>Assumed public offering price per unit</w:t>
            </w:r>
            <w:r>
              <w:rPr/>
              <w:t xml:space="preserve"> </w:t>
            </w:r>
          </w:p>
        </w:tc>
        <w:tc>
          <w:tcPr>
            <w:tcW w:w="133" w:type="dxa"/>
            <w:tcBorders/>
            <w:shd w:fill="auto" w:val="clear"/>
            <w:vAlign w:val="bottom"/>
          </w:tcPr>
          <w:p>
            <w:pPr>
              <w:pStyle w:val="TableContents"/>
              <w:spacing w:before="0" w:after="283"/>
              <w:jc w:val="left"/>
              <w:rPr/>
            </w:pPr>
            <w:r>
              <w:rPr/>
              <w:t xml:space="preserve">  </w:t>
            </w:r>
          </w:p>
        </w:tc>
        <w:tc>
          <w:tcPr>
            <w:tcW w:w="1393" w:type="dxa"/>
            <w:gridSpan w:val="2"/>
            <w:tcBorders/>
            <w:shd w:fill="auto" w:val="clear"/>
            <w:vAlign w:val="bottom"/>
          </w:tcPr>
          <w:p>
            <w:pPr>
              <w:pStyle w:val="TableContents"/>
              <w:spacing w:before="0" w:after="283"/>
              <w:jc w:val="left"/>
              <w:rPr/>
            </w:pPr>
            <w:r>
              <w:rPr/>
              <w:t xml:space="preserve">  </w:t>
            </w:r>
          </w:p>
        </w:tc>
        <w:tc>
          <w:tcPr>
            <w:tcW w:w="170" w:type="dxa"/>
            <w:tcBorders/>
            <w:shd w:fill="auto" w:val="clear"/>
            <w:vAlign w:val="bottom"/>
          </w:tcPr>
          <w:p>
            <w:pPr>
              <w:pStyle w:val="TableContents"/>
              <w:spacing w:before="0" w:after="283"/>
              <w:jc w:val="left"/>
              <w:rPr/>
            </w:pPr>
            <w:r>
              <w:rPr/>
              <w:t xml:space="preserve">  </w:t>
            </w:r>
          </w:p>
        </w:tc>
      </w:tr>
      <w:tr>
        <w:trPr/>
        <w:tc>
          <w:tcPr>
            <w:tcW w:w="8509" w:type="dxa"/>
            <w:tcBorders/>
            <w:shd w:fill="CCEEFF" w:val="clear"/>
            <w:vAlign w:val="bottom"/>
          </w:tcPr>
          <w:p>
            <w:pPr>
              <w:pStyle w:val="TableContents"/>
              <w:spacing w:before="0" w:after="0"/>
              <w:ind w:left="0" w:right="0" w:hanging="0"/>
              <w:jc w:val="left"/>
              <w:rPr/>
            </w:pPr>
            <w:r>
              <w:rPr>
                <w:rFonts w:ascii="helvetica" w:hAnsi="helvetica"/>
                <w:sz w:val="20"/>
              </w:rPr>
              <w:t>Net tangible book value per share as of June 30, 2012</w:t>
            </w:r>
            <w:r>
              <w:rPr/>
              <w:t xml:space="preserve"> </w:t>
            </w:r>
          </w:p>
        </w:tc>
        <w:tc>
          <w:tcPr>
            <w:tcW w:w="133" w:type="dxa"/>
            <w:tcBorders/>
            <w:shd w:fill="CCEEFF" w:val="clear"/>
            <w:vAlign w:val="bottom"/>
          </w:tcPr>
          <w:p>
            <w:pPr>
              <w:pStyle w:val="TableContents"/>
              <w:spacing w:before="0" w:after="283"/>
              <w:jc w:val="left"/>
              <w:rPr/>
            </w:pPr>
            <w:r>
              <w:rPr/>
              <w:t xml:space="preserve">  </w:t>
            </w:r>
          </w:p>
        </w:tc>
        <w:tc>
          <w:tcPr>
            <w:tcW w:w="18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08" w:type="dxa"/>
            <w:tcBorders/>
            <w:shd w:fill="CCEEFF" w:val="clear"/>
            <w:vAlign w:val="bottom"/>
          </w:tcPr>
          <w:p>
            <w:pPr>
              <w:pStyle w:val="TableContents"/>
              <w:spacing w:before="0" w:after="283"/>
              <w:jc w:val="right"/>
              <w:rPr/>
            </w:pPr>
            <w:r>
              <w:rPr>
                <w:rFonts w:ascii="helvetica" w:hAnsi="helvetica"/>
                <w:sz w:val="20"/>
              </w:rPr>
              <w:t>1.25</w:t>
            </w:r>
            <w:r>
              <w:rPr/>
              <w:t xml:space="preserve"> </w:t>
            </w:r>
          </w:p>
        </w:tc>
        <w:tc>
          <w:tcPr>
            <w:tcW w:w="170" w:type="dxa"/>
            <w:tcBorders/>
            <w:shd w:fill="CCEEFF" w:val="clear"/>
            <w:vAlign w:val="bottom"/>
          </w:tcPr>
          <w:p>
            <w:pPr>
              <w:pStyle w:val="TableContents"/>
              <w:spacing w:before="0" w:after="283"/>
              <w:jc w:val="left"/>
              <w:rPr/>
            </w:pPr>
            <w:r>
              <w:rPr/>
              <w:t xml:space="preserve">  </w:t>
            </w:r>
          </w:p>
        </w:tc>
      </w:tr>
      <w:tr>
        <w:trPr/>
        <w:tc>
          <w:tcPr>
            <w:tcW w:w="8509" w:type="dxa"/>
            <w:tcBorders/>
            <w:shd w:fill="FFFFFF" w:val="clear"/>
            <w:vAlign w:val="bottom"/>
          </w:tcPr>
          <w:p>
            <w:pPr>
              <w:pStyle w:val="TableContents"/>
              <w:spacing w:before="0" w:after="0"/>
              <w:ind w:left="0" w:right="0" w:hanging="0"/>
              <w:jc w:val="left"/>
              <w:rPr/>
            </w:pPr>
            <w:r>
              <w:rPr>
                <w:rFonts w:ascii="helvetica" w:hAnsi="helvetica"/>
                <w:sz w:val="20"/>
              </w:rPr>
              <w:t>Increase in net tangible book value per share attributable to new investors</w:t>
            </w:r>
            <w:r>
              <w:rPr/>
              <w:t xml:space="preserve"> </w:t>
            </w:r>
          </w:p>
        </w:tc>
        <w:tc>
          <w:tcPr>
            <w:tcW w:w="133" w:type="dxa"/>
            <w:tcBorders/>
            <w:shd w:fill="FFFFFF" w:val="clear"/>
            <w:vAlign w:val="bottom"/>
          </w:tcPr>
          <w:p>
            <w:pPr>
              <w:pStyle w:val="TableContents"/>
              <w:spacing w:before="0" w:after="283"/>
              <w:rPr/>
            </w:pPr>
            <w:r>
              <w:rPr/>
              <w:t xml:space="preserve">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08" w:type="dxa"/>
            <w:tcBorders>
              <w:bottom w:val="single" w:sz="12" w:space="0" w:color="000000"/>
            </w:tcBorders>
            <w:shd w:fill="FFFFFF" w:val="clear"/>
            <w:tcMar>
              <w:bottom w:w="28" w:type="dxa"/>
            </w:tcM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r>
      <w:tr>
        <w:trPr/>
        <w:tc>
          <w:tcPr>
            <w:tcW w:w="8509" w:type="dxa"/>
            <w:tcBorders/>
            <w:shd w:fill="CCEEFF" w:val="clear"/>
            <w:vAlign w:val="bottom"/>
          </w:tcPr>
          <w:p>
            <w:pPr>
              <w:pStyle w:val="TableContents"/>
              <w:spacing w:before="0" w:after="0"/>
              <w:ind w:left="0" w:right="0" w:hanging="0"/>
              <w:jc w:val="left"/>
              <w:rPr/>
            </w:pPr>
            <w:r>
              <w:rPr>
                <w:rFonts w:ascii="helvetica" w:hAnsi="helvetica"/>
                <w:sz w:val="20"/>
              </w:rPr>
              <w:t>Adjusted net tangible book value per share after this offering</w:t>
            </w:r>
            <w:r>
              <w:rPr/>
              <w:t xml:space="preserve"> </w:t>
            </w:r>
          </w:p>
        </w:tc>
        <w:tc>
          <w:tcPr>
            <w:tcW w:w="133" w:type="dxa"/>
            <w:tcBorders/>
            <w:shd w:fill="CCEEFF" w:val="clear"/>
            <w:vAlign w:val="bottom"/>
          </w:tcPr>
          <w:p>
            <w:pPr>
              <w:pStyle w:val="TableContents"/>
              <w:spacing w:before="0" w:after="283"/>
              <w:rPr/>
            </w:pPr>
            <w:r>
              <w:rPr/>
              <w:t xml:space="preserve">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08" w:type="dxa"/>
            <w:tcBorders>
              <w:bottom w:val="single" w:sz="12" w:space="0" w:color="000000"/>
            </w:tcBorders>
            <w:shd w:fill="CCEEFF" w:val="clear"/>
            <w:tcMar>
              <w:bottom w:w="28" w:type="dxa"/>
            </w:tcM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r>
      <w:tr>
        <w:trPr/>
        <w:tc>
          <w:tcPr>
            <w:tcW w:w="8509" w:type="dxa"/>
            <w:tcBorders/>
            <w:shd w:fill="FFFFFF" w:val="clear"/>
            <w:vAlign w:val="bottom"/>
          </w:tcPr>
          <w:p>
            <w:pPr>
              <w:pStyle w:val="TableContents"/>
              <w:spacing w:before="0" w:after="0"/>
              <w:ind w:left="0" w:right="0" w:hanging="0"/>
              <w:jc w:val="left"/>
              <w:rPr/>
            </w:pPr>
            <w:r>
              <w:rPr>
                <w:rFonts w:ascii="helvetica" w:hAnsi="helvetica"/>
                <w:sz w:val="20"/>
              </w:rPr>
              <w:t>Dilution per share to new investors purchasing common stock in this offering</w:t>
            </w:r>
            <w:r>
              <w:rPr/>
              <w:t xml:space="preserve"> </w:t>
            </w:r>
          </w:p>
        </w:tc>
        <w:tc>
          <w:tcPr>
            <w:tcW w:w="133" w:type="dxa"/>
            <w:tcBorders/>
            <w:shd w:fill="FFFFFF" w:val="clear"/>
            <w:vAlign w:val="bottom"/>
          </w:tcPr>
          <w:p>
            <w:pPr>
              <w:pStyle w:val="TableContents"/>
              <w:spacing w:before="0" w:after="283"/>
              <w:jc w:val="left"/>
              <w:rPr/>
            </w:pPr>
            <w:r>
              <w:rPr/>
              <w:t xml:space="preserve">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1208" w:type="dxa"/>
            <w:tcBorders>
              <w:bottom w:val="double" w:sz="8" w:space="0" w:color="000000"/>
            </w:tcBorders>
            <w:shd w:fill="FFFFFF" w:val="clear"/>
            <w:tcMar>
              <w:bottom w:w="28" w:type="dxa"/>
            </w:tcMar>
            <w:vAlign w:val="bottom"/>
          </w:tcPr>
          <w:p>
            <w:pPr>
              <w:pStyle w:val="TableContents"/>
              <w:spacing w:before="0" w:after="283"/>
              <w:jc w:val="right"/>
              <w:rPr/>
            </w:pPr>
            <w:r>
              <w:rPr/>
              <w:t xml:space="preserve">  </w:t>
            </w:r>
          </w:p>
        </w:tc>
        <w:tc>
          <w:tcPr>
            <w:tcW w:w="170" w:type="dxa"/>
            <w:tcBorders/>
            <w:shd w:fill="FFFFFF" w:val="clear"/>
            <w:vAlign w:val="bottom"/>
          </w:tcPr>
          <w:p>
            <w:pPr>
              <w:pStyle w:val="TableContents"/>
              <w:spacing w:before="0" w:after="283"/>
              <w:jc w:val="left"/>
              <w:rPr/>
            </w:pPr>
            <w:r>
              <w:rPr/>
              <w:t xml:space="preserve">  </w:t>
            </w:r>
          </w:p>
        </w:tc>
      </w:tr>
      <w:tr>
        <w:trPr/>
        <w:tc>
          <w:tcPr>
            <w:tcW w:w="8509"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rPr/>
            </w:pPr>
            <w:r>
              <w:rPr/>
              <w:t xml:space="preserve">  </w:t>
            </w:r>
          </w:p>
        </w:tc>
        <w:tc>
          <w:tcPr>
            <w:tcW w:w="185" w:type="dxa"/>
            <w:tcBorders/>
            <w:shd w:fill="CCEEFF" w:val="clear"/>
            <w:vAlign w:val="bottom"/>
          </w:tcPr>
          <w:p>
            <w:pPr>
              <w:pStyle w:val="TableContents"/>
              <w:spacing w:before="0" w:after="283"/>
              <w:jc w:val="left"/>
              <w:rPr/>
            </w:pPr>
            <w:r>
              <w:rPr/>
              <w:t xml:space="preserve">  </w:t>
            </w:r>
          </w:p>
        </w:tc>
        <w:tc>
          <w:tcPr>
            <w:tcW w:w="1208" w:type="dxa"/>
            <w:tcBorders/>
            <w:shd w:fill="CCEEFF" w:val="clear"/>
            <w:vAlign w:val="bottom"/>
          </w:tcPr>
          <w:p>
            <w:pPr>
              <w:pStyle w:val="TableContents"/>
              <w:spacing w:before="0" w:after="283"/>
              <w:jc w:val="right"/>
              <w:rPr/>
            </w:pPr>
            <w:r>
              <w:rPr/>
              <w:t xml:space="preserve">  </w:t>
            </w:r>
          </w:p>
        </w:tc>
        <w:tc>
          <w:tcPr>
            <w:tcW w:w="170" w:type="dxa"/>
            <w:tcBorders/>
            <w:shd w:fill="CCEEFF" w:val="clear"/>
            <w:vAlign w:val="bottom"/>
          </w:tcPr>
          <w:p>
            <w:pPr>
              <w:pStyle w:val="TableContents"/>
              <w:spacing w:before="0" w:after="283"/>
              <w:jc w:val="left"/>
              <w:rPr/>
            </w:pPr>
            <w:r>
              <w:rPr/>
              <w:t xml:space="preserve">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9" w:name="PGBRK29"/>
      <w:bookmarkStart w:id="430" w:name="PGBRK29"/>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FTR29"/>
      <w:bookmarkStart w:id="432" w:name="FTR29"/>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3" w:name="GLFTR28"/>
      <w:bookmarkEnd w:id="4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34" w:name="PN28"/>
      <w:bookmarkEnd w:id="434"/>
      <w:r>
        <w:rPr>
          <w:rFonts w:ascii="Helvetica" w:hAnsi="Helvetica"/>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5" w:name="HDR28"/>
      <w:bookmarkStart w:id="436" w:name="HDR28"/>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7" w:name="GLHDR28"/>
      <w:bookmarkEnd w:id="4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pPr>
      <w:r>
        <w:rPr>
          <w:rFonts w:ascii="helvetica" w:hAnsi="helvetica"/>
          <w:sz w:val="20"/>
        </w:rPr>
        <w:t>The above discussion and table do not include the following:</w:t>
      </w:r>
      <w:r>
        <w:rPr/>
        <w:t xml:space="preserve">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8" w:name="list77"/>
      <w:bookmarkStart w:id="439" w:name="list77"/>
      <w:bookmarkEnd w:id="439"/>
    </w:p>
    <w:tbl>
      <w:tblPr>
        <w:tblW w:w="5000" w:type="pct"/>
        <w:jc w:val="left"/>
        <w:tblInd w:w="0" w:type="dxa"/>
        <w:tblCellMar>
          <w:top w:w="0" w:type="dxa"/>
          <w:left w:w="0" w:type="dxa"/>
          <w:bottom w:w="0" w:type="dxa"/>
          <w:right w:w="0" w:type="dxa"/>
        </w:tblCellMar>
      </w:tblPr>
      <w:tblGrid>
        <w:gridCol w:w="334"/>
        <w:gridCol w:w="9871"/>
      </w:tblGrid>
      <w:tr>
        <w:trPr/>
        <w:tc>
          <w:tcPr>
            <w:tcW w:w="334" w:type="dxa"/>
            <w:tcBorders/>
            <w:shd w:fill="auto" w:val="clear"/>
          </w:tcPr>
          <w:p>
            <w:pPr>
              <w:pStyle w:val="TableContents"/>
              <w:spacing w:before="0" w:after="0"/>
              <w:jc w:val="right"/>
              <w:rPr/>
            </w:pPr>
            <w:r>
              <w:rPr/>
              <w:t xml:space="preserve">●   </w:t>
            </w:r>
          </w:p>
        </w:tc>
        <w:tc>
          <w:tcPr>
            <w:tcW w:w="9871" w:type="dxa"/>
            <w:tcBorders/>
            <w:shd w:fill="auto" w:val="clear"/>
          </w:tcPr>
          <w:p>
            <w:pPr>
              <w:pStyle w:val="TableContents"/>
              <w:spacing w:before="0" w:after="0"/>
              <w:ind w:left="0" w:right="0" w:hanging="0"/>
              <w:jc w:val="both"/>
              <w:rPr/>
            </w:pPr>
            <w:r>
              <w:rPr>
                <w:rFonts w:ascii="helvetica" w:hAnsi="helvetica"/>
                <w:sz w:val="20"/>
              </w:rPr>
              <w:t>900,031 shares of common stock issuable upon the exercise of options outstanding as of June 30, 2012 with exercise prices ranging from $2.40 to $80.00 and a weighted average exercise price of $5.15 per share;</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0" w:name="list78"/>
      <w:bookmarkStart w:id="441" w:name="list78"/>
      <w:bookmarkEnd w:id="441"/>
    </w:p>
    <w:tbl>
      <w:tblPr>
        <w:tblW w:w="5000" w:type="pct"/>
        <w:jc w:val="left"/>
        <w:tblInd w:w="0" w:type="dxa"/>
        <w:tblCellMar>
          <w:top w:w="0" w:type="dxa"/>
          <w:left w:w="0" w:type="dxa"/>
          <w:bottom w:w="0" w:type="dxa"/>
          <w:right w:w="0" w:type="dxa"/>
        </w:tblCellMar>
      </w:tblPr>
      <w:tblGrid>
        <w:gridCol w:w="342"/>
        <w:gridCol w:w="9863"/>
      </w:tblGrid>
      <w:tr>
        <w:trPr/>
        <w:tc>
          <w:tcPr>
            <w:tcW w:w="342" w:type="dxa"/>
            <w:tcBorders/>
            <w:shd w:fill="auto" w:val="clear"/>
          </w:tcPr>
          <w:p>
            <w:pPr>
              <w:pStyle w:val="TableContents"/>
              <w:spacing w:before="0" w:after="0"/>
              <w:jc w:val="right"/>
              <w:rPr/>
            </w:pPr>
            <w:r>
              <w:rPr/>
              <w:t xml:space="preserve">●   </w:t>
            </w:r>
          </w:p>
        </w:tc>
        <w:tc>
          <w:tcPr>
            <w:tcW w:w="9863" w:type="dxa"/>
            <w:tcBorders/>
            <w:shd w:fill="auto" w:val="clear"/>
          </w:tcPr>
          <w:p>
            <w:pPr>
              <w:pStyle w:val="TableContents"/>
              <w:spacing w:before="0" w:after="0"/>
              <w:ind w:left="0" w:right="0" w:hanging="0"/>
              <w:jc w:val="both"/>
              <w:rPr/>
            </w:pPr>
            <w:r>
              <w:rPr>
                <w:rFonts w:ascii="helvetica" w:hAnsi="helvetica"/>
                <w:sz w:val="20"/>
              </w:rPr>
              <w:t>17,123 shares of common stock issuable upon the exercise of outstanding options granted subsequent to June 30, 2012 at a weighted average exercise price of $4.50;</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2" w:name="list79"/>
      <w:bookmarkStart w:id="443" w:name="list79"/>
      <w:bookmarkEnd w:id="443"/>
    </w:p>
    <w:tbl>
      <w:tblPr>
        <w:tblW w:w="5000" w:type="pct"/>
        <w:jc w:val="left"/>
        <w:tblInd w:w="0" w:type="dxa"/>
        <w:tblCellMar>
          <w:top w:w="0" w:type="dxa"/>
          <w:left w:w="0" w:type="dxa"/>
          <w:bottom w:w="0" w:type="dxa"/>
          <w:right w:w="0" w:type="dxa"/>
        </w:tblCellMar>
      </w:tblPr>
      <w:tblGrid>
        <w:gridCol w:w="330"/>
        <w:gridCol w:w="9875"/>
      </w:tblGrid>
      <w:tr>
        <w:trPr/>
        <w:tc>
          <w:tcPr>
            <w:tcW w:w="330" w:type="dxa"/>
            <w:tcBorders/>
            <w:shd w:fill="auto" w:val="clear"/>
          </w:tcPr>
          <w:p>
            <w:pPr>
              <w:pStyle w:val="TableContents"/>
              <w:spacing w:before="0" w:after="0"/>
              <w:jc w:val="right"/>
              <w:rPr/>
            </w:pPr>
            <w:r>
              <w:rPr/>
              <w:t xml:space="preserve">●   </w:t>
            </w:r>
          </w:p>
        </w:tc>
        <w:tc>
          <w:tcPr>
            <w:tcW w:w="9875" w:type="dxa"/>
            <w:tcBorders/>
            <w:shd w:fill="auto" w:val="clear"/>
          </w:tcPr>
          <w:p>
            <w:pPr>
              <w:pStyle w:val="TableContents"/>
              <w:spacing w:before="0" w:after="0"/>
              <w:ind w:left="0" w:right="0" w:hanging="0"/>
              <w:jc w:val="both"/>
              <w:rPr/>
            </w:pPr>
            <w:r>
              <w:rPr>
                <w:rFonts w:ascii="helvetica" w:hAnsi="helvetica"/>
                <w:sz w:val="20"/>
              </w:rPr>
              <w:t>570,290 shares of common stock underlying warrants issuable upon the exercise of warrants outstanding as of June 30, 2012 with exercise prices ranging from $5.925 to $176.00 and a weighted average exercise price of $11.25 per share;</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4" w:name="list80"/>
      <w:bookmarkStart w:id="445" w:name="list80"/>
      <w:bookmarkEnd w:id="445"/>
    </w:p>
    <w:tbl>
      <w:tblPr>
        <w:tblW w:w="5000" w:type="pct"/>
        <w:jc w:val="left"/>
        <w:tblInd w:w="0" w:type="dxa"/>
        <w:tblCellMar>
          <w:top w:w="0" w:type="dxa"/>
          <w:left w:w="0" w:type="dxa"/>
          <w:bottom w:w="0" w:type="dxa"/>
          <w:right w:w="0" w:type="dxa"/>
        </w:tblCellMar>
      </w:tblPr>
      <w:tblGrid>
        <w:gridCol w:w="351"/>
        <w:gridCol w:w="9854"/>
      </w:tblGrid>
      <w:tr>
        <w:trPr/>
        <w:tc>
          <w:tcPr>
            <w:tcW w:w="351" w:type="dxa"/>
            <w:tcBorders/>
            <w:shd w:fill="auto" w:val="clear"/>
          </w:tcPr>
          <w:p>
            <w:pPr>
              <w:pStyle w:val="TableContents"/>
              <w:spacing w:before="0" w:after="0"/>
              <w:jc w:val="right"/>
              <w:rPr/>
            </w:pPr>
            <w:r>
              <w:rPr/>
              <w:t xml:space="preserve">●   </w:t>
            </w:r>
          </w:p>
        </w:tc>
        <w:tc>
          <w:tcPr>
            <w:tcW w:w="9854" w:type="dxa"/>
            <w:tcBorders/>
            <w:shd w:fill="auto" w:val="clear"/>
          </w:tcPr>
          <w:p>
            <w:pPr>
              <w:pStyle w:val="TableContents"/>
              <w:spacing w:before="0" w:after="0"/>
              <w:ind w:left="0" w:right="0" w:hanging="0"/>
              <w:jc w:val="both"/>
              <w:rPr/>
            </w:pPr>
            <w:r>
              <w:rPr>
                <w:rFonts w:ascii="helvetica" w:hAnsi="helvetica"/>
                <w:sz w:val="20"/>
              </w:rPr>
              <w:t>200,000 shares of common stock issuable underlying restricted stock units granted subsequent to June 30, 2012  outside of our 2007 Plan;</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6" w:name="list81"/>
      <w:bookmarkStart w:id="447" w:name="list81"/>
      <w:bookmarkEnd w:id="447"/>
    </w:p>
    <w:tbl>
      <w:tblPr>
        <w:tblW w:w="5000" w:type="pct"/>
        <w:jc w:val="left"/>
        <w:tblInd w:w="0" w:type="dxa"/>
        <w:tblCellMar>
          <w:top w:w="0" w:type="dxa"/>
          <w:left w:w="0" w:type="dxa"/>
          <w:bottom w:w="0" w:type="dxa"/>
          <w:right w:w="0" w:type="dxa"/>
        </w:tblCellMar>
      </w:tblPr>
      <w:tblGrid>
        <w:gridCol w:w="349"/>
        <w:gridCol w:w="9856"/>
      </w:tblGrid>
      <w:tr>
        <w:trPr/>
        <w:tc>
          <w:tcPr>
            <w:tcW w:w="349" w:type="dxa"/>
            <w:tcBorders/>
            <w:shd w:fill="auto" w:val="clear"/>
          </w:tcPr>
          <w:p>
            <w:pPr>
              <w:pStyle w:val="TableContents"/>
              <w:spacing w:before="0" w:after="0"/>
              <w:jc w:val="right"/>
              <w:rPr/>
            </w:pPr>
            <w:r>
              <w:rPr/>
              <w:t xml:space="preserve">●   </w:t>
            </w:r>
          </w:p>
        </w:tc>
        <w:tc>
          <w:tcPr>
            <w:tcW w:w="9856" w:type="dxa"/>
            <w:tcBorders/>
            <w:shd w:fill="auto" w:val="clear"/>
          </w:tcPr>
          <w:p>
            <w:pPr>
              <w:pStyle w:val="TableContents"/>
              <w:spacing w:before="0" w:after="0"/>
              <w:ind w:left="0" w:right="0" w:hanging="0"/>
              <w:jc w:val="both"/>
              <w:rPr/>
            </w:pPr>
            <w:r>
              <w:rPr>
                <w:rFonts w:ascii="helvetica" w:hAnsi="helvetica"/>
                <w:sz w:val="20"/>
              </w:rPr>
              <w:t>warrants to purchase up to               shares of our common stock issuable to the underwriter in connection with the completion of this offering;</w:t>
            </w:r>
            <w:r>
              <w:rPr/>
              <w:t xml:space="preserve">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8" w:name="list82"/>
      <w:bookmarkStart w:id="449" w:name="list82"/>
      <w:bookmarkEnd w:id="449"/>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pPr>
            <w:r>
              <w:rPr/>
              <w:t xml:space="preserve">●   </w:t>
            </w:r>
          </w:p>
        </w:tc>
        <w:tc>
          <w:tcPr>
            <w:tcW w:w="9807" w:type="dxa"/>
            <w:tcBorders/>
            <w:shd w:fill="auto" w:val="clear"/>
          </w:tcPr>
          <w:p>
            <w:pPr>
              <w:pStyle w:val="TableContents"/>
              <w:spacing w:before="0" w:after="0"/>
              <w:ind w:left="0" w:right="0" w:hanging="0"/>
              <w:jc w:val="both"/>
              <w:rPr/>
            </w:pPr>
            <w:r>
              <w:rPr>
                <w:rFonts w:ascii="helvetica" w:hAnsi="helvetica"/>
                <w:sz w:val="20"/>
              </w:rPr>
              <w:t>1,483,864 shares of common stock available for future grant as of June 30, 2012 under our 2007 Plan.</w:t>
            </w:r>
            <w:r>
              <w:rPr/>
              <w:t xml:space="preserve"> </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0" w:name="PGBRK30"/>
      <w:bookmarkStart w:id="451" w:name="PGBRK30"/>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 w:name="FTR30"/>
      <w:bookmarkStart w:id="453" w:name="FTR30"/>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4" w:name="GLFTR29"/>
      <w:bookmarkEnd w:id="4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55" w:name="PN29"/>
      <w:bookmarkEnd w:id="455"/>
      <w:r>
        <w:rPr>
          <w:rFonts w:ascii="Helvetica" w:hAnsi="Helvetica"/>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6" w:name="HDR29"/>
      <w:bookmarkStart w:id="457" w:name="HDR29"/>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8" w:name="GLHDR29"/>
      <w:bookmarkEnd w:id="4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Helvetica" w:hAnsi="Helvetica"/>
          <w:b/>
          <w:sz w:val="20"/>
        </w:rPr>
      </w:pPr>
      <w:r>
        <w:rPr>
          <w:rFonts w:ascii="Helvetica" w:hAnsi="Helvetica"/>
          <w:b/>
          <w:sz w:val="20"/>
        </w:rPr>
        <w:t>UNDERWRITING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offering the shares of common stock described in this prospectus through a single underwriter. MDB Capital Group LLC is acting as sole book-running manager of the offering. We have entered into an underwriting agreement with the underwriter. Subject to the terms and conditions of the underwriting agreement, we have agreed to sell to the underwriter, and the underwriter has agreed to purchase, at the public offering price less the underwriting discounts and commissions set forth on the cover page of this prospectus supplement, shares of common stock (not including shares that may be issued pursuant to the underwriter’s over-allotment option).  The underwriter is committed to purchase all the common shares offered by us, other than those covered by the option to purchase additional shares described below, if they purchase any shares.  A copy of the underwriting agreement has been filed as an exhibit to the registration statement of which this prospectus forms a part.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been advised by the underwriter that it proposes to offer shares of our common stock directly to the public at the public offering prices set forth on the cover page of this prospectus and to certain dealers that are members of the Financial Industry Regulatory Authority (FINRA). Any securities sold by the underwriter to such securities dealers will be sold at the public offering prices less a selling concession not in excess of $          per share. Any such dealers may resell shares to certain other brokers or dealers at a discount of up to $          per share from the public offering price. After the public offering of the shares, the offering price and other selling terms may be changed by the underwriter.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underwriting agreement provides that the underwriter’s obligation to purchase shares of our common stock is subject to conditions contained in the underwriting agreement.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None of our securities included in this offering may be offered or sold, directly or indirectly, nor may this prospectus and any other offering material or advertisements in connection with the offer and sales of any of our common stock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our common stock and the distribution of this prospectus. This prospectus is neither an offer to sell nor a solicitation of any offer to buy any of our common stock included in this offering in any jurisdiction where that would not be permitted or legal.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has advised us that it does not intend to confirm sales to any accounts over which it exercises discretionary authority.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Underwriting Discount and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summarizes the underwriting discount and commission to be paid to the underwriter by us.</w:t>
      </w: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6169"/>
        <w:gridCol w:w="118"/>
        <w:gridCol w:w="834"/>
        <w:gridCol w:w="938"/>
        <w:gridCol w:w="118"/>
        <w:gridCol w:w="118"/>
        <w:gridCol w:w="834"/>
        <w:gridCol w:w="938"/>
        <w:gridCol w:w="138"/>
      </w:tblGrid>
      <w:tr>
        <w:trPr/>
        <w:tc>
          <w:tcPr>
            <w:tcW w:w="6169"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xml:space="preserve">  </w:t>
            </w:r>
          </w:p>
        </w:tc>
        <w:tc>
          <w:tcPr>
            <w:tcW w:w="17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Without</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18"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xml:space="preserve">  </w:t>
            </w:r>
          </w:p>
        </w:tc>
        <w:tc>
          <w:tcPr>
            <w:tcW w:w="17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38" w:type="dxa"/>
            <w:tcBorders/>
            <w:shd w:fill="auto" w:val="clear"/>
            <w:vAlign w:val="bottom"/>
          </w:tcPr>
          <w:p>
            <w:pPr>
              <w:pStyle w:val="TableContents"/>
              <w:spacing w:before="0" w:after="283"/>
              <w:rPr/>
            </w:pPr>
            <w:r>
              <w:rPr/>
              <w:t xml:space="preserve">  </w:t>
            </w:r>
          </w:p>
        </w:tc>
      </w:tr>
      <w:tr>
        <w:trPr/>
        <w:tc>
          <w:tcPr>
            <w:tcW w:w="6169"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xml:space="preserve">  </w:t>
            </w:r>
          </w:p>
        </w:tc>
        <w:tc>
          <w:tcPr>
            <w:tcW w:w="1772" w:type="dxa"/>
            <w:gridSpan w:val="2"/>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xml:space="preserve">  </w:t>
            </w:r>
          </w:p>
        </w:tc>
        <w:tc>
          <w:tcPr>
            <w:tcW w:w="1772" w:type="dxa"/>
            <w:gridSpan w:val="2"/>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rPr/>
            </w:pPr>
            <w:r>
              <w:rPr/>
              <w:t xml:space="preserve">  </w:t>
            </w:r>
          </w:p>
        </w:tc>
      </w:tr>
      <w:tr>
        <w:trPr/>
        <w:tc>
          <w:tcPr>
            <w:tcW w:w="616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Public offering price per share</w:t>
            </w:r>
          </w:p>
        </w:tc>
        <w:tc>
          <w:tcPr>
            <w:tcW w:w="118" w:type="dxa"/>
            <w:tcBorders/>
            <w:shd w:fill="CCEEFF" w:val="clear"/>
            <w:vAlign w:val="bottom"/>
          </w:tcPr>
          <w:p>
            <w:pPr>
              <w:pStyle w:val="TableContents"/>
              <w:spacing w:before="0" w:after="283"/>
              <w:rPr/>
            </w:pPr>
            <w:r>
              <w:rPr/>
              <w:t xml:space="preserve">  </w:t>
            </w:r>
          </w:p>
        </w:tc>
        <w:tc>
          <w:tcPr>
            <w:tcW w:w="83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xml:space="preserve">  </w:t>
            </w:r>
          </w:p>
        </w:tc>
        <w:tc>
          <w:tcPr>
            <w:tcW w:w="83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rPr/>
            </w:pPr>
            <w:r>
              <w:rPr/>
              <w:t xml:space="preserve">  </w:t>
            </w:r>
          </w:p>
        </w:tc>
      </w:tr>
      <w:tr>
        <w:trPr/>
        <w:tc>
          <w:tcPr>
            <w:tcW w:w="616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Underwriting discount per share to be paid to the underwriter by us for the common stock</w:t>
            </w:r>
          </w:p>
        </w:tc>
        <w:tc>
          <w:tcPr>
            <w:tcW w:w="118" w:type="dxa"/>
            <w:tcBorders/>
            <w:shd w:fill="FFFFFF" w:val="clear"/>
            <w:vAlign w:val="bottom"/>
          </w:tcPr>
          <w:p>
            <w:pPr>
              <w:pStyle w:val="TableContents"/>
              <w:spacing w:before="0" w:after="283"/>
              <w:rPr/>
            </w:pPr>
            <w:r>
              <w:rPr/>
              <w:t xml:space="preserve">  </w:t>
            </w:r>
          </w:p>
        </w:tc>
        <w:tc>
          <w:tcPr>
            <w:tcW w:w="834"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FFFFFF" w:val="clear"/>
            <w:vAlign w:val="bottom"/>
          </w:tcPr>
          <w:p>
            <w:pPr>
              <w:pStyle w:val="TableContents"/>
              <w:spacing w:before="0" w:after="283"/>
              <w:rPr/>
            </w:pPr>
            <w:r>
              <w:rPr/>
              <w:t xml:space="preserve">  </w:t>
            </w:r>
          </w:p>
        </w:tc>
        <w:tc>
          <w:tcPr>
            <w:tcW w:w="118" w:type="dxa"/>
            <w:tcBorders/>
            <w:shd w:fill="FFFFFF" w:val="clear"/>
            <w:vAlign w:val="bottom"/>
          </w:tcPr>
          <w:p>
            <w:pPr>
              <w:pStyle w:val="TableContents"/>
              <w:spacing w:before="0" w:after="283"/>
              <w:rPr/>
            </w:pPr>
            <w:r>
              <w:rPr/>
              <w:t xml:space="preserve">  </w:t>
            </w:r>
          </w:p>
        </w:tc>
        <w:tc>
          <w:tcPr>
            <w:tcW w:w="118" w:type="dxa"/>
            <w:tcBorders/>
            <w:shd w:fill="FFFFFF" w:val="clear"/>
            <w:vAlign w:val="bottom"/>
          </w:tcPr>
          <w:p>
            <w:pPr>
              <w:pStyle w:val="TableContents"/>
              <w:spacing w:before="0" w:after="283"/>
              <w:rPr/>
            </w:pPr>
            <w:r>
              <w:rPr/>
              <w:t xml:space="preserve">  </w:t>
            </w:r>
          </w:p>
        </w:tc>
        <w:tc>
          <w:tcPr>
            <w:tcW w:w="834"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r>
      <w:tr>
        <w:trPr/>
        <w:tc>
          <w:tcPr>
            <w:tcW w:w="616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Non-accountable expense allowance</w:t>
            </w:r>
          </w:p>
        </w:tc>
        <w:tc>
          <w:tcPr>
            <w:tcW w:w="118" w:type="dxa"/>
            <w:tcBorders/>
            <w:shd w:fill="CCEEFF" w:val="clear"/>
            <w:vAlign w:val="bottom"/>
          </w:tcPr>
          <w:p>
            <w:pPr>
              <w:pStyle w:val="TableContents"/>
              <w:spacing w:before="0" w:after="283"/>
              <w:rPr/>
            </w:pPr>
            <w:r>
              <w:rPr/>
              <w:t xml:space="preserve">  </w:t>
            </w:r>
          </w:p>
        </w:tc>
        <w:tc>
          <w:tcPr>
            <w:tcW w:w="83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xml:space="preserve">  </w:t>
            </w:r>
          </w:p>
        </w:tc>
        <w:tc>
          <w:tcPr>
            <w:tcW w:w="83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rPr/>
            </w:pPr>
            <w:r>
              <w:rPr/>
              <w:t xml:space="preserve">  </w:t>
            </w:r>
          </w:p>
        </w:tc>
      </w:tr>
      <w:tr>
        <w:trPr/>
        <w:tc>
          <w:tcPr>
            <w:tcW w:w="616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underwriting discounts and commissions</w:t>
            </w:r>
          </w:p>
        </w:tc>
        <w:tc>
          <w:tcPr>
            <w:tcW w:w="118" w:type="dxa"/>
            <w:tcBorders/>
            <w:shd w:fill="FFFFFF" w:val="clear"/>
            <w:vAlign w:val="bottom"/>
          </w:tcPr>
          <w:p>
            <w:pPr>
              <w:pStyle w:val="TableContents"/>
              <w:spacing w:before="0" w:after="283"/>
              <w:rPr/>
            </w:pPr>
            <w:r>
              <w:rPr/>
              <w:t xml:space="preserve">  </w:t>
            </w:r>
          </w:p>
        </w:tc>
        <w:tc>
          <w:tcPr>
            <w:tcW w:w="834" w:type="dxa"/>
            <w:tcBorders/>
            <w:shd w:fill="FFFFFF" w:val="clear"/>
            <w:vAlign w:val="bottom"/>
          </w:tcPr>
          <w:p>
            <w:pPr>
              <w:pStyle w:val="TableContents"/>
              <w:spacing w:before="0" w:after="283"/>
              <w:rPr/>
            </w:pPr>
            <w:r>
              <w:rPr/>
              <w:t xml:space="preserve">  </w:t>
            </w:r>
          </w:p>
        </w:tc>
        <w:tc>
          <w:tcPr>
            <w:tcW w:w="938" w:type="dxa"/>
            <w:tcBorders/>
            <w:shd w:fill="FFFFFF" w:val="clear"/>
            <w:vAlign w:val="bottom"/>
          </w:tcPr>
          <w:p>
            <w:pPr>
              <w:pStyle w:val="TableContents"/>
              <w:spacing w:before="0" w:after="283"/>
              <w:rPr/>
            </w:pPr>
            <w:r>
              <w:rPr/>
              <w:t xml:space="preserve">  </w:t>
            </w:r>
          </w:p>
        </w:tc>
        <w:tc>
          <w:tcPr>
            <w:tcW w:w="118" w:type="dxa"/>
            <w:tcBorders/>
            <w:shd w:fill="FFFFFF" w:val="clear"/>
            <w:vAlign w:val="bottom"/>
          </w:tcPr>
          <w:p>
            <w:pPr>
              <w:pStyle w:val="TableContents"/>
              <w:spacing w:before="0" w:after="283"/>
              <w:rPr/>
            </w:pPr>
            <w:r>
              <w:rPr/>
              <w:t xml:space="preserve">  </w:t>
            </w:r>
          </w:p>
        </w:tc>
        <w:tc>
          <w:tcPr>
            <w:tcW w:w="118" w:type="dxa"/>
            <w:tcBorders/>
            <w:shd w:fill="FFFFFF" w:val="clear"/>
            <w:vAlign w:val="bottom"/>
          </w:tcPr>
          <w:p>
            <w:pPr>
              <w:pStyle w:val="TableContents"/>
              <w:spacing w:before="0" w:after="283"/>
              <w:rPr/>
            </w:pPr>
            <w:r>
              <w:rPr/>
              <w:t xml:space="preserve">  </w:t>
            </w:r>
          </w:p>
        </w:tc>
        <w:tc>
          <w:tcPr>
            <w:tcW w:w="834" w:type="dxa"/>
            <w:tcBorders/>
            <w:shd w:fill="FFFFFF" w:val="clear"/>
            <w:vAlign w:val="bottom"/>
          </w:tcPr>
          <w:p>
            <w:pPr>
              <w:pStyle w:val="TableContents"/>
              <w:spacing w:before="0" w:after="283"/>
              <w:rPr/>
            </w:pPr>
            <w:r>
              <w:rPr/>
              <w:t xml:space="preserve">  </w:t>
            </w:r>
          </w:p>
        </w:tc>
        <w:tc>
          <w:tcPr>
            <w:tcW w:w="938" w:type="dxa"/>
            <w:tcBorders/>
            <w:shd w:fill="FFFFFF" w:val="cle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r>
      <w:tr>
        <w:trPr/>
        <w:tc>
          <w:tcPr>
            <w:tcW w:w="616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before expenses, to us</w:t>
            </w:r>
          </w:p>
        </w:tc>
        <w:tc>
          <w:tcPr>
            <w:tcW w:w="118" w:type="dxa"/>
            <w:tcBorders/>
            <w:shd w:fill="CCEEFF" w:val="clear"/>
            <w:vAlign w:val="bottom"/>
          </w:tcPr>
          <w:p>
            <w:pPr>
              <w:pStyle w:val="TableContents"/>
              <w:spacing w:before="0" w:after="283"/>
              <w:rPr/>
            </w:pPr>
            <w:r>
              <w:rPr/>
              <w:t xml:space="preserve">  </w:t>
            </w:r>
          </w:p>
        </w:tc>
        <w:tc>
          <w:tcPr>
            <w:tcW w:w="83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xml:space="preserve">  </w:t>
            </w:r>
          </w:p>
        </w:tc>
        <w:tc>
          <w:tcPr>
            <w:tcW w:w="118" w:type="dxa"/>
            <w:tcBorders/>
            <w:shd w:fill="CCEEFF" w:val="clear"/>
            <w:vAlign w:val="bottom"/>
          </w:tcPr>
          <w:p>
            <w:pPr>
              <w:pStyle w:val="TableContents"/>
              <w:spacing w:before="0" w:after="283"/>
              <w:rPr/>
            </w:pPr>
            <w:r>
              <w:rPr/>
              <w:t xml:space="preserve">  </w:t>
            </w:r>
          </w:p>
        </w:tc>
        <w:tc>
          <w:tcPr>
            <w:tcW w:w="83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938"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rPr/>
            </w:pPr>
            <w:r>
              <w:rPr/>
              <w:t xml:space="preserve">  </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We estimate the expenses payable by us for this offering to be $              million, including the underwriting discount, or $              million if the underwriter’s over-allotment option is exercised in full, and reimbursement of the expenses of the underwriter equal to $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9" w:name="PGBRK31"/>
      <w:bookmarkStart w:id="460" w:name="PGBRK31"/>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 w:name="FTR31"/>
      <w:bookmarkStart w:id="462" w:name="FTR31"/>
      <w:bookmarkEnd w:id="4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3" w:name="GLFTR30"/>
      <w:bookmarkEnd w:id="4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64" w:name="PN30"/>
      <w:bookmarkEnd w:id="464"/>
      <w:r>
        <w:rPr>
          <w:rFonts w:ascii="Helvetica" w:hAnsi="Helvetica"/>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5" w:name="HDR30"/>
      <w:bookmarkStart w:id="466" w:name="HDR30"/>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7" w:name="GLHDR30"/>
      <w:bookmarkEnd w:id="4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Over-allotment Option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granted to the underwriter an option, exercisable not later than              days after the date of this prospectus, to purchase up to an additional                    shares of our common stock (up to        % of the shares firmly committed in this offering) at the public offering price, less the underwriting discount, set forth on the cover page of this prospectus. The underwriter may exercise the option solely to cover over-allotments, if any, made in connection with this offering. If any additional shares of our common stock are purchased pursuant to the over-allotment option, the underwriter will offer these additional shares of our common stock on the same terms as those on which the other shares of common stock are being offered hereby.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Determination of Offering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public offering price of the common stock was negotiated between us and the underwriter, based on the trading price of the common stock prior to the offering, among other things. Other factors considered in determining the price of the common stock include the history and prospects of our company, the stage of development of our business, our business plans for the future and the extent to which they have been implemented, an assessment of our management, general conditions of the financial markets at the time of the offering and such other factors as were deemed relevant.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Underwriter Warrant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agreed to issue to MDB Capital Group LLC a warrant to purchase up to 8.5% of the shares of common stock sold in this offering. This warrant is exercisable at $          per share (100% of the price of the common stock sold in this offering), commencing on the effective date of this offering and expiring five years from the effective date of this offering. The warrant and the shares of common stock underlying the warrant have been deemed compensation by FINRA and are therefore subject to a 180-day lock-up pursuant to Rule 5110(g)(1) of the FINRA. MDB Capital Group LLC (or permitted assignees under the Rule) will not sell, transfer, assign, pledge or hypothecate this warrant or the securities underlying this option, nor will it engage in any hedging, short sale, derivative, put or call transaction that would result in the effective economic disposition of this warrant or the underlying securities for a period of 180 days from the effective date of the registration statement of which this prospectus is a part.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All of our officers and directors and stockholders beneficially owning 5% or more of our common stock have agreed that, for a period of 180 days from the date of this prospectus, they will not sell, contract to sell, grant any option for the sale or otherwise dispose of any of our equity securities, or any securities convertible into or exercisable or exchangeable for our equity securities, without the consent of the underwriter, except for exercise or conversion of currently outstanding warrants and options, as applicable, and exercise of options under an acceptable stock incentive plan. The underwriter may consent to an early release from the lock-up period if, in its opinion, the market for the common stock would not be adversely impacted by sales and in cases of a financial emergency of an officer, director or other stockholder. We are unaware of any officer, director or stockholder who intends to ask for consent to dispose of any of our equity securities during the relevant lock-up period.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Indemnification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will agree to indemnify the underwriter against certain liabilities, including certain liabilities arising under the Securities Act, and to contribute to payments that the underwriter may be required to make for these liabilities.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8" w:name="PGBRK32"/>
      <w:bookmarkStart w:id="469" w:name="PGBRK32"/>
      <w:bookmarkEnd w:id="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 w:name="FTR32"/>
      <w:bookmarkStart w:id="471" w:name="FTR32"/>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2" w:name="GLFTR31"/>
      <w:bookmarkEnd w:id="4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73" w:name="PN31"/>
      <w:bookmarkEnd w:id="473"/>
      <w:r>
        <w:rPr>
          <w:rFonts w:ascii="Helvetica" w:hAnsi="Helvetica"/>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 w:name="HDR31"/>
      <w:bookmarkStart w:id="475" w:name="HDR31"/>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6" w:name="GLHDR31"/>
      <w:bookmarkEnd w:id="4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Stabilization, Short Positions and Penalty Bids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may engage in over-allotment, stabilizing transactions, syndicate covering transactions, and penalty bids or purchases for the purpose of pegging, fixing or maintaining the price of the common stock, in accordance with Regulation M under the Exchange Act.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Over-allotment involves sales by the underwriter of shares in excess of the number of shares the underwriter is obligated to purchase, which creates a syndicate short position. The short position may be either a covered short position or a naked short position. In a covered short position, the number of shares over-allotted by the underwriter is not greater than the number of shares that it may purchase in the over-allotment option. In a naked short position, the number of shares involved is greater than the number of shares in the over-allotment option. The underwriter may close out any short position by either exercising its over-allotment option and/or purchasing shares in the open market.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Stabilizing transactions permit bids to purchase the underlying security so long as the stabilizing bids do not exceed a specified maximum.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Syndicate covering transactions involve purchases of the common stock in the open market after the distribution has been completed in order to cover syndicate short positions. In determining the source of shares to close out the short position, the underwriter will consider, among other things, the price of shares available for purchase in the open market as compared to the price at which it may purchase shares through the over-allotment option. If the underwriter sells more shares than could be covered by the over-allotment option,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Penalty bids permit the underwriter to reclaim a selling concession from a syndicate member when the shares originally sold by the syndicate member are purchased in a stabilizing or syndicate covering transaction to cover syndicate short positions.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if commenced, may be discontinued at any time.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Neither we nor the underwriter make any representation or prediction as to the direction or magnitude of any effect that the transactions described above may have on the price of the common stock. In addition, neither we nor the underwriter make any representation that the underwriter will engage in these stabilizing transactions or that any transaction, once commenced, will not be discontinued without notice.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Passive Market Making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connection with the offering, the underwriter may engage in passive market making transactions in the common stock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Electronic Distribution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prospectus in electronic format may be made available on the Internet sites or through other online services maintained by the underwriter, or by its affiliates. In those cases, prospective investors may view offering terms online and, depending upon the underwriter, prospective investors may be allowed to place orders online. The underwriter may agree with us to allocate a specific number of shares for sale to online brokerage account holders. Any such allocation for online distributions will be made by the underwriter on the same basis as other allocations.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7" w:name="PGBRK33"/>
      <w:bookmarkStart w:id="478" w:name="PGBRK33"/>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 w:name="FTR33"/>
      <w:bookmarkStart w:id="480" w:name="FTR33"/>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1" w:name="GLFTR32"/>
      <w:bookmarkEnd w:id="4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82" w:name="PN32"/>
      <w:bookmarkEnd w:id="482"/>
      <w:r>
        <w:rPr>
          <w:rFonts w:ascii="Helvetica" w:hAnsi="Helvetica"/>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 w:name="HDR32"/>
      <w:bookmarkStart w:id="484" w:name="HDR32"/>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5" w:name="GLHDR32"/>
      <w:bookmarkEnd w:id="4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Other than the prospectus in electronic format, the information on the underwriter’s website and any information contained in any other website maintained by the underwriter is not part of the prospectus or the registration statement of which this prospectus forms a part, has not been approved and/or endorsed by us or the underwriter in its capacity as underwriter and should not be relied upon by investors.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underwriter’s compensation in connection with this offering is limited to the fees and expenses described in this section under “Underwriting Discount and Expenses” and “Other Terms.”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Other Terms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agreed to reimburse MDB Capital Group LLC for reasonable underwriter counsel fees and certain fees and expenses in the event this offering is consummated.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United Kingdom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within Article 49(2)(a) to (e)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 has represented and agreed that: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in circumstances in which Section 21(1) of the FSMA does not apply to us, and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 it has complied with, and will comply with all applicable provisions of FSMA with respect to anything done by it in relation to the shares in, from or otherwise involving the United Kingdom.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European Economic Area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relation to each Member State of the European Economic Area which has implemented the Prospectus Directive (each, a “Relevant Member State”), the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6" w:name="PGBRK34"/>
      <w:bookmarkStart w:id="487" w:name="PGBRK34"/>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FTR34"/>
      <w:bookmarkStart w:id="489" w:name="FTR34"/>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0" w:name="GLFTR33"/>
      <w:bookmarkEnd w:id="4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91" w:name="PN33"/>
      <w:bookmarkEnd w:id="491"/>
      <w:r>
        <w:rPr>
          <w:rFonts w:ascii="Helvetica" w:hAnsi="Helvetica"/>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2" w:name="HDR33"/>
      <w:bookmarkStart w:id="493" w:name="HDR33"/>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4" w:name="GLHDR33"/>
      <w:bookmarkEnd w:id="4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to legal entities which are authorized or regulated to operate in the financial markets or, if not so authorized or regulated, whose corporate purpose is solely to invest in securities,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 to any legal entity which has two or more of (1) an average of at least 250 employees during the last financial year; (2) a total balance sheet of more than €43,000,000, and (3) an annual net turnover of more than €50,000,000, as shown in its last annual or consolidated accounts, or in any other circumstances which do not require the publication by us of a prospectus pursuant to Article 3 of the Prospectus Directive. 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EEA selling restriction is in addition to any other selling restrictions set out below. In relation to each Relevant Member State, each purchaser of shares of common stock (other than the underwriter) will be deemed to have represented, acknowledged and agreed that it will not make an offer of shares of common stock to the public in any Relevant Member State, except that it may, with effect from and including the date on which the Prospectus Directive is implemented in the Relevant Member State, make an offer of shares of common stock to the public in that Relevant Member State at any time in any circumstances which do not require the publication by us of a prospectus pursuant to Article 3 of the Prospectus Directive, provided that such purchaser agrees that it has not and will not make an offer of any shares of common stock in reliance or purported reliance on Article 3(2)(b) of the Prospectus Directive. For the purposes of this provision, the expression an “offer of shares to the public” in relation to any shares of common stock in any Relevant Member State has the same meaning as in the preceding paragraph.</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495" w:name="TAB11"/>
      <w:bookmarkEnd w:id="495"/>
      <w:r>
        <w:rPr>
          <w:rFonts w:ascii="Helvetica" w:hAnsi="Helvetica"/>
          <w:b/>
          <w:sz w:val="20"/>
        </w:rPr>
        <w:t>MARKET PRICE OF AND DIVIDENDS ON COMMON STOCK AND RELATED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has been quoted on the OTC Market System since October 1, 2007 and is currently quoted on the OTC Markets Group QB tier, or OTCQB, under the symbol IMMY.  On October 1, 2007, our common shares began quotation on the Over-the-Counter Bulletin Board, or OTCBB, under the symbol TDLP.  Due to our failure to comply with SEC filing requirements and following our entry into bankruptcy proceedings (as described in more detail elsewhere in this prospectus), on May 19, 2011, our common stock ceased being quoted on the OTCBB and began quotation under the symbol TDLPQ.PK on the OTC Markets Group Pink tier, or OTC Pink. On March 24, 2012, in connection with our name change to Imprimis Pharmaceuticals, Inc. and the one-for-eight reverse split of our authorized, issued and outstanding common stock, our common stock began quotation on the OTCQB under the symbol IMMY.  The OTCBB, OTC Pink and OTCQB markets are extremely limited and any prices quoted may not be a reliable indication of the value of our common stock.  There is no established trading market for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high and low last-bid prices for our common stock for the periods indicated, as reported by the OTCBB, OTC Pink or the OTCQB, as applicable, after giving effect to the expected one-for-five reverse stock split. The quotations reflect inter-dealer prices, without retail mark-up, mark-down or commission, and may not represent actual transactions.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37"/>
        <w:gridCol w:w="110"/>
        <w:gridCol w:w="125"/>
        <w:gridCol w:w="986"/>
        <w:gridCol w:w="110"/>
        <w:gridCol w:w="110"/>
        <w:gridCol w:w="125"/>
        <w:gridCol w:w="986"/>
        <w:gridCol w:w="116"/>
      </w:tblGrid>
      <w:tr>
        <w:trPr/>
        <w:tc>
          <w:tcPr>
            <w:tcW w:w="7537" w:type="dxa"/>
            <w:tcBorders/>
            <w:shd w:fill="auto"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2012</w:t>
            </w:r>
          </w:p>
        </w:tc>
        <w:tc>
          <w:tcPr>
            <w:tcW w:w="1221"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0" w:type="dxa"/>
            <w:tcBorders/>
            <w:shd w:fill="auto" w:val="clear"/>
            <w:vAlign w:val="bottom"/>
          </w:tcPr>
          <w:p>
            <w:pPr>
              <w:pStyle w:val="TableContents"/>
              <w:spacing w:before="0" w:after="283"/>
              <w:jc w:val="left"/>
              <w:rPr/>
            </w:pPr>
            <w:r>
              <w:rPr/>
              <w:t> </w:t>
            </w:r>
          </w:p>
        </w:tc>
        <w:tc>
          <w:tcPr>
            <w:tcW w:w="1221"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6" w:type="dxa"/>
            <w:tcBorders/>
            <w:shd w:fill="auto"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7.25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0.35</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7.50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2.60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 (through August 10, 2012)</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2011</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0" w:type="dxa"/>
            <w:tcBorders/>
            <w:shd w:fill="FFFFFF" w:val="clear"/>
            <w:vAlign w:val="bottom"/>
          </w:tcPr>
          <w:p>
            <w:pPr>
              <w:pStyle w:val="TableContents"/>
              <w:spacing w:before="0" w:after="283"/>
              <w:jc w:val="left"/>
              <w:rPr/>
            </w:pPr>
            <w:r>
              <w:rPr/>
              <w:t> </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31.60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10.40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11.20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1.30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2010</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0" w:type="dxa"/>
            <w:tcBorders/>
            <w:shd w:fill="FFFFFF" w:val="clear"/>
            <w:vAlign w:val="bottom"/>
          </w:tcPr>
          <w:p>
            <w:pPr>
              <w:pStyle w:val="TableContents"/>
              <w:spacing w:before="0" w:after="283"/>
              <w:jc w:val="left"/>
              <w:rPr/>
            </w:pPr>
            <w:r>
              <w:rPr/>
              <w:t> </w:t>
            </w:r>
          </w:p>
        </w:tc>
        <w:tc>
          <w:tcPr>
            <w:tcW w:w="1221"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36.00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36.00</w:t>
            </w:r>
          </w:p>
        </w:tc>
        <w:tc>
          <w:tcPr>
            <w:tcW w:w="116"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48.80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32.00</w:t>
            </w:r>
          </w:p>
        </w:tc>
        <w:tc>
          <w:tcPr>
            <w:tcW w:w="116"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21.60</w:t>
            </w:r>
          </w:p>
        </w:tc>
        <w:tc>
          <w:tcPr>
            <w:tcW w:w="116"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6" w:name="PGBRK35"/>
      <w:bookmarkStart w:id="497" w:name="PGBRK35"/>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 w:name="FTR35"/>
      <w:bookmarkStart w:id="499" w:name="FTR35"/>
      <w:bookmarkEnd w:id="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0" w:name="GLFTR34"/>
      <w:bookmarkEnd w:id="5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01" w:name="PN34"/>
      <w:bookmarkEnd w:id="501"/>
      <w:r>
        <w:rPr>
          <w:rFonts w:ascii="Helvetica" w:hAnsi="Helvetica"/>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 w:name="HDR34"/>
      <w:bookmarkStart w:id="503" w:name="HDR34"/>
      <w:bookmarkEnd w:id="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4" w:name="GLHDR34"/>
      <w:bookmarkEnd w:id="5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Holders</w:t>
      </w:r>
    </w:p>
    <w:p>
      <w:pPr>
        <w:pStyle w:val="TextBody"/>
        <w:spacing w:before="0" w:after="0"/>
        <w:ind w:left="0" w:right="0" w:hanging="0"/>
        <w:rPr/>
      </w:pPr>
      <w:r>
        <w:rPr/>
      </w:r>
    </w:p>
    <w:p>
      <w:pPr>
        <w:pStyle w:val="TextBody"/>
        <w:spacing w:before="0" w:after="0"/>
        <w:ind w:left="0" w:right="0" w:firstLine="720"/>
        <w:jc w:val="both"/>
        <w:rPr>
          <w:rFonts w:ascii="Helvetica" w:hAnsi="Helvetica"/>
          <w:sz w:val="20"/>
        </w:rPr>
      </w:pPr>
      <w:r>
        <w:rPr>
          <w:rFonts w:ascii="Helvetica" w:hAnsi="Helvetica"/>
          <w:sz w:val="20"/>
        </w:rPr>
        <w:t>As of August 10, 2012 we had approximately 5,939,243 shares of common stock issued and outstanding (after giving effect to the one-for-five reverse stock split) held by 176 holders of record (excluding an indeterminable number of stockholders whose shares are held in street or “nominee” name). </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Dividends</w:t>
      </w:r>
    </w:p>
    <w:p>
      <w:pPr>
        <w:pStyle w:val="TextBody"/>
        <w:spacing w:before="0" w:after="0"/>
        <w:ind w:left="0" w:right="0" w:hanging="0"/>
        <w:rPr/>
      </w:pPr>
      <w:r>
        <w:rPr/>
      </w:r>
    </w:p>
    <w:p>
      <w:pPr>
        <w:pStyle w:val="TextBody"/>
        <w:spacing w:before="0" w:after="0"/>
        <w:ind w:left="0" w:right="0" w:firstLine="720"/>
        <w:jc w:val="both"/>
        <w:rPr>
          <w:rFonts w:ascii="Helvetica" w:hAnsi="Helvetica"/>
          <w:sz w:val="20"/>
        </w:rPr>
      </w:pPr>
      <w:r>
        <w:rPr>
          <w:rFonts w:ascii="Helvetica" w:hAnsi="Helvetica"/>
          <w:sz w:val="20"/>
        </w:rPr>
        <w:t>We have never paid any dividends on our common stock and do not expect to pay dividends on our common stock in the foreseeable future. </w:t>
      </w:r>
    </w:p>
    <w:p>
      <w:pPr>
        <w:pStyle w:val="TextBody"/>
        <w:spacing w:before="0" w:after="0"/>
        <w:ind w:left="0" w:right="0" w:hanging="0"/>
        <w:rPr/>
      </w:pPr>
      <w:r>
        <w:rPr/>
      </w:r>
    </w:p>
    <w:p>
      <w:pPr>
        <w:pStyle w:val="TextBody"/>
        <w:spacing w:before="0" w:after="0"/>
        <w:ind w:left="0" w:right="0" w:firstLine="720"/>
        <w:jc w:val="center"/>
        <w:rPr>
          <w:rFonts w:ascii="Helvetica" w:hAnsi="Helvetica"/>
          <w:b/>
          <w:sz w:val="20"/>
        </w:rPr>
      </w:pPr>
      <w:r>
        <w:rPr>
          <w:rFonts w:ascii="Helvetica" w:hAnsi="Helvetica"/>
          <w:b/>
          <w:sz w:val="20"/>
        </w:rPr>
        <w:t>SHARES ELIGIBLE FOR FUTURE SALE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filing of our Chapter 11 Case with the Bankruptcy Court in June 2011, there has been a limited public market for our common stock. Future sales of substantial amounts of our common stock in the public market, or the perception that such sales may occur, could adversely affect the prevailing market price of our common stock. No prediction can be made as to the effect, if any, future sales of shares, or the availability of shares for future sales, will have on the market price of our common stock prevailing from time to time.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Sale of Restricted Shares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Upon completion of this offering, we will have                     shares of common stock and no shares of preferred stock outstanding. Of these shares of common stock, the shares being sold in this offering will be freely tradable without restriction under the Securities Act, except for any such shares which may be held or acquired by an “affiliate” of ours, as that term is defined in Rule 144 promulgated under the Securities Act, which shares will be subject to the volume limitations and other restrictions of Rule 144 as described below. Of the remaining shares of common stock held by our existing stockholders upon completion of this offering, approximately 5,647,801 shares will be “restricted securities,” as that phrase is defined in Rule 144, and may be resold only after registration under the Securities Act or pursuant to an exemption from such registration, including, among others, the exemptions provided by Rule 144 and 701 under the Securities Act, which rules are summarized below.  Included in these restricted shares are approximately 3,813,325 shares of common stock held by our existing stockholders, which upon completion of this offering will be available for sale in the public market after the expiration of the lock-up agreements described in “Underwriting” and under the heading “Lock Up Agreements” below, taking into account the provisions of Rules 144 and 701 under the Securities Act.  We do not have any outstanding obligations to register any shares of capital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5" w:name="PGBRK36"/>
      <w:bookmarkStart w:id="506" w:name="PGBRK36"/>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7" w:name="FTR36"/>
      <w:bookmarkStart w:id="508" w:name="FTR36"/>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9" w:name="GLFTR35"/>
      <w:bookmarkEnd w:id="5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10" w:name="PN35"/>
      <w:bookmarkEnd w:id="510"/>
      <w:r>
        <w:rPr>
          <w:rFonts w:ascii="Helvetica" w:hAnsi="Helvetica"/>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1" w:name="HDR35"/>
      <w:bookmarkStart w:id="512" w:name="HDR35"/>
      <w:bookmarkEnd w:id="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3" w:name="GLHDR35"/>
      <w:bookmarkEnd w:id="5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Rule 144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Under Rule 144, persons who became the beneficial owner of shares of our common stock prior to the completion of this offering may not sell their shares until the earlier of (1) the expiration of a six-month holding period, if we have been subject to the reporting requirements of the Exchange Act and have filed all required reports for at least 90 days prior to the date of the sale, or (2) a one-year holding period.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six-month holding period, a person who was not one of our affiliates at any time during the three months preceding a sale would be entitled to sell an unlimited number of shares of our common stock provided current public information about us is available, and a person who was one of our affiliates at any time during the three months preceding a sale would be entitled to sell within any three-month period only a number of shares of common stock that does not exceed the greater of either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14" w:name="list83"/>
      <w:bookmarkStart w:id="515" w:name="list83"/>
      <w:bookmarkEnd w:id="51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 of the number of shares of our common stock then outstanding, which will equal approximately shares immediately after this offering, based on the number of shares of our common stock outstanding after completion of this offering;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16" w:name="list84"/>
      <w:bookmarkStart w:id="517" w:name="list84"/>
      <w:bookmarkEnd w:id="51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average weekly trading volume of our common stock during the four calendar weeks preceding the filing of a notice on Form 144 with respect to the sale.</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one-year holding period, a person who was not one of our affiliates at any time during the three months preceding a sale would be entitled to sell an unlimited number of shares of our common stock without restriction as long as we maintain current public information. A person who was one of our affiliates at any time during the three months preceding a sale would remain subject to the volume restrictions described above.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under Rule 144 by our affiliates are also subject to manner of sale provisions and notice requirements and to the availability of current public information about us.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Stock Incentive Plans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a registration statement on Form S-8 under the Securities Act to register certain of the shares of our common stock issued or reserved for issuance under the 2007 Plan.  Accordingly, shares registered under such registration statement are available for sale in the open market, unless such shares are subject to vesting restrictions with us, Rule 144 restrictions applicable to our affiliates or the lock-up restrictions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Mr. Baum, in connection with his services as Chief Executive Officer, 160,000 restricted stock units (RSUs) outside of the 2007 Plan.  The RSUs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Dr. Kammer 40,000 RSUs outside of the 2007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offers, sales and issuances of these securities were deemed to be exempt from registration under the Securities Act in reliance on Section 4(2) of the Securities Act and the other rules and regulations promulgated thereunder. The recipient of securities in each such transaction represented their intention to acquire the securities for investment only and not with a view to or for sale in connection with any distribution thereof.</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intend to file a registration statement on Form S-8 under the Securities Act covering the RSUs issued to Mr. Baum and Dr. Kammer, as well as the recently approved increases in the option reserve under the 2007 Plan, as soon as practicable.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8" w:name="PGBRK37"/>
      <w:bookmarkStart w:id="519" w:name="PGBRK37"/>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0" w:name="FTR37"/>
      <w:bookmarkStart w:id="521" w:name="FTR37"/>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2" w:name="GLFTR36"/>
      <w:bookmarkEnd w:id="5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23" w:name="PN36"/>
      <w:bookmarkEnd w:id="523"/>
      <w:r>
        <w:rPr>
          <w:rFonts w:ascii="Helvetica" w:hAnsi="Helvetica"/>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4" w:name="HDR36"/>
      <w:bookmarkStart w:id="525" w:name="HDR36"/>
      <w:bookmarkEnd w:id="5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6" w:name="GLHDR36"/>
      <w:bookmarkEnd w:id="5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our executive officers and directors, and other existing security holders have agreed, subject to certain limited exceptions, not to sell or transfer any common stock or securities convertible into, exchangeable for, exercisable for, or repayable with common stock, for 180 days after the date of this prospectus without first obtaining the written consent of MDB Capital Group LLC. See “Underwriting.”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27, 2012, DermaStar and certain other individuals entered into an agreement whereby all of the equity securities held by such parties (including the 1,499,700 shares of common stock underlying the then-outstanding 10 shares of Series A Preferred Stock) would be restricted from resale until the earlier of (i) 15 months from June 27, 2012 or (ii) the date we publicly announce we have filed a new drug application with the FDA for Impracor.  The restrictions continue to apply to all members of DermaStar following DermaStar’s dissolution in July 2012 and the related distribution in kind of the shares of our common stock and warrants held by it.  Holders of approximately 57% of our outstanding stock as of August 10, 2012 are bound by these lock-up restrictions, including Mr. Baum and Dr. Kammer.  The restrictions terminate upon our entry into a definitive agreement for certain change in control transactions.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7" w:name="PGBRK38"/>
      <w:bookmarkStart w:id="528" w:name="PGBRK38"/>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9" w:name="FTR38"/>
      <w:bookmarkStart w:id="530" w:name="FTR38"/>
      <w:bookmarkEnd w:id="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1" w:name="GLFTR37"/>
      <w:bookmarkEnd w:id="5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32" w:name="PN37"/>
      <w:bookmarkEnd w:id="532"/>
      <w:r>
        <w:rPr>
          <w:rFonts w:ascii="Helvetica" w:hAnsi="Helvetica"/>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3" w:name="HDR37"/>
      <w:bookmarkStart w:id="534" w:name="HDR37"/>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5" w:name="GLHDR37"/>
      <w:bookmarkEnd w:id="5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MANAGEMENT’S DISCUSSION AND ANALYSIS OF FINANCIAL CONDITION AND RESULTS OF OPERATIONS</w:t>
      </w:r>
    </w:p>
    <w:p>
      <w:pPr>
        <w:pStyle w:val="TextBody"/>
        <w:spacing w:before="0" w:after="0"/>
        <w:ind w:left="0" w:right="0" w:hanging="0"/>
        <w:rPr/>
      </w:pPr>
      <w:r>
        <w:rPr/>
      </w:r>
    </w:p>
    <w:p>
      <w:pPr>
        <w:pStyle w:val="TextBody"/>
        <w:spacing w:before="0" w:after="0"/>
        <w:ind w:left="0" w:right="0" w:firstLine="720"/>
        <w:jc w:val="left"/>
        <w:rPr>
          <w:rFonts w:ascii="Helvetica" w:hAnsi="Helvetica"/>
          <w:i/>
          <w:sz w:val="20"/>
        </w:rPr>
      </w:pPr>
      <w:r>
        <w:rPr>
          <w:rFonts w:ascii="Helvetica" w:hAnsi="Helvetica"/>
          <w:i/>
          <w:sz w:val="20"/>
        </w:rPr>
        <w:t>The following discussion should be read in conjunction with the consolidated financial statements and the related notes contained elsewhere in this prospectus. In addition to historical information, the following discussion contains forward looking statements based upon current expectations that are subject to risks and uncertainties. Actual results may differ substantially from those referred to herein due to a number of factors, including but not limited to risks described in the section entitled “Risk Factors”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sz w:val="20"/>
        </w:rPr>
      </w:pPr>
      <w:r>
        <w:rPr>
          <w:rFonts w:ascii="Helvetica" w:hAnsi="Helvetica"/>
          <w:i/>
          <w:sz w:val="20"/>
        </w:rPr>
        <w:t>Unless otherwise stated below, all information regarding share amounts of common stock and prices per share of common stock described under the heading “Management’s Discussion and Analysis of Financial Condition and Results of Operations” assume the consummation of the one-for-five reverse stock split to be effected following the effectiveness of the registration statement of which this prospectus forms a part and prior to the closing of the offering.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Overview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 candidates. Our patented Accudel cream formulation technology is designed to facilitate the effective penetration of a variety of products through the tough skin barrier.  Impracor, our lead pain product candidate, utilizes the Accudel platform technology to deliver the active drug, ketoprofen, a non-steroidal anti-inflammatory drug (“NSAID”), through the skin directly into the underlying tissues where the drug exerts its anti-inflammatory and analgesic effects.  We intend to leverage the Accudel platform technology to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effected a one-for-eight reverse split of our authorized, issued and outstanding common stock.  The information in this prospectus and the accompanying financial statements for interim and annual prior periods presented have been retroactively adjusted to reflect the effects of the one-for-eight reverse stock split</w:t>
      </w:r>
      <w:r>
        <w:rPr>
          <w:rFonts w:ascii="Helvetica" w:hAnsi="Helvetica"/>
          <w:b/>
          <w:sz w:val="20"/>
        </w:rPr>
        <w: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Plan of Operations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For the next twelve months, our current operating plan is focused on the development of our lead product candidate, Impracor, for the indication of acute musculoskeletal pain, inflammation and swelling associated with soft tissue injuries, limited development of cosmetic products and co-development opportunities in other therapeutic areas utilizing our Accudel platform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Following the filing of the Chapter 11 Case with the Bankruptcy Court, we suspended our operations and terminated nearly all of our employees.  Since the dismissal of the Chapter 11 Case in December 2011, as further described below,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assemble an effective management team, or hire and retain qualified individuals.  As a result, we may be unable to successfully resume our operations and pursue our business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is discussed further in the Liquidity and Capital Resources section below, we have limited funds to support our operations.  Our continuation as a going concern subsequent to the fiscal year ended December 31, 2011 is dependent on our ability to obtain additional financing to fund the continued operation of our business model for a long enough period to achieve profitable operations.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6" w:name="PGBRK39"/>
      <w:bookmarkStart w:id="537" w:name="PGBRK39"/>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8" w:name="FTR39"/>
      <w:bookmarkStart w:id="539" w:name="FTR39"/>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0" w:name="GLFTR38"/>
      <w:bookmarkEnd w:id="5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41" w:name="PN38"/>
      <w:bookmarkEnd w:id="541"/>
      <w:r>
        <w:rPr>
          <w:rFonts w:ascii="Helvetica" w:hAnsi="Helvetica"/>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HDR38"/>
      <w:bookmarkStart w:id="543" w:name="HDR38"/>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4" w:name="GLHDR38"/>
      <w:bookmarkEnd w:id="5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Bankruptcy Petition and Dismissal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the Chapter 11 Case with the Bankruptcy Court. In connection with the Chapter 11 Case, we, as seller, and Cardium Healthcare, Inc., a wholly-owned subsidiary of Cardium Therapeutics, Inc., as purchaser (“Cardium”), entered into an Asset Purchase Agreement dated June  23,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 in Control – Issuance of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were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5" w:name="PGBRK40"/>
      <w:bookmarkStart w:id="546" w:name="PGBRK40"/>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7" w:name="FTR40"/>
      <w:bookmarkStart w:id="548" w:name="FTR40"/>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9" w:name="GLFTR39"/>
      <w:bookmarkEnd w:id="5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50" w:name="PN39"/>
      <w:bookmarkEnd w:id="550"/>
      <w:r>
        <w:rPr>
          <w:rFonts w:ascii="Helvetica" w:hAnsi="Helvetica"/>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1" w:name="HDR39"/>
      <w:bookmarkStart w:id="552" w:name="HDR39"/>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3" w:name="GLHDR39"/>
      <w:bookmarkEnd w:id="5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Settlement with the Holders of the Company’s 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Changes in Management and Board of Directors</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Our Board of Directors has also undergone significant change.  Effective December 16, 2011, Anthony S. Thornley resigned from our Board of Directors, and Mr. Baum and Dr. Kammer, managing members of DermaStar, joined the Board of Directors.  Effective February 15, 2012, Paul Finnegan, M.D., M.B.A.,  and Dr. Brar, our President, were appointed as directors of the Company. On April 1, 2012, Dr. Kammer began serving as the Chairman of the Board of Directors. On July 26, 2012, Stephen G. Austin, CPA, was appointed as a director on our Board of Directors and Dr. Brar resigned as a director (Dr. Brar continues to serve as our President).  We currently have the following five directors:  Jeffrey Abrams, M.D., Mr. Baum, Dr. Kammer, Dr. Finnegan and Mr. Austin.</w:t>
      </w:r>
    </w:p>
    <w:p>
      <w:pPr>
        <w:pStyle w:val="TextBody"/>
        <w:spacing w:before="0" w:after="0"/>
        <w:ind w:left="0" w:right="0" w:firstLine="5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4" w:name="PGBRK41"/>
      <w:bookmarkStart w:id="555" w:name="PGBRK41"/>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6" w:name="FTR41"/>
      <w:bookmarkStart w:id="557" w:name="FTR41"/>
      <w:bookmarkEnd w:id="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8" w:name="GLFTR40"/>
      <w:bookmarkEnd w:id="5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59" w:name="PN40"/>
      <w:bookmarkEnd w:id="559"/>
      <w:r>
        <w:rPr>
          <w:rFonts w:ascii="Helvetica" w:hAnsi="Helvetica"/>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0" w:name="HDR40"/>
      <w:bookmarkStart w:id="561" w:name="HDR40"/>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2" w:name="GLHDR40"/>
      <w:bookmarkEnd w:id="5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Critical Accounting Policies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 xml:space="preserve">Our </w:t>
      </w:r>
      <w:bookmarkStart w:id="563" w:name="V122485_10Q_HTM_V113417_10Q_HTM_EOLPAGE2"/>
      <w:bookmarkEnd w:id="563"/>
      <w:r>
        <w:rPr>
          <w:rFonts w:ascii="Helvetica" w:hAnsi="Helvetica"/>
          <w:sz w:val="20"/>
        </w:rPr>
        <w:t>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i/>
          <w:sz w:val="20"/>
        </w:rPr>
        <w:t>Stock-Based Compensation.</w:t>
      </w:r>
      <w:r>
        <w:rPr>
          <w:rFonts w:ascii="Helvetica" w:hAnsi="Helvetica"/>
          <w:sz w:val="20"/>
        </w:rPr>
        <w:t>  All share-based payments to employees, including grants of employee stock options and restricted stock grants, to be 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4" w:name="PGBRK42"/>
      <w:bookmarkStart w:id="565" w:name="PGBRK42"/>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6" w:name="FTR42"/>
      <w:bookmarkStart w:id="567" w:name="FTR42"/>
      <w:bookmarkEnd w:id="5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8" w:name="GLFTR41"/>
      <w:bookmarkEnd w:id="5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69" w:name="PN41"/>
      <w:bookmarkEnd w:id="569"/>
      <w:r>
        <w:rPr>
          <w:rFonts w:ascii="Helvetica" w:hAnsi="Helvetica"/>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0" w:name="HDR41"/>
      <w:bookmarkStart w:id="571" w:name="HDR41"/>
      <w:bookmarkEnd w:id="5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2" w:name="GLHDR41"/>
      <w:bookmarkEnd w:id="5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i/>
          <w:sz w:val="20"/>
        </w:rPr>
        <w:t>Income Taxes.</w:t>
      </w:r>
      <w:r>
        <w:rPr>
          <w:rFonts w:ascii="Helvetica" w:hAnsi="Helvetica"/>
          <w:sz w:val="20"/>
        </w:rPr>
        <w:t>  As part of the process of preparing our consolidated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firstLine="720"/>
        <w:jc w:val="left"/>
        <w:rPr/>
      </w:pPr>
      <w:r>
        <w:rPr/>
        <w:t> </w:t>
      </w:r>
    </w:p>
    <w:p>
      <w:pPr>
        <w:pStyle w:val="TextBody"/>
        <w:spacing w:before="0" w:after="0"/>
        <w:ind w:left="0" w:right="0" w:firstLine="720"/>
        <w:jc w:val="left"/>
        <w:rPr/>
      </w:pPr>
      <w:r>
        <w:rPr>
          <w:i/>
        </w:rPr>
        <w:t>Research and Development.</w:t>
      </w:r>
      <w:r>
        <w:rPr/>
        <w:t xml:space="preserve"> We expense all costs related to research and development as they are incurred. </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b/>
          <w:sz w:val="20"/>
        </w:rPr>
        <w:t>Results of Operations</w:t>
      </w:r>
      <w:r>
        <w:rPr/>
        <w:t xml:space="preserve"> </w:t>
      </w:r>
    </w:p>
    <w:p>
      <w:pPr>
        <w:pStyle w:val="TextBody"/>
        <w:spacing w:before="0" w:after="0"/>
        <w:ind w:left="0" w:right="0" w:hanging="0"/>
        <w:jc w:val="both"/>
        <w:rPr/>
      </w:pPr>
      <w:r>
        <w:rPr/>
        <w:t> </w:t>
      </w:r>
    </w:p>
    <w:p>
      <w:pPr>
        <w:pStyle w:val="TextBody"/>
        <w:spacing w:before="0" w:after="0"/>
        <w:ind w:left="0" w:right="0" w:firstLine="540"/>
        <w:jc w:val="left"/>
        <w:rPr/>
      </w:pPr>
      <w:r>
        <w:rPr>
          <w:rFonts w:ascii="helvetica" w:hAnsi="helvetica"/>
          <w:sz w:val="20"/>
        </w:rPr>
        <w:t>The following period to period comparisons of our financial results and our interim results are not necessarily indicative of future results.</w:t>
      </w:r>
      <w:r>
        <w:rPr/>
        <w:t xml:space="preserve"> </w:t>
      </w:r>
    </w:p>
    <w:p>
      <w:pPr>
        <w:pStyle w:val="TextBody"/>
        <w:spacing w:before="0" w:after="0"/>
        <w:ind w:left="0" w:right="0" w:firstLine="540"/>
        <w:jc w:val="left"/>
        <w:rPr/>
      </w:pPr>
      <w:r>
        <w:rPr/>
        <w:t> </w:t>
      </w:r>
    </w:p>
    <w:p>
      <w:pPr>
        <w:pStyle w:val="TextBody"/>
        <w:spacing w:before="0" w:after="0"/>
        <w:ind w:left="0" w:right="0" w:hanging="0"/>
        <w:jc w:val="both"/>
        <w:rPr/>
      </w:pPr>
      <w:r>
        <w:rPr>
          <w:rFonts w:ascii="helvetica" w:hAnsi="helvetica"/>
          <w:b/>
          <w:i/>
          <w:sz w:val="20"/>
        </w:rPr>
        <w:t>For the Three and Six Months Ended June 30, 2012, Compared to the Three and Six Months Ended June 30, 2011</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b/>
          <w:sz w:val="20"/>
        </w:rPr>
        <w:t>Revenues</w:t>
      </w:r>
      <w:r>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No revenues were recognized during the three months ended June 30, 2012 and 2011.  For the six months ended June 30, 2012 we recognized $100,000 in revenues, compared to no revenues recognized during the same period in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b/>
          <w:sz w:val="20"/>
        </w:rPr>
        <w:t>Selling, General and Administrative Expenses</w:t>
      </w:r>
      <w:r>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r>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The table below provides information regarding selling, general and administrative expenses.</w:t>
      </w:r>
      <w:r>
        <w:rPr/>
        <w:t xml:space="preserve">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413"/>
        <w:gridCol w:w="92"/>
        <w:gridCol w:w="129"/>
        <w:gridCol w:w="932"/>
        <w:gridCol w:w="126"/>
        <w:gridCol w:w="92"/>
        <w:gridCol w:w="129"/>
        <w:gridCol w:w="932"/>
        <w:gridCol w:w="126"/>
        <w:gridCol w:w="92"/>
        <w:gridCol w:w="129"/>
        <w:gridCol w:w="932"/>
        <w:gridCol w:w="126"/>
        <w:gridCol w:w="92"/>
        <w:gridCol w:w="129"/>
        <w:gridCol w:w="1024"/>
        <w:gridCol w:w="126"/>
        <w:gridCol w:w="92"/>
        <w:gridCol w:w="129"/>
        <w:gridCol w:w="932"/>
        <w:gridCol w:w="126"/>
        <w:gridCol w:w="92"/>
        <w:gridCol w:w="129"/>
        <w:gridCol w:w="932"/>
        <w:gridCol w:w="152"/>
      </w:tblGrid>
      <w:tr>
        <w:trPr/>
        <w:tc>
          <w:tcPr>
            <w:tcW w:w="2413"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xml:space="preserve">  </w:t>
            </w:r>
          </w:p>
        </w:tc>
        <w:tc>
          <w:tcPr>
            <w:tcW w:w="234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Three months ended June 30,</w:t>
            </w:r>
            <w:r>
              <w:rPr/>
              <w:t xml:space="preserve">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129" w:type="dxa"/>
            <w:tcBorders/>
            <w:shd w:fill="auto" w:val="clear"/>
            <w:vAlign w:val="bottom"/>
          </w:tcPr>
          <w:p>
            <w:pPr>
              <w:pStyle w:val="TableContents"/>
              <w:spacing w:before="0" w:after="283"/>
              <w:jc w:val="left"/>
              <w:rPr/>
            </w:pPr>
            <w:r>
              <w:rPr>
                <w:rFonts w:ascii="helvetica" w:hAnsi="helvetica"/>
                <w:b/>
                <w:sz w:val="16"/>
              </w:rPr>
              <w:t>$</w:t>
            </w:r>
            <w:r>
              <w:rPr/>
              <w:t xml:space="preserve"> </w:t>
            </w:r>
          </w:p>
        </w:tc>
        <w:tc>
          <w:tcPr>
            <w:tcW w:w="932"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243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Six months ended June 30,</w:t>
            </w:r>
            <w:r>
              <w:rPr/>
              <w:t xml:space="preserve">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129" w:type="dxa"/>
            <w:tcBorders/>
            <w:shd w:fill="auto" w:val="clear"/>
            <w:vAlign w:val="bottom"/>
          </w:tcPr>
          <w:p>
            <w:pPr>
              <w:pStyle w:val="TableContents"/>
              <w:spacing w:before="0" w:after="283"/>
              <w:jc w:val="left"/>
              <w:rPr/>
            </w:pPr>
            <w:r>
              <w:rPr>
                <w:rFonts w:ascii="helvetica" w:hAnsi="helvetica"/>
                <w:b/>
                <w:sz w:val="16"/>
              </w:rPr>
              <w:t>$</w:t>
            </w:r>
            <w:r>
              <w:rPr/>
              <w:t xml:space="preserve"> </w:t>
            </w:r>
          </w:p>
        </w:tc>
        <w:tc>
          <w:tcPr>
            <w:tcW w:w="932" w:type="dxa"/>
            <w:tcBorders/>
            <w:shd w:fill="auto" w:val="clear"/>
            <w:vAlign w:val="bottom"/>
          </w:tcPr>
          <w:p>
            <w:pPr>
              <w:pStyle w:val="TableContents"/>
              <w:spacing w:before="0" w:after="283"/>
              <w:jc w:val="right"/>
              <w:rPr/>
            </w:pPr>
            <w:r>
              <w:rPr/>
              <w:t> </w:t>
            </w:r>
          </w:p>
        </w:tc>
        <w:tc>
          <w:tcPr>
            <w:tcW w:w="152" w:type="dxa"/>
            <w:tcBorders/>
            <w:shd w:fill="auto" w:val="clear"/>
            <w:vAlign w:val="bottom"/>
          </w:tcPr>
          <w:p>
            <w:pPr>
              <w:pStyle w:val="TableContents"/>
              <w:spacing w:before="0" w:after="283"/>
              <w:jc w:val="left"/>
              <w:rPr/>
            </w:pPr>
            <w:r>
              <w:rPr/>
              <w:t xml:space="preserve">  </w:t>
            </w:r>
          </w:p>
        </w:tc>
      </w:tr>
      <w:tr>
        <w:trPr/>
        <w:tc>
          <w:tcPr>
            <w:tcW w:w="2413" w:type="dxa"/>
            <w:tcBorders/>
            <w:shd w:fill="auto" w:val="clear"/>
            <w:vAlign w:val="bottom"/>
          </w:tcPr>
          <w:p>
            <w:pPr>
              <w:pStyle w:val="TableContents"/>
              <w:spacing w:before="0" w:after="283"/>
              <w:rPr/>
            </w:pPr>
            <w:r>
              <w:rPr/>
              <w:t xml:space="preserve">  </w:t>
            </w:r>
          </w:p>
        </w:tc>
        <w:tc>
          <w:tcPr>
            <w:tcW w:w="92" w:type="dxa"/>
            <w:tcBorders/>
            <w:shd w:fill="auto" w:val="clear"/>
            <w:vAlign w:val="bottom"/>
          </w:tcPr>
          <w:p>
            <w:pPr>
              <w:pStyle w:val="TableContents"/>
              <w:spacing w:before="0" w:after="283"/>
              <w:rPr/>
            </w:pPr>
            <w:r>
              <w:rPr/>
              <w:t xml:space="preserve">  </w:t>
            </w:r>
          </w:p>
        </w:tc>
        <w:tc>
          <w:tcPr>
            <w:tcW w:w="10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10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10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Variance</w:t>
            </w:r>
            <w:r>
              <w:rPr/>
              <w:t xml:space="preserve">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129"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1024" w:type="dxa"/>
            <w:tcBorders>
              <w:bottom w:val="single" w:sz="12" w:space="0" w:color="000000"/>
            </w:tcBorders>
            <w:shd w:fill="auto" w:val="clear"/>
            <w:tcMar>
              <w:bottom w:w="28" w:type="dxa"/>
            </w:tcMar>
            <w:vAlign w:val="bottom"/>
          </w:tcPr>
          <w:p>
            <w:pPr>
              <w:pStyle w:val="TableContents"/>
              <w:spacing w:before="0" w:after="283"/>
              <w:jc w:val="right"/>
              <w:rPr/>
            </w:pPr>
            <w:r>
              <w:rPr>
                <w:rFonts w:ascii="helvetica" w:hAnsi="helvetica"/>
                <w:b/>
                <w:sz w:val="16"/>
              </w:rPr>
              <w:t>2012</w:t>
            </w:r>
            <w:r>
              <w:rPr/>
              <w:t xml:space="preserve">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129"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932" w:type="dxa"/>
            <w:tcBorders>
              <w:bottom w:val="single" w:sz="12" w:space="0" w:color="000000"/>
            </w:tcBorders>
            <w:shd w:fill="auto" w:val="clear"/>
            <w:tcMar>
              <w:bottom w:w="28" w:type="dxa"/>
            </w:tcMar>
            <w:vAlign w:val="bottom"/>
          </w:tcPr>
          <w:p>
            <w:pPr>
              <w:pStyle w:val="TableContents"/>
              <w:spacing w:before="0" w:after="283"/>
              <w:jc w:val="right"/>
              <w:rPr/>
            </w:pPr>
            <w:r>
              <w:rPr>
                <w:rFonts w:ascii="helvetica" w:hAnsi="helvetica"/>
                <w:b/>
                <w:sz w:val="16"/>
              </w:rPr>
              <w:t>2011</w:t>
            </w:r>
            <w:r>
              <w:rPr/>
              <w:t xml:space="preserve"> </w:t>
            </w:r>
          </w:p>
        </w:tc>
        <w:tc>
          <w:tcPr>
            <w:tcW w:w="126" w:type="dxa"/>
            <w:tcBorders/>
            <w:shd w:fill="auto" w:val="clear"/>
            <w:vAlign w:val="bottom"/>
          </w:tcPr>
          <w:p>
            <w:pPr>
              <w:pStyle w:val="TableContents"/>
              <w:spacing w:before="0" w:after="283"/>
              <w:jc w:val="left"/>
              <w:rPr/>
            </w:pPr>
            <w:r>
              <w:rPr/>
              <w:t xml:space="preserve">  </w:t>
            </w:r>
          </w:p>
        </w:tc>
        <w:tc>
          <w:tcPr>
            <w:tcW w:w="92" w:type="dxa"/>
            <w:tcBorders/>
            <w:shd w:fill="auto" w:val="clear"/>
            <w:vAlign w:val="bottom"/>
          </w:tcPr>
          <w:p>
            <w:pPr>
              <w:pStyle w:val="TableContents"/>
              <w:spacing w:before="0" w:after="283"/>
              <w:rPr/>
            </w:pPr>
            <w:r>
              <w:rPr/>
              <w:t xml:space="preserve">  </w:t>
            </w:r>
          </w:p>
        </w:tc>
        <w:tc>
          <w:tcPr>
            <w:tcW w:w="10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Variance</w:t>
            </w:r>
            <w:r>
              <w:rPr/>
              <w:t xml:space="preserve"> </w:t>
            </w:r>
          </w:p>
        </w:tc>
        <w:tc>
          <w:tcPr>
            <w:tcW w:w="152" w:type="dxa"/>
            <w:tcBorders/>
            <w:shd w:fill="auto" w:val="clear"/>
            <w:vAlign w:val="bottom"/>
          </w:tcPr>
          <w:p>
            <w:pPr>
              <w:pStyle w:val="TableContents"/>
              <w:spacing w:before="0" w:after="283"/>
              <w:jc w:val="left"/>
              <w:rPr/>
            </w:pPr>
            <w:r>
              <w:rPr/>
              <w:t xml:space="preserve">  </w:t>
            </w:r>
          </w:p>
        </w:tc>
      </w:tr>
      <w:tr>
        <w:trPr/>
        <w:tc>
          <w:tcPr>
            <w:tcW w:w="2413" w:type="dxa"/>
            <w:tcBorders/>
            <w:shd w:fill="CCEEFF" w:val="clear"/>
            <w:vAlign w:val="bottom"/>
          </w:tcPr>
          <w:p>
            <w:pPr>
              <w:pStyle w:val="TableContents"/>
              <w:spacing w:before="0" w:after="0"/>
              <w:ind w:left="0" w:right="0" w:hanging="0"/>
              <w:jc w:val="left"/>
              <w:rPr/>
            </w:pPr>
            <w:r>
              <w:rPr>
                <w:rFonts w:ascii="helvetica" w:hAnsi="helvetica"/>
                <w:b/>
                <w:sz w:val="20"/>
              </w:rPr>
              <w:t>Selling, general and administrative</w:t>
            </w:r>
            <w:r>
              <w:rPr/>
              <w:t xml:space="preserve"> </w:t>
            </w:r>
          </w:p>
        </w:tc>
        <w:tc>
          <w:tcPr>
            <w:tcW w:w="92" w:type="dxa"/>
            <w:tcBorders/>
            <w:shd w:fill="CCEEFF" w:val="clear"/>
            <w:vAlign w:val="bottom"/>
          </w:tcPr>
          <w:p>
            <w:pPr>
              <w:pStyle w:val="TableContents"/>
              <w:spacing w:before="0" w:after="283"/>
              <w:rPr/>
            </w:pPr>
            <w:r>
              <w:rPr/>
              <w:t xml:space="preserve">  </w:t>
            </w:r>
          </w:p>
        </w:tc>
        <w:tc>
          <w:tcPr>
            <w:tcW w:w="129"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32"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984,667</w:t>
            </w:r>
            <w:r>
              <w:rPr/>
              <w:t xml:space="preserve"> </w:t>
            </w:r>
          </w:p>
        </w:tc>
        <w:tc>
          <w:tcPr>
            <w:tcW w:w="126"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129"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32"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121,429</w:t>
            </w:r>
            <w:r>
              <w:rPr/>
              <w:t xml:space="preserve"> </w:t>
            </w:r>
          </w:p>
        </w:tc>
        <w:tc>
          <w:tcPr>
            <w:tcW w:w="126"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932" w:type="dxa"/>
            <w:tcBorders/>
            <w:shd w:fill="CCEEFF" w:val="clear"/>
            <w:vAlign w:val="bottom"/>
          </w:tcPr>
          <w:p>
            <w:pPr>
              <w:pStyle w:val="TableContents"/>
              <w:spacing w:before="0" w:after="283"/>
              <w:jc w:val="right"/>
              <w:rPr/>
            </w:pPr>
            <w:r>
              <w:rPr>
                <w:rFonts w:ascii="helvetica" w:hAnsi="helvetica"/>
                <w:sz w:val="20"/>
              </w:rPr>
              <w:t>863,238</w:t>
            </w:r>
            <w:r>
              <w:rPr/>
              <w:t xml:space="preserve"> </w:t>
            </w:r>
          </w:p>
        </w:tc>
        <w:tc>
          <w:tcPr>
            <w:tcW w:w="126"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129"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2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1,293,623</w:t>
            </w:r>
            <w:r>
              <w:rPr/>
              <w:t xml:space="preserve"> </w:t>
            </w:r>
          </w:p>
        </w:tc>
        <w:tc>
          <w:tcPr>
            <w:tcW w:w="126"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129"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32"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448,033</w:t>
            </w:r>
            <w:r>
              <w:rPr/>
              <w:t xml:space="preserve"> </w:t>
            </w:r>
          </w:p>
        </w:tc>
        <w:tc>
          <w:tcPr>
            <w:tcW w:w="126" w:type="dxa"/>
            <w:tcBorders/>
            <w:shd w:fill="CCEEFF" w:val="clear"/>
            <w:vAlign w:val="bottom"/>
          </w:tcPr>
          <w:p>
            <w:pPr>
              <w:pStyle w:val="TableContents"/>
              <w:spacing w:before="0" w:after="283"/>
              <w:jc w:val="left"/>
              <w:rPr/>
            </w:pPr>
            <w:r>
              <w:rPr/>
              <w:t xml:space="preserve">  </w:t>
            </w:r>
          </w:p>
        </w:tc>
        <w:tc>
          <w:tcPr>
            <w:tcW w:w="92"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932" w:type="dxa"/>
            <w:tcBorders/>
            <w:shd w:fill="CCEEFF" w:val="clear"/>
            <w:vAlign w:val="bottom"/>
          </w:tcPr>
          <w:p>
            <w:pPr>
              <w:pStyle w:val="TableContents"/>
              <w:spacing w:before="0" w:after="283"/>
              <w:jc w:val="right"/>
              <w:rPr/>
            </w:pPr>
            <w:r>
              <w:rPr>
                <w:rFonts w:ascii="helvetica" w:hAnsi="helvetica"/>
                <w:sz w:val="20"/>
              </w:rPr>
              <w:t>845,590</w:t>
            </w:r>
            <w:r>
              <w:rPr/>
              <w:t xml:space="preserve"> </w:t>
            </w:r>
          </w:p>
        </w:tc>
        <w:tc>
          <w:tcPr>
            <w:tcW w:w="152"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firstLine="720"/>
        <w:jc w:val="both"/>
        <w:rPr/>
      </w:pPr>
      <w:r>
        <w:rPr>
          <w:rFonts w:ascii="helvetica" w:hAnsi="helvetica"/>
          <w:sz w:val="20"/>
        </w:rPr>
        <w:t>For the three and six months ended June 30, 2012, there was an increase of $863,238 and $845,590, respectively, in selling, general and administrative expenses, as compared to the same periods in the prior year. The increase in selling, general and administrative expenses is largely attributable to the fact that the Company was winding down and ceasing operations during these periods, including the suspension of payroll beginning in March 2011. Following the dismissal of the Chapter 11 Case on December 8, 2011 we began to resume our operations.  Selling, general and administrative expenses during the three and six months ended June 30, 2012 were related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three and six months ended June 30, 2012, which increased $662,033 and $691,016, respectively, as compared to the same periods in the prior year.</w:t>
      </w:r>
      <w:r>
        <w:rPr/>
        <w:t xml:space="preserve">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3" w:name="PGBRK43"/>
      <w:bookmarkStart w:id="574" w:name="PGBRK43"/>
      <w:bookmarkEnd w:id="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5" w:name="FTR43"/>
      <w:bookmarkStart w:id="576" w:name="FTR43"/>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7" w:name="GLFTR42"/>
      <w:bookmarkEnd w:id="5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78" w:name="PN42"/>
      <w:bookmarkEnd w:id="578"/>
      <w:r>
        <w:rPr>
          <w:rFonts w:ascii="Helvetica" w:hAnsi="Helvetica"/>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9" w:name="HDR42"/>
      <w:bookmarkStart w:id="580" w:name="HDR42"/>
      <w:bookmarkEnd w:id="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1" w:name="GLHDR42"/>
      <w:bookmarkEnd w:id="5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b/>
          <w:sz w:val="20"/>
        </w:rPr>
        <w:t>Research and Development Expenses</w:t>
      </w:r>
      <w:r>
        <w:rPr/>
        <w:t xml:space="preserve"> </w:t>
      </w:r>
    </w:p>
    <w:p>
      <w:pPr>
        <w:pStyle w:val="TextBody"/>
        <w:spacing w:before="0" w:after="0"/>
        <w:ind w:left="0" w:right="0" w:hanging="0"/>
        <w:rPr/>
      </w:pPr>
      <w:r>
        <w:rPr/>
        <w:t> </w:t>
      </w:r>
    </w:p>
    <w:p>
      <w:pPr>
        <w:pStyle w:val="TextBody"/>
        <w:spacing w:before="0" w:after="0"/>
        <w:ind w:left="0" w:right="0" w:firstLine="720"/>
        <w:jc w:val="both"/>
        <w:rPr/>
      </w:pPr>
      <w:r>
        <w:rPr>
          <w:rFonts w:ascii="helvetica" w:hAnsi="helvetica"/>
          <w:sz w:val="20"/>
        </w:rPr>
        <w:t>Our research and development expenses primarily include costs for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r>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The table below provides information regarding research and development expenses.</w:t>
      </w:r>
      <w:r>
        <w:rPr/>
        <w:t xml:space="preserve">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433"/>
        <w:gridCol w:w="95"/>
        <w:gridCol w:w="130"/>
        <w:gridCol w:w="950"/>
        <w:gridCol w:w="127"/>
        <w:gridCol w:w="95"/>
        <w:gridCol w:w="130"/>
        <w:gridCol w:w="893"/>
        <w:gridCol w:w="127"/>
        <w:gridCol w:w="95"/>
        <w:gridCol w:w="130"/>
        <w:gridCol w:w="949"/>
        <w:gridCol w:w="127"/>
        <w:gridCol w:w="95"/>
        <w:gridCol w:w="130"/>
        <w:gridCol w:w="950"/>
        <w:gridCol w:w="127"/>
        <w:gridCol w:w="95"/>
        <w:gridCol w:w="130"/>
        <w:gridCol w:w="950"/>
        <w:gridCol w:w="127"/>
        <w:gridCol w:w="95"/>
        <w:gridCol w:w="129"/>
        <w:gridCol w:w="950"/>
        <w:gridCol w:w="146"/>
      </w:tblGrid>
      <w:tr>
        <w:trPr/>
        <w:tc>
          <w:tcPr>
            <w:tcW w:w="2433"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32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Three months ended June 30,</w:t>
            </w:r>
            <w:r>
              <w:rPr/>
              <w:t xml:space="preserve">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130" w:type="dxa"/>
            <w:tcBorders/>
            <w:shd w:fill="auto" w:val="clear"/>
            <w:vAlign w:val="bottom"/>
          </w:tcPr>
          <w:p>
            <w:pPr>
              <w:pStyle w:val="TableContents"/>
              <w:spacing w:before="0" w:after="283"/>
              <w:jc w:val="left"/>
              <w:rPr/>
            </w:pPr>
            <w:r>
              <w:rPr>
                <w:rFonts w:ascii="helvetica" w:hAnsi="helvetica"/>
                <w:b/>
                <w:sz w:val="16"/>
              </w:rPr>
              <w:t>$</w:t>
            </w:r>
            <w:r>
              <w:rPr/>
              <w:t xml:space="preserve"> </w:t>
            </w:r>
          </w:p>
        </w:tc>
        <w:tc>
          <w:tcPr>
            <w:tcW w:w="94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238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Six months ended June 30,</w:t>
            </w:r>
            <w:r>
              <w:rPr/>
              <w:t xml:space="preserve">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129" w:type="dxa"/>
            <w:tcBorders/>
            <w:shd w:fill="auto" w:val="clear"/>
            <w:vAlign w:val="bottom"/>
          </w:tcPr>
          <w:p>
            <w:pPr>
              <w:pStyle w:val="TableContents"/>
              <w:spacing w:before="0" w:after="283"/>
              <w:jc w:val="left"/>
              <w:rPr/>
            </w:pPr>
            <w:r>
              <w:rPr>
                <w:rFonts w:ascii="helvetica" w:hAnsi="helvetica"/>
                <w:b/>
                <w:sz w:val="16"/>
              </w:rPr>
              <w:t>$</w:t>
            </w:r>
            <w:r>
              <w:rPr/>
              <w:t xml:space="preserve"> </w:t>
            </w:r>
          </w:p>
        </w:tc>
        <w:tc>
          <w:tcPr>
            <w:tcW w:w="95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jc w:val="left"/>
              <w:rPr/>
            </w:pPr>
            <w:r>
              <w:rPr/>
              <w:t xml:space="preserve">  </w:t>
            </w:r>
          </w:p>
        </w:tc>
      </w:tr>
      <w:tr>
        <w:trPr/>
        <w:tc>
          <w:tcPr>
            <w:tcW w:w="2433"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10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10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10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Variance</w:t>
            </w:r>
            <w:r>
              <w:rPr/>
              <w:t xml:space="preserve">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130"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950" w:type="dxa"/>
            <w:tcBorders>
              <w:bottom w:val="single" w:sz="12" w:space="0" w:color="000000"/>
            </w:tcBorders>
            <w:shd w:fill="auto" w:val="clear"/>
            <w:tcMar>
              <w:bottom w:w="28" w:type="dxa"/>
            </w:tcMar>
            <w:vAlign w:val="bottom"/>
          </w:tcPr>
          <w:p>
            <w:pPr>
              <w:pStyle w:val="TableContents"/>
              <w:spacing w:before="0" w:after="283"/>
              <w:jc w:val="right"/>
              <w:rPr/>
            </w:pPr>
            <w:r>
              <w:rPr>
                <w:rFonts w:ascii="helvetica" w:hAnsi="helvetica"/>
                <w:b/>
                <w:sz w:val="16"/>
              </w:rPr>
              <w:t>2012</w:t>
            </w:r>
            <w:r>
              <w:rPr/>
              <w:t xml:space="preserve">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130" w:type="dxa"/>
            <w:tcBorders>
              <w:bottom w:val="single" w:sz="12" w:space="0" w:color="000000"/>
            </w:tcBorders>
            <w:shd w:fill="auto" w:val="clear"/>
            <w:tcMar>
              <w:bottom w:w="28" w:type="dxa"/>
            </w:tcMar>
            <w:vAlign w:val="bottom"/>
          </w:tcPr>
          <w:p>
            <w:pPr>
              <w:pStyle w:val="TableContents"/>
              <w:spacing w:before="0" w:after="283"/>
              <w:jc w:val="left"/>
              <w:rPr/>
            </w:pPr>
            <w:r>
              <w:rPr/>
              <w:t xml:space="preserve">  </w:t>
            </w:r>
          </w:p>
        </w:tc>
        <w:tc>
          <w:tcPr>
            <w:tcW w:w="950" w:type="dxa"/>
            <w:tcBorders>
              <w:bottom w:val="single" w:sz="12" w:space="0" w:color="000000"/>
            </w:tcBorders>
            <w:shd w:fill="auto" w:val="clear"/>
            <w:tcMar>
              <w:bottom w:w="28" w:type="dxa"/>
            </w:tcMar>
            <w:vAlign w:val="bottom"/>
          </w:tcPr>
          <w:p>
            <w:pPr>
              <w:pStyle w:val="TableContents"/>
              <w:spacing w:before="0" w:after="283"/>
              <w:jc w:val="right"/>
              <w:rPr/>
            </w:pPr>
            <w:r>
              <w:rPr>
                <w:rFonts w:ascii="helvetica" w:hAnsi="helvetica"/>
                <w:b/>
                <w:sz w:val="16"/>
              </w:rPr>
              <w:t>2011</w:t>
            </w:r>
            <w:r>
              <w:rPr/>
              <w:t xml:space="preserve"> </w:t>
            </w:r>
          </w:p>
        </w:tc>
        <w:tc>
          <w:tcPr>
            <w:tcW w:w="127" w:type="dxa"/>
            <w:tcBorders/>
            <w:shd w:fill="auto" w:val="clear"/>
            <w:vAlign w:val="bottom"/>
          </w:tcPr>
          <w:p>
            <w:pPr>
              <w:pStyle w:val="TableContents"/>
              <w:spacing w:before="0" w:after="283"/>
              <w:jc w:val="left"/>
              <w:rPr/>
            </w:pPr>
            <w:r>
              <w:rPr/>
              <w:t xml:space="preserve">  </w:t>
            </w:r>
          </w:p>
        </w:tc>
        <w:tc>
          <w:tcPr>
            <w:tcW w:w="95" w:type="dxa"/>
            <w:tcBorders/>
            <w:shd w:fill="auto" w:val="clear"/>
            <w:vAlign w:val="bottom"/>
          </w:tcPr>
          <w:p>
            <w:pPr>
              <w:pStyle w:val="TableContents"/>
              <w:spacing w:before="0" w:after="283"/>
              <w:rPr/>
            </w:pPr>
            <w:r>
              <w:rPr/>
              <w:t xml:space="preserve">  </w:t>
            </w:r>
          </w:p>
        </w:tc>
        <w:tc>
          <w:tcPr>
            <w:tcW w:w="10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Variance</w:t>
            </w:r>
            <w:r>
              <w:rPr/>
              <w:t xml:space="preserve"> </w:t>
            </w:r>
          </w:p>
        </w:tc>
        <w:tc>
          <w:tcPr>
            <w:tcW w:w="146" w:type="dxa"/>
            <w:tcBorders/>
            <w:shd w:fill="auto" w:val="clear"/>
            <w:vAlign w:val="bottom"/>
          </w:tcPr>
          <w:p>
            <w:pPr>
              <w:pStyle w:val="TableContents"/>
              <w:spacing w:before="0" w:after="283"/>
              <w:jc w:val="left"/>
              <w:rPr/>
            </w:pPr>
            <w:r>
              <w:rPr/>
              <w:t xml:space="preserve">  </w:t>
            </w:r>
          </w:p>
        </w:tc>
      </w:tr>
      <w:tr>
        <w:trPr/>
        <w:tc>
          <w:tcPr>
            <w:tcW w:w="2433" w:type="dxa"/>
            <w:tcBorders/>
            <w:shd w:fill="CCEEFF" w:val="clear"/>
            <w:vAlign w:val="bottom"/>
          </w:tcPr>
          <w:p>
            <w:pPr>
              <w:pStyle w:val="TableContents"/>
              <w:spacing w:before="0" w:after="0"/>
              <w:ind w:left="0" w:right="0" w:hanging="0"/>
              <w:jc w:val="left"/>
              <w:rPr/>
            </w:pPr>
            <w:r>
              <w:rPr>
                <w:rFonts w:ascii="helvetica" w:hAnsi="helvetica"/>
                <w:b/>
                <w:sz w:val="20"/>
              </w:rPr>
              <w:t>Research and development</w:t>
            </w:r>
            <w:r>
              <w:rPr/>
              <w:t xml:space="preserve"> </w:t>
            </w:r>
          </w:p>
        </w:tc>
        <w:tc>
          <w:tcPr>
            <w:tcW w:w="95" w:type="dxa"/>
            <w:tcBorders/>
            <w:shd w:fill="CCEEFF" w:val="clear"/>
            <w:vAlign w:val="bottom"/>
          </w:tcPr>
          <w:p>
            <w:pPr>
              <w:pStyle w:val="TableContents"/>
              <w:spacing w:before="0" w:after="283"/>
              <w:rPr/>
            </w:pPr>
            <w:r>
              <w:rPr/>
              <w:t xml:space="preserve">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133,611</w:t>
            </w:r>
            <w:r>
              <w:rPr/>
              <w:t xml:space="preserve"> </w:t>
            </w:r>
          </w:p>
        </w:tc>
        <w:tc>
          <w:tcPr>
            <w:tcW w:w="127" w:type="dxa"/>
            <w:tcBorders/>
            <w:shd w:fill="CCEEFF" w:val="clear"/>
            <w:vAlign w:val="bottom"/>
          </w:tcPr>
          <w:p>
            <w:pPr>
              <w:pStyle w:val="TableContents"/>
              <w:spacing w:before="0" w:after="283"/>
              <w:jc w:val="left"/>
              <w:rPr/>
            </w:pPr>
            <w:r>
              <w:rPr/>
              <w:t xml:space="preserve">  </w:t>
            </w:r>
          </w:p>
        </w:tc>
        <w:tc>
          <w:tcPr>
            <w:tcW w:w="95" w:type="dxa"/>
            <w:tcBorders/>
            <w:shd w:fill="CCEEFF" w:val="clear"/>
            <w:vAlign w:val="bottom"/>
          </w:tcPr>
          <w:p>
            <w:pPr>
              <w:pStyle w:val="TableContents"/>
              <w:spacing w:before="0" w:after="283"/>
              <w:rPr/>
            </w:pPr>
            <w:r>
              <w:rPr/>
              <w:t xml:space="preserve">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893"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24,338</w:t>
            </w:r>
            <w:r>
              <w:rPr/>
              <w:t xml:space="preserve"> </w:t>
            </w:r>
          </w:p>
        </w:tc>
        <w:tc>
          <w:tcPr>
            <w:tcW w:w="127" w:type="dxa"/>
            <w:tcBorders/>
            <w:shd w:fill="CCEEFF" w:val="clear"/>
            <w:vAlign w:val="bottom"/>
          </w:tcPr>
          <w:p>
            <w:pPr>
              <w:pStyle w:val="TableContents"/>
              <w:spacing w:before="0" w:after="283"/>
              <w:jc w:val="left"/>
              <w:rPr/>
            </w:pPr>
            <w:r>
              <w:rPr/>
              <w:t xml:space="preserve">  </w:t>
            </w:r>
          </w:p>
        </w:tc>
        <w:tc>
          <w:tcPr>
            <w:tcW w:w="95" w:type="dxa"/>
            <w:tcBorders/>
            <w:shd w:fill="CCEEFF" w:val="clear"/>
            <w:vAlign w:val="bottom"/>
          </w:tcPr>
          <w:p>
            <w:pPr>
              <w:pStyle w:val="TableContents"/>
              <w:spacing w:before="0" w:after="283"/>
              <w:rPr/>
            </w:pPr>
            <w:r>
              <w:rPr/>
              <w:t xml:space="preserve">  </w:t>
            </w:r>
          </w:p>
        </w:tc>
        <w:tc>
          <w:tcPr>
            <w:tcW w:w="13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949" w:type="dxa"/>
            <w:tcBorders/>
            <w:shd w:fill="CCEEFF" w:val="clear"/>
            <w:vAlign w:val="bottom"/>
          </w:tcPr>
          <w:p>
            <w:pPr>
              <w:pStyle w:val="TableContents"/>
              <w:spacing w:before="0" w:after="283"/>
              <w:jc w:val="right"/>
              <w:rPr/>
            </w:pPr>
            <w:r>
              <w:rPr>
                <w:rFonts w:ascii="helvetica" w:hAnsi="helvetica"/>
                <w:sz w:val="20"/>
              </w:rPr>
              <w:t>109,273</w:t>
            </w:r>
            <w:r>
              <w:rPr/>
              <w:t xml:space="preserve"> </w:t>
            </w:r>
          </w:p>
        </w:tc>
        <w:tc>
          <w:tcPr>
            <w:tcW w:w="127" w:type="dxa"/>
            <w:tcBorders/>
            <w:shd w:fill="CCEEFF" w:val="clear"/>
            <w:vAlign w:val="bottom"/>
          </w:tcPr>
          <w:p>
            <w:pPr>
              <w:pStyle w:val="TableContents"/>
              <w:spacing w:before="0" w:after="283"/>
              <w:jc w:val="left"/>
              <w:rPr/>
            </w:pPr>
            <w:r>
              <w:rPr/>
              <w:t xml:space="preserve">  </w:t>
            </w:r>
          </w:p>
        </w:tc>
        <w:tc>
          <w:tcPr>
            <w:tcW w:w="95" w:type="dxa"/>
            <w:tcBorders/>
            <w:shd w:fill="CCEEFF" w:val="clear"/>
            <w:vAlign w:val="bottom"/>
          </w:tcPr>
          <w:p>
            <w:pPr>
              <w:pStyle w:val="TableContents"/>
              <w:spacing w:before="0" w:after="283"/>
              <w:rPr/>
            </w:pPr>
            <w:r>
              <w:rPr/>
              <w:t xml:space="preserve">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276,574</w:t>
            </w:r>
            <w:r>
              <w:rPr/>
              <w:t xml:space="preserve"> </w:t>
            </w:r>
          </w:p>
        </w:tc>
        <w:tc>
          <w:tcPr>
            <w:tcW w:w="127" w:type="dxa"/>
            <w:tcBorders/>
            <w:shd w:fill="CCEEFF" w:val="clear"/>
            <w:vAlign w:val="bottom"/>
          </w:tcPr>
          <w:p>
            <w:pPr>
              <w:pStyle w:val="TableContents"/>
              <w:spacing w:before="0" w:after="283"/>
              <w:jc w:val="left"/>
              <w:rPr/>
            </w:pPr>
            <w:r>
              <w:rPr/>
              <w:t xml:space="preserve">  </w:t>
            </w:r>
          </w:p>
        </w:tc>
        <w:tc>
          <w:tcPr>
            <w:tcW w:w="95" w:type="dxa"/>
            <w:tcBorders/>
            <w:shd w:fill="CCEEFF" w:val="clear"/>
            <w:vAlign w:val="bottom"/>
          </w:tcPr>
          <w:p>
            <w:pPr>
              <w:pStyle w:val="TableContents"/>
              <w:spacing w:before="0" w:after="283"/>
              <w:rPr/>
            </w:pPr>
            <w:r>
              <w:rPr/>
              <w:t xml:space="preserve">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50"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111,554</w:t>
            </w:r>
            <w:r>
              <w:rPr/>
              <w:t xml:space="preserve"> </w:t>
            </w:r>
          </w:p>
        </w:tc>
        <w:tc>
          <w:tcPr>
            <w:tcW w:w="127" w:type="dxa"/>
            <w:tcBorders/>
            <w:shd w:fill="CCEEFF" w:val="clear"/>
            <w:vAlign w:val="bottom"/>
          </w:tcPr>
          <w:p>
            <w:pPr>
              <w:pStyle w:val="TableContents"/>
              <w:spacing w:before="0" w:after="283"/>
              <w:jc w:val="left"/>
              <w:rPr/>
            </w:pPr>
            <w:r>
              <w:rPr/>
              <w:t xml:space="preserve">  </w:t>
            </w:r>
          </w:p>
        </w:tc>
        <w:tc>
          <w:tcPr>
            <w:tcW w:w="95" w:type="dxa"/>
            <w:tcBorders/>
            <w:shd w:fill="CCEEFF" w:val="clear"/>
            <w:vAlign w:val="bottom"/>
          </w:tcPr>
          <w:p>
            <w:pPr>
              <w:pStyle w:val="TableContents"/>
              <w:spacing w:before="0" w:after="283"/>
              <w:rPr/>
            </w:pPr>
            <w:r>
              <w:rPr/>
              <w:t xml:space="preserve">  </w:t>
            </w:r>
          </w:p>
        </w:tc>
        <w:tc>
          <w:tcPr>
            <w:tcW w:w="129"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950" w:type="dxa"/>
            <w:tcBorders/>
            <w:shd w:fill="CCEEFF" w:val="clear"/>
            <w:vAlign w:val="bottom"/>
          </w:tcPr>
          <w:p>
            <w:pPr>
              <w:pStyle w:val="TableContents"/>
              <w:spacing w:before="0" w:after="283"/>
              <w:jc w:val="right"/>
              <w:rPr/>
            </w:pPr>
            <w:r>
              <w:rPr>
                <w:rFonts w:ascii="helvetica" w:hAnsi="helvetica"/>
                <w:sz w:val="20"/>
              </w:rPr>
              <w:t>165,020</w:t>
            </w:r>
            <w:r>
              <w:rPr/>
              <w:t xml:space="preserve"> </w:t>
            </w:r>
          </w:p>
        </w:tc>
        <w:tc>
          <w:tcPr>
            <w:tcW w:w="146"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For the three and six months ended June 30, 2012, there was an increase of $109,273 and $165,020, respectively, in research and development expense as compared to the same periods in the prior year. The increase was primarily related to the hiring of new personnel and consultants in 2012 for the planning and development of additional Phase 3 studies of our Impracor clinical program.  A significant portion of the increase in research and development personnel costs is associated with stock-based compensation for the three and six months ended June 30, 2012, which increased $21,478 and $44,658, respectively, as compared to the same periods in the prior year.</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b/>
          <w:sz w:val="20"/>
        </w:rPr>
        <w:t>Interest Expense</w:t>
      </w:r>
      <w:r>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Interest expense was $3,576 and $24,658 for the three and six months ended June 30, 2012, respectively, compared to $18,698 and $37,191 for the three and six months ended June 30, 2011, respectively.  The 10% promissory notes issued under our Line of Credit Agreement with DermaStar accounted for $3,576 and $12,535 of interest expense during the three and six months ended June 30, 2012, respectively, and $0 during the same periods in the prior year.  The 7.5% Convertible Note with a principal balance of $1,000,000, issued in April 2010 (and converted to shares of our common stock in February 2012) accounted for $0 and $12,123 of interest expense during the three and six months ended June 30, 2012, respectively, and $18,698 and $37,191 during the three and six months ended June 30, 2011, respectively.</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b/>
          <w:sz w:val="20"/>
        </w:rPr>
        <w:t>Loss on Extinguishment of Debt</w:t>
      </w:r>
      <w:r>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Loss from extinguishment of debt was $189,323 and $1,195,410 for the three and six months ended June 30, 2012, respectively.  As further described above under the heading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an aggregate of 1,835,830 shares of our common stock, and the Convertible Note was terminated. On February 28, 2012, we received payment from Mr. Ladonnikov of $50,000 and issued 380,868 shares of common stock to Mr. Ladonnikov as payment in full for his 20% ownership of the Convertible Note ($200,000) and its related accrued interest ($28,521).  We determined this to be a substantial modification to the debt instrument and applied debt extinguishment accounting to record a loss on extinguishment of debt of $150,000 ($200,000 Note principal balance less $50,000 cash payment) for the six months ended June 30, 2012.  On February 28, 2012, we issued 1,454,962 shares of our common stock to DermaStar as payment in full for its 80% ownership of the Convertible Note ($800,000), its related accrued interest ($114,082) and $56,087 in accounts payable.  We determined this to be a substantial modification to the debt instrument and applied debt extinguishment accounting to record a loss on extinguishment of debt of $856,087 for the six months ended June 30, 2012.</w:t>
      </w:r>
      <w:r>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helvetica" w:hAnsi="helvetica"/>
          <w:sz w:val="20"/>
        </w:rPr>
        <w:t>As further described above under the heading “Recent Developments”, on April 20, 2012, DermaStar agreed to convert the promissory notes issued under the Line of Credit Agreement and their related accrued interest, totaling $762,534, into 193,047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three and six months ended June 30, 2012.</w:t>
      </w:r>
      <w:r>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2" w:name="PGBRK44"/>
      <w:bookmarkStart w:id="583" w:name="PGBRK44"/>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4" w:name="FTR44"/>
      <w:bookmarkStart w:id="585" w:name="FTR44"/>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6" w:name="GLFTR43"/>
      <w:bookmarkEnd w:id="5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87" w:name="PN43"/>
      <w:bookmarkEnd w:id="587"/>
      <w:r>
        <w:rPr>
          <w:rFonts w:ascii="Helvetica" w:hAnsi="Helvetica"/>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8" w:name="HDR43"/>
      <w:bookmarkStart w:id="589" w:name="HDR43"/>
      <w:bookmarkEnd w:id="5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0" w:name="GLHDR43"/>
      <w:bookmarkEnd w:id="5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Net Loss</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Net losses attributable to common stockholders for the three and six months ended June 30, 2012, were $1,505,593 and $2,884,681, respectively, or $(0.39) and $(1.17), respectively, per basic and diluted share, compared to net losses attributable to common stockholders for the three and six months ended June 30, 2011 of $164,465 and $596,778, respectively, or $(0.41) and $(1.55), respectively, per basic and diluted share.</w:t>
      </w:r>
      <w:r>
        <w:rPr/>
        <w:t xml:space="preserve">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Fiscal Year Ended December 31, 2011 Compared to Fiscal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selling, general and administrative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54"/>
        <w:gridCol w:w="105"/>
        <w:gridCol w:w="125"/>
        <w:gridCol w:w="1004"/>
        <w:gridCol w:w="105"/>
        <w:gridCol w:w="105"/>
        <w:gridCol w:w="125"/>
        <w:gridCol w:w="1053"/>
        <w:gridCol w:w="105"/>
        <w:gridCol w:w="105"/>
        <w:gridCol w:w="125"/>
        <w:gridCol w:w="1071"/>
        <w:gridCol w:w="123"/>
      </w:tblGrid>
      <w:tr>
        <w:trPr/>
        <w:tc>
          <w:tcPr>
            <w:tcW w:w="6054"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ind w:left="0" w:right="0" w:hanging="0"/>
              <w:rPr/>
            </w:pPr>
            <w:r>
              <w:rPr/>
              <w:t> </w:t>
            </w:r>
          </w:p>
        </w:tc>
        <w:tc>
          <w:tcPr>
            <w:tcW w:w="251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 December 31,</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shd w:fill="auto" w:val="clear"/>
            <w:vAlign w:val="bottom"/>
          </w:tcPr>
          <w:p>
            <w:pPr>
              <w:pStyle w:val="TableContents"/>
              <w:spacing w:before="0" w:after="283"/>
              <w:ind w:left="0" w:right="0" w:hanging="0"/>
              <w:jc w:val="center"/>
              <w:rPr/>
            </w:pPr>
            <w:r>
              <w:rPr/>
              <w:t> </w:t>
            </w:r>
          </w:p>
        </w:tc>
        <w:tc>
          <w:tcPr>
            <w:tcW w:w="123" w:type="dxa"/>
            <w:tcBorders/>
            <w:shd w:fill="auto" w:val="clear"/>
            <w:vAlign w:val="bottom"/>
          </w:tcPr>
          <w:p>
            <w:pPr>
              <w:pStyle w:val="TableContents"/>
              <w:spacing w:before="0" w:after="283"/>
              <w:ind w:left="0" w:right="0" w:hanging="0"/>
              <w:jc w:val="center"/>
              <w:rPr/>
            </w:pPr>
            <w:r>
              <w:rPr/>
              <w:t> </w:t>
            </w:r>
          </w:p>
        </w:tc>
      </w:tr>
      <w:tr>
        <w:trPr/>
        <w:tc>
          <w:tcPr>
            <w:tcW w:w="6054" w:type="dxa"/>
            <w:tcBorders/>
            <w:shd w:fill="auto" w:val="clear"/>
            <w:vAlign w:val="bottom"/>
          </w:tcPr>
          <w:p>
            <w:pPr>
              <w:pStyle w:val="TableContents"/>
              <w:spacing w:before="0" w:after="283"/>
              <w:ind w:left="0" w:right="0" w:hanging="0"/>
              <w:jc w:val="center"/>
              <w:rPr/>
            </w:pPr>
            <w:r>
              <w:rPr/>
              <w:t xml:space="preserve">  </w:t>
            </w:r>
          </w:p>
        </w:tc>
        <w:tc>
          <w:tcPr>
            <w:tcW w:w="105" w:type="dxa"/>
            <w:tcBorders/>
            <w:shd w:fill="auto" w:val="clear"/>
            <w:vAlign w:val="bottom"/>
          </w:tcPr>
          <w:p>
            <w:pPr>
              <w:pStyle w:val="TableContents"/>
              <w:spacing w:before="0" w:after="283"/>
              <w:ind w:left="0" w:right="0" w:hanging="0"/>
              <w:jc w:val="center"/>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5" w:type="dxa"/>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05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Selling, general and administrative</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0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827,674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2,307,972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(1,480,298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$1,480,298 in selling, general and administrative expense, as compared to the prior year, was primarily a result of the suspension of payroll and primary business operations at and about March 1, 2011. In addition, we recognized an aggregate one-time expense of approximately $416,000 during the same period in 2010 related to the separation agreement with our former Chief Executive Officer.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Research and Development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Accudel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5"/>
        <w:gridCol w:w="107"/>
        <w:gridCol w:w="126"/>
        <w:gridCol w:w="1019"/>
        <w:gridCol w:w="107"/>
        <w:gridCol w:w="107"/>
        <w:gridCol w:w="126"/>
        <w:gridCol w:w="1019"/>
        <w:gridCol w:w="107"/>
        <w:gridCol w:w="107"/>
        <w:gridCol w:w="126"/>
        <w:gridCol w:w="1006"/>
        <w:gridCol w:w="123"/>
      </w:tblGrid>
      <w:tr>
        <w:trPr/>
        <w:tc>
          <w:tcPr>
            <w:tcW w:w="61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504" w:type="dxa"/>
            <w:gridSpan w:val="6"/>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Year ended December 31,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shd w:fill="auto" w:val="clear"/>
            <w:vAlign w:val="bottom"/>
          </w:tcPr>
          <w:p>
            <w:pPr>
              <w:pStyle w:val="TableContents"/>
              <w:spacing w:before="0" w:after="283"/>
              <w:jc w:val="center"/>
              <w:rPr/>
            </w:pPr>
            <w:r>
              <w:rPr/>
              <w:t> </w:t>
            </w:r>
          </w:p>
        </w:tc>
        <w:tc>
          <w:tcPr>
            <w:tcW w:w="123" w:type="dxa"/>
            <w:tcBorders/>
            <w:shd w:fill="auto" w:val="clear"/>
            <w:vAlign w:val="bottom"/>
          </w:tcPr>
          <w:p>
            <w:pPr>
              <w:pStyle w:val="TableContents"/>
              <w:spacing w:before="0" w:after="283"/>
              <w:jc w:val="center"/>
              <w:rPr/>
            </w:pPr>
            <w:r>
              <w:rPr/>
              <w:t> </w:t>
            </w:r>
          </w:p>
        </w:tc>
      </w:tr>
      <w:tr>
        <w:trPr/>
        <w:tc>
          <w:tcPr>
            <w:tcW w:w="6125" w:type="dxa"/>
            <w:tcBorders/>
            <w:shd w:fill="auto" w:val="clear"/>
            <w:vAlign w:val="bottom"/>
          </w:tcPr>
          <w:p>
            <w:pPr>
              <w:pStyle w:val="TableContents"/>
              <w:spacing w:before="0" w:after="283"/>
              <w:jc w:val="center"/>
              <w:rPr/>
            </w:pPr>
            <w:r>
              <w:rPr/>
              <w:t xml:space="preserve">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125"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Research and development</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0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 xml:space="preserve">(83,034 </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$83,034 in research and development expense, as compared to the prior year, was primarily related to a decrease of activities for the Phase 3 study, clinical trials and staff/consulting expenses as a result of the suspension of our operations in March 2011. In November 2010, we received a Federal grant amount of $244,479 under the Qualifying Therapeutic Discovery Project that is part of the Patient Protection and Affordable Care Act and was accounted for as a reduction to research and development expenses during the year ended December 31, 2010. The funds were awarded in support of Impracor, our late-stage topical NSAID for the treatment of acute soft tissue injuries.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1" w:name="PGBRK45"/>
      <w:bookmarkStart w:id="592" w:name="PGBRK45"/>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3" w:name="FTR45"/>
      <w:bookmarkStart w:id="594" w:name="FTR45"/>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5" w:name="GLFTR44"/>
      <w:bookmarkEnd w:id="5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96" w:name="PN44"/>
      <w:bookmarkEnd w:id="596"/>
      <w:r>
        <w:rPr>
          <w:rFonts w:ascii="Helvetica" w:hAnsi="Helvetica"/>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7" w:name="HDR44"/>
      <w:bookmarkStart w:id="598" w:name="HDR44"/>
      <w:bookmarkEnd w:id="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9" w:name="GLHDR44"/>
      <w:bookmarkEnd w:id="5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b/>
          <w:sz w:val="20"/>
        </w:rPr>
      </w:pPr>
      <w:r>
        <w:rPr>
          <w:rFonts w:ascii="Helvetica" w:hAnsi="Helvetica"/>
          <w:b/>
          <w:sz w:val="20"/>
        </w:rPr>
        <w:t>Interest Income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Interest income was $0 and $512, for the years ended December 31, 2011 and 2010, respectively. The decrease was due to a lower average cash balance and lower interest rates during fiscal year 2011 as compared to fiscal year 2010</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Interest Expense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April 2010, we issued a senior convertible promissory note to an existing investor through a private placement. The note accrues interest at an annual interest rate of 7.5%.  Interest expense on the note was $75,000 and $55,479 for the years ended December 31, 2011 and 2010, respectively.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Forgiveness of Liabilities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5, 2011, priority claims of former employees (the “Priority Claimants”) in the amount of $119,667 originating as a result of the Chapter 11 Case, were settled and paid by the Company. These amounts consisted of accrued and owed payroll amounts, accrued vacation and any other claims held against the Company at October 5, 2011. The Priority Claimants were given cash in the amount $47,975 and 60,000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2, 2008, we entered into a payment agreement with a vendor, settling a balance of $52,598, pursuant to which we agreed that 50% of the amount owed, or $26,299 would be forgiven and the remainder would be paid in two installments of $13,150 upon execution of the payment agreement and $13,149 upon an infusion of capital into the Company. Since the inception of the payment agreement, the amount to be forgiven, $26,299, continued to be recorded as an accounts payable up until the infusion of $1,000,000 from the issuance of the convertible note in April 2010. When the note was issued, the final installment payment of $13,149 was paid and the $26,299 was recognized as a gain by the Company during the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cash on hand at June 30, 2012 was $7,717,292 as compared to $5,553 at June 30, 2011.  The increase in cash on hand is primarily attributable to aggregate net proceeds of approximately $7,930,000 received from our April Private Placement and the $750,000 drawn under our Line of Credit Agreement with DermaStar between December 2011 and April 2012.</w:t>
      </w:r>
      <w:r>
        <w:rPr>
          <w:rFonts w:ascii="Times New Roman" w:hAnsi="Times New Roman"/>
          <w:sz w:val="20"/>
        </w:rPr>
        <w:t xml:space="preserve"> </w:t>
      </w:r>
      <w:r>
        <w:rPr>
          <w:rFonts w:ascii="Helvetica" w:hAnsi="Helvetica"/>
          <w:sz w:val="20"/>
        </w:rPr>
        <w:t>From inception through June 30, 2012, we have incurred aggregate losses of approximately $(21,405,414).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As we described in more detail above under the heading “Recent Developments,” on June 26, 2011 we filed a voluntary petition for reorganization relief under Chapter 11 of the U.S. Bankruptcy Code.  Thereafter, we suspended our operations and terminated almost all of our employees.  After receiving certain commitments from DermaStar to provide funding to us under a secured line of credit (as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0" w:name="PGBRK46"/>
      <w:bookmarkStart w:id="601" w:name="PGBRK46"/>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2" w:name="FTR46"/>
      <w:bookmarkStart w:id="603" w:name="FTR46"/>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4" w:name="GLFTR45"/>
      <w:bookmarkEnd w:id="6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05" w:name="PN45"/>
      <w:bookmarkEnd w:id="605"/>
      <w:r>
        <w:rPr>
          <w:rFonts w:ascii="Helvetica" w:hAnsi="Helvetica"/>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6" w:name="HDR45"/>
      <w:bookmarkStart w:id="607" w:name="HDR45"/>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8" w:name="GLHDR45"/>
      <w:bookmarkEnd w:id="6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Convertible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in more detail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1,835,830 shares of common stock, and the Convertible Note was terminated. In addition, Mr. Ladonnikov made a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As of December 31, 2011 and up to April 25, 2012 (the date of the conversion thereof), we had requested advances of $300,000 and $750,000, respectively, under the line of credit.  On April 25, 2012, the entire outstanding principal balance and all accrued and unpaid interest under the line of credit, an aggregate of $762,534, was converted into 193,047 shares of common stock and warrants to purchase 48,262 shares of our common stock.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As further described above under the heading “Recent Developments,” on April 25, 2012 we closed a private placement of securities with certain accredited investors  for the sale and issuance of 2,011,691 shares of common stock and warrants to purchase up to 502,928 shares of common stock at an exercise price of $5.925 per share, for aggregate proceeds , net of offering costs, to us of approximately $7,930,000.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Net Cash Flow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provides detailed information about our net cash flow for the six months ended June 30, 2012 and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065"/>
        <w:gridCol w:w="114"/>
        <w:gridCol w:w="143"/>
        <w:gridCol w:w="1181"/>
        <w:gridCol w:w="150"/>
        <w:gridCol w:w="114"/>
        <w:gridCol w:w="143"/>
        <w:gridCol w:w="1133"/>
        <w:gridCol w:w="162"/>
      </w:tblGrid>
      <w:tr>
        <w:trPr/>
        <w:tc>
          <w:tcPr>
            <w:tcW w:w="7065" w:type="dxa"/>
            <w:tcBorders/>
            <w:shd w:fill="auto" w:val="clear"/>
            <w:vAlign w:val="bottom"/>
          </w:tcPr>
          <w:p>
            <w:pPr>
              <w:pStyle w:val="TableContents"/>
              <w:spacing w:before="0" w:after="0"/>
              <w:ind w:left="0" w:right="0" w:hanging="0"/>
              <w:jc w:val="both"/>
              <w:rPr/>
            </w:pPr>
            <w:r>
              <w:rPr>
                <w:rFonts w:ascii="helvetica" w:hAnsi="helvetica"/>
                <w:b/>
                <w:sz w:val="20"/>
              </w:rPr>
              <w:t>Cash Flow</w:t>
            </w:r>
            <w:r>
              <w:rPr/>
              <w:t xml:space="preserve"> </w:t>
            </w:r>
          </w:p>
        </w:tc>
        <w:tc>
          <w:tcPr>
            <w:tcW w:w="114" w:type="dxa"/>
            <w:tcBorders/>
            <w:shd w:fill="auto" w:val="clear"/>
            <w:vAlign w:val="bottom"/>
          </w:tcPr>
          <w:p>
            <w:pPr>
              <w:pStyle w:val="TableContents"/>
              <w:spacing w:before="0" w:after="283"/>
              <w:rPr/>
            </w:pPr>
            <w:r>
              <w:rPr/>
              <w:t xml:space="preserve">  </w:t>
            </w:r>
          </w:p>
        </w:tc>
        <w:tc>
          <w:tcPr>
            <w:tcW w:w="286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The Six Months Ended</w:t>
              <w:br/>
              <w:t>June 30,</w:t>
            </w: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7065"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3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50" w:type="dxa"/>
            <w:tcBorders/>
            <w:shd w:fill="auto" w:val="clear"/>
            <w:vAlign w:val="bottom"/>
          </w:tcPr>
          <w:p>
            <w:pPr>
              <w:pStyle w:val="TableContents"/>
              <w:spacing w:before="0" w:after="283"/>
              <w:jc w:val="left"/>
              <w:rPr/>
            </w:pPr>
            <w:r>
              <w:rPr/>
              <w:t xml:space="preserve">  </w:t>
            </w:r>
          </w:p>
        </w:tc>
        <w:tc>
          <w:tcPr>
            <w:tcW w:w="114" w:type="dxa"/>
            <w:tcBorders/>
            <w:shd w:fill="auto" w:val="clear"/>
            <w:vAlign w:val="bottom"/>
          </w:tcPr>
          <w:p>
            <w:pPr>
              <w:pStyle w:val="TableContents"/>
              <w:spacing w:before="0" w:after="283"/>
              <w:rPr/>
            </w:pPr>
            <w:r>
              <w:rPr/>
              <w:t xml:space="preserve">  </w:t>
            </w:r>
          </w:p>
        </w:tc>
        <w:tc>
          <w:tcPr>
            <w:tcW w:w="12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7065" w:type="dxa"/>
            <w:tcBorders/>
            <w:shd w:fill="CCEEFF" w:val="clear"/>
            <w:vAlign w:val="bottom"/>
          </w:tcPr>
          <w:p>
            <w:pPr>
              <w:pStyle w:val="TableContents"/>
              <w:spacing w:before="0" w:after="0"/>
              <w:ind w:left="0" w:right="0" w:hanging="0"/>
              <w:jc w:val="both"/>
              <w:rPr/>
            </w:pPr>
            <w:r>
              <w:rPr>
                <w:rFonts w:ascii="helvetica" w:hAnsi="helvetica"/>
                <w:sz w:val="20"/>
              </w:rPr>
              <w:t>Net cash used in operating activities</w:t>
            </w: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81" w:type="dxa"/>
            <w:tcBorders/>
            <w:shd w:fill="CCEEFF" w:val="clear"/>
            <w:vAlign w:val="bottom"/>
          </w:tcPr>
          <w:p>
            <w:pPr>
              <w:pStyle w:val="TableContents"/>
              <w:spacing w:before="0" w:after="283"/>
              <w:jc w:val="right"/>
              <w:rPr/>
            </w:pPr>
            <w:r>
              <w:rPr>
                <w:rFonts w:ascii="helvetica" w:hAnsi="helvetica"/>
                <w:sz w:val="20"/>
              </w:rPr>
              <w:t>(617,405</w:t>
            </w:r>
            <w:r>
              <w:rPr/>
              <w:t xml:space="preserve"> </w:t>
            </w:r>
          </w:p>
        </w:tc>
        <w:tc>
          <w:tcPr>
            <w:tcW w:w="15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33" w:type="dxa"/>
            <w:tcBorders/>
            <w:shd w:fill="CCEEFF" w:val="clear"/>
            <w:vAlign w:val="bottom"/>
          </w:tcPr>
          <w:p>
            <w:pPr>
              <w:pStyle w:val="TableContents"/>
              <w:spacing w:before="0" w:after="283"/>
              <w:jc w:val="right"/>
              <w:rPr/>
            </w:pPr>
            <w:r>
              <w:rPr>
                <w:rFonts w:ascii="helvetica" w:hAnsi="helvetica"/>
                <w:sz w:val="20"/>
              </w:rPr>
              <w:t>(285,909</w:t>
            </w:r>
            <w:r>
              <w:rPr/>
              <w:t xml:space="preserve"> </w:t>
            </w:r>
          </w:p>
        </w:tc>
        <w:tc>
          <w:tcPr>
            <w:tcW w:w="16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7065" w:type="dxa"/>
            <w:tcBorders/>
            <w:shd w:fill="FFFFFF" w:val="clear"/>
            <w:vAlign w:val="bottom"/>
          </w:tcPr>
          <w:p>
            <w:pPr>
              <w:pStyle w:val="TableContents"/>
              <w:spacing w:before="0" w:after="0"/>
              <w:ind w:left="0" w:right="0" w:hanging="0"/>
              <w:jc w:val="both"/>
              <w:rPr/>
            </w:pPr>
            <w:r>
              <w:rPr>
                <w:rFonts w:ascii="helvetica" w:hAnsi="helvetica"/>
                <w:sz w:val="20"/>
              </w:rPr>
              <w:t>Net cash used in investing activities</w:t>
            </w:r>
            <w:r>
              <w:rPr/>
              <w:t xml:space="preserve"> </w:t>
            </w:r>
          </w:p>
        </w:tc>
        <w:tc>
          <w:tcPr>
            <w:tcW w:w="114"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1181" w:type="dxa"/>
            <w:tcBorders/>
            <w:shd w:fill="FFFFFF" w:val="clear"/>
            <w:vAlign w:val="bottom"/>
          </w:tcPr>
          <w:p>
            <w:pPr>
              <w:pStyle w:val="TableContents"/>
              <w:spacing w:before="0" w:after="283"/>
              <w:jc w:val="right"/>
              <w:rPr/>
            </w:pPr>
            <w:r>
              <w:rPr>
                <w:rFonts w:ascii="helvetica" w:hAnsi="helvetica"/>
                <w:sz w:val="20"/>
              </w:rPr>
              <w:t>(15,308</w:t>
            </w:r>
            <w:r>
              <w:rPr/>
              <w:t xml:space="preserve"> </w:t>
            </w:r>
          </w:p>
        </w:tc>
        <w:tc>
          <w:tcPr>
            <w:tcW w:w="15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14"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1133"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7065" w:type="dxa"/>
            <w:tcBorders/>
            <w:shd w:fill="CCEEFF" w:val="clear"/>
            <w:vAlign w:val="bottom"/>
          </w:tcPr>
          <w:p>
            <w:pPr>
              <w:pStyle w:val="TableContents"/>
              <w:spacing w:before="0" w:after="0"/>
              <w:ind w:left="0" w:right="0" w:hanging="0"/>
              <w:jc w:val="both"/>
              <w:rPr/>
            </w:pPr>
            <w:r>
              <w:rPr>
                <w:rFonts w:ascii="helvetica" w:hAnsi="helvetica"/>
                <w:sz w:val="20"/>
              </w:rPr>
              <w:t>Net cash provided by financing activities</w:t>
            </w: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t xml:space="preserve">  </w:t>
            </w:r>
          </w:p>
        </w:tc>
        <w:tc>
          <w:tcPr>
            <w:tcW w:w="1181" w:type="dxa"/>
            <w:tcBorders/>
            <w:shd w:fill="CCEEFF" w:val="clear"/>
            <w:vAlign w:val="bottom"/>
          </w:tcPr>
          <w:p>
            <w:pPr>
              <w:pStyle w:val="TableContents"/>
              <w:spacing w:before="0" w:after="283"/>
              <w:jc w:val="right"/>
              <w:rPr/>
            </w:pPr>
            <w:r>
              <w:rPr>
                <w:rFonts w:ascii="helvetica" w:hAnsi="helvetica"/>
                <w:sz w:val="20"/>
              </w:rPr>
              <w:t>8,203,845</w:t>
            </w: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t xml:space="preserve">  </w:t>
            </w:r>
          </w:p>
        </w:tc>
        <w:tc>
          <w:tcPr>
            <w:tcW w:w="1133"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7065"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1181"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c>
          <w:tcPr>
            <w:tcW w:w="114"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1133"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7065" w:type="dxa"/>
            <w:tcBorders/>
            <w:shd w:fill="CCEEFF" w:val="clear"/>
            <w:vAlign w:val="bottom"/>
          </w:tcPr>
          <w:p>
            <w:pPr>
              <w:pStyle w:val="TableContents"/>
              <w:spacing w:before="0" w:after="0"/>
              <w:ind w:left="0" w:right="0" w:hanging="0"/>
              <w:jc w:val="both"/>
              <w:rPr/>
            </w:pPr>
            <w:r>
              <w:rPr>
                <w:rFonts w:ascii="helvetica" w:hAnsi="helvetica"/>
                <w:sz w:val="20"/>
              </w:rPr>
              <w:t>Net Increase (Decrease) in Cash and Cash Equivalents</w:t>
            </w: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t xml:space="preserve">  </w:t>
            </w:r>
          </w:p>
        </w:tc>
        <w:tc>
          <w:tcPr>
            <w:tcW w:w="1181" w:type="dxa"/>
            <w:tcBorders/>
            <w:shd w:fill="CCEEFF" w:val="clear"/>
            <w:vAlign w:val="bottom"/>
          </w:tcPr>
          <w:p>
            <w:pPr>
              <w:pStyle w:val="TableContents"/>
              <w:spacing w:before="0" w:after="283"/>
              <w:jc w:val="right"/>
              <w:rPr/>
            </w:pPr>
            <w:r>
              <w:rPr>
                <w:rFonts w:ascii="helvetica" w:hAnsi="helvetica"/>
                <w:sz w:val="20"/>
              </w:rPr>
              <w:t>7,571,132</w:t>
            </w: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t xml:space="preserve">  </w:t>
            </w:r>
          </w:p>
        </w:tc>
        <w:tc>
          <w:tcPr>
            <w:tcW w:w="1133" w:type="dxa"/>
            <w:tcBorders/>
            <w:shd w:fill="CCEEFF" w:val="clear"/>
            <w:vAlign w:val="bottom"/>
          </w:tcPr>
          <w:p>
            <w:pPr>
              <w:pStyle w:val="TableContents"/>
              <w:spacing w:before="0" w:after="283"/>
              <w:jc w:val="right"/>
              <w:rPr/>
            </w:pPr>
            <w:r>
              <w:rPr>
                <w:rFonts w:ascii="helvetica" w:hAnsi="helvetica"/>
                <w:sz w:val="20"/>
              </w:rPr>
              <w:t>(285,909</w:t>
            </w:r>
            <w:r>
              <w:rPr/>
              <w:t xml:space="preserve"> </w:t>
            </w:r>
          </w:p>
        </w:tc>
        <w:tc>
          <w:tcPr>
            <w:tcW w:w="16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7065" w:type="dxa"/>
            <w:tcBorders/>
            <w:shd w:fill="FFFFFF" w:val="clear"/>
            <w:vAlign w:val="bottom"/>
          </w:tcPr>
          <w:p>
            <w:pPr>
              <w:pStyle w:val="TableContents"/>
              <w:spacing w:before="0" w:after="0"/>
              <w:ind w:left="0" w:right="0" w:hanging="0"/>
              <w:jc w:val="both"/>
              <w:rPr/>
            </w:pPr>
            <w:r>
              <w:rPr>
                <w:rFonts w:ascii="helvetica" w:hAnsi="helvetica"/>
                <w:sz w:val="20"/>
              </w:rPr>
              <w:t>Cash and Cash Equivalents at Beginning of the Period</w:t>
            </w:r>
            <w:r>
              <w:rPr/>
              <w:t xml:space="preserve"> </w:t>
            </w:r>
          </w:p>
        </w:tc>
        <w:tc>
          <w:tcPr>
            <w:tcW w:w="114"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1181" w:type="dxa"/>
            <w:tcBorders/>
            <w:shd w:fill="FFFFFF" w:val="clear"/>
            <w:vAlign w:val="bottom"/>
          </w:tcPr>
          <w:p>
            <w:pPr>
              <w:pStyle w:val="TableContents"/>
              <w:spacing w:before="0" w:after="283"/>
              <w:jc w:val="right"/>
              <w:rPr/>
            </w:pPr>
            <w:r>
              <w:rPr>
                <w:rFonts w:ascii="helvetica" w:hAnsi="helvetica"/>
                <w:sz w:val="20"/>
              </w:rPr>
              <w:t>146,160</w:t>
            </w:r>
            <w:r>
              <w:rPr/>
              <w:t xml:space="preserve"> </w:t>
            </w:r>
          </w:p>
        </w:tc>
        <w:tc>
          <w:tcPr>
            <w:tcW w:w="150" w:type="dxa"/>
            <w:tcBorders/>
            <w:shd w:fill="FFFFFF" w:val="clear"/>
            <w:vAlign w:val="bottom"/>
          </w:tcPr>
          <w:p>
            <w:pPr>
              <w:pStyle w:val="TableContents"/>
              <w:spacing w:before="0" w:after="283"/>
              <w:jc w:val="left"/>
              <w:rPr/>
            </w:pPr>
            <w:r>
              <w:rPr/>
              <w:t xml:space="preserve">  </w:t>
            </w:r>
          </w:p>
        </w:tc>
        <w:tc>
          <w:tcPr>
            <w:tcW w:w="114"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1133" w:type="dxa"/>
            <w:tcBorders/>
            <w:shd w:fill="FFFFFF" w:val="clear"/>
            <w:vAlign w:val="bottom"/>
          </w:tcPr>
          <w:p>
            <w:pPr>
              <w:pStyle w:val="TableContents"/>
              <w:spacing w:before="0" w:after="283"/>
              <w:jc w:val="right"/>
              <w:rPr/>
            </w:pPr>
            <w:r>
              <w:rPr>
                <w:rFonts w:ascii="helvetica" w:hAnsi="helvetica"/>
                <w:sz w:val="20"/>
              </w:rPr>
              <w:t>291,462</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7065" w:type="dxa"/>
            <w:tcBorders/>
            <w:shd w:fill="CCEEFF" w:val="clear"/>
            <w:vAlign w:val="bottom"/>
          </w:tcPr>
          <w:p>
            <w:pPr>
              <w:pStyle w:val="TableContents"/>
              <w:spacing w:before="0" w:after="0"/>
              <w:ind w:left="0" w:right="0" w:hanging="0"/>
              <w:jc w:val="both"/>
              <w:rPr/>
            </w:pPr>
            <w:r>
              <w:rPr>
                <w:rFonts w:ascii="helvetica" w:hAnsi="helvetica"/>
                <w:sz w:val="20"/>
              </w:rPr>
              <w:t>Cash and Cash Equivalents at End of the Period</w:t>
            </w: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81" w:type="dxa"/>
            <w:tcBorders/>
            <w:shd w:fill="CCEEFF" w:val="clear"/>
            <w:vAlign w:val="bottom"/>
          </w:tcPr>
          <w:p>
            <w:pPr>
              <w:pStyle w:val="TableContents"/>
              <w:spacing w:before="0" w:after="283"/>
              <w:jc w:val="right"/>
              <w:rPr/>
            </w:pPr>
            <w:r>
              <w:rPr>
                <w:rFonts w:ascii="helvetica" w:hAnsi="helvetica"/>
                <w:sz w:val="20"/>
              </w:rPr>
              <w:t>7,717,292</w:t>
            </w: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14" w:type="dxa"/>
            <w:tcBorders/>
            <w:shd w:fill="CCEEFF" w:val="clear"/>
            <w:vAlign w:val="bottom"/>
          </w:tcPr>
          <w:p>
            <w:pPr>
              <w:pStyle w:val="TableContents"/>
              <w:spacing w:before="0" w:after="283"/>
              <w:rPr/>
            </w:pPr>
            <w:r>
              <w:rPr/>
              <w:t xml:space="preserve">  </w:t>
            </w:r>
          </w:p>
        </w:tc>
        <w:tc>
          <w:tcPr>
            <w:tcW w:w="14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33" w:type="dxa"/>
            <w:tcBorders/>
            <w:shd w:fill="CCEEFF" w:val="clear"/>
            <w:vAlign w:val="bottom"/>
          </w:tcPr>
          <w:p>
            <w:pPr>
              <w:pStyle w:val="TableContents"/>
              <w:spacing w:before="0" w:after="283"/>
              <w:jc w:val="right"/>
              <w:rPr/>
            </w:pPr>
            <w:r>
              <w:rPr>
                <w:rFonts w:ascii="helvetica" w:hAnsi="helvetica"/>
                <w:sz w:val="20"/>
              </w:rPr>
              <w:t>5,5</w:t>
            </w:r>
            <w:r>
              <w:rPr>
                <w:rFonts w:ascii="times new roman" w:hAnsi="times new roman"/>
                <w:sz w:val="20"/>
              </w:rPr>
              <w:t>53</w:t>
            </w:r>
            <w:r>
              <w:rPr/>
              <w:t xml:space="preserve"> </w:t>
            </w:r>
          </w:p>
        </w:tc>
        <w:tc>
          <w:tcPr>
            <w:tcW w:w="162"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9" w:name="PGBRK47"/>
      <w:bookmarkStart w:id="610" w:name="PGBRK47"/>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1" w:name="FTR47"/>
      <w:bookmarkStart w:id="612" w:name="FTR47"/>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3" w:name="GLFTR46"/>
      <w:bookmarkEnd w:id="6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14" w:name="PN46"/>
      <w:bookmarkEnd w:id="614"/>
      <w:r>
        <w:rPr>
          <w:rFonts w:ascii="Helvetica" w:hAnsi="Helvetica"/>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5" w:name="HDR46"/>
      <w:bookmarkStart w:id="616" w:name="HDR46"/>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7" w:name="GLHDR46"/>
      <w:bookmarkEnd w:id="6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 xml:space="preserve">The following table provides detailed information about our net cash flow for the fiscal years ended December 31, 2011 and 2010: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367"/>
        <w:gridCol w:w="109"/>
        <w:gridCol w:w="126"/>
        <w:gridCol w:w="1044"/>
        <w:gridCol w:w="114"/>
        <w:gridCol w:w="109"/>
        <w:gridCol w:w="126"/>
        <w:gridCol w:w="1088"/>
        <w:gridCol w:w="122"/>
      </w:tblGrid>
      <w:tr>
        <w:trPr/>
        <w:tc>
          <w:tcPr>
            <w:tcW w:w="7367" w:type="dxa"/>
            <w:tcBorders/>
            <w:shd w:fill="auto" w:val="clear"/>
            <w:vAlign w:val="bottom"/>
          </w:tcPr>
          <w:p>
            <w:pPr>
              <w:pStyle w:val="TableContents"/>
              <w:spacing w:before="0" w:after="0"/>
              <w:ind w:left="0" w:right="0" w:hanging="0"/>
              <w:jc w:val="left"/>
              <w:rPr>
                <w:rFonts w:ascii="helvetica" w:hAnsi="helvetica"/>
                <w:sz w:val="16"/>
              </w:rPr>
            </w:pPr>
            <w:r>
              <w:rPr>
                <w:rFonts w:ascii="helvetica" w:hAnsi="helvetica"/>
                <w:b/>
                <w:sz w:val="16"/>
              </w:rPr>
              <w:t xml:space="preserve">Cash Flow </w:t>
            </w:r>
            <w:r>
              <w:rPr>
                <w:rFonts w:ascii="helvetica" w:hAnsi="helvetica"/>
                <w:sz w:val="16"/>
              </w:rPr>
              <w:t>(All amounts in U.S. dollars)</w:t>
            </w:r>
          </w:p>
        </w:tc>
        <w:tc>
          <w:tcPr>
            <w:tcW w:w="109" w:type="dxa"/>
            <w:tcBorders/>
            <w:shd w:fill="auto" w:val="clear"/>
            <w:vAlign w:val="bottom"/>
          </w:tcPr>
          <w:p>
            <w:pPr>
              <w:pStyle w:val="TableContents"/>
              <w:spacing w:before="0" w:after="283"/>
              <w:rPr/>
            </w:pPr>
            <w:r>
              <w:rPr/>
              <w:t xml:space="preserve">  </w:t>
            </w:r>
          </w:p>
        </w:tc>
        <w:tc>
          <w:tcPr>
            <w:tcW w:w="260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Years Ended</w:t>
            </w:r>
          </w:p>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1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(291,160</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145,858</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1,000,000</w:t>
            </w:r>
          </w:p>
        </w:tc>
        <w:tc>
          <w:tcPr>
            <w:tcW w:w="122" w:type="dxa"/>
            <w:tcBorders/>
            <w:shd w:fill="CCEEFF" w:val="clear"/>
            <w:vAlign w:val="bottom"/>
          </w:tcPr>
          <w:p>
            <w:pPr>
              <w:pStyle w:val="TableContents"/>
              <w:spacing w:before="0" w:after="283"/>
              <w:rPr/>
            </w:pPr>
            <w:r>
              <w:rPr/>
              <w:t xml:space="preserve">  </w:t>
            </w:r>
          </w:p>
        </w:tc>
      </w:tr>
      <w:tr>
        <w:trPr/>
        <w:tc>
          <w:tcPr>
            <w:tcW w:w="7367"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Decrease in Cash and Cash Equivalents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(145,302</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Beginning of the Year</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1,589,773</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End of the Year</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146,160</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22" w:type="dxa"/>
            <w:tcBorders/>
            <w:shd w:fill="CCEEFF" w:val="clear"/>
            <w:vAlign w:val="bottom"/>
          </w:tcPr>
          <w:p>
            <w:pPr>
              <w:pStyle w:val="TableContents"/>
              <w:spacing w:before="0" w:after="283"/>
              <w:rPr/>
            </w:pPr>
            <w:r>
              <w:rPr/>
              <w:t xml:space="preserve">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i/>
          <w:sz w:val="20"/>
        </w:rPr>
      </w:pPr>
      <w:r>
        <w:rPr>
          <w:rFonts w:ascii="Helvetica" w:hAnsi="Helvetica"/>
          <w:b/>
          <w:i/>
          <w:sz w:val="20"/>
        </w:rPr>
        <w:t>Operating Activities</w:t>
      </w:r>
    </w:p>
    <w:p>
      <w:pPr>
        <w:pStyle w:val="TextBody"/>
        <w:spacing w:before="0" w:after="0"/>
        <w:ind w:left="0" w:right="0" w:hanging="0"/>
        <w:rPr/>
      </w:pPr>
      <w:r>
        <w:rPr/>
      </w:r>
    </w:p>
    <w:p>
      <w:pPr>
        <w:pStyle w:val="TextBody"/>
        <w:spacing w:before="0" w:after="0"/>
        <w:ind w:left="0" w:right="0" w:firstLine="720"/>
        <w:jc w:val="both"/>
        <w:rPr>
          <w:rFonts w:ascii="Helvetica" w:hAnsi="Helvetica"/>
          <w:sz w:val="20"/>
        </w:rPr>
      </w:pPr>
      <w:r>
        <w:rPr>
          <w:rFonts w:ascii="Helvetica" w:hAnsi="Helvetica"/>
          <w:sz w:val="20"/>
        </w:rPr>
        <w:t>Net cash used in operating activities was $617,405 for the  six months ended June 30, 2012, as compared to $285,909 used in operating activities during the same period for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Net cash used in operating activities was $291,160 for the year ended December 31, 2011, as compared to $2,298,311 used in operating activities during 2010. The decrease in net cash used in operating activities was mainly due to the suspension of operations in fiscal 2011, and related matters including minimizing certain administrative expenses, suspension of payroll at March 1, 2011, and lengthening our accounts payable payment process.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Investing Activities</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 xml:space="preserve">Net cash used in investing activities for the  six months ended June 30 , 2012 and 2011 was $15,308 and $0, respectively.  Net cash used in investing activities for the year ended December 31, 2011 and 2010 was $0.   The increase in investing activities during the six months ended June 30, 2012 was due primarily to our move into our new office space and our acquisition of furniture and office equipment to furnish that office space. </w:t>
      </w:r>
    </w:p>
    <w:p>
      <w:pPr>
        <w:pStyle w:val="TextBody"/>
        <w:spacing w:before="0" w:after="0"/>
        <w:ind w:left="0" w:right="0" w:firstLine="720"/>
        <w:jc w:val="left"/>
        <w:rPr/>
      </w:pPr>
      <w:r>
        <w:rPr/>
        <w:br/>
      </w:r>
      <w:r>
        <w:rPr>
          <w:rFonts w:ascii="Helvetica" w:hAnsi="Helvetica"/>
          <w:b/>
          <w:i/>
          <w:sz w:val="20"/>
        </w:rPr>
        <w:t>Financing Activities</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 xml:space="preserve">Net cash provided by financing activities for the  six months ended June 30, 2012 and 2011 was $8,203,845 and $0, respectively.   The increase in cash is primarily attributable to aggregate proceeds, net of offering costs, of approximately $7,930,000 received from the April Private Placement and the $750,000 drawn under our Line of Credit Agreement with DermaStar between December 2011 and April 2012. </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Net cash provided by financing activities for the year ended December 31, 2011 was $145,858, as compared to $1,000,000 net cash provided by financing activities for the year ended December 31, 2010. The decrease in net cash provided by financing activities was attributable to the issuance of the Convertible Note with a principal balance of $1,000,000 issued in exchange for cash of the same amount during April 2010. During the year ended December 31, 2011, we received $100,000 from the sale of Series A Preferred Stock and $300,000 in advances under our line of credit.  This was offset by amounts reimbursed DermaStar for its payment of certain of our expenses incurred prior to the dismissal of the Chapter 11 Case, which totaled $254,142.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8" w:name="PGBRK48"/>
      <w:bookmarkStart w:id="619" w:name="PGBRK48"/>
      <w:bookmarkEnd w:id="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0" w:name="FTR48"/>
      <w:bookmarkStart w:id="621" w:name="FTR48"/>
      <w:bookmarkEnd w:id="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2" w:name="GLFTR47"/>
      <w:bookmarkEnd w:id="6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23" w:name="PN47"/>
      <w:bookmarkEnd w:id="623"/>
      <w:r>
        <w:rPr>
          <w:rFonts w:ascii="Helvetica" w:hAnsi="Helvetica"/>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4" w:name="HDR47"/>
      <w:bookmarkStart w:id="625" w:name="HDR47"/>
      <w:bookmarkEnd w:id="6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6" w:name="GLHDR47"/>
      <w:bookmarkEnd w:id="6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We have limited funds to support our operations. We have prepared our consolidated financial statements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April 25, 2012, we closed a private placement of common stock and warrants and received  net cash  proceeds from the offering of approximately $7,930,000.   We currently have sufficient cash reserves to operate and execute our business plan for the 2012 fiscal year; however we expect that we will need to raise approximately $7,000,000 in additional funds to fully operate and complete our planned clinical trials.  We expect to require additional funds in order to conduct additional Phase 3 trials and any other studies that may be required to obtain regulatory approval to market Impracor, to pursue a cosmetic development program and to explore other co-development opportunities. If adequate financing is not available, we may not be able to obtain regulatory approval to market Impracor or develop any additional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will be required to raise additional capital to fund our operations through sources of financing that could include equity and debt financings, funding from a corporate partnership and licensing arrangements.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reported in the Report of Independent Registered Public Accounting Firm on our December 31, 2011 consolidated financial statements, we have incurred recurring losses from operations and have an accumulated deficit that raises substantial doubt about our ability to continue as a going concern.  In addition, since we do not have adequate cash resources, as of the date of the report, to support our operating plan for the next twelve to eighteen months, there is substantial doubt about our ability to continue as a going concern.</w:t>
      </w:r>
    </w:p>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pStyle w:val="TextBody"/>
        <w:spacing w:before="0" w:after="0"/>
        <w:ind w:left="0" w:right="0" w:firstLine="720"/>
        <w:jc w:val="left"/>
        <w:rPr/>
      </w:pPr>
      <w:r>
        <w:rPr/>
        <w:t> </w:t>
      </w:r>
    </w:p>
    <w:p>
      <w:pPr>
        <w:pStyle w:val="TextBody"/>
        <w:spacing w:before="0" w:after="0"/>
        <w:ind w:left="0" w:right="0" w:hanging="0"/>
        <w:jc w:val="left"/>
        <w:rPr/>
      </w:pPr>
      <w:bookmarkStart w:id="627" w:name="v122485_10q_htm_eolpage17"/>
      <w:bookmarkEnd w:id="627"/>
      <w:r>
        <w:rPr>
          <w:rFonts w:ascii="helvetica" w:hAnsi="helvetica"/>
          <w:b/>
          <w:sz w:val="20"/>
        </w:rPr>
        <w:t>Recent Accounting Pronouncements</w:t>
      </w:r>
      <w:r>
        <w:rPr/>
        <w:t xml:space="preserve"> </w:t>
      </w:r>
    </w:p>
    <w:p>
      <w:pPr>
        <w:pStyle w:val="TextBody"/>
        <w:spacing w:before="0" w:after="0"/>
        <w:ind w:left="0" w:right="0" w:hanging="0"/>
        <w:jc w:val="left"/>
        <w:rPr/>
      </w:pPr>
      <w:r>
        <w:rPr/>
        <w:t> </w:t>
      </w:r>
    </w:p>
    <w:p>
      <w:pPr>
        <w:pStyle w:val="TextBody"/>
        <w:spacing w:before="0" w:after="0"/>
        <w:ind w:left="0" w:right="0" w:firstLine="720"/>
        <w:jc w:val="left"/>
        <w:rPr/>
      </w:pPr>
      <w:r>
        <w:rPr>
          <w:rFonts w:ascii="helvetica" w:hAnsi="helvetica"/>
          <w:sz w:val="20"/>
        </w:rPr>
        <w:t>There are no recent accounting pronouncements issued by the FASB that management believes have had or are reasonably likely to have a material impact on our present or future consolidated financial statements.</w:t>
      </w:r>
      <w:r>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8" w:name="PGBRK49"/>
      <w:bookmarkStart w:id="629" w:name="PGBRK49"/>
      <w:bookmarkEnd w:id="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0" w:name="FTR49"/>
      <w:bookmarkStart w:id="631" w:name="FTR49"/>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2" w:name="GLFTR48"/>
      <w:bookmarkEnd w:id="6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33" w:name="PN48"/>
      <w:bookmarkEnd w:id="633"/>
      <w:r>
        <w:rPr>
          <w:rFonts w:ascii="Helvetica" w:hAnsi="Helvetica"/>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4" w:name="HDR48"/>
      <w:bookmarkStart w:id="635" w:name="HDR48"/>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6" w:name="GLHDR48"/>
      <w:bookmarkEnd w:id="6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637" w:name="TAB12"/>
      <w:bookmarkEnd w:id="637"/>
      <w:r>
        <w:rPr>
          <w:rFonts w:ascii="Helvetica" w:hAnsi="Helvetica"/>
          <w:b/>
          <w:sz w:val="20"/>
        </w:rPr>
        <w:t>DESCRIPTION OF THE BUSINESS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General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to Imprimis Pharmaceuticals, Inc. and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that reverse stock split</w:t>
      </w:r>
      <w:r>
        <w:rPr>
          <w:rFonts w:ascii="Helvetica" w:hAnsi="Helvetica"/>
          <w:b/>
          <w:sz w:val="20"/>
        </w:rPr>
        <w:t>.</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reverse stock split is intended to allow us to meet the minimum share price requirement of The NASDAQ Capital Market.  We intend to apply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Our common stock has been quoted in the over-the-counter market since October 1, 2007 and is currently quoted on OTC Markets Group’s OTCQB tier under the symbol IMMY.  Our executive offices are located at 437 S. Hwy 101, Suite 209, Solana Beach, CA  92075 and our telephone number at such office is (858) 433-2800.  Our website address is </w:t>
      </w:r>
      <w:r>
        <w:rPr>
          <w:rFonts w:ascii="Helvetica" w:hAnsi="Helvetica"/>
          <w:sz w:val="20"/>
          <w:u w:val="single"/>
        </w:rPr>
        <w:t>www.imprimispharma.com</w:t>
      </w:r>
      <w:r>
        <w:rPr>
          <w:rFonts w:ascii="Helvetica" w:hAnsi="Helvetica"/>
          <w:sz w:val="20"/>
        </w:rPr>
        <w:t>.  Information contained on our website is not deemed part of this prospectus.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8" w:name="PGBRK50"/>
      <w:bookmarkStart w:id="639" w:name="PGBRK50"/>
      <w:bookmarkEnd w:id="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0" w:name="FTR50"/>
      <w:bookmarkStart w:id="641" w:name="FTR50"/>
      <w:bookmarkEnd w:id="6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2" w:name="GLFTR49"/>
      <w:bookmarkEnd w:id="6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43" w:name="PN49"/>
      <w:bookmarkEnd w:id="643"/>
      <w:r>
        <w:rPr>
          <w:rFonts w:ascii="Helvetica" w:hAnsi="Helvetica"/>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4" w:name="HDR49"/>
      <w:bookmarkStart w:id="645" w:name="HDR49"/>
      <w:bookmarkEnd w:id="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6" w:name="GLHDR49"/>
      <w:bookmarkEnd w:id="6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Clinical Program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Initially we plan to commence two Phase 3 studies of Impracor in patients experiencing pain from osteoarthritis flare in their hands or knees.  The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 NSAID wash-out period, the proposed design study has the patients dosed with placebo or Impracor three times daily for 14 days. The primary endpoint for both trials is expected to employ well accepted pain measurements, which will be measured on day 14.  It is expected that the planned trials, if successful, would provide sufficient data for subsequent registration filing to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timing of Phase 3 trials and the other supportive studies will be dependent on obtaining adequate financing to support the execution of these activities and for other working capital expenditures, as well as feedback from the FDA.  Upon receipt of such financing, we anticipate initiating the supportive studies and Phase 3 trials in late 2012 and early 2013.  Assuming successful completion and outcome of the additional Phase 3 trials, we would expect to file the New Drug Application in 2014.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7" w:name="PGBRK51"/>
      <w:bookmarkStart w:id="648" w:name="PGBRK51"/>
      <w:bookmarkEnd w:id="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9" w:name="FTR51"/>
      <w:bookmarkStart w:id="650" w:name="FTR51"/>
      <w:bookmarkEnd w:id="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1" w:name="GLFTR50"/>
      <w:bookmarkEnd w:id="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52" w:name="PN50"/>
      <w:bookmarkEnd w:id="652"/>
      <w:r>
        <w:rPr>
          <w:rFonts w:ascii="Helvetica" w:hAnsi="Helvetica"/>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3" w:name="HDR50"/>
      <w:bookmarkStart w:id="654" w:name="HDR50"/>
      <w:bookmarkEnd w:id="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5" w:name="GLHDR50"/>
      <w:bookmarkEnd w:id="6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6019800" cy="2505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19800" cy="250507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56" w:name="list85"/>
      <w:bookmarkStart w:id="657" w:name="list85"/>
      <w:bookmarkEnd w:id="65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(PLO)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8" w:name="list86"/>
      <w:bookmarkStart w:id="659" w:name="list86"/>
      <w:bookmarkEnd w:id="659"/>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0" w:name="list87"/>
      <w:bookmarkStart w:id="661" w:name="list87"/>
      <w:bookmarkEnd w:id="661"/>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2" w:name="list88"/>
      <w:bookmarkStart w:id="663" w:name="list88"/>
      <w:bookmarkEnd w:id="663"/>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4" w:name="list89"/>
      <w:bookmarkStart w:id="665" w:name="list89"/>
      <w:bookmarkEnd w:id="665"/>
    </w:p>
    <w:tbl>
      <w:tblPr>
        <w:tblW w:w="5000" w:type="pct"/>
        <w:jc w:val="left"/>
        <w:tblInd w:w="0" w:type="dxa"/>
        <w:tblCellMar>
          <w:top w:w="0" w:type="dxa"/>
          <w:left w:w="0" w:type="dxa"/>
          <w:bottom w:w="0" w:type="dxa"/>
          <w:right w:w="0" w:type="dxa"/>
        </w:tblCellMar>
      </w:tblPr>
      <w:tblGrid>
        <w:gridCol w:w="364"/>
        <w:gridCol w:w="9841"/>
      </w:tblGrid>
      <w:tr>
        <w:trPr/>
        <w:tc>
          <w:tcPr>
            <w:tcW w:w="364" w:type="dxa"/>
            <w:tcBorders/>
            <w:shd w:fill="auto" w:val="clear"/>
          </w:tcPr>
          <w:p>
            <w:pPr>
              <w:pStyle w:val="TableContents"/>
              <w:spacing w:before="0" w:after="0"/>
              <w:jc w:val="right"/>
              <w:rPr/>
            </w:pPr>
            <w:r>
              <w:rPr/>
              <w:t>●  </w:t>
            </w:r>
          </w:p>
        </w:tc>
        <w:tc>
          <w:tcPr>
            <w:tcW w:w="984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(GRAS)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6" w:name="list90"/>
      <w:bookmarkStart w:id="667" w:name="list90"/>
      <w:bookmarkEnd w:id="667"/>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8" w:name="list91"/>
      <w:bookmarkStart w:id="669" w:name="list91"/>
      <w:bookmarkEnd w:id="669"/>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0" w:name="list92"/>
      <w:bookmarkStart w:id="671" w:name="list92"/>
      <w:bookmarkEnd w:id="671"/>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2" w:name="list93"/>
      <w:bookmarkStart w:id="673" w:name="list93"/>
      <w:bookmarkEnd w:id="673"/>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74" w:name="list94"/>
      <w:bookmarkStart w:id="675" w:name="list94"/>
      <w:bookmarkEnd w:id="675"/>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6" w:name="PGBRK52"/>
      <w:bookmarkStart w:id="677" w:name="PGBRK52"/>
      <w:bookmarkEnd w:id="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8" w:name="FTR52"/>
      <w:bookmarkStart w:id="679" w:name="FTR52"/>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0" w:name="GLFTR51"/>
      <w:bookmarkEnd w:id="6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81" w:name="PN51"/>
      <w:bookmarkEnd w:id="681"/>
      <w:r>
        <w:rPr>
          <w:rFonts w:ascii="Helvetica" w:hAnsi="Helvetica"/>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2" w:name="HDR51"/>
      <w:bookmarkStart w:id="683" w:name="HDR51"/>
      <w:bookmarkEnd w:id="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4" w:name="GLHDR51"/>
      <w:bookmarkEnd w:id="6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clinical success of Impracor will facilitate the use of the Accudel delivery technology in other products.   We have identified co-development opportunities for potential products in pain management and other therapeutic areas utilizing the Accudel platform technology and we are exploring potential commercial relationships for these identified product candidates.  Some of these co-development areas could include additional pain relief products, muscle relaxants, antiemetic and dermatological products using our Accudel delivery system.  We may also pursue the out-licensing of our Accudel drug delivery technology for the development and commercialization of additional innovative drug and cosmeceutical products.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Completed Clinical Studies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(AEs) reported. Furthermore, Impracor was observed to be well absorbed through the skin and only minimal blood concentrations of ketoprofen were detected in a subset of patients who underwent blood sampling for pharmacokinetic (PK) analyses following repeated topical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proportion of subjects who were satisfied with the treatment and achieved moderate or higher pain relief - as recorded on a 7 point Likert Scale - was statistically significantly greater with Impracor on day 3  (p= 0.023).</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Cosmeceutical/Cosmetic Product Development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past our product development program had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5" w:name="PGBRK53"/>
      <w:bookmarkStart w:id="686" w:name="PGBRK53"/>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7" w:name="FTR53"/>
      <w:bookmarkStart w:id="688" w:name="FTR53"/>
      <w:bookmarkEnd w:id="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9" w:name="GLFTR52"/>
      <w:bookmarkEnd w:id="6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90" w:name="PN52"/>
      <w:bookmarkEnd w:id="690"/>
      <w:r>
        <w:rPr>
          <w:rFonts w:ascii="Helvetica" w:hAnsi="Helvetica"/>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1" w:name="HDR52"/>
      <w:bookmarkStart w:id="692" w:name="HDR52"/>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3" w:name="GLHDR52"/>
      <w:bookmarkEnd w:id="6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was approximately $506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More than 70% of Americans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death resulting from gastro-intestinal complications was the 15th most common cause of death in the U.S., higher than cervical cancer, asthma and malignant melanoma.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oral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there is a large and growing need for Impracor, and specifically, a non-liquid topical NSAID.  Recent prescription data from Wolters-Kluwer PHAST through May 2012 showed that following a production disruption with Voltaren® gel, the leading topical NSAID in prescription volume, and a corresponding spike in prescription volume for Pennsaid (a liquid) and Flector (a patch), once the Voltaren® gel supply issues were resolved in April 2012, prescription volumes for Voltaren® gel dramatically increased, nearly to pre-failure volumes.  We believe that this data shows that there is a market preference for gels over liquids and patches, and we further believe there may also be a market preference for creams such as Impracor as well.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Assuming that we can show positive efficacy and strong safety data, and assuming FDA approval of Impracor, we believe we will be able to enter into an agreement on reasonable terms with a suitable marketing partner to distribute Impracor.  We also intend to assess alternative options, in parallel, to invest in the distribution of Impracor alone or in partnership with a more established sales organization.  We believe that finding a marketing partner with a sales force that will call on physicians who would potentially prescribe Impracor is of critical importance.  Given the growth in the use of topical NSAIDs we believe that interest in bringing Impracor to market by strong partners under acceptable terms should be significant.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Competition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pharmaceutical industry is highly competitive. There are competitors in the United States that are currently selling FDA-approved topical NSAID products that our products would compete with, if our products are approved by the FDA.  Also, we are aware of companies developing patch products, topical NSAIDs and other pain formulations.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topical NSAID category, since 2008, three diclofenac-based topical NSAID products have been introduced in the US market: Endo Pharmaceutical’s Voltaren® gel (licensed from Novartis), Alpharma’s (now subsidiary of Pfizer) Flector® patch and Covidien’s Pennsaid® Topical Solution (licensed from Nuvo).  While Voltaren Gel and Pennsaid are indicated for osteoarthritis of the knee, Flector Patch is indicated for acute sprains and strains.  Currently, there are no FDA approved non-diclofenac-based topical NSAID products in the US market. We believe that additional transdermal NSAID products such as our ketoprofen-based Impracor would be well received by the FDA and patients by providing safe and effective treatment options to address pain in addition to diclofenac-based products.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4" w:name="PGBRK54"/>
      <w:bookmarkStart w:id="695" w:name="PGBRK54"/>
      <w:bookmarkEnd w:id="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6" w:name="FTR54"/>
      <w:bookmarkStart w:id="697" w:name="FTR54"/>
      <w:bookmarkEnd w:id="6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8" w:name="GLFTR53"/>
      <w:bookmarkEnd w:id="6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99" w:name="PN53"/>
      <w:bookmarkEnd w:id="699"/>
      <w:r>
        <w:rPr>
          <w:rFonts w:ascii="Helvetica" w:hAnsi="Helvetica"/>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0" w:name="HDR53"/>
      <w:bookmarkStart w:id="701" w:name="HDR53"/>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2" w:name="GLHDR53"/>
      <w:bookmarkEnd w:id="7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as of December 2011, Voltaren® gel dominated the topical NSAID market with approximately 74% of the U.S. monthly prescription volume.  Flector® patch held the number two position with approximately 16% of the U.S. monthly prescription volume.  Solaraze® Gel held the number three position in the market with approximately 6% of the U.S. monthly prescription volume. Pennsaid® Topical Solution makes up the remaining 4% of  topical NSAID prescriptions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for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significantly smaller than our primary competitors, we may lack the financial and other resources needed to develop, produce, distribute, market and commercialize any of our drug candidates or compete for market share in the pain management sector.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this time, no generic version of any of the three currently marketed topical NSAID drugs have been approved by the FDA.  Additionally, the Office of Generic Drugs, or OGD, recently issued draft guidance representing the FDA’s opinion on the requirements for approval of a generic version of the currently marketed topical NSAIDs, Voltaren Gel and Flector Patch. OGD recommends a bioequivalence study with clinical endpoints and/or a bioequivalence study with pharmacokinetic endpoints and/or a skin irritation and sensitization study to determine bioequivalence between the products, i.e. demonstrating that there is no difference between the original drug and the generic. We believe that the cost to develop a generic topical NSAID is comparable to the cost of a Phase 3 new drug application and thereby discourages companies from genericizing the topical NSAID category of drugs.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Governmental Regulation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bookmarkStart w:id="703" w:name="eolPage9"/>
      <w:bookmarkEnd w:id="703"/>
      <w:r>
        <w:rPr>
          <w:rFonts w:ascii="Helvetica" w:hAnsi="Helvetica"/>
          <w:sz w:val="20"/>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4" w:name="PGBRK55"/>
      <w:bookmarkStart w:id="705" w:name="PGBRK55"/>
      <w:bookmarkEnd w:id="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6" w:name="FTR55"/>
      <w:bookmarkStart w:id="707" w:name="FTR55"/>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8" w:name="GLFTR54"/>
      <w:bookmarkEnd w:id="7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09" w:name="PN54"/>
      <w:bookmarkEnd w:id="709"/>
      <w:r>
        <w:rPr>
          <w:rFonts w:ascii="Helvetica" w:hAnsi="Helvetica"/>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0" w:name="HDR54"/>
      <w:bookmarkStart w:id="711" w:name="HDR54"/>
      <w:bookmarkEnd w:id="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2" w:name="GLHDR54"/>
      <w:bookmarkEnd w:id="7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FDA Approval Process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sponsor typically conducts human clinical trials in the following three sequential phases, but the phases may overlap</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13" w:name="list95"/>
      <w:bookmarkStart w:id="714" w:name="list95"/>
      <w:bookmarkEnd w:id="71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5" w:name="list96"/>
      <w:bookmarkStart w:id="716" w:name="list96"/>
      <w:bookmarkEnd w:id="71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7" w:name="list97"/>
      <w:bookmarkStart w:id="718" w:name="list97"/>
      <w:bookmarkEnd w:id="71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9" w:name="PGBRK56"/>
      <w:bookmarkStart w:id="720" w:name="PGBRK56"/>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1" w:name="FTR56"/>
      <w:bookmarkStart w:id="722" w:name="FTR56"/>
      <w:bookmarkEnd w:id="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3" w:name="GLFTR55"/>
      <w:bookmarkEnd w:id="7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24" w:name="PN55"/>
      <w:bookmarkEnd w:id="724"/>
      <w:r>
        <w:rPr>
          <w:rFonts w:ascii="Helvetica" w:hAnsi="Helvetica"/>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5" w:name="HDR55"/>
      <w:bookmarkStart w:id="726" w:name="HDR55"/>
      <w:bookmarkEnd w:id="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7" w:name="GLHDR55"/>
      <w:bookmarkEnd w:id="7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Section 505(b)(2) New Drug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active pharmaceutical ingredient in Impracor is ketoprofen,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  As of July 24, 2012, there were 14 ketoprofen based prescription drugs approved by the FDA in the Orange Book.  All of the approved applications are for oral capsules and oral extended release capsules, with dosage strengths ranging from 25 milligrams to 200 milligrams.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8" w:name="PGBRK57"/>
      <w:bookmarkStart w:id="729" w:name="PGBRK57"/>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0" w:name="FTR57"/>
      <w:bookmarkStart w:id="731" w:name="FTR57"/>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2" w:name="GLFTR56"/>
      <w:bookmarkEnd w:id="7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33" w:name="PN56"/>
      <w:bookmarkEnd w:id="733"/>
      <w:r>
        <w:rPr>
          <w:rFonts w:ascii="Helvetica" w:hAnsi="Helvetica"/>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4" w:name="HDR56"/>
      <w:bookmarkStart w:id="735" w:name="HDR56"/>
      <w:bookmarkEnd w:id="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6" w:name="GLHDR56"/>
      <w:bookmarkEnd w:id="7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pPr>
      <w:r>
        <w:rPr/>
        <w:t> </w:t>
      </w:r>
      <w:bookmarkStart w:id="737" w:name="eolPage11"/>
      <w:bookmarkEnd w:id="737"/>
      <w:r>
        <w:rPr>
          <w:rFonts w:ascii="Helvetica" w:hAnsi="Helvetica"/>
          <w:b/>
          <w:sz w:val="20"/>
        </w:rPr>
        <w:t>Quality Assurance Requirements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we and our suppliers and outside manufacturers are currently in compliance with all FDA requirements.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Impracor is manufactured by a large contract manufacturer in the United States that specializes in topical products.  We believe that this supplier has sufficient capability to manufacture Impracor if it is approved for sale.  We are currently assessing alternative suppliers for Impracor in the event there are problems associated with the manufacturing of Impracor by our current contract supplier, although we do not expect any such problems to occur.  Our active pharmaceutical ingredients (APIs), including ketoprofen, are manufactured by well-known and established chemical and pharmaceutical companies.  We are currently assessing alternative suppliers for our ketoprofen API.  Our preferred vendors for our non-API inactive raw materials suppliers are established companies. </w:t>
      </w:r>
    </w:p>
    <w:p>
      <w:pPr>
        <w:pStyle w:val="TextBody"/>
        <w:spacing w:before="0" w:after="0"/>
        <w:ind w:left="0" w:right="0" w:hanging="0"/>
        <w:rPr/>
      </w:pPr>
      <w:r>
        <w:rPr/>
      </w:r>
    </w:p>
    <w:p>
      <w:pPr>
        <w:pStyle w:val="TextBody"/>
        <w:spacing w:before="0" w:after="0"/>
        <w:ind w:left="0" w:right="0" w:hanging="0"/>
        <w:jc w:val="left"/>
        <w:rPr/>
      </w:pPr>
      <w:r>
        <w:rPr/>
        <w:t> </w:t>
      </w:r>
      <w:r>
        <w:rPr>
          <w:rFonts w:ascii="Helvetica" w:hAnsi="Helvetica"/>
          <w:b/>
          <w:sz w:val="20"/>
        </w:rPr>
        <w:t>Other FDA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The FDA also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8" w:name="PGBRK58"/>
      <w:bookmarkStart w:id="739" w:name="PGBRK58"/>
      <w:bookmarkEnd w:id="7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0" w:name="FTR58"/>
      <w:bookmarkStart w:id="741" w:name="FTR58"/>
      <w:bookmarkEnd w:id="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2" w:name="GLFTR57"/>
      <w:bookmarkEnd w:id="7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43" w:name="PN57"/>
      <w:bookmarkEnd w:id="743"/>
      <w:r>
        <w:rPr>
          <w:rFonts w:ascii="Helvetica" w:hAnsi="Helvetica"/>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4" w:name="HDR57"/>
      <w:bookmarkStart w:id="745" w:name="HDR57"/>
      <w:bookmarkEnd w:id="7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6" w:name="GLHDR57"/>
      <w:bookmarkEnd w:id="7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Research and Development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Impracor clinical program.  These expenses have included costs related to our Phase 3 clinical studies, including costs for our contract research organizations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year ended December 31, 2011, we incurred $111,554 on research and development expenses, as compared to $194,588 during the year ended December 31, 2010.  During the six months ended June 30, 2012, we incurred $276,574 on research and development expenses, as compared to $111,554 during the six months ended June 30, 2011. We expect research and development activities will increase significantly as we execute on our business plan and begin additional Phase 3 studies.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obtained a patent from the United States Patent and Trademark Office on our Accudel technology in 1998, which affords protection of Accudel through 2016 in the United States.  This patent specifically lists over 500 different drugs in over 60 therapeutic areas, including both approved and established drugs.  The Accudel technology may also have an application to deliver drugs not listed in its patent, including novel drugs.  It also covers composition of matter, methods of use and methods of manufacture.  We have engaged counsel and consultants who have specific expertise in topical drug delivery to assist us in executing on an intellectual property strategy with the aim of extending the life of the technology derived from our existing patent beyond 2016.  We have also been granted a patent related to our Accudel technology in Canada.  We have filed additional patent applications in various jurisdictions in order to protect our non-pharmaceutical intellectual property rights.  We have pending trademark applications for Imprimis Pharmaceuticals, Accudel and Impracor.</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Employees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of August 10, 2012, we have four full-time and one part-time employees.  Our employees are responsible for financial accounting and investor relations, business and corporate development, research and development management, and general administration.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Properties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lease approximately 1,486 square feet of office space in Solana Beach, California. The current lease term expires on February 28, 2014. This facility serves as our corporate headquarters.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our current facility is adequate for our immediate and near-term needs. Additional space may be required as we expand our activities. We do not currently foresee any significant difficulties in obtaining any required additional facilities.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7" w:name="PGBRK59"/>
      <w:bookmarkStart w:id="748" w:name="PGBRK59"/>
      <w:bookmarkEnd w:id="7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9" w:name="FTR59"/>
      <w:bookmarkStart w:id="750" w:name="FTR59"/>
      <w:bookmarkEnd w:id="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1" w:name="GLFTR58"/>
      <w:bookmarkEnd w:id="7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52" w:name="PN58"/>
      <w:bookmarkEnd w:id="752"/>
      <w:r>
        <w:rPr>
          <w:rFonts w:ascii="Helvetica" w:hAnsi="Helvetica"/>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3" w:name="HDR58"/>
      <w:bookmarkStart w:id="754" w:name="HDR58"/>
      <w:bookmarkEnd w:id="7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5" w:name="GLHDR58"/>
      <w:bookmarkEnd w:id="7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756" w:name="TAB13"/>
      <w:bookmarkEnd w:id="756"/>
      <w:r>
        <w:rPr>
          <w:rFonts w:ascii="Helvetica" w:hAnsi="Helvetica"/>
          <w:b/>
          <w:sz w:val="20"/>
        </w:rPr>
        <w:t>DIRECTORS, EXECUTIVE OFFICERS AND CORPORATE GOVERNANCE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directors hold office for one-year terms until the earlier of their death, resignation or removal or until their successors have been elected and qualified. Our officers are elected annually by the board of directors and serve at the discretion of the board.  Set forth below is certain information regarding our directors and executive officers as of the date of this prospectus: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266"/>
        <w:gridCol w:w="101"/>
        <w:gridCol w:w="1020"/>
        <w:gridCol w:w="101"/>
        <w:gridCol w:w="5717"/>
      </w:tblGrid>
      <w:tr>
        <w:trPr/>
        <w:tc>
          <w:tcPr>
            <w:tcW w:w="3266"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1" w:type="dxa"/>
            <w:tcBorders/>
            <w:shd w:fill="auto" w:val="clear"/>
            <w:tcMar>
              <w:bottom w:w="0" w:type="dxa"/>
            </w:tcMar>
          </w:tcPr>
          <w:p>
            <w:pPr>
              <w:pStyle w:val="TableContents"/>
              <w:spacing w:before="0" w:after="283"/>
              <w:rPr/>
            </w:pPr>
            <w:r>
              <w:rPr/>
              <w:t xml:space="preserve">  </w:t>
            </w:r>
          </w:p>
        </w:tc>
        <w:tc>
          <w:tcPr>
            <w:tcW w:w="1020" w:type="dxa"/>
            <w:tcBorders>
              <w:bottom w:val="single" w:sz="12" w:space="0" w:color="000000"/>
            </w:tcBorders>
            <w:shd w:fill="auto" w:val="clear"/>
          </w:tcPr>
          <w:p>
            <w:pPr>
              <w:pStyle w:val="TableContents"/>
              <w:spacing w:before="0" w:after="0"/>
              <w:ind w:left="0" w:right="0" w:hanging="0"/>
              <w:jc w:val="center"/>
              <w:rPr>
                <w:rFonts w:ascii="helvetica" w:hAnsi="helvetica"/>
                <w:b/>
                <w:sz w:val="16"/>
              </w:rPr>
            </w:pPr>
            <w:r>
              <w:rPr>
                <w:rFonts w:ascii="helvetica" w:hAnsi="helvetica"/>
                <w:b/>
                <w:sz w:val="16"/>
              </w:rPr>
              <w:t>Age</w:t>
            </w:r>
          </w:p>
        </w:tc>
        <w:tc>
          <w:tcPr>
            <w:tcW w:w="101" w:type="dxa"/>
            <w:tcBorders/>
            <w:shd w:fill="auto" w:val="clear"/>
            <w:tcMar>
              <w:bottom w:w="0" w:type="dxa"/>
            </w:tcMar>
          </w:tcPr>
          <w:p>
            <w:pPr>
              <w:pStyle w:val="TableContents"/>
              <w:spacing w:before="0" w:after="283"/>
              <w:rPr/>
            </w:pPr>
            <w:r>
              <w:rPr/>
              <w:t xml:space="preserve">  </w:t>
            </w:r>
          </w:p>
        </w:tc>
        <w:tc>
          <w:tcPr>
            <w:tcW w:w="5717"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Position</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Joachim Schupp, M.D.</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59</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Medical Officer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75</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 xml:space="preserve">President </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29</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Vice President of Accounting and Public Reporting</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pPr>
            <w:r>
              <w:rPr>
                <w:rFonts w:ascii="helvetica" w:hAnsi="helvetica"/>
                <w:sz w:val="20"/>
              </w:rPr>
              <w:t>40</w:t>
            </w:r>
            <w:r>
              <w:rPr/>
              <w:t xml:space="preserve"> </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Executive Officer and 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 xml:space="preserve">Paul Finnegan, M.D., M.B.A. </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51</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64</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Robert Kammer, D.D.S.</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pPr>
            <w:r>
              <w:rPr>
                <w:rFonts w:ascii="helvetica" w:hAnsi="helvetica"/>
                <w:sz w:val="20"/>
              </w:rPr>
              <w:t>63</w:t>
            </w:r>
            <w:r>
              <w:rPr/>
              <w:t xml:space="preserve"> </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Chairman of the Board of Directors</w:t>
            </w:r>
          </w:p>
        </w:tc>
      </w:tr>
      <w:tr>
        <w:trPr/>
        <w:tc>
          <w:tcPr>
            <w:tcW w:w="3266" w:type="dxa"/>
            <w:tcBorders/>
            <w:shd w:fill="FFFFFF" w:val="clear"/>
            <w:tcMar>
              <w:bottom w:w="0" w:type="dxa"/>
            </w:tcMar>
          </w:tcPr>
          <w:p>
            <w:pPr>
              <w:pStyle w:val="TableContents"/>
              <w:spacing w:before="0" w:after="283"/>
              <w:jc w:val="left"/>
              <w:rPr>
                <w:rFonts w:ascii="helvetica" w:hAnsi="helvetica"/>
                <w:sz w:val="20"/>
              </w:rPr>
            </w:pPr>
            <w:r>
              <w:rPr>
                <w:rFonts w:ascii="helvetica" w:hAnsi="helvetica"/>
                <w:sz w:val="20"/>
              </w:rPr>
              <w:t xml:space="preserve">Stephen G. Austin, C.P.A. </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283"/>
              <w:jc w:val="center"/>
              <w:rPr/>
            </w:pPr>
            <w:r>
              <w:rPr/>
              <w:t xml:space="preserve">59 </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283"/>
              <w:jc w:val="left"/>
              <w:rPr/>
            </w:pPr>
            <w:r>
              <w:rPr>
                <w:rFonts w:ascii="helvetica" w:hAnsi="helvetica"/>
                <w:sz w:val="20"/>
              </w:rPr>
              <w:t>Director</w:t>
            </w:r>
            <w:r>
              <w:rPr/>
              <w:t xml:space="preserve"> </w:t>
            </w:r>
          </w:p>
        </w:tc>
      </w:tr>
    </w:tbl>
    <w:p>
      <w:pPr>
        <w:pStyle w:val="TextBody"/>
        <w:spacing w:before="0" w:after="0"/>
        <w:ind w:left="0" w:right="0" w:hanging="0"/>
        <w:rPr/>
      </w:pPr>
      <w:r>
        <w:rPr/>
      </w:r>
    </w:p>
    <w:p>
      <w:pPr>
        <w:pStyle w:val="TextBody"/>
        <w:spacing w:before="0" w:after="0"/>
        <w:ind w:left="0" w:right="0" w:hanging="0"/>
        <w:rPr/>
      </w:pPr>
      <w:bookmarkStart w:id="757" w:name="TAB216"/>
      <w:bookmarkEnd w:id="757"/>
      <w:r>
        <w:rPr>
          <w:color w:val="000000"/>
          <w:spacing w:val="180"/>
        </w:rPr>
        <w:t> </w:t>
      </w:r>
      <w:r>
        <w:rPr>
          <w:rFonts w:ascii="Helvetica" w:hAnsi="Helvetica"/>
          <w:b/>
          <w:sz w:val="20"/>
        </w:rPr>
        <w:t>Business Experience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brief account of the education and business experience of our current directors and executive officers: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Joachim Schupp, M.D. </w:t>
      </w:r>
      <w:r>
        <w:rPr>
          <w:rFonts w:ascii="Helvetica" w:hAnsi="Helvetica"/>
          <w:sz w:val="20"/>
        </w:rPr>
        <w:t>has been the Chief Medical Officer of the Company since February 2012. Dr. Schupp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May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Balbir Brar, D.V.M., Ph.D.,</w:t>
      </w:r>
      <w:r>
        <w:rPr>
          <w:rFonts w:ascii="Helvetica" w:hAnsi="Helvetica"/>
          <w:sz w:val="20"/>
        </w:rPr>
        <w:t xml:space="preserve"> has been President of the Company since January 2012 and served as a director from February 15, 2012 until July 25, 2012.   Dr. Brar served as our Vice President of Research and Development from December 2007 until April 2008.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Dr. Brar has also served as a consultant to numerous biotechnology companies since June 2002 including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  Dr. Brar’s significant and specifically relevant research and development background brings an important technical perspective to our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8" w:name="PGBRK60"/>
      <w:bookmarkStart w:id="759" w:name="PGBRK60"/>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0" w:name="FTR60"/>
      <w:bookmarkStart w:id="761" w:name="FTR60"/>
      <w:bookmarkEnd w:id="7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2" w:name="GLFTR59"/>
      <w:bookmarkEnd w:id="7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63" w:name="PN59"/>
      <w:bookmarkEnd w:id="763"/>
      <w:r>
        <w:rPr>
          <w:rFonts w:ascii="Helvetica" w:hAnsi="Helvetica"/>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4" w:name="HDR59"/>
      <w:bookmarkStart w:id="765" w:name="HDR59"/>
      <w:bookmarkEnd w:id="7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6" w:name="GLHDR59"/>
      <w:bookmarkEnd w:id="7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Andrew R. Boll </w:t>
      </w:r>
      <w:r>
        <w:rPr>
          <w:rFonts w:ascii="Helvetica" w:hAnsi="Helvetica"/>
          <w:sz w:val="20"/>
        </w:rPr>
        <w:t xml:space="preserve">has been our Vice President of Accounting and Financial Reporting since February 2012 and was a consultant to the Company from December 2011 to February 2012. Mr. Boll has over seven years of experience in financial reporting and accounting, including four years of experience working with small publicly traded companies, with a particular focus on restructured and reorganized businesses. From November 2007 to November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Helvetica" w:hAnsi="Helvetica"/>
          <w:i/>
          <w:sz w:val="20"/>
        </w:rPr>
        <w:t>summa cum laude,</w:t>
      </w:r>
      <w:r>
        <w:rPr>
          <w:rFonts w:ascii="Helvetica" w:hAnsi="Helvetica"/>
          <w:sz w:val="20"/>
        </w:rPr>
        <w:t xml:space="preserve"> from Huron University.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Mark L. Baum, Esq</w:t>
      </w:r>
      <w:r>
        <w:rPr>
          <w:rFonts w:ascii="Helvetica" w:hAnsi="Helvetica"/>
          <w:sz w:val="20"/>
        </w:rPr>
        <w:t>. has served as a director since December 2011 and as our Chairman of our Board of Directors from December 16, 2011 through April 1, 2012.  Mr. Baum has also served as our principal executive officer since December 2011, and was appointed our Chief Executive Officer effective April 1,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additional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(CEMI.OB), Applied Natural Gas Fuels, Inc. (formerly AGAS.OB), Shrink Nanotechnologies, Inc. (INKN.PK), You on Demand, Inc. (CBBD.OB) and CoConnect, Inc. (CCON.OB), as well as boards of advisors for domestic and international private and public companies. Mr. Baum founded and capitalized the Mark L. Baum Scholarship which has funded tuition grants to college students in Texas. Mr. Baum is a published inventor and a licensed attorney in California and Texas.  Mr. Baum was a Managing Member of DermaStar International, LLC, our former majority stockholder.  Mr. Baum brings to our board years of public company executive experience, including knowledge of securities laws, reporting requirements and public company finance-related issues.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Paul Finnegan, M.D., M.B.A. </w:t>
      </w:r>
      <w:r>
        <w:rPr>
          <w:rFonts w:ascii="Helvetica" w:hAnsi="Helvetica"/>
          <w:sz w:val="20"/>
        </w:rPr>
        <w:t> has served as a director since February 15, 2012 and currently serves as the Chair of our Compensation Committee and our Nomination and Corporate Governance Committee and as a member of our Audit Committee.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Dr. Finnegan also serves as a consultant to the Company.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7" w:name="PGBRK61"/>
      <w:bookmarkStart w:id="768" w:name="PGBRK61"/>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9" w:name="FTR61"/>
      <w:bookmarkStart w:id="770" w:name="FTR61"/>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1" w:name="GLFTR60"/>
      <w:bookmarkEnd w:id="7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72" w:name="PN60"/>
      <w:bookmarkEnd w:id="772"/>
      <w:r>
        <w:rPr>
          <w:rFonts w:ascii="Helvetica" w:hAnsi="Helvetica"/>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3" w:name="HDR60"/>
      <w:bookmarkStart w:id="774" w:name="HDR60"/>
      <w:bookmarkEnd w:id="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5" w:name="GLHDR60"/>
      <w:bookmarkEnd w:id="7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Jeffrey J. Abrams, M.D., MPH,</w:t>
      </w:r>
      <w:r>
        <w:rPr>
          <w:rFonts w:ascii="Helvetica" w:hAnsi="Helvetica"/>
          <w:sz w:val="20"/>
        </w:rPr>
        <w:t xml:space="preserve"> has served as a director since September 2007 and served as Chairman of the Board from February 2010 until December 2011.   Currently, Dr. Abrams serves as a member of our 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and his years of experience as a practicing primary care clinician.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Robert Kammer, D.D.S., </w:t>
      </w:r>
      <w:r>
        <w:rPr>
          <w:rFonts w:ascii="Helvetica" w:hAnsi="Helvetica"/>
          <w:sz w:val="20"/>
        </w:rPr>
        <w:t xml:space="preserve">has served as a director since December 2011 and as Chairman of the Board of Directors since April 1, 2012.  Dr. Kammer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Helvetica" w:hAnsi="Helvetica"/>
          <w:sz w:val="20"/>
          <w:u w:val="single"/>
        </w:rPr>
        <w:t>Osteoperiosteal Flap</w:t>
      </w:r>
      <w:r>
        <w:rPr>
          <w:rFonts w:ascii="Helvetica" w:hAnsi="Helvetica"/>
          <w:i/>
          <w:sz w:val="20"/>
          <w:u w:val="single"/>
        </w:rPr>
        <w:t>,</w:t>
      </w:r>
      <w:r>
        <w:rPr>
          <w:rFonts w:ascii="Helvetica" w:hAnsi="Helvetica"/>
          <w:sz w:val="20"/>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b/>
          <w:sz w:val="20"/>
        </w:rPr>
        <w:t>Stephen G. Austin, CPA,</w:t>
      </w:r>
      <w:r>
        <w:rPr>
          <w:rFonts w:ascii="helvetica" w:hAnsi="helvetica"/>
          <w:sz w:val="20"/>
        </w:rPr>
        <w:t xml:space="preserve"> has served as a director since July 2012 and currently serves as the Chair of our Audit Committee and as a member 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serves as a director on the board of Avanir Pharmaceuticals, Inc. (NASDAQ: AVNR). In 2004, Mr. Austin published a book on business ethics entitled “Rise of the New Ethics Class,” and in 2005 and 2006 he published articles in Asia discussing The Sarbanes-Oxley Act of 2002. In 2010 and 2011, Mr. Austin authored articles for the AICPA. Mr. Austin holds a B.S. degree in accounting from Bob Jones University and an M.B.A. degree from the University of Georgia. Mr. Austin brings to our Board financial and accounting expertise and extensive experience serving as a director of other companies.</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There are no family relationships among our directors and executive officers.</w:t>
      </w:r>
      <w:r>
        <w:rPr/>
        <w:t xml:space="preserve"> </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b/>
          <w:sz w:val="20"/>
        </w:rPr>
        <w:t>Committees of the Board of Directors</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On August 7, 2012, the Board established the following committees:  the Audit Committee, the Compensation Committee and the Nomination and Corporate Governance Committee.</w:t>
      </w:r>
      <w:r>
        <w:rPr/>
        <w:t xml:space="preserve"> </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i/>
          <w:sz w:val="20"/>
        </w:rPr>
        <w:t>Audit Committee</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Mr. Austin, Dr. Abrams, and Dr. Finnegan have been appointed to serve on our Audit Committee, and Mr. Austin has been appointed as the Chair of the Audit Committee. Our Board of Directors has determined that each current member of our Audit Committee is “independent” within the meaning of Section 10A(m)(3) of the Exchange Act and Rule 10A-3(b)(1) thereunder and satisfies the requirements for membership in the Audit Committee as set forth in Rule 5605(c)(2)(A) of the Rules of The NASDAQ Stock Market (“NASDAQ Rules”). Our Board of Directors has also determined that Mr. Austin qualifies as an “audit committee financial expert” as defined in applicable rules of the Securities and Exchange Commission.</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Our Board of Directors has adopted a written charter for our Audit Committee, which sets forth the specific duties and responsibilities of the Audit Committee, including: (i) overseeing our accounting and financial reporting processes and our financial reporting legal and regulatory compliance, (ii) overseeing and evaluating management’s assessment of the effectiveness of our internal controls over financial reporting, (iii) reviewing any transactions by us with related parties, (iv) appointing our independent registered public accounting firm, (v) monitoring the independence and performance of our independent registered public accounting firm, (vi) pre-approving all audit and permissible non-audit services to be provided to us by our independent registered public accounting firm, subject to a “de minimus” exception, (vii) meeting separately, periodically, with management and with our independent registered public accounting firm, and (viii) establishing procedures for our receipt, retention and treatment of information provided by our employees regarding accounting, internal accounting controls or audit matters. The Audit Committee’s charter will be provided on our website, http://www.imprimispharma.com, once it becomes available.</w:t>
      </w:r>
      <w:r>
        <w:rPr/>
        <w:t xml:space="preserve"> </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i/>
          <w:sz w:val="20"/>
        </w:rPr>
        <w:t>Compensation Committee</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Dr. Finnegan, Dr. Abrams and Mr. Austin have been appointed to serve on our Compensation Committee, and Dr. Finnegan has been appointed as the Chair of the Compensation Committee. Each member of our Compensation Committee is independent within the meaning of applicable NASDAQ Rules and is a “non-employee director” as defined under Rule 16b-3 of the Exchange Act and an “outside director” as that term is defined in applicable rules under the Internal Revenue Code.</w:t>
      </w:r>
      <w:r>
        <w:rPr/>
        <w:t xml:space="preserve"> </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Our Board of Directors has adopted a written charter for our Compensation Committee, which sets forth the specific duties and responsibilities of the Compensation Committee, including: (i) reviewing and approving our executive officer compensation programs and arrangements, (ii) determining the specific objectives of our compensation programs and structuring such programs to effectively attract and retain qualified personnel, (iii) reviewing and establishing goals and objectives relevant to the compensation of our Chief Executive Officer, and evaluating the Chief Executive Officer’s performance in light of those goals and objectives, (iv) administering our equity and incentive compensation plans, and (v) reviewing and approving director compensation and benefits. Pursuant to its charter, the Compensation Committee may select and engage such advisors and consultants as it deems necessary or desirable in its sole discretion to carry out its duties, and has the authority to approve the fees and retention terms relating to such advisors and/or consultants. The Compensation Committee’s charter will be provided on our website, http://www.imprimispharma.com, once it becomes available.</w:t>
      </w:r>
      <w:r>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6" w:name="PGBRK62"/>
      <w:bookmarkStart w:id="777" w:name="PGBRK62"/>
      <w:bookmarkEnd w:id="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8" w:name="FTR62"/>
      <w:bookmarkStart w:id="779" w:name="FTR62"/>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0" w:name="GLFTR61"/>
      <w:bookmarkEnd w:id="7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81" w:name="PN61"/>
      <w:bookmarkEnd w:id="781"/>
      <w:r>
        <w:rPr>
          <w:rFonts w:ascii="Helvetica" w:hAnsi="Helvetica"/>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2" w:name="HDR61"/>
      <w:bookmarkStart w:id="783" w:name="HDR61"/>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4" w:name="GLHDR61"/>
      <w:bookmarkEnd w:id="7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i/>
        </w:rPr>
      </w:pPr>
      <w:r>
        <w:rPr>
          <w:rFonts w:ascii="helvetica" w:hAnsi="helvetica"/>
          <w:i/>
          <w:sz w:val="20"/>
        </w:rPr>
        <w:t>Nomination and Corporate Governance Committee</w:t>
      </w:r>
      <w:r>
        <w:rPr>
          <w:i/>
        </w:rPr>
        <w:t xml:space="preserve"> </w:t>
      </w:r>
    </w:p>
    <w:p>
      <w:pPr>
        <w:pStyle w:val="TextBody"/>
        <w:spacing w:before="0" w:after="0"/>
        <w:ind w:left="0" w:right="0" w:hanging="0"/>
        <w:jc w:val="both"/>
        <w:rPr/>
      </w:pPr>
      <w:r>
        <w:rPr/>
        <w:t> </w:t>
      </w:r>
    </w:p>
    <w:p>
      <w:pPr>
        <w:pStyle w:val="TextBody"/>
        <w:spacing w:before="0" w:after="0"/>
        <w:ind w:left="0" w:right="0" w:firstLine="720"/>
        <w:jc w:val="left"/>
        <w:rPr>
          <w:i/>
        </w:rPr>
      </w:pPr>
      <w:r>
        <w:rPr>
          <w:rFonts w:ascii="helvetica" w:hAnsi="helvetica"/>
          <w:i w:val="false"/>
          <w:caps w:val="false"/>
          <w:smallCaps w:val="false"/>
          <w:sz w:val="20"/>
        </w:rPr>
        <w:t>Dr. Finnegan, Dr. Abrams and Mr. Austin have been appointed to serve on our Compensation Committee, and Dr. Finnegan has been appointed as the Chair of that committee. Each member of our Nomination and Corporate Governance Committee is independent within the meaning of applicable NASDAQ Rules.</w:t>
      </w:r>
      <w:r>
        <w:rPr>
          <w:i/>
        </w:rPr>
        <w:t xml:space="preserve"> </w:t>
      </w:r>
    </w:p>
    <w:p>
      <w:pPr>
        <w:pStyle w:val="TextBody"/>
        <w:spacing w:before="0" w:after="0"/>
        <w:ind w:left="0" w:right="0" w:hanging="0"/>
        <w:jc w:val="both"/>
        <w:rPr/>
      </w:pPr>
      <w:r>
        <w:rPr/>
        <w:t> </w:t>
      </w:r>
    </w:p>
    <w:p>
      <w:pPr>
        <w:pStyle w:val="TextBody"/>
        <w:spacing w:before="0" w:after="0"/>
        <w:ind w:left="0" w:right="0" w:firstLine="720"/>
        <w:jc w:val="left"/>
        <w:rPr>
          <w:i/>
        </w:rPr>
      </w:pPr>
      <w:r>
        <w:rPr>
          <w:rFonts w:ascii="helvetica" w:hAnsi="helvetica"/>
          <w:i w:val="false"/>
          <w:caps w:val="false"/>
          <w:smallCaps w:val="false"/>
          <w:sz w:val="20"/>
        </w:rPr>
        <w:t>Our Board of Directors has adopted a written charter for our Nomination and Corporate Governance Committee, which sets forth the specific duties and responsibilities of that committee, including: (i) assisting in identifying and recruiting qualified candidates for our Board and our management team, (ii) advising the Board regarding the membership and chairs of the committees of our Board, (iii) overseeing and evaluating the performance of our Board and our management team, including assessing the independence of our directors, (iv) recommending to the Board and overseeing our corporate governance principles, and (vii) recommending to the Board and monitoring compliance with our code of business conduct and ethics. A copy of the Nomination and Corporate Governance Committee’s charter will be provided on our website, http://www.imprimispharma.com, once it becomes available.</w:t>
      </w:r>
      <w:r>
        <w:rPr>
          <w:i/>
        </w:rPr>
        <w:t xml:space="preserve"> </w:t>
      </w:r>
    </w:p>
    <w:p>
      <w:pPr>
        <w:pStyle w:val="TextBody"/>
        <w:spacing w:before="0" w:after="0"/>
        <w:ind w:left="0" w:right="0" w:hanging="0"/>
        <w:jc w:val="both"/>
        <w:rPr/>
      </w:pPr>
      <w:r>
        <w:rPr/>
        <w:t> </w:t>
      </w:r>
    </w:p>
    <w:p>
      <w:pPr>
        <w:pStyle w:val="TextBody"/>
        <w:spacing w:before="0" w:after="0"/>
        <w:ind w:left="0" w:right="0" w:hanging="0"/>
        <w:jc w:val="left"/>
        <w:rPr>
          <w:i/>
        </w:rPr>
      </w:pPr>
      <w:r>
        <w:rPr>
          <w:rFonts w:ascii="helvetica" w:hAnsi="helvetica"/>
          <w:b/>
          <w:i w:val="false"/>
          <w:caps w:val="false"/>
          <w:smallCaps w:val="false"/>
          <w:sz w:val="20"/>
        </w:rPr>
        <w:t>Director Independence</w:t>
      </w:r>
      <w:r>
        <w:rPr>
          <w:i/>
        </w:rPr>
        <w:t xml:space="preserve"> </w:t>
      </w:r>
    </w:p>
    <w:p>
      <w:pPr>
        <w:pStyle w:val="TextBody"/>
        <w:spacing w:before="0" w:after="0"/>
        <w:ind w:left="0" w:right="0" w:hanging="0"/>
        <w:jc w:val="both"/>
        <w:rPr/>
      </w:pPr>
      <w:r>
        <w:rPr/>
        <w:t> </w:t>
      </w:r>
    </w:p>
    <w:p>
      <w:pPr>
        <w:pStyle w:val="TextBody"/>
        <w:spacing w:before="0" w:after="0"/>
        <w:ind w:left="0" w:right="0" w:hanging="0"/>
        <w:jc w:val="left"/>
        <w:rPr>
          <w:i/>
        </w:rPr>
      </w:pPr>
      <w:r>
        <w:rPr>
          <w:rFonts w:ascii="helvetica" w:hAnsi="helvetica"/>
          <w:i/>
          <w:sz w:val="20"/>
        </w:rPr>
        <w:t>Current Directors</w:t>
      </w:r>
      <w:r>
        <w:rPr>
          <w:i/>
        </w:rPr>
        <w:t xml:space="preserve"> </w:t>
      </w:r>
    </w:p>
    <w:p>
      <w:pPr>
        <w:pStyle w:val="TextBody"/>
        <w:spacing w:before="0" w:after="0"/>
        <w:ind w:left="0" w:right="0" w:hanging="0"/>
        <w:jc w:val="both"/>
        <w:rPr/>
      </w:pPr>
      <w:r>
        <w:rPr/>
        <w:t> </w:t>
      </w:r>
    </w:p>
    <w:p>
      <w:pPr>
        <w:pStyle w:val="TextBody"/>
        <w:spacing w:before="0" w:after="0"/>
        <w:ind w:left="0" w:right="0" w:firstLine="720"/>
        <w:jc w:val="left"/>
        <w:rPr>
          <w:i/>
        </w:rPr>
      </w:pPr>
      <w:r>
        <w:rPr>
          <w:rFonts w:ascii="helvetica" w:hAnsi="helvetica"/>
          <w:i w:val="false"/>
          <w:caps w:val="false"/>
          <w:smallCaps w:val="false"/>
          <w:sz w:val="20"/>
        </w:rPr>
        <w:t>We are not currently listed on any national securities exchange that has a requirement that the Board of Directors be independent. However, Mr. Austin, Dr. Abrams and Dr. Finnegan would each be considered an “independent director” as defined in Rule 5605(a)(2) of the NASDAQ Rules. Mr. Baum would not be considered independent because he currently serves as our Chief Executive Officer, and Dr. Kammer is not independent because of certain ongoing advisory relationships.</w:t>
      </w:r>
      <w:r>
        <w:rPr>
          <w:i/>
        </w:rPr>
        <w:t xml:space="preserve"> </w:t>
      </w:r>
    </w:p>
    <w:p>
      <w:pPr>
        <w:pStyle w:val="TextBody"/>
        <w:spacing w:before="0" w:after="0"/>
        <w:ind w:left="0" w:right="0" w:hanging="0"/>
        <w:jc w:val="both"/>
        <w:rPr/>
      </w:pPr>
      <w:r>
        <w:rPr/>
        <w:t> </w:t>
      </w:r>
    </w:p>
    <w:p>
      <w:pPr>
        <w:pStyle w:val="TextBody"/>
        <w:spacing w:before="0" w:after="0"/>
        <w:ind w:left="0" w:right="0" w:hanging="0"/>
        <w:jc w:val="left"/>
        <w:rPr>
          <w:i/>
        </w:rPr>
      </w:pPr>
      <w:r>
        <w:rPr>
          <w:rFonts w:ascii="helvetica" w:hAnsi="helvetica"/>
          <w:i/>
          <w:sz w:val="20"/>
        </w:rPr>
        <w:t>Former Directors</w:t>
      </w:r>
      <w:r>
        <w:rPr>
          <w:i/>
        </w:rPr>
        <w:t xml:space="preserve"> </w:t>
      </w:r>
    </w:p>
    <w:p>
      <w:pPr>
        <w:pStyle w:val="TextBody"/>
        <w:spacing w:before="0" w:after="0"/>
        <w:ind w:left="0" w:right="0" w:hanging="0"/>
        <w:jc w:val="both"/>
        <w:rPr/>
      </w:pPr>
      <w:r>
        <w:rPr/>
        <w:t> </w:t>
      </w:r>
    </w:p>
    <w:p>
      <w:pPr>
        <w:pStyle w:val="TextBody"/>
        <w:spacing w:before="0" w:after="0"/>
        <w:ind w:left="0" w:right="0" w:firstLine="720"/>
        <w:jc w:val="left"/>
        <w:rPr>
          <w:i/>
        </w:rPr>
      </w:pPr>
      <w:r>
        <w:rPr>
          <w:rFonts w:ascii="helvetica" w:hAnsi="helvetica"/>
          <w:i w:val="false"/>
          <w:caps w:val="false"/>
          <w:smallCaps w:val="false"/>
          <w:sz w:val="20"/>
        </w:rPr>
        <w:t>Commencing on February 15, 2012, Dr. Balbir Brar, our President, served as a director on our Board.  Dr. Brar resigned as a director on July 25, 2012, but continues in his capacity as our President. Dr. Brar was not considered independent because of his position as our President.</w:t>
      </w:r>
      <w:r>
        <w:rPr>
          <w:i/>
        </w:rPr>
        <w:t xml:space="preserve"> </w:t>
      </w:r>
    </w:p>
    <w:p>
      <w:pPr>
        <w:pStyle w:val="TextBody"/>
        <w:spacing w:before="0" w:after="0"/>
        <w:ind w:left="0" w:right="0" w:hanging="0"/>
        <w:jc w:val="both"/>
        <w:rPr/>
      </w:pPr>
      <w:r>
        <w:rPr/>
        <w:t> </w:t>
      </w:r>
    </w:p>
    <w:p>
      <w:pPr>
        <w:pStyle w:val="TextBody"/>
        <w:spacing w:before="0" w:after="0"/>
        <w:ind w:left="0" w:right="0" w:firstLine="720"/>
        <w:jc w:val="left"/>
        <w:rPr>
          <w:i/>
        </w:rPr>
      </w:pPr>
      <w:r>
        <w:rPr>
          <w:rFonts w:ascii="helvetica" w:hAnsi="helvetica"/>
          <w:i w:val="false"/>
          <w:caps w:val="false"/>
          <w:smallCaps w:val="false"/>
          <w:sz w:val="20"/>
        </w:rPr>
        <w:t>During the fiscal year ended December 31, 2011, the following individuals served as our directors: John N. Bonfliglio, Lynn C. Swann, Anthony S. Thornley, Jeffrey J. Abrams, Mark L. Baum and Robert J. Kammer. Under NASDAQ Rules, during the fiscal year ended December 31, 2011, Mr. Swann, Mr. Thornley and Dr. Abrams would have been considered independent. Mr. Bonfiglio, Mr. Baum and Dr. Kammer would not be considered independent because of their employment or consulting relationships with the Company.</w:t>
      </w:r>
      <w:r>
        <w:rPr>
          <w:i/>
        </w:rPr>
        <w:t xml:space="preserve"> </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785" w:name="TAB14"/>
      <w:bookmarkEnd w:id="785"/>
      <w:r>
        <w:rPr>
          <w:rFonts w:ascii="Helvetica" w:hAnsi="Helvetica"/>
          <w:b/>
          <w:sz w:val="20"/>
        </w:rPr>
        <w:t>EXECUTIVE COMPENSATION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under the heading “Executive Compensation”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bookmarkStart w:id="786" w:name="FIS_COMPENSATION_TABLE"/>
      <w:bookmarkEnd w:id="786"/>
      <w:r>
        <w:rPr>
          <w:rFonts w:ascii="Helvetica" w:hAnsi="Helvetica"/>
          <w:sz w:val="20"/>
        </w:rPr>
        <w:t>The following table sets forth for the periods presented certain information concerning all compensation earned by or awarded or paid to our named executive officers serving during the fiscal year ended December 31, 2011.  With the exception of Dr. Schupp who resigned in April 2011, and was re-hired effective February 15, 2012 and as noted below, none of our current executive officers received compensation during the fiscal years ended December 31, 2011 and December 31, 2010.</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Summary Compensation Table</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4395"/>
        <w:gridCol w:w="101"/>
        <w:gridCol w:w="818"/>
        <w:gridCol w:w="101"/>
        <w:gridCol w:w="101"/>
        <w:gridCol w:w="920"/>
        <w:gridCol w:w="101"/>
        <w:gridCol w:w="100"/>
        <w:gridCol w:w="101"/>
        <w:gridCol w:w="920"/>
        <w:gridCol w:w="101"/>
        <w:gridCol w:w="101"/>
        <w:gridCol w:w="101"/>
        <w:gridCol w:w="920"/>
        <w:gridCol w:w="101"/>
        <w:gridCol w:w="101"/>
        <w:gridCol w:w="101"/>
        <w:gridCol w:w="920"/>
        <w:gridCol w:w="101"/>
      </w:tblGrid>
      <w:tr>
        <w:trPr/>
        <w:tc>
          <w:tcPr>
            <w:tcW w:w="4395"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1" w:type="dxa"/>
            <w:tcBorders/>
            <w:shd w:fill="auto" w:val="clear"/>
            <w:tcMar>
              <w:bottom w:w="0" w:type="dxa"/>
            </w:tcMar>
            <w:vAlign w:val="bottom"/>
          </w:tcPr>
          <w:p>
            <w:pPr>
              <w:pStyle w:val="TableContents"/>
              <w:spacing w:before="0" w:after="283"/>
              <w:jc w:val="left"/>
              <w:rPr/>
            </w:pPr>
            <w:r>
              <w:rPr/>
              <w:t> </w:t>
            </w:r>
          </w:p>
        </w:tc>
        <w:tc>
          <w:tcPr>
            <w:tcW w:w="818"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w:t>
            </w:r>
          </w:p>
        </w:tc>
        <w:tc>
          <w:tcPr>
            <w:tcW w:w="101"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Salary ($)</w:t>
            </w:r>
          </w:p>
        </w:tc>
        <w:tc>
          <w:tcPr>
            <w:tcW w:w="101"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 ($)(1)</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 (2)</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21"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 ($)</w:t>
            </w:r>
          </w:p>
        </w:tc>
        <w:tc>
          <w:tcPr>
            <w:tcW w:w="101" w:type="dxa"/>
            <w:tcBorders/>
            <w:shd w:fill="auto"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Bonfiglio (3)</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21,384</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1,566</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22,950</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Former President and Chief Executive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30,000</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40,000</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194,721</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264,721</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T. Lomoro (4)</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40,058</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1,366</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41,424</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Former Chief Financial Officer, Principal Executive Officer and Principal Financial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170,000</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170,000</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Terry Nida (5)</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23,316</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750</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24,066</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Former Chief Business Officer, Principal Executive Officer and Principal Financial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151,364</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162,840</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314,204</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439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P.H. Schupp, M.D. (6)</w:t>
            </w:r>
          </w:p>
        </w:tc>
        <w:tc>
          <w:tcPr>
            <w:tcW w:w="10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38,800</w:t>
            </w:r>
          </w:p>
        </w:tc>
        <w:tc>
          <w:tcPr>
            <w:tcW w:w="10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2,192</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2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40,992</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4395"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Chief Medical Officer</w:t>
            </w:r>
          </w:p>
        </w:tc>
        <w:tc>
          <w:tcPr>
            <w:tcW w:w="10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2010</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180,000</w:t>
            </w:r>
          </w:p>
        </w:tc>
        <w:tc>
          <w:tcPr>
            <w:tcW w:w="10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2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180,000</w:t>
            </w:r>
          </w:p>
        </w:tc>
        <w:tc>
          <w:tcPr>
            <w:tcW w:w="10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787" w:name="list98"/>
      <w:bookmarkStart w:id="788" w:name="list98"/>
      <w:bookmarkEnd w:id="788"/>
    </w:p>
    <w:tbl>
      <w:tblPr>
        <w:tblW w:w="5000" w:type="pct"/>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0" w:after="0"/>
              <w:jc w:val="right"/>
              <w:rPr>
                <w:rFonts w:ascii="Helvetica" w:hAnsi="Helvetica"/>
                <w:sz w:val="20"/>
              </w:rPr>
            </w:pPr>
            <w:r>
              <w:rPr>
                <w:rFonts w:ascii="Helvetica" w:hAnsi="Helvetica"/>
                <w:sz w:val="20"/>
              </w:rPr>
              <w:t>(1)  </w:t>
            </w:r>
          </w:p>
        </w:tc>
        <w:tc>
          <w:tcPr>
            <w:tcW w:w="996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bl>
    <w:p>
      <w:pPr>
        <w:pStyle w:val="TextBody"/>
        <w:spacing w:before="0" w:after="0"/>
        <w:ind w:left="0" w:right="0" w:hanging="0"/>
        <w:rPr/>
      </w:pPr>
      <w:r>
        <w:rPr/>
      </w:r>
    </w:p>
    <w:p>
      <w:pPr>
        <w:pStyle w:val="Normal"/>
        <w:spacing w:before="0" w:after="0"/>
        <w:rPr>
          <w:sz w:val="4"/>
          <w:szCs w:val="4"/>
        </w:rPr>
      </w:pPr>
      <w:r>
        <w:rPr>
          <w:sz w:val="4"/>
          <w:szCs w:val="4"/>
        </w:rPr>
      </w:r>
      <w:bookmarkStart w:id="789" w:name="list99"/>
      <w:bookmarkStart w:id="790" w:name="list99"/>
      <w:bookmarkEnd w:id="790"/>
    </w:p>
    <w:tbl>
      <w:tblPr>
        <w:tblW w:w="5000" w:type="pct"/>
        <w:jc w:val="left"/>
        <w:tblInd w:w="0" w:type="dxa"/>
        <w:tblCellMar>
          <w:top w:w="0" w:type="dxa"/>
          <w:left w:w="0" w:type="dxa"/>
          <w:bottom w:w="0" w:type="dxa"/>
          <w:right w:w="0" w:type="dxa"/>
        </w:tblCellMar>
      </w:tblPr>
      <w:tblGrid>
        <w:gridCol w:w="242"/>
        <w:gridCol w:w="9963"/>
      </w:tblGrid>
      <w:tr>
        <w:trPr/>
        <w:tc>
          <w:tcPr>
            <w:tcW w:w="242" w:type="dxa"/>
            <w:tcBorders/>
            <w:shd w:fill="auto" w:val="clear"/>
          </w:tcPr>
          <w:p>
            <w:pPr>
              <w:pStyle w:val="TableContents"/>
              <w:spacing w:before="0" w:after="0"/>
              <w:jc w:val="right"/>
              <w:rPr>
                <w:rFonts w:ascii="Helvetica" w:hAnsi="Helvetica"/>
                <w:sz w:val="20"/>
              </w:rPr>
            </w:pPr>
            <w:r>
              <w:rPr>
                <w:rFonts w:ascii="Helvetica" w:hAnsi="Helvetica"/>
                <w:sz w:val="20"/>
              </w:rPr>
              <w:t>(2)  </w:t>
            </w:r>
          </w:p>
        </w:tc>
        <w:tc>
          <w:tcPr>
            <w:tcW w:w="996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 For a discussion of the material terms of each stock option award, see the table entitled "Outstanding Equity Awards at Fiscal Year End."</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1" w:name="PGBRK63"/>
      <w:bookmarkStart w:id="792" w:name="PGBRK63"/>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3" w:name="FTR63"/>
      <w:bookmarkStart w:id="794" w:name="FTR63"/>
      <w:bookmarkEnd w:id="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5" w:name="GLFTR62"/>
      <w:bookmarkEnd w:id="7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96" w:name="PN62"/>
      <w:bookmarkEnd w:id="796"/>
      <w:r>
        <w:rPr>
          <w:rFonts w:ascii="Helvetica" w:hAnsi="Helvetica"/>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7" w:name="HDR62"/>
      <w:bookmarkStart w:id="798" w:name="HDR62"/>
      <w:bookmarkEnd w:id="7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9" w:name="GLHDR62"/>
      <w:bookmarkEnd w:id="7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800" w:name="list100"/>
      <w:bookmarkStart w:id="801" w:name="list100"/>
      <w:bookmarkEnd w:id="801"/>
    </w:p>
    <w:tbl>
      <w:tblPr>
        <w:tblW w:w="5000" w:type="pct"/>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jc w:val="right"/>
              <w:rPr>
                <w:rFonts w:ascii="Helvetica" w:hAnsi="Helvetica"/>
                <w:sz w:val="20"/>
              </w:rPr>
            </w:pPr>
            <w:r>
              <w:rPr>
                <w:rFonts w:ascii="Helvetica" w:hAnsi="Helvetica"/>
                <w:sz w:val="20"/>
              </w:rPr>
              <w:t>(3)  </w:t>
            </w:r>
          </w:p>
        </w:tc>
        <w:tc>
          <w:tcPr>
            <w:tcW w:w="998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October 18, 2010, the Company appointed John N. Bonfiglio, Ph.D. as Chief Executive Officer and President of the Company. Dr. Bonfiglio was also appointed as a director on the Company’s Board. Dr. Bonfiglio resigned as Chief Executive Officer and President of the Company on May 13, 2011. On October 18, 2010, the Board granted Dr. Bonfiglio a stock option to purchase 10,000 shares of common stock and issued 1,250 shares of restricted common stock under the 2007 Plan. The stock option was granted with an exercise price of $32.00 and terminated 90 days after the date of the termination of Mr. Bonfiglio’s service to the Company.  The restricted common stock vests as follows: 25% vested immediately upon grant, with the balance vesting in equal monthly installments over the next 36 months beginning 30 days after the vesting commencement date of October 20, 2010.  Accordingly, as of the date of Dr. Bonfiglio’s resignation, 468 shares of the restricted common stock granted to him had vested and the remaining shares were forfeited upon his resignation.  On December 15, 2011, in connection with a release given by Dr. Bonfiglio upon DermaStar’s investment in the Company in December 2011, the Company granted Dr. Bonfiglio a stock option for 1,029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r>
    </w:p>
    <w:p>
      <w:pPr>
        <w:pStyle w:val="Normal"/>
        <w:spacing w:before="0" w:after="0"/>
        <w:rPr>
          <w:sz w:val="4"/>
          <w:szCs w:val="4"/>
        </w:rPr>
      </w:pPr>
      <w:r>
        <w:rPr>
          <w:sz w:val="4"/>
          <w:szCs w:val="4"/>
        </w:rPr>
      </w:r>
      <w:bookmarkStart w:id="802" w:name="list101"/>
      <w:bookmarkStart w:id="803" w:name="list101"/>
      <w:bookmarkEnd w:id="803"/>
    </w:p>
    <w:tbl>
      <w:tblPr>
        <w:tblW w:w="5000" w:type="pct"/>
        <w:jc w:val="left"/>
        <w:tblInd w:w="0" w:type="dxa"/>
        <w:tblCellMar>
          <w:top w:w="0" w:type="dxa"/>
          <w:left w:w="0" w:type="dxa"/>
          <w:bottom w:w="0" w:type="dxa"/>
          <w:right w:w="0" w:type="dxa"/>
        </w:tblCellMar>
      </w:tblPr>
      <w:tblGrid>
        <w:gridCol w:w="250"/>
        <w:gridCol w:w="9955"/>
      </w:tblGrid>
      <w:tr>
        <w:trPr/>
        <w:tc>
          <w:tcPr>
            <w:tcW w:w="250" w:type="dxa"/>
            <w:tcBorders/>
            <w:shd w:fill="auto" w:val="clear"/>
          </w:tcPr>
          <w:p>
            <w:pPr>
              <w:pStyle w:val="TableContents"/>
              <w:spacing w:before="0" w:after="0"/>
              <w:jc w:val="right"/>
              <w:rPr>
                <w:rFonts w:ascii="Helvetica" w:hAnsi="Helvetica"/>
                <w:sz w:val="20"/>
              </w:rPr>
            </w:pPr>
            <w:r>
              <w:rPr>
                <w:rFonts w:ascii="Helvetica" w:hAnsi="Helvetica"/>
                <w:sz w:val="20"/>
              </w:rPr>
              <w:t>(4)  </w:t>
            </w:r>
          </w:p>
        </w:tc>
        <w:tc>
          <w:tcPr>
            <w:tcW w:w="99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September 16, 2011, Mr. Lomoro resigned from his positions with the Company.  On December 15, 2011, in connection with a release given by Mr. Lomoro upon DermaStar’s investment in the Company in December 2011, the Company granted Mr. Lomoro a stock option for 1,440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r>
    </w:p>
    <w:p>
      <w:pPr>
        <w:pStyle w:val="Normal"/>
        <w:spacing w:before="0" w:after="0"/>
        <w:rPr>
          <w:sz w:val="4"/>
          <w:szCs w:val="4"/>
        </w:rPr>
      </w:pPr>
      <w:r>
        <w:rPr>
          <w:sz w:val="4"/>
          <w:szCs w:val="4"/>
        </w:rPr>
      </w:r>
      <w:bookmarkStart w:id="804" w:name="list102"/>
      <w:bookmarkStart w:id="805" w:name="list102"/>
      <w:bookmarkEnd w:id="805"/>
    </w:p>
    <w:tbl>
      <w:tblPr>
        <w:tblW w:w="5000" w:type="pct"/>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jc w:val="right"/>
              <w:rPr>
                <w:rFonts w:ascii="Helvetica" w:hAnsi="Helvetica"/>
                <w:sz w:val="20"/>
              </w:rPr>
            </w:pPr>
            <w:r>
              <w:rPr>
                <w:rFonts w:ascii="Helvetica" w:hAnsi="Helvetica"/>
                <w:sz w:val="20"/>
              </w:rPr>
              <w:t>(5)  </w:t>
            </w:r>
          </w:p>
        </w:tc>
        <w:tc>
          <w:tcPr>
            <w:tcW w:w="996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Mr. Nida resigned from his positions with the Company effective December 16, 2011.  On February 26, 2010, the Board of Directors granted to Mr. Nida an option to purchase 7,500 shares of the Company’s common stock with an exercise price of $36.00 per share.  The option terminated 90 days after the date of the termination of Mr. Nida’s service to the Company.  On December 15, 2011, in connection with a release given by Mr. Nida upon DermaStar’s investment in the Company, the Company granted Mr. Nida an option to purchase 3,639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r>
    </w:p>
    <w:p>
      <w:pPr>
        <w:pStyle w:val="Normal"/>
        <w:spacing w:before="0" w:after="0"/>
        <w:rPr>
          <w:sz w:val="4"/>
          <w:szCs w:val="4"/>
        </w:rPr>
      </w:pPr>
      <w:r>
        <w:rPr>
          <w:sz w:val="4"/>
          <w:szCs w:val="4"/>
        </w:rPr>
      </w:r>
      <w:bookmarkStart w:id="806" w:name="list103"/>
      <w:bookmarkStart w:id="807" w:name="list103"/>
      <w:bookmarkEnd w:id="807"/>
    </w:p>
    <w:tbl>
      <w:tblPr>
        <w:tblW w:w="5000" w:type="pct"/>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0" w:after="0"/>
              <w:jc w:val="right"/>
              <w:rPr>
                <w:rFonts w:ascii="Helvetica" w:hAnsi="Helvetica"/>
                <w:sz w:val="20"/>
              </w:rPr>
            </w:pPr>
            <w:r>
              <w:rPr>
                <w:rFonts w:ascii="Helvetica" w:hAnsi="Helvetica"/>
                <w:sz w:val="20"/>
              </w:rPr>
              <w:t>(6)  </w:t>
            </w:r>
          </w:p>
        </w:tc>
        <w:tc>
          <w:tcPr>
            <w:tcW w:w="996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12, 2009, Joachim P.H. Schupp, M.D. was appointed as our Chief Medical Officer.  Dr. Schupp resigned as Chief Medical Officer effective April 30, 2011, and was re-appointed effective February 15, 2012.  On December 15, 2011, in connection with a release given by Dr. Schupp upon DermaStar’s investment in the Company, the Company granted Dr. Schupp an option to purchase 492 shares of the Company’s common stock, which option vested immediately on the date of grant, has an exercise price of $4.00 per share, and expires on December 15, 2014.</w:t>
            </w:r>
          </w:p>
        </w:tc>
      </w:tr>
    </w:tbl>
    <w:p>
      <w:pPr>
        <w:pStyle w:val="TextBody"/>
        <w:spacing w:before="0" w:after="0"/>
        <w:ind w:left="0" w:right="0" w:hanging="0"/>
        <w:rPr/>
      </w:pPr>
      <w:r>
        <w:rPr/>
      </w:r>
    </w:p>
    <w:p>
      <w:pPr>
        <w:pStyle w:val="TextBody"/>
        <w:spacing w:before="0" w:after="0"/>
        <w:ind w:left="0" w:right="0" w:hanging="0"/>
        <w:jc w:val="both"/>
        <w:rPr/>
      </w:pPr>
      <w:r>
        <w:rPr/>
        <w:t> </w:t>
      </w:r>
      <w:r>
        <w:rPr>
          <w:rFonts w:ascii="Helvetica" w:hAnsi="Helvetica"/>
          <w:b/>
          <w:sz w:val="20"/>
        </w:rPr>
        <w:t>Outstanding Equity Awards at Fiscal Year-End</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The following table sets forth certain information concerning outstanding stock awards held by our named executive officers serving during the fiscal year ended December 31, 2011.</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777"/>
        <w:gridCol w:w="112"/>
        <w:gridCol w:w="153"/>
        <w:gridCol w:w="1324"/>
        <w:gridCol w:w="112"/>
        <w:gridCol w:w="112"/>
        <w:gridCol w:w="486"/>
        <w:gridCol w:w="1111"/>
        <w:gridCol w:w="112"/>
        <w:gridCol w:w="112"/>
        <w:gridCol w:w="137"/>
        <w:gridCol w:w="1061"/>
        <w:gridCol w:w="112"/>
        <w:gridCol w:w="2484"/>
      </w:tblGrid>
      <w:tr>
        <w:trPr/>
        <w:tc>
          <w:tcPr>
            <w:tcW w:w="10205" w:type="dxa"/>
            <w:gridSpan w:val="14"/>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(1)</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283"/>
              <w:rPr/>
            </w:pPr>
            <w:r>
              <w:rPr/>
              <w:t xml:space="preserve">  </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283"/>
              <w:rPr/>
            </w:pPr>
            <w:r>
              <w:rPr/>
              <w:t xml:space="preserve">  </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283"/>
              <w:rPr/>
            </w:pPr>
            <w:r>
              <w:rPr/>
              <w:t xml:space="preserve">  </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r>
      <w:tr>
        <w:trPr/>
        <w:tc>
          <w:tcPr>
            <w:tcW w:w="2777" w:type="dxa"/>
            <w:tcBorders/>
            <w:shd w:fill="auto" w:val="clear"/>
            <w:tcMar>
              <w:bottom w:w="0" w:type="dxa"/>
            </w:tcMar>
            <w:vAlign w:val="bottom"/>
          </w:tcPr>
          <w:p>
            <w:pPr>
              <w:pStyle w:val="TableContents"/>
              <w:spacing w:before="0" w:after="283"/>
              <w:rPr/>
            </w:pPr>
            <w:r>
              <w:rPr/>
              <w:t xml:space="preserve">  </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Exercise</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Expiration</w:t>
            </w:r>
          </w:p>
        </w:tc>
      </w:tr>
      <w:tr>
        <w:trPr/>
        <w:tc>
          <w:tcPr>
            <w:tcW w:w="2777"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12" w:type="dxa"/>
            <w:tcBorders/>
            <w:shd w:fill="auto" w:val="clear"/>
            <w:tcMar>
              <w:bottom w:w="0" w:type="dxa"/>
            </w:tcMar>
            <w:vAlign w:val="bottom"/>
          </w:tcPr>
          <w:p>
            <w:pPr>
              <w:pStyle w:val="TableContents"/>
              <w:spacing w:before="0" w:after="283"/>
              <w:rPr/>
            </w:pPr>
            <w:r>
              <w:rPr/>
              <w:t> </w:t>
            </w:r>
          </w:p>
        </w:tc>
        <w:tc>
          <w:tcPr>
            <w:tcW w:w="1477"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Exercisable</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597"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Unexercisable</w:t>
            </w:r>
          </w:p>
        </w:tc>
        <w:tc>
          <w:tcPr>
            <w:tcW w:w="112" w:type="dxa"/>
            <w:tcBorders/>
            <w:shd w:fill="auto" w:val="clear"/>
            <w:tcMar>
              <w:bottom w:w="0" w:type="dxa"/>
            </w:tcMar>
            <w:vAlign w:val="bottom"/>
          </w:tcPr>
          <w:p>
            <w:pPr>
              <w:pStyle w:val="TableContents"/>
              <w:spacing w:before="0" w:after="283"/>
              <w:jc w:val="left"/>
              <w:rPr/>
            </w:pPr>
            <w:r>
              <w:rPr/>
              <w:t> </w:t>
            </w:r>
          </w:p>
        </w:tc>
        <w:tc>
          <w:tcPr>
            <w:tcW w:w="112" w:type="dxa"/>
            <w:tcBorders/>
            <w:shd w:fill="auto" w:val="clear"/>
            <w:tcMar>
              <w:bottom w:w="0" w:type="dxa"/>
            </w:tcMar>
            <w:vAlign w:val="bottom"/>
          </w:tcPr>
          <w:p>
            <w:pPr>
              <w:pStyle w:val="TableContents"/>
              <w:spacing w:before="0" w:after="283"/>
              <w:rPr/>
            </w:pPr>
            <w:r>
              <w:rPr/>
              <w:t> </w:t>
            </w:r>
          </w:p>
        </w:tc>
        <w:tc>
          <w:tcPr>
            <w:tcW w:w="1198"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Price ($)</w:t>
            </w:r>
          </w:p>
        </w:tc>
        <w:tc>
          <w:tcPr>
            <w:tcW w:w="112" w:type="dxa"/>
            <w:tcBorders/>
            <w:shd w:fill="auto" w:val="clear"/>
            <w:tcMar>
              <w:bottom w:w="0" w:type="dxa"/>
            </w:tcMar>
            <w:vAlign w:val="bottom"/>
          </w:tcPr>
          <w:p>
            <w:pPr>
              <w:pStyle w:val="TableContents"/>
              <w:spacing w:before="0" w:after="283"/>
              <w:jc w:val="left"/>
              <w:rPr/>
            </w:pPr>
            <w:r>
              <w:rPr/>
              <w:t> </w:t>
            </w:r>
          </w:p>
        </w:tc>
        <w:tc>
          <w:tcPr>
            <w:tcW w:w="2484"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Date</w:t>
            </w:r>
          </w:p>
        </w:tc>
      </w:tr>
      <w:tr>
        <w:trPr/>
        <w:tc>
          <w:tcPr>
            <w:tcW w:w="2777"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Bonfiglio (1)</w:t>
            </w:r>
          </w:p>
        </w:tc>
        <w:tc>
          <w:tcPr>
            <w:tcW w:w="112" w:type="dxa"/>
            <w:tcBorders/>
            <w:shd w:fill="CCEEFF" w:val="clear"/>
            <w:tcMar>
              <w:bottom w:w="0" w:type="dxa"/>
            </w:tcMar>
            <w:vAlign w:val="bottom"/>
          </w:tcPr>
          <w:p>
            <w:pPr>
              <w:pStyle w:val="TableContents"/>
              <w:spacing w:before="0" w:after="283"/>
              <w:jc w:val="left"/>
              <w:rPr/>
            </w:pPr>
            <w:r>
              <w:rPr/>
              <w:t> </w:t>
            </w:r>
          </w:p>
        </w:tc>
        <w:tc>
          <w:tcPr>
            <w:tcW w:w="153" w:type="dxa"/>
            <w:tcBorders/>
            <w:shd w:fill="CCEEFF" w:val="clear"/>
            <w:tcMar>
              <w:bottom w:w="0" w:type="dxa"/>
            </w:tcMar>
            <w:vAlign w:val="bottom"/>
          </w:tcPr>
          <w:p>
            <w:pPr>
              <w:pStyle w:val="TableContents"/>
              <w:spacing w:before="0" w:after="283"/>
              <w:jc w:val="left"/>
              <w:rPr/>
            </w:pPr>
            <w:r>
              <w:rPr/>
              <w:t> </w:t>
            </w:r>
          </w:p>
        </w:tc>
        <w:tc>
          <w:tcPr>
            <w:tcW w:w="132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1,029</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486" w:type="dxa"/>
            <w:tcBorders/>
            <w:shd w:fill="CCEEFF" w:val="clear"/>
            <w:tcMar>
              <w:bottom w:w="0" w:type="dxa"/>
            </w:tcMar>
            <w:vAlign w:val="bottom"/>
          </w:tcPr>
          <w:p>
            <w:pPr>
              <w:pStyle w:val="TableContents"/>
              <w:spacing w:before="0" w:after="283"/>
              <w:jc w:val="left"/>
              <w:rPr/>
            </w:pPr>
            <w:r>
              <w:rPr/>
              <w:t> </w:t>
            </w:r>
          </w:p>
        </w:tc>
        <w:tc>
          <w:tcPr>
            <w:tcW w:w="111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106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CCEEFF" w:val="clear"/>
            <w:tcMar>
              <w:bottom w:w="0" w:type="dxa"/>
            </w:tcMar>
            <w:vAlign w:val="bottom"/>
          </w:tcPr>
          <w:p>
            <w:pPr>
              <w:pStyle w:val="TableContents"/>
              <w:spacing w:before="0" w:after="283"/>
              <w:jc w:val="left"/>
              <w:rPr/>
            </w:pPr>
            <w:r>
              <w:rPr/>
              <w:t> </w:t>
            </w:r>
          </w:p>
        </w:tc>
        <w:tc>
          <w:tcPr>
            <w:tcW w:w="2484" w:type="dxa"/>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r>
        <w:trPr/>
        <w:tc>
          <w:tcPr>
            <w:tcW w:w="2777"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John Lomoro (2)</w:t>
            </w:r>
          </w:p>
        </w:tc>
        <w:tc>
          <w:tcPr>
            <w:tcW w:w="112" w:type="dxa"/>
            <w:tcBorders/>
            <w:shd w:fill="FFFFFF" w:val="clear"/>
            <w:tcMar>
              <w:bottom w:w="0" w:type="dxa"/>
            </w:tcMar>
            <w:vAlign w:val="bottom"/>
          </w:tcPr>
          <w:p>
            <w:pPr>
              <w:pStyle w:val="TableContents"/>
              <w:spacing w:before="0" w:after="283"/>
              <w:jc w:val="left"/>
              <w:rPr/>
            </w:pPr>
            <w:r>
              <w:rPr/>
              <w:t> </w:t>
            </w:r>
          </w:p>
        </w:tc>
        <w:tc>
          <w:tcPr>
            <w:tcW w:w="153" w:type="dxa"/>
            <w:tcBorders/>
            <w:shd w:fill="FFFFFF" w:val="clear"/>
            <w:tcMar>
              <w:bottom w:w="0" w:type="dxa"/>
            </w:tcMar>
            <w:vAlign w:val="bottom"/>
          </w:tcPr>
          <w:p>
            <w:pPr>
              <w:pStyle w:val="TableContents"/>
              <w:spacing w:before="0" w:after="283"/>
              <w:jc w:val="left"/>
              <w:rPr/>
            </w:pPr>
            <w:r>
              <w:rPr/>
              <w:t> </w:t>
            </w:r>
          </w:p>
        </w:tc>
        <w:tc>
          <w:tcPr>
            <w:tcW w:w="132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1,440</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486" w:type="dxa"/>
            <w:tcBorders/>
            <w:shd w:fill="FFFFFF" w:val="clear"/>
            <w:tcMar>
              <w:bottom w:w="0" w:type="dxa"/>
            </w:tcMar>
            <w:vAlign w:val="bottom"/>
          </w:tcPr>
          <w:p>
            <w:pPr>
              <w:pStyle w:val="TableContents"/>
              <w:spacing w:before="0" w:after="283"/>
              <w:jc w:val="left"/>
              <w:rPr/>
            </w:pPr>
            <w:r>
              <w:rPr/>
              <w:t> </w:t>
            </w:r>
          </w:p>
        </w:tc>
        <w:tc>
          <w:tcPr>
            <w:tcW w:w="111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06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FFFFFF" w:val="clear"/>
            <w:tcMar>
              <w:bottom w:w="0" w:type="dxa"/>
            </w:tcMar>
            <w:vAlign w:val="bottom"/>
          </w:tcPr>
          <w:p>
            <w:pPr>
              <w:pStyle w:val="TableContents"/>
              <w:spacing w:before="0" w:after="283"/>
              <w:jc w:val="left"/>
              <w:rPr/>
            </w:pPr>
            <w:r>
              <w:rPr/>
              <w:t> </w:t>
            </w:r>
          </w:p>
        </w:tc>
        <w:tc>
          <w:tcPr>
            <w:tcW w:w="2484" w:type="dxa"/>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r>
        <w:trPr/>
        <w:tc>
          <w:tcPr>
            <w:tcW w:w="2777"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Terry Nida (3)</w:t>
            </w:r>
          </w:p>
        </w:tc>
        <w:tc>
          <w:tcPr>
            <w:tcW w:w="112" w:type="dxa"/>
            <w:tcBorders/>
            <w:shd w:fill="CCEEFF" w:val="clear"/>
            <w:tcMar>
              <w:bottom w:w="0" w:type="dxa"/>
            </w:tcMar>
            <w:vAlign w:val="bottom"/>
          </w:tcPr>
          <w:p>
            <w:pPr>
              <w:pStyle w:val="TableContents"/>
              <w:spacing w:before="0" w:after="283"/>
              <w:jc w:val="left"/>
              <w:rPr/>
            </w:pPr>
            <w:r>
              <w:rPr/>
              <w:t> </w:t>
            </w:r>
          </w:p>
        </w:tc>
        <w:tc>
          <w:tcPr>
            <w:tcW w:w="153" w:type="dxa"/>
            <w:tcBorders/>
            <w:shd w:fill="CCEEFF" w:val="clear"/>
            <w:tcMar>
              <w:bottom w:w="0" w:type="dxa"/>
            </w:tcMar>
            <w:vAlign w:val="bottom"/>
          </w:tcPr>
          <w:p>
            <w:pPr>
              <w:pStyle w:val="TableContents"/>
              <w:spacing w:before="0" w:after="283"/>
              <w:jc w:val="left"/>
              <w:rPr/>
            </w:pPr>
            <w:r>
              <w:rPr/>
              <w:t> </w:t>
            </w:r>
          </w:p>
        </w:tc>
        <w:tc>
          <w:tcPr>
            <w:tcW w:w="132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3,639</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486" w:type="dxa"/>
            <w:tcBorders/>
            <w:shd w:fill="CCEEFF" w:val="clear"/>
            <w:tcMar>
              <w:bottom w:w="0" w:type="dxa"/>
            </w:tcMar>
            <w:vAlign w:val="bottom"/>
          </w:tcPr>
          <w:p>
            <w:pPr>
              <w:pStyle w:val="TableContents"/>
              <w:spacing w:before="0" w:after="283"/>
              <w:jc w:val="left"/>
              <w:rPr/>
            </w:pPr>
            <w:r>
              <w:rPr/>
              <w:t> </w:t>
            </w:r>
          </w:p>
        </w:tc>
        <w:tc>
          <w:tcPr>
            <w:tcW w:w="111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106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CCEEFF" w:val="clear"/>
            <w:tcMar>
              <w:bottom w:w="0" w:type="dxa"/>
            </w:tcMar>
            <w:vAlign w:val="bottom"/>
          </w:tcPr>
          <w:p>
            <w:pPr>
              <w:pStyle w:val="TableContents"/>
              <w:spacing w:before="0" w:after="283"/>
              <w:jc w:val="left"/>
              <w:rPr/>
            </w:pPr>
            <w:r>
              <w:rPr/>
              <w:t> </w:t>
            </w:r>
          </w:p>
        </w:tc>
        <w:tc>
          <w:tcPr>
            <w:tcW w:w="2484" w:type="dxa"/>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r>
        <w:trPr/>
        <w:tc>
          <w:tcPr>
            <w:tcW w:w="2777"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Schupp (4)</w:t>
            </w:r>
          </w:p>
        </w:tc>
        <w:tc>
          <w:tcPr>
            <w:tcW w:w="112" w:type="dxa"/>
            <w:tcBorders/>
            <w:shd w:fill="FFFFFF" w:val="clear"/>
            <w:tcMar>
              <w:bottom w:w="0" w:type="dxa"/>
            </w:tcMar>
            <w:vAlign w:val="bottom"/>
          </w:tcPr>
          <w:p>
            <w:pPr>
              <w:pStyle w:val="TableContents"/>
              <w:spacing w:before="0" w:after="283"/>
              <w:jc w:val="left"/>
              <w:rPr/>
            </w:pPr>
            <w:r>
              <w:rPr/>
              <w:t> </w:t>
            </w:r>
          </w:p>
        </w:tc>
        <w:tc>
          <w:tcPr>
            <w:tcW w:w="153" w:type="dxa"/>
            <w:tcBorders/>
            <w:shd w:fill="FFFFFF" w:val="clear"/>
            <w:tcMar>
              <w:bottom w:w="0" w:type="dxa"/>
            </w:tcMar>
            <w:vAlign w:val="bottom"/>
          </w:tcPr>
          <w:p>
            <w:pPr>
              <w:pStyle w:val="TableContents"/>
              <w:spacing w:before="0" w:after="283"/>
              <w:jc w:val="left"/>
              <w:rPr/>
            </w:pPr>
            <w:r>
              <w:rPr/>
              <w:t> </w:t>
            </w:r>
          </w:p>
        </w:tc>
        <w:tc>
          <w:tcPr>
            <w:tcW w:w="132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492</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486" w:type="dxa"/>
            <w:tcBorders/>
            <w:shd w:fill="FFFFFF" w:val="clear"/>
            <w:tcMar>
              <w:bottom w:w="0" w:type="dxa"/>
            </w:tcMar>
            <w:vAlign w:val="bottom"/>
          </w:tcPr>
          <w:p>
            <w:pPr>
              <w:pStyle w:val="TableContents"/>
              <w:spacing w:before="0" w:after="283"/>
              <w:jc w:val="left"/>
              <w:rPr/>
            </w:pPr>
            <w:r>
              <w:rPr/>
              <w:t> </w:t>
            </w:r>
          </w:p>
        </w:tc>
        <w:tc>
          <w:tcPr>
            <w:tcW w:w="111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06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112" w:type="dxa"/>
            <w:tcBorders/>
            <w:shd w:fill="FFFFFF" w:val="clear"/>
            <w:tcMar>
              <w:bottom w:w="0" w:type="dxa"/>
            </w:tcMar>
            <w:vAlign w:val="bottom"/>
          </w:tcPr>
          <w:p>
            <w:pPr>
              <w:pStyle w:val="TableContents"/>
              <w:spacing w:before="0" w:after="283"/>
              <w:jc w:val="left"/>
              <w:rPr/>
            </w:pPr>
            <w:r>
              <w:rPr/>
              <w:t> </w:t>
            </w:r>
          </w:p>
        </w:tc>
        <w:tc>
          <w:tcPr>
            <w:tcW w:w="2484" w:type="dxa"/>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12/15/2014</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8" w:name="PGBRK64"/>
      <w:bookmarkStart w:id="809" w:name="PGBRK64"/>
      <w:bookmarkEnd w:id="8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0" w:name="FTR64"/>
      <w:bookmarkStart w:id="811" w:name="FTR64"/>
      <w:bookmarkEnd w:id="8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2" w:name="GLFTR63"/>
      <w:bookmarkEnd w:id="8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13" w:name="PN63"/>
      <w:bookmarkEnd w:id="813"/>
      <w:r>
        <w:rPr>
          <w:rFonts w:ascii="Helvetica" w:hAnsi="Helvetica"/>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4" w:name="HDR63"/>
      <w:bookmarkStart w:id="815" w:name="HDR63"/>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6" w:name="GLHDR63"/>
      <w:bookmarkEnd w:id="8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17" w:name="list104"/>
      <w:bookmarkStart w:id="818" w:name="list104"/>
      <w:bookmarkEnd w:id="818"/>
    </w:p>
    <w:tbl>
      <w:tblPr>
        <w:tblW w:w="5000" w:type="pct"/>
        <w:jc w:val="left"/>
        <w:tblInd w:w="0" w:type="dxa"/>
        <w:tblCellMar>
          <w:top w:w="0" w:type="dxa"/>
          <w:left w:w="0" w:type="dxa"/>
          <w:bottom w:w="0" w:type="dxa"/>
          <w:right w:w="0" w:type="dxa"/>
        </w:tblCellMar>
      </w:tblPr>
      <w:tblGrid>
        <w:gridCol w:w="249"/>
        <w:gridCol w:w="9956"/>
      </w:tblGrid>
      <w:tr>
        <w:trPr/>
        <w:tc>
          <w:tcPr>
            <w:tcW w:w="249" w:type="dxa"/>
            <w:tcBorders/>
            <w:shd w:fill="auto" w:val="clear"/>
          </w:tcPr>
          <w:p>
            <w:pPr>
              <w:pStyle w:val="TableContents"/>
              <w:spacing w:before="0" w:after="0"/>
              <w:jc w:val="right"/>
              <w:rPr>
                <w:rFonts w:ascii="Helvetica" w:hAnsi="Helvetica"/>
                <w:sz w:val="20"/>
              </w:rPr>
            </w:pPr>
            <w:r>
              <w:rPr>
                <w:rFonts w:ascii="Helvetica" w:hAnsi="Helvetica"/>
                <w:sz w:val="20"/>
              </w:rPr>
              <w:t>(1)  </w:t>
            </w:r>
          </w:p>
        </w:tc>
        <w:tc>
          <w:tcPr>
            <w:tcW w:w="995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Board accepted the resignation of John N. Bonfiglio, Ph.D. as Chief Executive Officer of the Company and as a director on the Board, effective May 13, 2011. Except for the options reflected in the table, which were granted on December 15, 2011 in connection with a release given by Dr. Bonfiglio upon DermaStar’s investment in the Company, any unvested options were forfeited at the resignation date and all vested options expired 90 days subsequent to the resignation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19" w:name="list105"/>
      <w:bookmarkStart w:id="820" w:name="list105"/>
      <w:bookmarkEnd w:id="820"/>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Helvetica" w:hAnsi="Helvetica"/>
                <w:sz w:val="20"/>
              </w:rPr>
            </w:pPr>
            <w:r>
              <w:rPr>
                <w:rFonts w:ascii="Helvetica" w:hAnsi="Helvetica"/>
                <w:sz w:val="20"/>
              </w:rPr>
              <w:t>(2)  </w:t>
            </w:r>
          </w:p>
        </w:tc>
        <w:tc>
          <w:tcPr>
            <w:tcW w:w="995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Board accepted the resignation of John T. Lomoro as Principal Executive Officer, Chief Financial Officer and Treasurer of the Company, effective September 16, 2011.  Except for the options reflected in the table, which were granted on December 15, 2011 in connection with a release given by Mr. Lomoro upon DermaStar’s investment in the Company, any unvested options were forfeited at the resignation date and all vested options expired 90 days subsequent to the resignation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1" w:name="list106"/>
      <w:bookmarkStart w:id="822" w:name="list106"/>
      <w:bookmarkEnd w:id="822"/>
    </w:p>
    <w:tbl>
      <w:tblPr>
        <w:tblW w:w="5000" w:type="pct"/>
        <w:jc w:val="left"/>
        <w:tblInd w:w="0" w:type="dxa"/>
        <w:tblCellMar>
          <w:top w:w="0" w:type="dxa"/>
          <w:left w:w="0" w:type="dxa"/>
          <w:bottom w:w="0" w:type="dxa"/>
          <w:right w:w="0" w:type="dxa"/>
        </w:tblCellMar>
      </w:tblPr>
      <w:tblGrid>
        <w:gridCol w:w="251"/>
        <w:gridCol w:w="9954"/>
      </w:tblGrid>
      <w:tr>
        <w:trPr/>
        <w:tc>
          <w:tcPr>
            <w:tcW w:w="251" w:type="dxa"/>
            <w:tcBorders/>
            <w:shd w:fill="auto" w:val="clear"/>
          </w:tcPr>
          <w:p>
            <w:pPr>
              <w:pStyle w:val="TableContents"/>
              <w:spacing w:before="0" w:after="0"/>
              <w:jc w:val="right"/>
              <w:rPr>
                <w:rFonts w:ascii="Helvetica" w:hAnsi="Helvetica"/>
                <w:sz w:val="20"/>
              </w:rPr>
            </w:pPr>
            <w:r>
              <w:rPr>
                <w:rFonts w:ascii="Helvetica" w:hAnsi="Helvetica"/>
                <w:sz w:val="20"/>
              </w:rPr>
              <w:t>(3)  </w:t>
            </w:r>
          </w:p>
        </w:tc>
        <w:tc>
          <w:tcPr>
            <w:tcW w:w="995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December 16, 2011, Terry Nida resigned as Principal Executive Officer and Principal Financial Officer of the Company.  Except for the options reflected in the table, which were granted on December 15, 2011 in connection with a release given by Mr. Nida upon DermaStar’s investment in the Company, any unvested options were forfeited at the resignation date and all vested options expire 90 days subsequent to the resignation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3" w:name="list107"/>
      <w:bookmarkStart w:id="824" w:name="list107"/>
      <w:bookmarkEnd w:id="824"/>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Helvetica" w:hAnsi="Helvetica"/>
                <w:sz w:val="20"/>
              </w:rPr>
            </w:pPr>
            <w:r>
              <w:rPr>
                <w:rFonts w:ascii="Helvetica" w:hAnsi="Helvetica"/>
                <w:sz w:val="20"/>
              </w:rPr>
              <w:t>(4)  </w:t>
            </w:r>
          </w:p>
        </w:tc>
        <w:tc>
          <w:tcPr>
            <w:tcW w:w="995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Effective April 30, 2011, Joachim P.H. Schupp resigned as Chief Medical Officer of the Company.  Except for the options reflected in the table, which were granted on December 15, 2011 in connection with a release given by Dr. Schupp upon DermaStar’s investment in the Company, any unvested options were forfeited at the resignation date and all vested options expired 90 days subsequent to the resignation date.</w:t>
            </w:r>
          </w:p>
        </w:tc>
      </w:tr>
    </w:tbl>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Employment Agreements</w:t>
      </w:r>
    </w:p>
    <w:p>
      <w:pPr>
        <w:pStyle w:val="TextBody"/>
        <w:spacing w:before="0" w:after="0"/>
        <w:ind w:left="0" w:right="0" w:hanging="0"/>
        <w:rPr/>
      </w:pPr>
      <w:r>
        <w:rPr/>
      </w:r>
    </w:p>
    <w:p>
      <w:pPr>
        <w:pStyle w:val="TextBody"/>
        <w:spacing w:before="0" w:after="0"/>
        <w:ind w:left="0" w:right="0" w:hanging="0"/>
        <w:jc w:val="left"/>
        <w:rPr>
          <w:rFonts w:ascii="Helvetica" w:hAnsi="Helvetica"/>
          <w:i/>
          <w:sz w:val="20"/>
        </w:rPr>
      </w:pPr>
      <w:r>
        <w:rPr>
          <w:rFonts w:ascii="Helvetica" w:hAnsi="Helvetica"/>
          <w:i/>
          <w:sz w:val="20"/>
        </w:rPr>
        <w:t>Mark Baum</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On April 1, 2012, the Board of Directors appointed Mr. Mark L. Baum, Esq.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Also on April 1, 2012, the Company granted to Mr. Baum an option to purchase up to 60,000 shares of common stock at an exercise price of $4.50 per share under the 2007 Plan .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2007 Plan.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5" w:name="PGBRK65"/>
      <w:bookmarkStart w:id="826" w:name="PGBRK65"/>
      <w:bookmarkEnd w:id="8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7" w:name="FTR65"/>
      <w:bookmarkStart w:id="828" w:name="FTR65"/>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9" w:name="GLFTR64"/>
      <w:bookmarkEnd w:id="8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30" w:name="PN64"/>
      <w:bookmarkEnd w:id="830"/>
      <w:r>
        <w:rPr>
          <w:rFonts w:ascii="Helvetica" w:hAnsi="Helvetica"/>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1" w:name="HDR64"/>
      <w:bookmarkStart w:id="832" w:name="HDR64"/>
      <w:bookmarkEnd w:id="8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3" w:name="GLHDR64"/>
      <w:bookmarkEnd w:id="8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On January 25, 2012, the Board approved an option grant to Mr. Baum to purchase up to 125,000 shares pursuant to the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$2.40.</w:t>
      </w:r>
    </w:p>
    <w:p>
      <w:pPr>
        <w:pStyle w:val="TextBody"/>
        <w:spacing w:before="0" w:after="0"/>
        <w:ind w:left="0" w:right="0" w:hanging="0"/>
        <w:rPr/>
      </w:pPr>
      <w:r>
        <w:rPr/>
      </w:r>
    </w:p>
    <w:p>
      <w:pPr>
        <w:pStyle w:val="TextBody"/>
        <w:spacing w:before="0" w:after="0"/>
        <w:ind w:left="0" w:right="0" w:firstLine="720"/>
        <w:jc w:val="left"/>
        <w:rPr>
          <w:rFonts w:ascii="Helvetica" w:hAnsi="Helvetica"/>
          <w:sz w:val="20"/>
        </w:rPr>
      </w:pPr>
      <w:r>
        <w:rPr>
          <w:rFonts w:ascii="Helvetica" w:hAnsi="Helvetica"/>
          <w:sz w:val="20"/>
        </w:rPr>
        <w:t>On July 18, 2012, the Board granted to Mr. Baum, in connection with his services as the Chief Executive Officer of the Company,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rPr/>
      </w:pPr>
      <w:r>
        <w:rPr/>
      </w:r>
    </w:p>
    <w:p>
      <w:pPr>
        <w:pStyle w:val="TextBody"/>
        <w:spacing w:before="0" w:after="0"/>
        <w:ind w:left="0" w:right="0" w:hanging="0"/>
        <w:jc w:val="left"/>
        <w:rPr>
          <w:rFonts w:ascii="Helvetica" w:hAnsi="Helvetica"/>
          <w:i/>
          <w:sz w:val="20"/>
        </w:rPr>
      </w:pPr>
      <w:r>
        <w:rPr>
          <w:rFonts w:ascii="Helvetica" w:hAnsi="Helvetica"/>
          <w:i/>
          <w:sz w:val="20"/>
        </w:rPr>
        <w:t>Dr. Balbir Brar</w:t>
      </w:r>
    </w:p>
    <w:p>
      <w:pPr>
        <w:pStyle w:val="TextBody"/>
        <w:spacing w:before="0" w:after="0"/>
        <w:ind w:left="0" w:right="0" w:hanging="0"/>
        <w:rPr/>
      </w:pPr>
      <w:r>
        <w:rPr/>
      </w:r>
    </w:p>
    <w:p>
      <w:pPr>
        <w:pStyle w:val="TextBody"/>
        <w:spacing w:before="0" w:after="0"/>
        <w:ind w:left="720" w:right="0" w:hanging="0"/>
        <w:jc w:val="left"/>
        <w:rPr>
          <w:rFonts w:ascii="Helvetica" w:hAnsi="Helvetica"/>
          <w:sz w:val="20"/>
        </w:rPr>
      </w:pPr>
      <w:bookmarkStart w:id="834" w:name="TAB15"/>
      <w:bookmarkEnd w:id="834"/>
      <w:r>
        <w:rPr>
          <w:rFonts w:ascii="Helvetica" w:hAnsi="Helvetica"/>
          <w:sz w:val="20"/>
        </w:rPr>
        <w:t>On January 17, 2012, we entered into an Employment Agreement with Dr. Balbir Brar in connection with his appointment as our President, effective January 1, 2012.  Under the agreement, Dr. Brar must commit 20 hours each week to the Company and will receive an initial base salary of $84,000 per year. On January 25, 2012, the Board granted Dr. Brar an option to purchase 225,000 shares of common stock with an exercise price of $3.68 under the 2007 Plan.  The option vests monthly over a 36 month period following the date of grant and vests in full upon a change of control, as defined in the 2007 Plan.  Dr. Brar has agreed to not sell more than 5% of the shares of the Company’s common stock acquired through the exercise of his stock options in any monthly period without the approval of the Board of Directors.  We may terminate Dr. Brar’s employment without notice for cause, and upon 60 days’ notice without cause.  Dr. Brar’s employment will also terminate upon his death or disability, or Dr. Brar may terminate his employment upon 60 days’ notice.</w:t>
      </w:r>
    </w:p>
    <w:p>
      <w:pPr>
        <w:pStyle w:val="TextBody"/>
        <w:spacing w:before="0" w:after="0"/>
        <w:ind w:left="0" w:right="0" w:hanging="0"/>
        <w:rPr/>
      </w:pPr>
      <w:r>
        <w:rPr/>
      </w:r>
    </w:p>
    <w:p>
      <w:pPr>
        <w:pStyle w:val="TextBody"/>
        <w:spacing w:before="0" w:after="0"/>
        <w:ind w:left="0" w:right="0" w:hanging="0"/>
        <w:jc w:val="left"/>
        <w:rPr>
          <w:rFonts w:ascii="Helvetica" w:hAnsi="Helvetica"/>
          <w:i/>
          <w:sz w:val="20"/>
        </w:rPr>
      </w:pPr>
      <w:r>
        <w:rPr>
          <w:rFonts w:ascii="Helvetica" w:hAnsi="Helvetica"/>
          <w:i/>
          <w:sz w:val="20"/>
        </w:rPr>
        <w:t>Dr. Joachim Schupp</w:t>
      </w:r>
    </w:p>
    <w:p>
      <w:pPr>
        <w:pStyle w:val="TextBody"/>
        <w:spacing w:before="0" w:after="0"/>
        <w:ind w:left="0" w:right="0" w:hanging="0"/>
        <w:jc w:val="left"/>
        <w:rPr/>
      </w:pPr>
      <w:r>
        <w:rPr/>
        <w:t> </w:t>
      </w:r>
    </w:p>
    <w:p>
      <w:pPr>
        <w:pStyle w:val="TextBody"/>
        <w:spacing w:before="0" w:after="0"/>
        <w:ind w:left="720" w:right="0" w:hanging="0"/>
        <w:jc w:val="left"/>
        <w:rPr>
          <w:rFonts w:ascii="Helvetica" w:hAnsi="Helvetica"/>
          <w:sz w:val="20"/>
        </w:rPr>
      </w:pPr>
      <w:bookmarkStart w:id="835" w:name="TAB16"/>
      <w:bookmarkEnd w:id="835"/>
      <w:r>
        <w:rPr>
          <w:rFonts w:ascii="Helvetica" w:hAnsi="Helvetica"/>
          <w:sz w:val="20"/>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2007 Plan.  The option vests annually over four years from the date of grant. The option vests in full upon a change of control as defined in the 2007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pStyle w:val="TextBody"/>
        <w:spacing w:before="0" w:after="0"/>
        <w:ind w:left="0" w:right="0" w:hanging="0"/>
        <w:rPr/>
      </w:pPr>
      <w:r>
        <w:rPr/>
      </w:r>
    </w:p>
    <w:p>
      <w:pPr>
        <w:pStyle w:val="TextBody"/>
        <w:spacing w:before="0" w:after="0"/>
        <w:ind w:left="0" w:right="0" w:hanging="0"/>
        <w:jc w:val="left"/>
        <w:rPr>
          <w:rFonts w:ascii="Helvetica" w:hAnsi="Helvetica"/>
          <w:i/>
          <w:sz w:val="20"/>
        </w:rPr>
      </w:pPr>
      <w:r>
        <w:rPr>
          <w:rFonts w:ascii="Helvetica" w:hAnsi="Helvetica"/>
          <w:i/>
          <w:sz w:val="20"/>
        </w:rPr>
        <w:t>Andrew R. Boll</w:t>
      </w:r>
    </w:p>
    <w:p>
      <w:pPr>
        <w:pStyle w:val="TextBody"/>
        <w:spacing w:before="0" w:after="0"/>
        <w:ind w:left="0" w:right="0" w:hanging="0"/>
        <w:rPr/>
      </w:pPr>
      <w:r>
        <w:rPr/>
      </w:r>
    </w:p>
    <w:p>
      <w:pPr>
        <w:pStyle w:val="TextBody"/>
        <w:spacing w:before="0" w:after="0"/>
        <w:ind w:left="720" w:right="0" w:hanging="0"/>
        <w:jc w:val="left"/>
        <w:rPr>
          <w:rFonts w:ascii="Helvetica" w:hAnsi="Helvetica"/>
          <w:sz w:val="20"/>
        </w:rPr>
      </w:pPr>
      <w:bookmarkStart w:id="836" w:name="TAB17"/>
      <w:bookmarkEnd w:id="836"/>
      <w:r>
        <w:rPr>
          <w:rFonts w:ascii="Helvetica" w:hAnsi="Helvetica"/>
          <w:sz w:val="20"/>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2007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2007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7" w:name="PGBRK66"/>
      <w:bookmarkStart w:id="838" w:name="PGBRK66"/>
      <w:bookmarkEnd w:id="8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9" w:name="FTR66"/>
      <w:bookmarkStart w:id="840" w:name="FTR66"/>
      <w:bookmarkEnd w:id="8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1" w:name="GLFTR65"/>
      <w:bookmarkEnd w:id="8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42" w:name="PN65"/>
      <w:bookmarkEnd w:id="842"/>
      <w:r>
        <w:rPr>
          <w:rFonts w:ascii="Helvetica" w:hAnsi="Helvetica"/>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3" w:name="HDR65"/>
      <w:bookmarkStart w:id="844" w:name="HDR65"/>
      <w:bookmarkEnd w:id="8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5" w:name="GLHDR65"/>
      <w:bookmarkEnd w:id="8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2007 Incentive Stock and Awards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 our development and financial success. Under the 2007 Plan, we are authorized to issue incentive stock options intended to qualify under Section 422 of the Internal Revenue Code of 1986, as amended, non-qualified stock options, and restricted stock. The 2007 Plan is administered by our Board of Directors until such time as such authority has been delegated to a committee of the Board of Directors.  Effective November 5, 2008, our stockholders approved an amendment to the 2007 Plan to increase the number of authorized shares to 75,000 from 37,500.  On January 25, 2012, our Board of Directors and stockholders approved an amendment to, among other things, increase the maximum number of shares issuable under the 2007 Plan to 750,000 shares. The amendment became effective following our compliance with certain information requirements of the SEC.  Effective as of July 18, 2012, our Board of Directors and stockholders approved a further amendment to increase the maximum number of shares to 2,400,000 shares and to increase the number of shares that may be granted to an individual in a calendar year.  The stockholder approval of the amendment will become effective following our compliance with certain information requirements of the SEC.</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Director Compensation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We did not compensate any of our directors for their service on our Board during the fiscal year ended December 31, 2011.  We do not currently have a director compensation program in place; however, on April 1, 2012, the Board of Directors approved the issuance of options to purchase 25,000 shares of common stock to each of our directors on that date, including our employee and non-employee directors, under the 2007 Plan.  Each of the options has an exercise price of $4.50 per share.  The options have a term of five years and vest quarterly over a one year period, such that options to purchase 6,250 shares vest on each of June 30, 2012, September 30, 2012, December 31, 2012 and March 31, 2013. Also on April 1, 2012, the Board of Directors approved the issuance to Dr. Jeffrey Abrams, in consideration of his service as a director of the Company during 2011 and 2012, of an additional option to purchase 60,000 shares of common stock under the 2007 Plan, which option has an exercise price of $4.50 per share, a term of ten years, and vests monthly over a one year period.   </w:t>
      </w:r>
      <w:r>
        <w:rPr>
          <w:rFonts w:ascii="helvetica" w:hAnsi="helvetica"/>
          <w:sz w:val="20"/>
        </w:rPr>
        <w:t>In connection with his appointment as a director, on July 26, 2012 Mr. Austin was granted an option to purchase up to 17,123 shares of our common stock under the 2007 Plan. That option has an exercise price of $4.50 per share, a term of five years, and vests monthly over a period of one year commencing on January 1, 2013. In addition, we have agreed to pay Mr. Austin a quarterly cash payment of $5,000 for his services as a director and a quarterly cash payment of $1,250 for his services as the chair of the Audit Committee.</w:t>
      </w:r>
      <w:r>
        <w:rPr>
          <w:rFonts w:ascii="Helvetica" w:hAnsi="Helvetica"/>
          <w:sz w:val="20"/>
        </w:rPr>
        <w:t xml:space="preserve"> </w:t>
      </w:r>
    </w:p>
    <w:p>
      <w:pPr>
        <w:pStyle w:val="TextBody"/>
        <w:spacing w:before="0" w:after="0"/>
        <w:ind w:left="0" w:right="0" w:firstLine="720"/>
        <w:jc w:val="left"/>
        <w:rPr/>
      </w:pPr>
      <w:r>
        <w:rPr/>
        <w:t>  </w:t>
      </w:r>
    </w:p>
    <w:p>
      <w:pPr>
        <w:pStyle w:val="TextBody"/>
        <w:spacing w:before="0" w:after="0"/>
        <w:ind w:left="720" w:right="0" w:hanging="0"/>
        <w:jc w:val="center"/>
        <w:rPr>
          <w:rFonts w:ascii="Helvetica" w:hAnsi="Helvetica"/>
          <w:b/>
          <w:sz w:val="20"/>
        </w:rPr>
      </w:pPr>
      <w:bookmarkStart w:id="846" w:name="TAB18"/>
      <w:bookmarkEnd w:id="846"/>
      <w:r>
        <w:rPr>
          <w:rFonts w:ascii="Helvetica" w:hAnsi="Helvetica"/>
          <w:b/>
          <w:sz w:val="20"/>
        </w:rPr>
        <w:t>CERTAIN RELATIONSHIPS AND RELATED TRANSACTIONS</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Transactions with Related Persons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fiscal years ended December 31, 2011, 2010 and 2009, and through the date of this prospectus,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Chief Executive Officer and director, Mr. Mark L. Baum, and the Chairman of our Board of Directors, Robert J. Kammer, served as Managing Members of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under the heading “Certain Relationship and Related Transactions”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7" w:name="PGBRK67"/>
      <w:bookmarkStart w:id="848" w:name="PGBRK67"/>
      <w:bookmarkEnd w:id="8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9" w:name="FTR67"/>
      <w:bookmarkStart w:id="850" w:name="FTR67"/>
      <w:bookmarkEnd w:id="8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1" w:name="GLFTR66"/>
      <w:bookmarkEnd w:id="8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52" w:name="PN66"/>
      <w:bookmarkEnd w:id="852"/>
      <w:r>
        <w:rPr>
          <w:rFonts w:ascii="Helvetica" w:hAnsi="Helvetica"/>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3" w:name="HDR66"/>
      <w:bookmarkStart w:id="854" w:name="HDR66"/>
      <w:bookmarkEnd w:id="8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5" w:name="GLHDR66"/>
      <w:bookmarkEnd w:id="8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Series A Preferred Stock Purchase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6" w:name="PGBRK68"/>
      <w:bookmarkStart w:id="857" w:name="PGBRK68"/>
      <w:bookmarkEnd w:id="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8" w:name="FTR68"/>
      <w:bookmarkStart w:id="859" w:name="FTR68"/>
      <w:bookmarkEnd w:id="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0" w:name="GLFTR67"/>
      <w:bookmarkEnd w:id="8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61" w:name="PN67"/>
      <w:bookmarkEnd w:id="861"/>
      <w:r>
        <w:rPr>
          <w:rFonts w:ascii="Helvetica" w:hAnsi="Helvetica"/>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2" w:name="HDR67"/>
      <w:bookmarkStart w:id="863" w:name="HDR67"/>
      <w:bookmarkEnd w:id="8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4" w:name="GLHDR67"/>
      <w:bookmarkEnd w:id="8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Consulting Relationships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January 17, 2012, Dr. Finnegan entered into a senior advisory agreement with the Company, pursuant to which he was to provide certain consulting services to the Company in addition to his services as a director. Under the terms of the senior advisory agreement, Dr. Finnegan provided consulting services in the area of drug and technology development, among other things, for consideration of $18,000 per quarter.  The agreement was to terminate on the earlier of the completion of the services or the fourth anniversary of the date of the agreement. In addition, on January 25, 2012, the Company granted Dr. Finnegan a non-qualified stock option to purchase 125,000 shares of common stock under the 2007 Plan with an exercise price of $3.20 per share. Effective May 9, 2012, we entered into a termination agreement terminating the advisory agreement with Dr. Finnegan.  No compensation was paid to Dr. Finnegan under this advisory agreement.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May 9, 2012, we also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Pursuant to a second amendment to Dr. Finnegan’s stock option agreement, Dr. Finnegan has agreed to not sell more than 5% of the shares of our common stock acquired through the exercise of his stock option in any monthly period.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April 1, 2012, we entered into an advisory agreement with director Dr. Robert Kammer, the Chairman of our Board of Directors, pursuant to which Dr. Kammer will provide certain services to us in addition to his services as a director.  These services include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our intellectual property strategy. Under the terms of the advisory agreement, Dr. Kammer is to be compensated $10,000 per month in the form of common stock based on a per share price of $4.50. Dr. Kammer and the Company have agreed that the common stock issuable to Dr. Kammer as compensation under his advisory agreement is to be accrued and issued on a quarterly or annual basis; accordingly, as of the date hereof no such shares have been issued to Dr. Kammer. Upon the completion of a financing transaction yielding not less than $15,000,000, Dr. Kammer may unilaterally choose to be paid in either cash or common stock at the $4.50 per share price described above. As additional compensation under the advisory agreement, on April 1, 2012 the Company granted Dr. Kammer a non-qualified stock option to purchase 60,000 shares of common stock under the 2007 Plan, which stock option has an exercise price of $4.50 per share, expires on May 31, 2017, and vests according to the following schedule:  15,000 shares vest on the date of grant and the remaining shares vest monthly over a two year period beginning on May 1, 2012.  The advisory agreement is to terminate on the earlier of the completion of the services or the second anniversary of the agreement. Pursuant to an amendment to Dr. Kammer’s advisory agreement, Dr. Kammer has agreed to not sell more than 5% of the shares of the Company’s common stock acquired as compensation under that agreement, through the exercise of stock options or otherwise, in any monthly period without the approval of the Board of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Dr. Kammer, in connection with his services as a consultant and advisor to the Company, 40,000 RSUs outside of the Plan.  The RSUs are subject to certain performance-based vesting criteria, such that all 40,000 RSUs will vest at such time as the Company meets the primary endpoints of its Phase III clinical studies for Impracor.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Company Policy Regarding Related Party Transactions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It is our policy that the disinterested members of our Board of Directors approve or ratify transactions involving directors, executive officers or principal stockholders or members of their immediate families or entities controlled by any of them in which they have a substantial ownership interest in which the amount involved may exceed the lesser of $120,000 or 1% of the average of our total assets at year end and that are otherwise reportable under SEC disclosure rules. Such transactions include employment of immediate family members of any director or executive officer. Management advises the Board of Directors on a regular basis of any such transaction that is proposed to be entered into or continued and seeks approval.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5" w:name="PGBRK69"/>
      <w:bookmarkStart w:id="866" w:name="PGBRK69"/>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7" w:name="FTR69"/>
      <w:bookmarkStart w:id="868" w:name="FTR69"/>
      <w:bookmarkEnd w:id="8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9" w:name="GLFTR68"/>
      <w:bookmarkEnd w:id="8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70" w:name="PN68"/>
      <w:bookmarkEnd w:id="870"/>
      <w:r>
        <w:rPr>
          <w:rFonts w:ascii="Helvetica" w:hAnsi="Helvetica"/>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1" w:name="HDR68"/>
      <w:bookmarkStart w:id="872" w:name="HDR68"/>
      <w:bookmarkEnd w:id="8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3" w:name="GLHDR68"/>
      <w:bookmarkEnd w:id="8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SECURITY OWNERSHIP OF CERTAIN BENEFICIAL OWNERS AND MANAGEMENT AND RELATED STOCKHOLDER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August 10, 2012.  Unless otherwise indicated in the footnotes to the following table, each person named in the table has sole voting and investment power with respect to shares of common stock and the address is c/o Imprimis Pharmaceuticals, Inc. 437 S. Hwy 101, Suite 209, Solana Beach, CA 92075.  All information regarding share amounts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636"/>
        <w:gridCol w:w="120"/>
        <w:gridCol w:w="120"/>
        <w:gridCol w:w="1332"/>
        <w:gridCol w:w="164"/>
        <w:gridCol w:w="120"/>
        <w:gridCol w:w="235"/>
        <w:gridCol w:w="1195"/>
        <w:gridCol w:w="283"/>
      </w:tblGrid>
      <w:tr>
        <w:trPr/>
        <w:tc>
          <w:tcPr>
            <w:tcW w:w="6636" w:type="dxa"/>
            <w:tcBorders/>
            <w:shd w:fill="auto" w:val="clear"/>
            <w:vAlign w:val="bottom"/>
          </w:tcPr>
          <w:p>
            <w:pPr>
              <w:pStyle w:val="TableContents"/>
              <w:spacing w:before="0" w:after="0"/>
              <w:ind w:left="0" w:right="0" w:hanging="0"/>
              <w:jc w:val="left"/>
              <w:rPr/>
            </w:pPr>
            <w:r>
              <w:rPr>
                <w:rFonts w:ascii="helvetica" w:hAnsi="helvetica"/>
                <w:b/>
                <w:sz w:val="16"/>
              </w:rPr>
              <w:t>Beneficial Owner</w:t>
            </w:r>
            <w:r>
              <w:rPr/>
              <w:t xml:space="preserve"> </w:t>
            </w:r>
          </w:p>
        </w:tc>
        <w:tc>
          <w:tcPr>
            <w:tcW w:w="120" w:type="dxa"/>
            <w:tcBorders/>
            <w:shd w:fill="auto" w:val="clear"/>
            <w:vAlign w:val="bottom"/>
          </w:tcPr>
          <w:p>
            <w:pPr>
              <w:pStyle w:val="TableContents"/>
              <w:spacing w:before="0" w:after="283"/>
              <w:rPr/>
            </w:pPr>
            <w:r>
              <w:rPr/>
              <w:t xml:space="preserve">  </w:t>
            </w:r>
          </w:p>
        </w:tc>
        <w:tc>
          <w:tcPr>
            <w:tcW w:w="316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Amount and Nature of Beneficial Ownership</w:t>
            </w:r>
            <w:r>
              <w:rPr/>
              <w:t xml:space="preserve"> </w:t>
            </w:r>
          </w:p>
        </w:tc>
        <w:tc>
          <w:tcPr>
            <w:tcW w:w="283" w:type="dxa"/>
            <w:tcBorders/>
            <w:shd w:fill="auto" w:val="clear"/>
            <w:vAlign w:val="bottom"/>
          </w:tcPr>
          <w:p>
            <w:pPr>
              <w:pStyle w:val="TableContents"/>
              <w:spacing w:before="0" w:after="283"/>
              <w:jc w:val="left"/>
              <w:rPr/>
            </w:pPr>
            <w:r>
              <w:rPr/>
              <w:t xml:space="preserve">  </w:t>
            </w:r>
          </w:p>
        </w:tc>
      </w:tr>
      <w:tr>
        <w:trPr/>
        <w:tc>
          <w:tcPr>
            <w:tcW w:w="6636"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xml:space="preserve">  </w:t>
            </w:r>
          </w:p>
        </w:tc>
        <w:tc>
          <w:tcPr>
            <w:tcW w:w="145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Number of Shares</w:t>
            </w:r>
            <w:r>
              <w:rPr/>
              <w:t xml:space="preserve"> </w:t>
            </w:r>
          </w:p>
        </w:tc>
        <w:tc>
          <w:tcPr>
            <w:tcW w:w="164" w:type="dxa"/>
            <w:tcBorders/>
            <w:shd w:fill="auto" w:val="clear"/>
            <w:vAlign w:val="bottom"/>
          </w:tcPr>
          <w:p>
            <w:pPr>
              <w:pStyle w:val="TableContents"/>
              <w:spacing w:before="0" w:after="283"/>
              <w:jc w:val="left"/>
              <w:rPr/>
            </w:pPr>
            <w:r>
              <w:rPr/>
              <w:t xml:space="preserve">  </w:t>
            </w:r>
          </w:p>
        </w:tc>
        <w:tc>
          <w:tcPr>
            <w:tcW w:w="120" w:type="dxa"/>
            <w:tcBorders/>
            <w:shd w:fill="auto" w:val="clear"/>
            <w:vAlign w:val="bottom"/>
          </w:tcPr>
          <w:p>
            <w:pPr>
              <w:pStyle w:val="TableContents"/>
              <w:spacing w:before="0" w:after="283"/>
              <w:rPr/>
            </w:pPr>
            <w:r>
              <w:rPr/>
              <w:t xml:space="preserve">  </w:t>
            </w:r>
          </w:p>
        </w:tc>
        <w:tc>
          <w:tcPr>
            <w:tcW w:w="14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Percentage (1)</w:t>
            </w:r>
            <w:r>
              <w:rPr/>
              <w:t xml:space="preserve"> </w:t>
            </w:r>
          </w:p>
        </w:tc>
        <w:tc>
          <w:tcPr>
            <w:tcW w:w="283" w:type="dxa"/>
            <w:tcBorders/>
            <w:shd w:fill="auto" w:val="clear"/>
            <w:vAlign w:val="bottom"/>
          </w:tcPr>
          <w:p>
            <w:pPr>
              <w:pStyle w:val="TableContents"/>
              <w:spacing w:before="0" w:after="283"/>
              <w:jc w:val="left"/>
              <w:rPr/>
            </w:pPr>
            <w:r>
              <w:rPr/>
              <w:t xml:space="preserve">  </w:t>
            </w:r>
          </w:p>
        </w:tc>
      </w:tr>
      <w:tr>
        <w:trPr/>
        <w:tc>
          <w:tcPr>
            <w:tcW w:w="6636" w:type="dxa"/>
            <w:tcBorders/>
            <w:shd w:fill="auto" w:val="clear"/>
            <w:vAlign w:val="bottom"/>
          </w:tcPr>
          <w:p>
            <w:pPr>
              <w:pStyle w:val="TableContents"/>
              <w:spacing w:before="0" w:after="0"/>
              <w:ind w:left="0" w:right="0" w:hanging="0"/>
              <w:jc w:val="left"/>
              <w:rPr/>
            </w:pPr>
            <w:r>
              <w:rPr>
                <w:rFonts w:ascii="helvetica" w:hAnsi="helvetica"/>
                <w:i/>
                <w:sz w:val="20"/>
                <w:u w:val="single"/>
              </w:rPr>
              <w:t>5% + Stockholders</w:t>
            </w:r>
            <w:r>
              <w:rPr/>
              <w:t xml:space="preserve"> </w:t>
            </w:r>
          </w:p>
        </w:tc>
        <w:tc>
          <w:tcPr>
            <w:tcW w:w="120" w:type="dxa"/>
            <w:tcBorders/>
            <w:shd w:fill="auto" w:val="clear"/>
            <w:vAlign w:val="bottom"/>
          </w:tcPr>
          <w:p>
            <w:pPr>
              <w:pStyle w:val="TableContents"/>
              <w:spacing w:before="0" w:after="283"/>
              <w:rPr/>
            </w:pPr>
            <w:r>
              <w:rPr/>
              <w:t xml:space="preserve">  </w:t>
            </w:r>
          </w:p>
        </w:tc>
        <w:tc>
          <w:tcPr>
            <w:tcW w:w="1452" w:type="dxa"/>
            <w:gridSpan w:val="2"/>
            <w:tcBorders/>
            <w:shd w:fill="auto" w:val="clear"/>
            <w:vAlign w:val="bottom"/>
          </w:tcPr>
          <w:p>
            <w:pPr>
              <w:pStyle w:val="TableContents"/>
              <w:spacing w:before="0" w:after="283"/>
              <w:rPr/>
            </w:pPr>
            <w:r>
              <w:rPr/>
              <w:t xml:space="preserve">  </w:t>
            </w:r>
          </w:p>
        </w:tc>
        <w:tc>
          <w:tcPr>
            <w:tcW w:w="164" w:type="dxa"/>
            <w:tcBorders/>
            <w:shd w:fill="auto" w:val="clear"/>
            <w:vAlign w:val="bottom"/>
          </w:tcPr>
          <w:p>
            <w:pPr>
              <w:pStyle w:val="TableContents"/>
              <w:spacing w:before="0" w:after="283"/>
              <w:jc w:val="left"/>
              <w:rPr/>
            </w:pPr>
            <w:r>
              <w:rPr/>
              <w:t xml:space="preserve">  </w:t>
            </w:r>
          </w:p>
        </w:tc>
        <w:tc>
          <w:tcPr>
            <w:tcW w:w="120" w:type="dxa"/>
            <w:tcBorders/>
            <w:shd w:fill="auto" w:val="clear"/>
            <w:vAlign w:val="bottom"/>
          </w:tcPr>
          <w:p>
            <w:pPr>
              <w:pStyle w:val="TableContents"/>
              <w:spacing w:before="0" w:after="283"/>
              <w:rPr/>
            </w:pPr>
            <w:r>
              <w:rPr/>
              <w:t xml:space="preserve">  </w:t>
            </w:r>
          </w:p>
        </w:tc>
        <w:tc>
          <w:tcPr>
            <w:tcW w:w="1430" w:type="dxa"/>
            <w:gridSpan w:val="2"/>
            <w:tcBorders/>
            <w:shd w:fill="auto" w:val="clear"/>
            <w:vAlign w:val="bottom"/>
          </w:tcPr>
          <w:p>
            <w:pPr>
              <w:pStyle w:val="TableContents"/>
              <w:spacing w:before="0" w:after="283"/>
              <w:rPr/>
            </w:pPr>
            <w:r>
              <w:rPr/>
              <w:t xml:space="preserve">  </w:t>
            </w:r>
          </w:p>
        </w:tc>
        <w:tc>
          <w:tcPr>
            <w:tcW w:w="283" w:type="dxa"/>
            <w:tcBorders/>
            <w:shd w:fill="auto" w:val="clear"/>
            <w:vAlign w:val="bottom"/>
          </w:tcPr>
          <w:p>
            <w:pPr>
              <w:pStyle w:val="TableContents"/>
              <w:spacing w:before="0" w:after="283"/>
              <w:jc w:val="left"/>
              <w:rPr/>
            </w:pP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Alexej Ladonnikov (2)</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rFonts w:ascii="helvetica" w:hAnsi="helvetica"/>
                <w:sz w:val="20"/>
              </w:rPr>
              <w:t>396,831</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rFonts w:ascii="helvetica" w:hAnsi="helvetica"/>
                <w:sz w:val="20"/>
              </w:rPr>
              <w:t>6.68</w:t>
            </w:r>
            <w:r>
              <w:rPr/>
              <w:t xml:space="preserve"> </w:t>
            </w:r>
          </w:p>
        </w:tc>
        <w:tc>
          <w:tcPr>
            <w:tcW w:w="283"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John W. Fish, Jr. (3)</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603,171</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10.16</w:t>
            </w:r>
            <w:r>
              <w:rPr/>
              <w:t xml:space="preserve"> </w:t>
            </w:r>
          </w:p>
        </w:tc>
        <w:tc>
          <w:tcPr>
            <w:tcW w:w="283"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Don Miloni (4)</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rFonts w:ascii="helvetica" w:hAnsi="helvetica"/>
                <w:sz w:val="20"/>
              </w:rPr>
              <w:t>1,111,652</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rFonts w:ascii="helvetica" w:hAnsi="helvetica"/>
                <w:sz w:val="20"/>
              </w:rPr>
              <w:t>18.53</w:t>
            </w:r>
            <w:r>
              <w:rPr/>
              <w:t xml:space="preserve"> </w:t>
            </w:r>
          </w:p>
        </w:tc>
        <w:tc>
          <w:tcPr>
            <w:tcW w:w="283"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Michael Corwin (5)</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300,736</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5.06</w:t>
            </w:r>
            <w:r>
              <w:rPr/>
              <w:t xml:space="preserve"> </w:t>
            </w:r>
          </w:p>
        </w:tc>
        <w:tc>
          <w:tcPr>
            <w:tcW w:w="283"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t xml:space="preserve">  </w:t>
            </w:r>
          </w:p>
        </w:tc>
        <w:tc>
          <w:tcPr>
            <w:tcW w:w="283" w:type="dxa"/>
            <w:tcBorders/>
            <w:shd w:fill="CCEEFF" w:val="clear"/>
            <w:vAlign w:val="bottom"/>
          </w:tcPr>
          <w:p>
            <w:pPr>
              <w:pStyle w:val="TableContents"/>
              <w:spacing w:before="0" w:after="283"/>
              <w:jc w:val="left"/>
              <w:rPr/>
            </w:pP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i/>
                <w:sz w:val="20"/>
                <w:u w:val="single"/>
              </w:rPr>
              <w:t>Directors and Officers</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t xml:space="preserve">  </w:t>
            </w:r>
          </w:p>
        </w:tc>
        <w:tc>
          <w:tcPr>
            <w:tcW w:w="283" w:type="dxa"/>
            <w:tcBorders/>
            <w:shd w:fill="FFFFFF" w:val="clear"/>
            <w:vAlign w:val="bottom"/>
          </w:tcPr>
          <w:p>
            <w:pPr>
              <w:pStyle w:val="TableContents"/>
              <w:spacing w:before="0" w:after="283"/>
              <w:jc w:val="left"/>
              <w:rPr/>
            </w:pP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Jeffery J. Abrams, M.D. (6)</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rFonts w:ascii="helvetica" w:hAnsi="helvetica"/>
                <w:sz w:val="20"/>
              </w:rPr>
              <w:t>83,313</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rFonts w:ascii="helvetica" w:hAnsi="helvetica"/>
                <w:sz w:val="20"/>
              </w:rPr>
              <w:t>1.39</w:t>
            </w:r>
            <w:r>
              <w:rPr/>
              <w:t xml:space="preserve"> </w:t>
            </w:r>
          </w:p>
        </w:tc>
        <w:tc>
          <w:tcPr>
            <w:tcW w:w="283"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Mark L. Baum, Esq. (7)</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293,882</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4.85</w:t>
            </w:r>
            <w:r>
              <w:rPr/>
              <w:t xml:space="preserve"> </w:t>
            </w:r>
          </w:p>
        </w:tc>
        <w:tc>
          <w:tcPr>
            <w:tcW w:w="283"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Andrew R. Boll (8)</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rFonts w:ascii="helvetica" w:hAnsi="helvetica"/>
                <w:sz w:val="20"/>
              </w:rPr>
              <w:t>3,333</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283" w:type="dxa"/>
            <w:tcBorders/>
            <w:shd w:fill="CCEEFF" w:val="clear"/>
            <w:vAlign w:val="bottom"/>
          </w:tcPr>
          <w:p>
            <w:pPr>
              <w:pStyle w:val="TableContents"/>
              <w:spacing w:before="0" w:after="283"/>
              <w:jc w:val="left"/>
              <w:rPr/>
            </w:pP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John Bonfigilio</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469</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283" w:type="dxa"/>
            <w:tcBorders/>
            <w:shd w:fill="FFFFFF" w:val="clear"/>
            <w:vAlign w:val="bottom"/>
          </w:tcPr>
          <w:p>
            <w:pPr>
              <w:pStyle w:val="TableContents"/>
              <w:spacing w:before="0" w:after="283"/>
              <w:jc w:val="left"/>
              <w:rPr/>
            </w:pP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Balbir Brar, D.V.M., Ph.D. (9)</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rFonts w:ascii="helvetica" w:hAnsi="helvetica"/>
                <w:sz w:val="20"/>
              </w:rPr>
              <w:t>75,704</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rFonts w:ascii="helvetica" w:hAnsi="helvetica"/>
                <w:sz w:val="20"/>
              </w:rPr>
              <w:t>1.26</w:t>
            </w:r>
            <w:r>
              <w:rPr/>
              <w:t xml:space="preserve"> </w:t>
            </w:r>
          </w:p>
        </w:tc>
        <w:tc>
          <w:tcPr>
            <w:tcW w:w="283"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Paul Finnegan, M.D., M.B.A. (10)</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62,500</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1.04</w:t>
            </w:r>
            <w:r>
              <w:rPr/>
              <w:t xml:space="preserve"> </w:t>
            </w:r>
          </w:p>
        </w:tc>
        <w:tc>
          <w:tcPr>
            <w:tcW w:w="283"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Robert J. Kammer, D.D.S. (11)</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rFonts w:ascii="helvetica" w:hAnsi="helvetica"/>
                <w:sz w:val="20"/>
              </w:rPr>
              <w:t>954,725</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rFonts w:ascii="helvetica" w:hAnsi="helvetica"/>
                <w:sz w:val="20"/>
              </w:rPr>
              <w:t>15.91</w:t>
            </w:r>
            <w:r>
              <w:rPr/>
              <w:t xml:space="preserve"> </w:t>
            </w:r>
          </w:p>
        </w:tc>
        <w:tc>
          <w:tcPr>
            <w:tcW w:w="283"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John Lomoro</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1,441</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283" w:type="dxa"/>
            <w:tcBorders/>
            <w:shd w:fill="FFFFFF" w:val="clear"/>
            <w:vAlign w:val="bottom"/>
          </w:tcPr>
          <w:p>
            <w:pPr>
              <w:pStyle w:val="TableContents"/>
              <w:spacing w:before="0" w:after="283"/>
              <w:jc w:val="left"/>
              <w:rPr/>
            </w:pP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Terry Nida</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1332" w:type="dxa"/>
            <w:tcBorders/>
            <w:shd w:fill="CCEEFF" w:val="clear"/>
            <w:vAlign w:val="bottom"/>
          </w:tcPr>
          <w:p>
            <w:pPr>
              <w:pStyle w:val="TableContents"/>
              <w:spacing w:before="0" w:after="283"/>
              <w:jc w:val="right"/>
              <w:rPr/>
            </w:pPr>
            <w:r>
              <w:rPr>
                <w:rFonts w:ascii="helvetica" w:hAnsi="helvetica"/>
                <w:sz w:val="20"/>
              </w:rPr>
              <w:t>3,639</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shd w:fill="CCEEFF" w:val="clear"/>
            <w:vAlign w:val="bottom"/>
          </w:tcPr>
          <w:p>
            <w:pPr>
              <w:pStyle w:val="TableContents"/>
              <w:spacing w:before="0" w:after="283"/>
              <w:jc w:val="left"/>
              <w:rPr/>
            </w:pPr>
            <w:r>
              <w:rPr/>
              <w:t xml:space="preserve">  </w:t>
            </w:r>
          </w:p>
        </w:tc>
        <w:tc>
          <w:tcPr>
            <w:tcW w:w="1195"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283" w:type="dxa"/>
            <w:tcBorders/>
            <w:shd w:fill="CCEEFF" w:val="clear"/>
            <w:vAlign w:val="bottom"/>
          </w:tcPr>
          <w:p>
            <w:pPr>
              <w:pStyle w:val="TableContents"/>
              <w:spacing w:before="0" w:after="283"/>
              <w:jc w:val="left"/>
              <w:rPr/>
            </w:pP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Stephen G. Austin, CPA</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283" w:type="dxa"/>
            <w:tcBorders/>
            <w:shd w:fill="FFFFFF" w:val="clear"/>
            <w:vAlign w:val="bottom"/>
          </w:tcPr>
          <w:p>
            <w:pPr>
              <w:pStyle w:val="TableContents"/>
              <w:spacing w:before="0" w:after="283"/>
              <w:jc w:val="left"/>
              <w:rPr/>
            </w:pPr>
            <w:r>
              <w:rPr/>
              <w:t xml:space="preserve">  </w:t>
            </w:r>
          </w:p>
        </w:tc>
      </w:tr>
      <w:tr>
        <w:trPr/>
        <w:tc>
          <w:tcPr>
            <w:tcW w:w="6636" w:type="dxa"/>
            <w:tcBorders/>
            <w:shd w:fill="CCEEFF" w:val="clear"/>
            <w:vAlign w:val="bottom"/>
          </w:tcPr>
          <w:p>
            <w:pPr>
              <w:pStyle w:val="TableContents"/>
              <w:spacing w:before="0" w:after="0"/>
              <w:ind w:left="0" w:right="0" w:hanging="0"/>
              <w:jc w:val="left"/>
              <w:rPr/>
            </w:pPr>
            <w:r>
              <w:rPr>
                <w:rFonts w:ascii="helvetica" w:hAnsi="helvetica"/>
                <w:sz w:val="20"/>
              </w:rPr>
              <w:t>Joachim Schupp, M.D. (12)</w:t>
            </w:r>
            <w:r>
              <w:rPr/>
              <w:t xml:space="preserve"> </w:t>
            </w:r>
          </w:p>
        </w:tc>
        <w:tc>
          <w:tcPr>
            <w:tcW w:w="120" w:type="dxa"/>
            <w:tcBorders/>
            <w:shd w:fill="CCEEFF" w:val="clear"/>
            <w:vAlign w:val="bottom"/>
          </w:tcPr>
          <w:p>
            <w:pPr>
              <w:pStyle w:val="TableContents"/>
              <w:spacing w:before="0" w:after="283"/>
              <w:rPr/>
            </w:pPr>
            <w:r>
              <w:rPr/>
              <w:t xml:space="preserve">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332"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15,076</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235"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283" w:type="dxa"/>
            <w:tcBorders/>
            <w:shd w:fill="CCEEFF" w:val="clear"/>
            <w:vAlign w:val="bottom"/>
          </w:tcPr>
          <w:p>
            <w:pPr>
              <w:pStyle w:val="TableContents"/>
              <w:spacing w:before="0" w:after="283"/>
              <w:jc w:val="left"/>
              <w:rPr/>
            </w:pPr>
            <w:r>
              <w:rPr/>
              <w:t xml:space="preserve">  </w:t>
            </w:r>
          </w:p>
        </w:tc>
      </w:tr>
      <w:tr>
        <w:trPr/>
        <w:tc>
          <w:tcPr>
            <w:tcW w:w="6636" w:type="dxa"/>
            <w:tcBorders/>
            <w:shd w:fill="FFFFFF" w:val="clear"/>
            <w:vAlign w:val="bottom"/>
          </w:tcPr>
          <w:p>
            <w:pPr>
              <w:pStyle w:val="TableContents"/>
              <w:spacing w:before="0" w:after="0"/>
              <w:ind w:left="0" w:right="0" w:hanging="0"/>
              <w:jc w:val="left"/>
              <w:rPr/>
            </w:pPr>
            <w:r>
              <w:rPr>
                <w:rFonts w:ascii="helvetica" w:hAnsi="helvetica"/>
                <w:sz w:val="20"/>
              </w:rPr>
              <w:t>All current executive officers and directors as a group (8 persons)</w:t>
            </w:r>
            <w:r>
              <w:rPr/>
              <w:t xml:space="preserve"> </w:t>
            </w:r>
          </w:p>
        </w:tc>
        <w:tc>
          <w:tcPr>
            <w:tcW w:w="120"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jc w:val="left"/>
              <w:rPr/>
            </w:pPr>
            <w:r>
              <w:rPr/>
              <w:t xml:space="preserve">  </w:t>
            </w:r>
          </w:p>
        </w:tc>
        <w:tc>
          <w:tcPr>
            <w:tcW w:w="1332" w:type="dxa"/>
            <w:tcBorders/>
            <w:shd w:fill="FFFFFF" w:val="clear"/>
            <w:vAlign w:val="bottom"/>
          </w:tcPr>
          <w:p>
            <w:pPr>
              <w:pStyle w:val="TableContents"/>
              <w:spacing w:before="0" w:after="283"/>
              <w:jc w:val="right"/>
              <w:rPr/>
            </w:pPr>
            <w:r>
              <w:rPr>
                <w:rFonts w:ascii="helvetica" w:hAnsi="helvetica"/>
                <w:sz w:val="20"/>
              </w:rPr>
              <w:t>1,488,534</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235" w:type="dxa"/>
            <w:tcBorders/>
            <w:shd w:fill="FFFFFF" w:val="clear"/>
            <w:vAlign w:val="bottom"/>
          </w:tcPr>
          <w:p>
            <w:pPr>
              <w:pStyle w:val="TableContents"/>
              <w:spacing w:before="0" w:after="283"/>
              <w:jc w:val="left"/>
              <w:rPr/>
            </w:pPr>
            <w:r>
              <w:rPr/>
              <w:t xml:space="preserve">  </w:t>
            </w:r>
          </w:p>
        </w:tc>
        <w:tc>
          <w:tcPr>
            <w:tcW w:w="1195" w:type="dxa"/>
            <w:tcBorders/>
            <w:shd w:fill="FFFFFF" w:val="clear"/>
            <w:vAlign w:val="bottom"/>
          </w:tcPr>
          <w:p>
            <w:pPr>
              <w:pStyle w:val="TableContents"/>
              <w:spacing w:before="0" w:after="283"/>
              <w:jc w:val="right"/>
              <w:rPr/>
            </w:pPr>
            <w:r>
              <w:rPr>
                <w:rFonts w:ascii="helvetica" w:hAnsi="helvetica"/>
                <w:sz w:val="20"/>
              </w:rPr>
              <w:t>23.57</w:t>
            </w:r>
            <w:r>
              <w:rPr/>
              <w:t xml:space="preserve"> </w:t>
            </w:r>
          </w:p>
        </w:tc>
        <w:tc>
          <w:tcPr>
            <w:tcW w:w="283" w:type="dxa"/>
            <w:tcBorders/>
            <w:shd w:fill="FFFFFF" w:val="clear"/>
            <w:vAlign w:val="bottom"/>
          </w:tcPr>
          <w:p>
            <w:pPr>
              <w:pStyle w:val="TableContents"/>
              <w:spacing w:before="0" w:after="283"/>
              <w:jc w:val="left"/>
              <w:rPr/>
            </w:pPr>
            <w:r>
              <w:rPr>
                <w:rFonts w:ascii="helvetica" w:hAnsi="helvetica"/>
                <w:sz w:val="20"/>
              </w:rPr>
              <w:t>%</w:t>
            </w:r>
            <w:r>
              <w:rPr/>
              <w:t xml:space="preserve"> </w:t>
            </w:r>
          </w:p>
        </w:tc>
      </w:tr>
    </w:tbl>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4" w:name="PGBRK70"/>
      <w:bookmarkStart w:id="875" w:name="PGBRK70"/>
      <w:bookmarkEnd w:id="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6" w:name="FTR70"/>
      <w:bookmarkStart w:id="877" w:name="FTR70"/>
      <w:bookmarkEnd w:id="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8" w:name="GLFTR69"/>
      <w:bookmarkEnd w:id="8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79" w:name="PN69"/>
      <w:bookmarkEnd w:id="879"/>
      <w:r>
        <w:rPr>
          <w:rFonts w:ascii="Helvetica" w:hAnsi="Helvetica"/>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0" w:name="HDR69"/>
      <w:bookmarkStart w:id="881" w:name="HDR69"/>
      <w:bookmarkEnd w:id="8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2" w:name="GLHDR69"/>
      <w:bookmarkEnd w:id="8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7"/>
        <w:gridCol w:w="23"/>
        <w:gridCol w:w="9865"/>
      </w:tblGrid>
      <w:tr>
        <w:trPr/>
        <w:tc>
          <w:tcPr>
            <w:tcW w:w="340" w:type="dxa"/>
            <w:gridSpan w:val="2"/>
            <w:tcBorders/>
            <w:shd w:fill="auto" w:val="clear"/>
          </w:tcPr>
          <w:p>
            <w:pPr>
              <w:pStyle w:val="TableContents"/>
              <w:spacing w:before="0" w:after="0"/>
              <w:ind w:left="0" w:right="0" w:hanging="0"/>
              <w:jc w:val="left"/>
              <w:rPr/>
            </w:pPr>
            <w:r>
              <w:rPr>
                <w:rFonts w:ascii="helvetica" w:hAnsi="helvetica"/>
                <w:sz w:val="20"/>
              </w:rPr>
              <w:t>*</w:t>
            </w:r>
            <w:r>
              <w:rPr/>
              <w:t xml:space="preserve"> </w:t>
            </w:r>
          </w:p>
        </w:tc>
        <w:tc>
          <w:tcPr>
            <w:tcW w:w="9865" w:type="dxa"/>
            <w:tcBorders/>
            <w:shd w:fill="auto" w:val="clear"/>
          </w:tcPr>
          <w:p>
            <w:pPr>
              <w:pStyle w:val="TableContents"/>
              <w:spacing w:before="0" w:after="0"/>
              <w:ind w:left="0" w:right="0" w:hanging="0"/>
              <w:jc w:val="left"/>
              <w:rPr/>
            </w:pPr>
            <w:r>
              <w:rPr>
                <w:rFonts w:ascii="helvetica" w:hAnsi="helvetica"/>
                <w:sz w:val="20"/>
              </w:rPr>
              <w:t>Represents less than 1%.</w:t>
            </w:r>
            <w:r>
              <w:rPr/>
              <w:t xml:space="preserve"> </w:t>
            </w:r>
          </w:p>
        </w:tc>
      </w:tr>
      <w:tr>
        <w:trPr/>
        <w:tc>
          <w:tcPr>
            <w:tcW w:w="340" w:type="dxa"/>
            <w:gridSpan w:val="2"/>
            <w:tcBorders/>
            <w:shd w:fill="auto" w:val="clear"/>
          </w:tcPr>
          <w:p>
            <w:pPr>
              <w:pStyle w:val="TableContents"/>
              <w:spacing w:before="0" w:after="0"/>
              <w:ind w:left="0" w:right="0" w:hanging="0"/>
              <w:jc w:val="left"/>
              <w:rPr/>
            </w:pPr>
            <w:r>
              <w:rPr>
                <w:rFonts w:ascii="helvetica" w:hAnsi="helvetica"/>
                <w:sz w:val="20"/>
              </w:rPr>
              <w:t>(1)</w:t>
            </w:r>
            <w:r>
              <w:rPr/>
              <w:t xml:space="preserve"> </w:t>
            </w:r>
          </w:p>
        </w:tc>
        <w:tc>
          <w:tcPr>
            <w:tcW w:w="9865" w:type="dxa"/>
            <w:tcBorders/>
            <w:shd w:fill="auto" w:val="clear"/>
          </w:tcPr>
          <w:p>
            <w:pPr>
              <w:pStyle w:val="TableContents"/>
              <w:spacing w:before="0" w:after="0"/>
              <w:ind w:left="0" w:right="0" w:hanging="0"/>
              <w:jc w:val="left"/>
              <w:rPr/>
            </w:pPr>
            <w:r>
              <w:rPr>
                <w:rFonts w:ascii="helvetica" w:hAnsi="helvetica"/>
                <w:sz w:val="20"/>
              </w:rPr>
              <w:t>Applicable percentage ownership is based on 5,939,243 shares of our common stock outstanding as of August 10, 2012.  Shares of common stock subject to options or warrants and convertible notes subject to conversion into shares of our common stock currently exercisable or convertible, or exercisable or convertible within 60 days after August 10, 2012 are deemed outstanding for the purpose of computing the percentage ownership of the person holding such options, warrants or convertible notes, but are not deemed outstanding for computing the percentage ownership of any other person.</w:t>
            </w:r>
            <w:r>
              <w:rPr/>
              <w:t xml:space="preserve"> </w:t>
            </w:r>
          </w:p>
        </w:tc>
      </w:tr>
      <w:tr>
        <w:trPr/>
        <w:tc>
          <w:tcPr>
            <w:tcW w:w="340" w:type="dxa"/>
            <w:gridSpan w:val="2"/>
            <w:tcBorders/>
            <w:shd w:fill="auto" w:val="clear"/>
          </w:tcPr>
          <w:p>
            <w:pPr>
              <w:pStyle w:val="TableContents"/>
              <w:spacing w:before="0" w:after="0"/>
              <w:ind w:left="0" w:right="0" w:hanging="0"/>
              <w:jc w:val="left"/>
              <w:rPr/>
            </w:pPr>
            <w:r>
              <w:rPr>
                <w:rFonts w:ascii="helvetica" w:hAnsi="helvetica"/>
                <w:sz w:val="20"/>
              </w:rPr>
              <w:t>(2)</w:t>
            </w:r>
            <w:r>
              <w:rPr/>
              <w:t xml:space="preserve"> </w:t>
            </w:r>
          </w:p>
        </w:tc>
        <w:tc>
          <w:tcPr>
            <w:tcW w:w="9865" w:type="dxa"/>
            <w:tcBorders/>
            <w:shd w:fill="auto" w:val="clear"/>
          </w:tcPr>
          <w:p>
            <w:pPr>
              <w:pStyle w:val="TableContents"/>
              <w:spacing w:before="0" w:after="0"/>
              <w:ind w:left="0" w:right="0" w:hanging="0"/>
              <w:jc w:val="left"/>
              <w:rPr/>
            </w:pPr>
            <w:r>
              <w:rPr>
                <w:rFonts w:ascii="helvetica" w:hAnsi="helvetica"/>
                <w:sz w:val="20"/>
              </w:rPr>
              <w:t>The address for Mr. Ladonnikov is 13388 Surrey Lane, Saratoga, CA 95070.</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(3)</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10,190 shares of common stock issuable upon the exercise of warrants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(4)</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874,851 shares held in his name, 25,316 shares held by Mr. Miloni’s spouse, 151,899 shares held by 1425 Greenwood Lane, LLC, of which Mr. Miloni is the beneficial owner, and 59,586 shares of common stock issuable upon the exercise of warrants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(5)</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5,094 shares of common stock issuable upon the exercise of warrants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(6)</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Jeffrey J. Abrams, M.D., a director, is a trustee of the Abrams Family Trust, which owns 39,063 shares of our common stock. Dr. Abrams has sole voting and investment control with respect to the shares of common stock owned by the Abrams Family Trust.  Includes 44,250 shares of common stock issuable upon the exercise of stock options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(7)</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122,083 shares of common stock issuable upon the exercise of stock options and 2,413 shares of common stock issuable upon the exercise of warrants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(8)</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3,333 shares of common stock issuable upon the exercise of stock options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(9)</w:t>
            </w:r>
            <w:r>
              <w:rPr/>
              <w:t xml:space="preserve"> </w:t>
            </w:r>
          </w:p>
        </w:tc>
        <w:tc>
          <w:tcPr>
            <w:tcW w:w="9888" w:type="dxa"/>
            <w:gridSpan w:val="2"/>
            <w:tcBorders/>
            <w:shd w:fill="auto" w:val="clear"/>
          </w:tcPr>
          <w:p>
            <w:pPr>
              <w:pStyle w:val="TableContents"/>
              <w:spacing w:before="0" w:after="0"/>
              <w:ind w:left="0" w:right="0" w:hanging="0"/>
              <w:jc w:val="left"/>
              <w:rPr/>
            </w:pPr>
            <w:r>
              <w:rPr>
                <w:rFonts w:ascii="helvetica" w:hAnsi="helvetica"/>
                <w:sz w:val="20"/>
              </w:rPr>
              <w:t>Includes 62,500 shares of common stock issuable upon the exercise of stock options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(10)</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62,500 shares of common stock issuable upon the exercise of stock options exercisable within 60 days of August 10, 2012.</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(11)</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8,889 shares of common stock to which Dr. Kammer is entitled for services performed under his advisory agreement, and 47,639 shares of common stock issuable upon the exercise of stock options and 15,595 shares of common stock issuable upon the exercise of warrants exercisable within 60 days of August 10, 2012. </w:t>
            </w:r>
            <w:r>
              <w:rPr/>
              <w:t xml:space="preserve"> </w:t>
            </w:r>
          </w:p>
        </w:tc>
      </w:tr>
      <w:tr>
        <w:trPr/>
        <w:tc>
          <w:tcPr>
            <w:tcW w:w="317" w:type="dxa"/>
            <w:tcBorders/>
            <w:shd w:fill="auto" w:val="clear"/>
          </w:tcPr>
          <w:p>
            <w:pPr>
              <w:pStyle w:val="TableContents"/>
              <w:spacing w:before="0" w:after="0"/>
              <w:ind w:left="0" w:right="0" w:hanging="0"/>
              <w:jc w:val="left"/>
              <w:rPr/>
            </w:pPr>
            <w:r>
              <w:rPr>
                <w:rFonts w:ascii="helvetica" w:hAnsi="helvetica"/>
                <w:sz w:val="20"/>
              </w:rPr>
              <w:t>(12)</w:t>
            </w:r>
            <w:r>
              <w:rPr/>
              <w:t xml:space="preserve"> </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15,076 shares of common stock issuable upon the exercise of stock options exercisable within 60 days of August 10, 2012.</w:t>
            </w:r>
            <w:r>
              <w:rPr/>
              <w:t xml:space="preserve"> </w:t>
            </w:r>
          </w:p>
        </w:tc>
      </w:tr>
    </w:tbl>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883" w:name="TAB19"/>
      <w:bookmarkEnd w:id="883"/>
      <w:r>
        <w:rPr>
          <w:rFonts w:ascii="Helvetica" w:hAnsi="Helvetica"/>
          <w:b/>
          <w:sz w:val="20"/>
        </w:rPr>
        <w:t>LEGAL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validity of the common stock being offered hereby will be passed upon for us by Morrison &amp; Foerster LLP, San Diego, California.</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84" w:name="TAB110"/>
      <w:bookmarkEnd w:id="884"/>
      <w:r>
        <w:rPr>
          <w:rFonts w:ascii="Helvetica" w:hAnsi="Helvetica"/>
          <w:b/>
          <w:sz w:val="20"/>
        </w:rPr>
        <w:t>EXPERTS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KMJ Corbin &amp; Company LLP, an independent registered public accounting firm, has audited our consolidated financial statements for the fiscal years ended December 31, 2011 and 2010, as stated in its report appearing herein, and such audited consolidated financial statements have been so included in reliance upon the report of such firm given upon its authority as experts in accounting and auditing.</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85" w:name="TAB111"/>
      <w:bookmarkEnd w:id="885"/>
      <w:r>
        <w:rPr>
          <w:rFonts w:ascii="Helvetica" w:hAnsi="Helvetica"/>
          <w:b/>
          <w:sz w:val="20"/>
        </w:rPr>
        <w:t>WHERE YOU CAN FIND MORE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with the SEC a registration statement on Form S-1 under the Securities Act with respect to the shares of common stock being offered by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room and website referred to above.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6" w:name="PGBRK71"/>
      <w:bookmarkStart w:id="887" w:name="PGBRK71"/>
      <w:bookmarkEnd w:id="8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8" w:name="FTR71"/>
      <w:bookmarkStart w:id="889" w:name="FTR71"/>
      <w:bookmarkEnd w:id="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0" w:name="GLFTR70"/>
      <w:bookmarkEnd w:id="8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91" w:name="PN70"/>
      <w:bookmarkEnd w:id="891"/>
      <w:r>
        <w:rPr>
          <w:rFonts w:ascii="Helvetica" w:hAnsi="Helvetica"/>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2" w:name="HDR70"/>
      <w:bookmarkStart w:id="893" w:name="HDR70"/>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4" w:name="GLHDR70"/>
      <w:bookmarkEnd w:id="8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Financial Statements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983"/>
        <w:gridCol w:w="101"/>
        <w:gridCol w:w="101"/>
        <w:gridCol w:w="918"/>
        <w:gridCol w:w="102"/>
      </w:tblGrid>
      <w:tr>
        <w:trPr/>
        <w:tc>
          <w:tcPr>
            <w:tcW w:w="8983"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Condensed Consolidated Balance Sheets – June 30, 2012 (Unaudited) and December 31, 2011</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Operations for the three and six months ended June 30, 2012 and 2011 and for the Period from July 24, 1998 (Inception) Through June 30, 2012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F-3</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Cash Flows for the  six months ended June 30, 2012 and 2011 and for the Period from July 24, 1998 (Inception) Through June 30, 2012</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F-4</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to the Unaudited Condensed Consolidated Financial Statements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F-5</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Audited Consolidated Financial Statements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982"/>
        <w:gridCol w:w="102"/>
        <w:gridCol w:w="101"/>
        <w:gridCol w:w="918"/>
        <w:gridCol w:w="102"/>
      </w:tblGrid>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Report of Independent Registered Public Accounting Firm</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F-20</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Balance Sheets at December 31, 2011 and 2010</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F-21</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Operations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F-22</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Stockholders’ Deficit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F-23</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Cash Flows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F-24</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Notes to the Consolidated Financial Statements</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F-25</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5" w:name="PGBRK72"/>
      <w:bookmarkStart w:id="896" w:name="PGBRK72"/>
      <w:bookmarkEnd w:id="8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7" w:name="FTR72"/>
      <w:bookmarkStart w:id="898" w:name="FTR72"/>
      <w:bookmarkEnd w:id="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9" w:name="GLFTR71"/>
      <w:bookmarkEnd w:id="8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00" w:name="PN71"/>
      <w:bookmarkEnd w:id="900"/>
      <w:r>
        <w:rPr>
          <w:rFonts w:ascii="helvetica" w:hAnsi="helvetica"/>
          <w:sz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1" w:name="HDR71"/>
      <w:bookmarkStart w:id="902" w:name="HDR71"/>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3" w:name="GLHDR71"/>
      <w:bookmarkEnd w:id="9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CONDENSED CONSOLIDATED BALANCE SHEETS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411"/>
        <w:gridCol w:w="103"/>
        <w:gridCol w:w="139"/>
        <w:gridCol w:w="1212"/>
        <w:gridCol w:w="148"/>
        <w:gridCol w:w="103"/>
        <w:gridCol w:w="139"/>
        <w:gridCol w:w="1212"/>
        <w:gridCol w:w="148"/>
        <w:gridCol w:w="103"/>
        <w:gridCol w:w="111"/>
        <w:gridCol w:w="1212"/>
        <w:gridCol w:w="164"/>
      </w:tblGrid>
      <w:tr>
        <w:trPr/>
        <w:tc>
          <w:tcPr>
            <w:tcW w:w="5411"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0"/>
              <w:ind w:left="0" w:right="0" w:hanging="0"/>
              <w:jc w:val="center"/>
              <w:rPr/>
            </w:pPr>
            <w:r>
              <w:rPr>
                <w:rFonts w:ascii="helvetica" w:hAnsi="helvetica"/>
                <w:b/>
                <w:sz w:val="16"/>
              </w:rPr>
              <w:t>December 31,</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23" w:type="dxa"/>
            <w:gridSpan w:val="2"/>
            <w:tcBorders/>
            <w:shd w:fill="auto" w:val="clear"/>
            <w:vAlign w:val="bottom"/>
          </w:tcPr>
          <w:p>
            <w:pPr>
              <w:pStyle w:val="TableContents"/>
              <w:spacing w:before="0" w:after="0"/>
              <w:ind w:left="0" w:right="0" w:hanging="0"/>
              <w:jc w:val="center"/>
              <w:rPr/>
            </w:pPr>
            <w:r>
              <w:rPr>
                <w:rFonts w:ascii="helvetica" w:hAnsi="helvetica"/>
                <w:b/>
                <w:sz w:val="16"/>
              </w:rPr>
              <w:t>Pro Forma Stockholders’ Equity as of June 30,</w:t>
            </w:r>
            <w:r>
              <w:rPr/>
              <w:t xml:space="preserve"> </w:t>
            </w:r>
          </w:p>
        </w:tc>
        <w:tc>
          <w:tcPr>
            <w:tcW w:w="164" w:type="dxa"/>
            <w:tcBorders/>
            <w:shd w:fill="auto" w:val="clear"/>
            <w:vAlign w:val="bottom"/>
          </w:tcPr>
          <w:p>
            <w:pPr>
              <w:pStyle w:val="TableContents"/>
              <w:spacing w:before="0" w:after="283"/>
              <w:jc w:val="left"/>
              <w:rPr/>
            </w:pPr>
            <w:r>
              <w:rPr/>
              <w:t xml:space="preserve">  </w:t>
            </w:r>
          </w:p>
        </w:tc>
      </w:tr>
      <w:tr>
        <w:trPr/>
        <w:tc>
          <w:tcPr>
            <w:tcW w:w="5411"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23" w:type="dxa"/>
            <w:gridSpan w:val="2"/>
            <w:tcBorders/>
            <w:shd w:fill="auto" w:val="cle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64" w:type="dxa"/>
            <w:tcBorders/>
            <w:shd w:fill="auto" w:val="clear"/>
            <w:vAlign w:val="bottom"/>
          </w:tcPr>
          <w:p>
            <w:pPr>
              <w:pStyle w:val="TableContents"/>
              <w:spacing w:before="0" w:after="283"/>
              <w:jc w:val="left"/>
              <w:rPr/>
            </w:pPr>
            <w:r>
              <w:rPr/>
              <w:t xml:space="preserve">  </w:t>
            </w:r>
          </w:p>
        </w:tc>
      </w:tr>
      <w:tr>
        <w:trPr/>
        <w:tc>
          <w:tcPr>
            <w:tcW w:w="5411"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(unaudited)</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bottom w:val="single" w:sz="12" w:space="0" w:color="000000"/>
            </w:tcBorders>
            <w:shd w:fill="auto" w:val="clear"/>
            <w:tcMar>
              <w:bottom w:w="28" w:type="dxa"/>
            </w:tcM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(unaudited)</w:t>
            </w:r>
            <w:r>
              <w:rPr/>
              <w:t xml:space="preserve"> </w:t>
            </w:r>
          </w:p>
        </w:tc>
        <w:tc>
          <w:tcPr>
            <w:tcW w:w="164" w:type="dxa"/>
            <w:tcBorders/>
            <w:shd w:fill="auto" w:val="clear"/>
            <w:vAlign w:val="bottom"/>
          </w:tcPr>
          <w:p>
            <w:pPr>
              <w:pStyle w:val="TableContents"/>
              <w:spacing w:before="0" w:after="283"/>
              <w:jc w:val="left"/>
              <w:rPr/>
            </w:pPr>
            <w:r>
              <w:rPr/>
              <w:t xml:space="preserve">  </w:t>
            </w:r>
          </w:p>
        </w:tc>
      </w:tr>
      <w:tr>
        <w:trPr/>
        <w:tc>
          <w:tcPr>
            <w:tcW w:w="5411" w:type="dxa"/>
            <w:tcBorders/>
            <w:shd w:fill="auto" w:val="clear"/>
            <w:vAlign w:val="bottom"/>
          </w:tcPr>
          <w:p>
            <w:pPr>
              <w:pStyle w:val="TableContents"/>
              <w:spacing w:before="0" w:after="0"/>
              <w:ind w:left="0" w:right="0" w:hanging="0"/>
              <w:jc w:val="center"/>
              <w:rPr/>
            </w:pPr>
            <w:r>
              <w:rPr>
                <w:rFonts w:ascii="helvetica" w:hAnsi="helvetica"/>
                <w:sz w:val="20"/>
              </w:rPr>
              <w:t>ASSETS</w:t>
            </w: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23" w:type="dxa"/>
            <w:gridSpan w:val="2"/>
            <w:tcBorders/>
            <w:shd w:fill="auto" w:val="clear"/>
            <w:vAlign w:val="bottom"/>
          </w:tcPr>
          <w:p>
            <w:pPr>
              <w:pStyle w:val="TableContents"/>
              <w:spacing w:before="0" w:after="283"/>
              <w:rPr/>
            </w:pPr>
            <w:r>
              <w:rPr/>
              <w:t xml:space="preserve">  </w:t>
            </w:r>
          </w:p>
        </w:tc>
        <w:tc>
          <w:tcPr>
            <w:tcW w:w="164" w:type="dxa"/>
            <w:tcBorders/>
            <w:shd w:fill="auto" w:val="clear"/>
            <w:vAlign w:val="bottom"/>
          </w:tcPr>
          <w:p>
            <w:pPr>
              <w:pStyle w:val="TableContents"/>
              <w:spacing w:before="0" w:after="283"/>
              <w:jc w:val="left"/>
              <w:rPr/>
            </w:pPr>
            <w:r>
              <w:rPr/>
              <w:t xml:space="preserve">  </w:t>
            </w:r>
          </w:p>
        </w:tc>
      </w:tr>
      <w:tr>
        <w:trPr/>
        <w:tc>
          <w:tcPr>
            <w:tcW w:w="5411" w:type="dxa"/>
            <w:tcBorders/>
            <w:shd w:fill="auto" w:val="clear"/>
            <w:vAlign w:val="bottom"/>
          </w:tcPr>
          <w:p>
            <w:pPr>
              <w:pStyle w:val="TableContents"/>
              <w:spacing w:before="0" w:after="0"/>
              <w:ind w:left="0" w:right="0" w:hanging="0"/>
              <w:jc w:val="left"/>
              <w:rPr/>
            </w:pPr>
            <w:r>
              <w:rPr>
                <w:rFonts w:ascii="helvetica" w:hAnsi="helvetica"/>
                <w:sz w:val="20"/>
              </w:rPr>
              <w:t>Current assets</w:t>
            </w: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51"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xml:space="preserve">  </w:t>
            </w:r>
          </w:p>
        </w:tc>
        <w:tc>
          <w:tcPr>
            <w:tcW w:w="1323" w:type="dxa"/>
            <w:gridSpan w:val="2"/>
            <w:tcBorders/>
            <w:shd w:fill="auto" w:val="clear"/>
            <w:vAlign w:val="bottom"/>
          </w:tcPr>
          <w:p>
            <w:pPr>
              <w:pStyle w:val="TableContents"/>
              <w:spacing w:before="0" w:after="283"/>
              <w:rPr/>
            </w:pPr>
            <w:r>
              <w:rPr/>
              <w:t xml:space="preserve">  </w:t>
            </w:r>
          </w:p>
        </w:tc>
        <w:tc>
          <w:tcPr>
            <w:tcW w:w="164" w:type="dxa"/>
            <w:tcBorders/>
            <w:shd w:fill="auto"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Cash and cash equivalents</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7,717,292</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146,160</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Prepaid expenses and other current assets</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45,945</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14,797</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Deferred offering costs</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12"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117,732</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12"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Total current assets</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7,880,969</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160,957</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Furniture and equipment, net</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14,061</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TOTAL ASSETS</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212"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7,895,030</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212"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160,957</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bottom w:val="double" w:sz="8" w:space="0" w:color="000000"/>
            </w:tcBorders>
            <w:shd w:fill="FFFFFF" w:val="clear"/>
            <w:tcMar>
              <w:bottom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center"/>
              <w:rPr/>
            </w:pPr>
            <w:r>
              <w:rPr>
                <w:rFonts w:ascii="helvetica" w:hAnsi="helvetica"/>
                <w:sz w:val="20"/>
              </w:rPr>
              <w:t>LIABILITIES AND STOCKHOLDERS' EQUITY (DEFICIT)</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Current liabilities</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Accounts payable and accrued expenses</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423,500</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218,612</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Accounts payable - related party</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56,087</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Accrued Phase 3 expenses</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55,784</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55,784</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Accrued payroll</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11,915</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Deferred revenue</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100,000</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Notes payable and accrued interest - related party</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300,000</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Convertible note payable and accrued interest</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12"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12"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1,130,479</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bottom w:val="single" w:sz="12" w:space="0" w:color="000000"/>
            </w:tcBorders>
            <w:shd w:fill="CCEEFF" w:val="clear"/>
            <w:tcMar>
              <w:bottom w:w="28" w:type="dxa"/>
            </w:tcM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Total current liabilities</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491,199</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1,860,962</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Commitments and contingencies</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STOCKHOLDERS' EQUITY (DEFICIT)</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Series A Convertible preferred stock, $0.001 par value, 10 shares authorized,</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23" w:type="dxa"/>
            <w:gridSpan w:val="2"/>
            <w:tcBorders/>
            <w:shd w:fill="CCEEFF" w:val="clear"/>
            <w:vAlign w:val="bottom"/>
          </w:tcPr>
          <w:p>
            <w:pPr>
              <w:pStyle w:val="TableContents"/>
              <w:spacing w:before="0" w:after="283"/>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none and 10 shares issued and outstanding</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23" w:type="dxa"/>
            <w:gridSpan w:val="2"/>
            <w:tcBorders/>
            <w:shd w:fill="FFFFFF" w:val="cle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at June 30, 2012 and December 31, 2011, respectively</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Common stock, $0.001 par value, 395,000,000 shares authorized,</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29,696,213 and 1,987,601 shares issued and outstanding</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at June 30, 2012 and December 31, 2011, respectively</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29,696</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1,988</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jc w:val="left"/>
              <w:rPr/>
            </w:pPr>
            <w:r>
              <w:rPr/>
              <w:t xml:space="preserve">  </w:t>
            </w:r>
          </w:p>
        </w:tc>
        <w:tc>
          <w:tcPr>
            <w:tcW w:w="1212" w:type="dxa"/>
            <w:tcBorders/>
            <w:shd w:fill="FFFFFF" w:val="clear"/>
            <w:vAlign w:val="bottom"/>
          </w:tcPr>
          <w:p>
            <w:pPr>
              <w:pStyle w:val="TableContents"/>
              <w:spacing w:before="0" w:after="283"/>
              <w:jc w:val="right"/>
              <w:rPr/>
            </w:pPr>
            <w:r>
              <w:rPr>
                <w:rFonts w:ascii="helvetica" w:hAnsi="helvetica"/>
                <w:sz w:val="20"/>
              </w:rPr>
              <w:t>5,939</w:t>
            </w:r>
            <w:r>
              <w:rPr/>
              <w:t xml:space="preserve"> </w:t>
            </w:r>
          </w:p>
        </w:tc>
        <w:tc>
          <w:tcPr>
            <w:tcW w:w="164" w:type="dxa"/>
            <w:tcBorders/>
            <w:shd w:fill="FFFFFF" w:val="clear"/>
            <w:vAlign w:val="bottom"/>
          </w:tcPr>
          <w:p>
            <w:pPr>
              <w:pStyle w:val="TableContents"/>
              <w:spacing w:before="0" w:after="283"/>
              <w:jc w:val="left"/>
              <w:rPr/>
            </w:pP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Additional paid-in capital</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28,779,549</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16,818,740</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28,803,306</w:t>
            </w: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Deficit accumulated during the development stage</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1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(21,405,414</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1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(18,520,733</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3" w:type="dxa"/>
            <w:tcBorders/>
            <w:shd w:fill="FFFFFF" w:val="clear"/>
            <w:vAlign w:val="bottom"/>
          </w:tcPr>
          <w:p>
            <w:pPr>
              <w:pStyle w:val="TableContents"/>
              <w:spacing w:before="0" w:after="283"/>
              <w:rPr/>
            </w:pPr>
            <w:r>
              <w:rPr/>
              <w:t xml:space="preserve">  </w:t>
            </w:r>
          </w:p>
        </w:tc>
        <w:tc>
          <w:tcPr>
            <w:tcW w:w="11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1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(21,405,414</w:t>
            </w:r>
            <w:r>
              <w:rPr/>
              <w:t xml:space="preserve"> </w:t>
            </w:r>
          </w:p>
        </w:tc>
        <w:tc>
          <w:tcPr>
            <w:tcW w:w="164"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5411" w:type="dxa"/>
            <w:tcBorders/>
            <w:shd w:fill="CCEEFF" w:val="clear"/>
            <w:vAlign w:val="bottom"/>
          </w:tcPr>
          <w:p>
            <w:pPr>
              <w:pStyle w:val="TableContents"/>
              <w:spacing w:before="0" w:after="0"/>
              <w:ind w:left="0" w:right="0" w:hanging="0"/>
              <w:jc w:val="left"/>
              <w:rPr/>
            </w:pPr>
            <w:r>
              <w:rPr>
                <w:rFonts w:ascii="helvetica" w:hAnsi="helvetica"/>
                <w:sz w:val="20"/>
              </w:rPr>
              <w:t>TOTAL STOCKHOLDERS' EQUITY (DEFICIT)</w:t>
            </w: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7,403,831</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3" w:type="dxa"/>
            <w:tcBorders/>
            <w:shd w:fill="CCEEFF" w:val="clear"/>
            <w:vAlign w:val="bottom"/>
          </w:tcPr>
          <w:p>
            <w:pPr>
              <w:pStyle w:val="TableContents"/>
              <w:spacing w:before="0" w:after="283"/>
              <w:rPr/>
            </w:pPr>
            <w:r>
              <w:rPr/>
              <w:t xml:space="preserve">  </w:t>
            </w:r>
          </w:p>
        </w:tc>
        <w:tc>
          <w:tcPr>
            <w:tcW w:w="139"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(1,700,005</w:t>
            </w:r>
            <w:r>
              <w:rPr/>
              <w:t xml:space="preserve"> </w:t>
            </w:r>
          </w:p>
        </w:tc>
        <w:tc>
          <w:tcPr>
            <w:tcW w:w="148"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3"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jc w:val="left"/>
              <w:rPr/>
            </w:pPr>
            <w:r>
              <w:rPr/>
              <w:t xml:space="preserve">  </w:t>
            </w:r>
          </w:p>
        </w:tc>
        <w:tc>
          <w:tcPr>
            <w:tcW w:w="1212" w:type="dxa"/>
            <w:tcBorders/>
            <w:shd w:fill="CCEEFF" w:val="clear"/>
            <w:vAlign w:val="bottom"/>
          </w:tcPr>
          <w:p>
            <w:pPr>
              <w:pStyle w:val="TableContents"/>
              <w:spacing w:before="0" w:after="283"/>
              <w:jc w:val="right"/>
              <w:rPr/>
            </w:pPr>
            <w:r>
              <w:rPr>
                <w:rFonts w:ascii="helvetica" w:hAnsi="helvetica"/>
                <w:sz w:val="20"/>
              </w:rPr>
              <w:t>7,403,831</w:t>
            </w:r>
            <w:r>
              <w:rPr/>
              <w:t xml:space="preserve"> </w:t>
            </w:r>
          </w:p>
        </w:tc>
        <w:tc>
          <w:tcPr>
            <w:tcW w:w="164" w:type="dxa"/>
            <w:tcBorders/>
            <w:shd w:fill="CCEEFF" w:val="clear"/>
            <w:vAlign w:val="bottom"/>
          </w:tcPr>
          <w:p>
            <w:pPr>
              <w:pStyle w:val="TableContents"/>
              <w:spacing w:before="0" w:after="283"/>
              <w:jc w:val="left"/>
              <w:rPr/>
            </w:pPr>
            <w:r>
              <w:rPr/>
              <w:t xml:space="preserve">  </w:t>
            </w:r>
          </w:p>
        </w:tc>
      </w:tr>
      <w:tr>
        <w:trPr/>
        <w:tc>
          <w:tcPr>
            <w:tcW w:w="5411" w:type="dxa"/>
            <w:tcBorders/>
            <w:shd w:fill="FFFFFF" w:val="clear"/>
            <w:vAlign w:val="bottom"/>
          </w:tcPr>
          <w:p>
            <w:pPr>
              <w:pStyle w:val="TableContents"/>
              <w:spacing w:before="0" w:after="0"/>
              <w:ind w:left="0" w:right="0" w:hanging="0"/>
              <w:jc w:val="left"/>
              <w:rPr/>
            </w:pPr>
            <w:r>
              <w:rPr>
                <w:rFonts w:ascii="helvetica" w:hAnsi="helvetica"/>
                <w:sz w:val="20"/>
              </w:rPr>
              <w:t>TOTAL LIABILITIES AND STOCKHOLDERS' EQUITY (DEFICIT)</w:t>
            </w: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212"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7,895,030</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212"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160,957</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3" w:type="dxa"/>
            <w:tcBorders/>
            <w:shd w:fill="FFFFFF" w:val="clear"/>
            <w:vAlign w:val="bottom"/>
          </w:tcPr>
          <w:p>
            <w:pPr>
              <w:pStyle w:val="TableContents"/>
              <w:spacing w:before="0" w:after="283"/>
              <w:rPr/>
            </w:pPr>
            <w:r>
              <w:rPr/>
              <w:t xml:space="preserve">  </w:t>
            </w:r>
          </w:p>
        </w:tc>
        <w:tc>
          <w:tcPr>
            <w:tcW w:w="111"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1212" w:type="dxa"/>
            <w:tcBorders>
              <w:bottom w:val="double" w:sz="8" w:space="0" w:color="000000"/>
            </w:tcBorders>
            <w:shd w:fill="FFFFFF" w:val="clear"/>
            <w:tcMar>
              <w:bottom w:w="28" w:type="dxa"/>
            </w:tcM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4" w:name="PGBRK73"/>
      <w:bookmarkStart w:id="905" w:name="PGBRK73"/>
      <w:bookmarkEnd w:id="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6" w:name="FTR73"/>
      <w:bookmarkStart w:id="907" w:name="FTR73"/>
      <w:bookmarkEnd w:id="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8" w:name="GLFTR72"/>
      <w:bookmarkEnd w:id="9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09" w:name="PN72"/>
      <w:bookmarkEnd w:id="909"/>
      <w:r>
        <w:rPr>
          <w:rFonts w:ascii="Helvetica" w:hAnsi="Helvetica"/>
          <w:sz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0" w:name="HDR72"/>
      <w:bookmarkStart w:id="911" w:name="HDR72"/>
      <w:bookmarkEnd w:id="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2" w:name="GLHDR72"/>
      <w:bookmarkEnd w:id="9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OPERATIONS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870"/>
        <w:gridCol w:w="89"/>
        <w:gridCol w:w="135"/>
        <w:gridCol w:w="1114"/>
        <w:gridCol w:w="145"/>
        <w:gridCol w:w="89"/>
        <w:gridCol w:w="135"/>
        <w:gridCol w:w="1042"/>
        <w:gridCol w:w="145"/>
        <w:gridCol w:w="89"/>
        <w:gridCol w:w="134"/>
        <w:gridCol w:w="1114"/>
        <w:gridCol w:w="145"/>
        <w:gridCol w:w="89"/>
        <w:gridCol w:w="135"/>
        <w:gridCol w:w="1042"/>
        <w:gridCol w:w="145"/>
        <w:gridCol w:w="89"/>
        <w:gridCol w:w="135"/>
        <w:gridCol w:w="1156"/>
        <w:gridCol w:w="168"/>
      </w:tblGrid>
      <w:tr>
        <w:trPr/>
        <w:tc>
          <w:tcPr>
            <w:tcW w:w="2870"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xml:space="preserve">  </w:t>
            </w:r>
          </w:p>
        </w:tc>
        <w:tc>
          <w:tcPr>
            <w:tcW w:w="1249" w:type="dxa"/>
            <w:gridSpan w:val="2"/>
            <w:tcBorders/>
            <w:shd w:fill="auto" w:val="clear"/>
            <w:vAlign w:val="bottom"/>
          </w:tcPr>
          <w:p>
            <w:pPr>
              <w:pStyle w:val="TableContents"/>
              <w:spacing w:before="0" w:after="0"/>
              <w:ind w:left="0" w:right="0" w:hanging="0"/>
              <w:jc w:val="center"/>
              <w:rPr/>
            </w:pPr>
            <w:r>
              <w:rPr>
                <w:rFonts w:ascii="helvetica" w:hAnsi="helvetica"/>
                <w:b/>
                <w:sz w:val="16"/>
              </w:rPr>
              <w:t>For The</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0"/>
              <w:ind w:left="0" w:right="0" w:hanging="0"/>
              <w:jc w:val="center"/>
              <w:rPr/>
            </w:pPr>
            <w:r>
              <w:rPr>
                <w:rFonts w:ascii="helvetica" w:hAnsi="helvetica"/>
                <w:b/>
                <w:sz w:val="16"/>
              </w:rPr>
              <w:t>For The</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48" w:type="dxa"/>
            <w:gridSpan w:val="2"/>
            <w:tcBorders/>
            <w:shd w:fill="auto" w:val="clear"/>
            <w:vAlign w:val="bottom"/>
          </w:tcPr>
          <w:p>
            <w:pPr>
              <w:pStyle w:val="TableContents"/>
              <w:spacing w:before="0" w:after="0"/>
              <w:ind w:left="0" w:right="0" w:hanging="0"/>
              <w:jc w:val="center"/>
              <w:rPr/>
            </w:pPr>
            <w:r>
              <w:rPr>
                <w:rFonts w:ascii="helvetica" w:hAnsi="helvetica"/>
                <w:b/>
                <w:sz w:val="16"/>
              </w:rPr>
              <w:t>For The</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0"/>
              <w:ind w:left="0" w:right="0" w:hanging="0"/>
              <w:jc w:val="center"/>
              <w:rPr/>
            </w:pPr>
            <w:r>
              <w:rPr>
                <w:rFonts w:ascii="helvetica" w:hAnsi="helvetica"/>
                <w:b/>
                <w:sz w:val="16"/>
              </w:rPr>
              <w:t>For The</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91" w:type="dxa"/>
            <w:gridSpan w:val="2"/>
            <w:tcBorders/>
            <w:shd w:fill="auto" w:val="clear"/>
            <w:vAlign w:val="bottom"/>
          </w:tcPr>
          <w:p>
            <w:pPr>
              <w:pStyle w:val="TableContents"/>
              <w:spacing w:before="0" w:after="0"/>
              <w:ind w:left="0" w:right="0" w:hanging="0"/>
              <w:jc w:val="center"/>
              <w:rPr/>
            </w:pPr>
            <w:r>
              <w:rPr>
                <w:rFonts w:ascii="helvetica" w:hAnsi="helvetica"/>
                <w:b/>
                <w:sz w:val="16"/>
              </w:rPr>
              <w:t>For the Period From</w:t>
            </w:r>
            <w:r>
              <w:rPr/>
              <w:t xml:space="preserve"> </w:t>
            </w:r>
          </w:p>
        </w:tc>
        <w:tc>
          <w:tcPr>
            <w:tcW w:w="168" w:type="dxa"/>
            <w:tcBorders/>
            <w:shd w:fill="auto" w:val="clear"/>
            <w:vAlign w:val="bottom"/>
          </w:tcPr>
          <w:p>
            <w:pPr>
              <w:pStyle w:val="TableContents"/>
              <w:spacing w:before="0" w:after="283"/>
              <w:jc w:val="left"/>
              <w:rPr/>
            </w:pPr>
            <w:r>
              <w:rPr/>
              <w:t xml:space="preserve">  </w:t>
            </w:r>
          </w:p>
        </w:tc>
      </w:tr>
      <w:tr>
        <w:trPr/>
        <w:tc>
          <w:tcPr>
            <w:tcW w:w="2870"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xml:space="preserve">  </w:t>
            </w:r>
          </w:p>
        </w:tc>
        <w:tc>
          <w:tcPr>
            <w:tcW w:w="1249" w:type="dxa"/>
            <w:gridSpan w:val="2"/>
            <w:tcBorders/>
            <w:shd w:fill="auto" w:val="clear"/>
            <w:vAlign w:val="bottom"/>
          </w:tcPr>
          <w:p>
            <w:pPr>
              <w:pStyle w:val="TableContents"/>
              <w:spacing w:before="0" w:after="0"/>
              <w:ind w:left="0" w:right="0" w:hanging="0"/>
              <w:jc w:val="center"/>
              <w:rPr/>
            </w:pPr>
            <w:r>
              <w:rPr>
                <w:rFonts w:ascii="helvetica" w:hAnsi="helvetica"/>
                <w:b/>
                <w:sz w:val="16"/>
              </w:rPr>
              <w:t>Three Months Ended</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0"/>
              <w:ind w:left="0" w:right="0" w:hanging="0"/>
              <w:jc w:val="center"/>
              <w:rPr/>
            </w:pPr>
            <w:r>
              <w:rPr>
                <w:rFonts w:ascii="helvetica" w:hAnsi="helvetica"/>
                <w:b/>
                <w:sz w:val="16"/>
              </w:rPr>
              <w:t>Three Months Ended</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48" w:type="dxa"/>
            <w:gridSpan w:val="2"/>
            <w:tcBorders/>
            <w:shd w:fill="auto" w:val="clear"/>
            <w:vAlign w:val="bottom"/>
          </w:tcPr>
          <w:p>
            <w:pPr>
              <w:pStyle w:val="TableContents"/>
              <w:spacing w:before="0" w:after="0"/>
              <w:ind w:left="0" w:right="0" w:hanging="0"/>
              <w:jc w:val="center"/>
              <w:rPr/>
            </w:pPr>
            <w:r>
              <w:rPr>
                <w:rFonts w:ascii="helvetica" w:hAnsi="helvetica"/>
                <w:b/>
                <w:sz w:val="16"/>
              </w:rPr>
              <w:t>Six Months Ended</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0"/>
              <w:ind w:left="0" w:right="0" w:hanging="0"/>
              <w:jc w:val="center"/>
              <w:rPr/>
            </w:pPr>
            <w:r>
              <w:rPr>
                <w:rFonts w:ascii="helvetica" w:hAnsi="helvetica"/>
                <w:b/>
                <w:sz w:val="16"/>
              </w:rPr>
              <w:t>Six Months Ended</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91" w:type="dxa"/>
            <w:gridSpan w:val="2"/>
            <w:tcBorders/>
            <w:shd w:fill="auto" w:val="clear"/>
            <w:vAlign w:val="bottom"/>
          </w:tcPr>
          <w:p>
            <w:pPr>
              <w:pStyle w:val="TableContents"/>
              <w:spacing w:before="0" w:after="0"/>
              <w:ind w:left="0" w:right="0" w:hanging="0"/>
              <w:jc w:val="center"/>
              <w:rPr/>
            </w:pPr>
            <w:r>
              <w:rPr>
                <w:rFonts w:ascii="helvetica" w:hAnsi="helvetica"/>
                <w:b/>
                <w:sz w:val="16"/>
              </w:rPr>
              <w:t>July 24, 1998 (Inception)</w:t>
            </w:r>
            <w:r>
              <w:rPr/>
              <w:t xml:space="preserve"> </w:t>
            </w:r>
          </w:p>
        </w:tc>
        <w:tc>
          <w:tcPr>
            <w:tcW w:w="168" w:type="dxa"/>
            <w:tcBorders/>
            <w:shd w:fill="auto" w:val="clear"/>
            <w:vAlign w:val="bottom"/>
          </w:tcPr>
          <w:p>
            <w:pPr>
              <w:pStyle w:val="TableContents"/>
              <w:spacing w:before="0" w:after="283"/>
              <w:jc w:val="left"/>
              <w:rPr/>
            </w:pPr>
            <w:r>
              <w:rPr/>
              <w:t xml:space="preserve">  </w:t>
            </w:r>
          </w:p>
        </w:tc>
      </w:tr>
      <w:tr>
        <w:trPr/>
        <w:tc>
          <w:tcPr>
            <w:tcW w:w="2870"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xml:space="preserve">  </w:t>
            </w:r>
          </w:p>
        </w:tc>
        <w:tc>
          <w:tcPr>
            <w:tcW w:w="1249"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48"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91" w:type="dxa"/>
            <w:gridSpan w:val="2"/>
            <w:tcBorders/>
            <w:shd w:fill="auto" w:val="clear"/>
            <w:vAlign w:val="bottom"/>
          </w:tcPr>
          <w:p>
            <w:pPr>
              <w:pStyle w:val="TableContents"/>
              <w:spacing w:before="0" w:after="0"/>
              <w:ind w:left="0" w:right="0" w:hanging="0"/>
              <w:jc w:val="center"/>
              <w:rPr/>
            </w:pPr>
            <w:r>
              <w:rPr>
                <w:rFonts w:ascii="helvetica" w:hAnsi="helvetica"/>
                <w:b/>
                <w:sz w:val="16"/>
              </w:rPr>
              <w:t>through June 30,</w:t>
            </w:r>
            <w:r>
              <w:rPr/>
              <w:t xml:space="preserve"> </w:t>
            </w:r>
          </w:p>
        </w:tc>
        <w:tc>
          <w:tcPr>
            <w:tcW w:w="168" w:type="dxa"/>
            <w:tcBorders/>
            <w:shd w:fill="auto" w:val="clear"/>
            <w:vAlign w:val="bottom"/>
          </w:tcPr>
          <w:p>
            <w:pPr>
              <w:pStyle w:val="TableContents"/>
              <w:spacing w:before="0" w:after="283"/>
              <w:jc w:val="left"/>
              <w:rPr/>
            </w:pPr>
            <w:r>
              <w:rPr/>
              <w:t xml:space="preserve">  </w:t>
            </w:r>
          </w:p>
        </w:tc>
      </w:tr>
      <w:tr>
        <w:trPr/>
        <w:tc>
          <w:tcPr>
            <w:tcW w:w="2870"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xml:space="preserve">  </w:t>
            </w:r>
          </w:p>
        </w:tc>
        <w:tc>
          <w:tcPr>
            <w:tcW w:w="12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68" w:type="dxa"/>
            <w:tcBorders/>
            <w:shd w:fill="auto" w:val="clear"/>
            <w:vAlign w:val="bottom"/>
          </w:tcPr>
          <w:p>
            <w:pPr>
              <w:pStyle w:val="TableContents"/>
              <w:spacing w:before="0" w:after="283"/>
              <w:jc w:val="left"/>
              <w:rPr/>
            </w:pPr>
            <w:r>
              <w:rPr/>
              <w:t xml:space="preserve">  </w:t>
            </w:r>
          </w:p>
        </w:tc>
      </w:tr>
      <w:tr>
        <w:trPr/>
        <w:tc>
          <w:tcPr>
            <w:tcW w:w="2870" w:type="dxa"/>
            <w:tcBorders/>
            <w:shd w:fill="auto" w:val="clear"/>
            <w:vAlign w:val="bottom"/>
          </w:tcPr>
          <w:p>
            <w:pPr>
              <w:pStyle w:val="TableContents"/>
              <w:spacing w:before="0" w:after="0"/>
              <w:ind w:left="0" w:right="0" w:hanging="0"/>
              <w:jc w:val="left"/>
              <w:rPr/>
            </w:pPr>
            <w:r>
              <w:rPr>
                <w:rFonts w:ascii="helvetica" w:hAnsi="helvetica"/>
                <w:sz w:val="20"/>
              </w:rPr>
              <w:t>Revenues:</w:t>
            </w:r>
            <w:r>
              <w:rPr/>
              <w:t xml:space="preserve"> </w:t>
            </w:r>
          </w:p>
        </w:tc>
        <w:tc>
          <w:tcPr>
            <w:tcW w:w="89" w:type="dxa"/>
            <w:tcBorders/>
            <w:shd w:fill="auto" w:val="clear"/>
            <w:vAlign w:val="bottom"/>
          </w:tcPr>
          <w:p>
            <w:pPr>
              <w:pStyle w:val="TableContents"/>
              <w:spacing w:before="0" w:after="283"/>
              <w:rPr/>
            </w:pPr>
            <w:r>
              <w:rPr/>
              <w:t xml:space="preserve">  </w:t>
            </w:r>
          </w:p>
        </w:tc>
        <w:tc>
          <w:tcPr>
            <w:tcW w:w="1249" w:type="dxa"/>
            <w:gridSpan w:val="2"/>
            <w:tcBorders/>
            <w:shd w:fill="auto" w:val="clear"/>
            <w:vAlign w:val="bottom"/>
          </w:tcPr>
          <w:p>
            <w:pPr>
              <w:pStyle w:val="TableContents"/>
              <w:spacing w:before="0" w:after="283"/>
              <w:rPr/>
            </w:pP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283"/>
              <w:rPr/>
            </w:pP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48" w:type="dxa"/>
            <w:gridSpan w:val="2"/>
            <w:tcBorders/>
            <w:shd w:fill="auto" w:val="clear"/>
            <w:vAlign w:val="bottom"/>
          </w:tcPr>
          <w:p>
            <w:pPr>
              <w:pStyle w:val="TableContents"/>
              <w:spacing w:before="0" w:after="283"/>
              <w:rPr/>
            </w:pP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177" w:type="dxa"/>
            <w:gridSpan w:val="2"/>
            <w:tcBorders/>
            <w:shd w:fill="auto" w:val="clear"/>
            <w:vAlign w:val="bottom"/>
          </w:tcPr>
          <w:p>
            <w:pPr>
              <w:pStyle w:val="TableContents"/>
              <w:spacing w:before="0" w:after="283"/>
              <w:rPr/>
            </w:pPr>
            <w:r>
              <w:rPr/>
              <w:t xml:space="preserve">  </w:t>
            </w:r>
          </w:p>
        </w:tc>
        <w:tc>
          <w:tcPr>
            <w:tcW w:w="145" w:type="dxa"/>
            <w:tcBorders/>
            <w:shd w:fill="auto" w:val="clear"/>
            <w:vAlign w:val="bottom"/>
          </w:tcPr>
          <w:p>
            <w:pPr>
              <w:pStyle w:val="TableContents"/>
              <w:spacing w:before="0" w:after="283"/>
              <w:jc w:val="left"/>
              <w:rPr/>
            </w:pPr>
            <w:r>
              <w:rPr/>
              <w:t xml:space="preserve">  </w:t>
            </w:r>
          </w:p>
        </w:tc>
        <w:tc>
          <w:tcPr>
            <w:tcW w:w="89" w:type="dxa"/>
            <w:tcBorders/>
            <w:shd w:fill="auto" w:val="clear"/>
            <w:vAlign w:val="bottom"/>
          </w:tcPr>
          <w:p>
            <w:pPr>
              <w:pStyle w:val="TableContents"/>
              <w:spacing w:before="0" w:after="283"/>
              <w:rPr/>
            </w:pPr>
            <w:r>
              <w:rPr/>
              <w:t xml:space="preserve">  </w:t>
            </w:r>
          </w:p>
        </w:tc>
        <w:tc>
          <w:tcPr>
            <w:tcW w:w="1291" w:type="dxa"/>
            <w:gridSpan w:val="2"/>
            <w:tcBorders/>
            <w:shd w:fill="auto" w:val="clear"/>
            <w:vAlign w:val="bottom"/>
          </w:tcPr>
          <w:p>
            <w:pPr>
              <w:pStyle w:val="TableContents"/>
              <w:spacing w:before="0" w:after="283"/>
              <w:rPr/>
            </w:pPr>
            <w:r>
              <w:rPr/>
              <w:t xml:space="preserve">  </w:t>
            </w:r>
          </w:p>
        </w:tc>
        <w:tc>
          <w:tcPr>
            <w:tcW w:w="168" w:type="dxa"/>
            <w:tcBorders/>
            <w:shd w:fill="auto" w:val="clear"/>
            <w:vAlign w:val="bottom"/>
          </w:tcPr>
          <w:p>
            <w:pPr>
              <w:pStyle w:val="TableContents"/>
              <w:spacing w:before="0" w:after="283"/>
              <w:jc w:val="left"/>
              <w:rPr/>
            </w:pP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License revenues</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100,000</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56" w:type="dxa"/>
            <w:tcBorders/>
            <w:shd w:fill="CCEEFF" w:val="clear"/>
            <w:vAlign w:val="bottom"/>
          </w:tcPr>
          <w:p>
            <w:pPr>
              <w:pStyle w:val="TableContents"/>
              <w:spacing w:before="0" w:after="283"/>
              <w:jc w:val="right"/>
              <w:rPr/>
            </w:pPr>
            <w:r>
              <w:rPr>
                <w:rFonts w:ascii="helvetica" w:hAnsi="helvetica"/>
                <w:sz w:val="20"/>
              </w:rPr>
              <w:t>100,000</w:t>
            </w:r>
            <w:r>
              <w:rPr/>
              <w:t xml:space="preserve"> </w:t>
            </w:r>
          </w:p>
        </w:tc>
        <w:tc>
          <w:tcPr>
            <w:tcW w:w="168" w:type="dxa"/>
            <w:tcBorders/>
            <w:shd w:fill="CCEEFF" w:val="clear"/>
            <w:vAlign w:val="bottom"/>
          </w:tcPr>
          <w:p>
            <w:pPr>
              <w:pStyle w:val="TableContents"/>
              <w:spacing w:before="0" w:after="283"/>
              <w:jc w:val="left"/>
              <w:rPr/>
            </w:pP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Operating Expenses:</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Selling, general and administrative</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984,667</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121,429</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1,293,623</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448,033</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rFonts w:ascii="helvetica" w:hAnsi="helvetica"/>
                <w:sz w:val="20"/>
              </w:rPr>
              <w:t>10,866,950</w:t>
            </w:r>
            <w:r>
              <w:rPr/>
              <w:t xml:space="preserve"> </w:t>
            </w:r>
          </w:p>
        </w:tc>
        <w:tc>
          <w:tcPr>
            <w:tcW w:w="168" w:type="dxa"/>
            <w:tcBorders/>
            <w:shd w:fill="CCEEFF" w:val="clear"/>
            <w:vAlign w:val="bottom"/>
          </w:tcPr>
          <w:p>
            <w:pPr>
              <w:pStyle w:val="TableContents"/>
              <w:spacing w:before="0" w:after="283"/>
              <w:jc w:val="left"/>
              <w:rPr/>
            </w:pP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Research and development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1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133,611</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4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24,338</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1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276,574</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4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111,554</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56"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8,096,832</w:t>
            </w:r>
            <w:r>
              <w:rPr/>
              <w:t xml:space="preserve"> </w:t>
            </w:r>
          </w:p>
        </w:tc>
        <w:tc>
          <w:tcPr>
            <w:tcW w:w="168" w:type="dxa"/>
            <w:tcBorders/>
            <w:shd w:fill="FFFFFF" w:val="clear"/>
            <w:vAlign w:val="bottom"/>
          </w:tcPr>
          <w:p>
            <w:pPr>
              <w:pStyle w:val="TableContents"/>
              <w:spacing w:before="0" w:after="283"/>
              <w:jc w:val="left"/>
              <w:rPr/>
            </w:pP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Loss from operations</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(1,118,278</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(145,767</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(1,470,197</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(559,587</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rFonts w:ascii="helvetica" w:hAnsi="helvetica"/>
                <w:sz w:val="20"/>
              </w:rPr>
              <w:t>(18,863,782</w:t>
            </w:r>
            <w:r>
              <w:rPr/>
              <w:t xml:space="preserve"> </w:t>
            </w:r>
          </w:p>
        </w:tc>
        <w:tc>
          <w:tcPr>
            <w:tcW w:w="168"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Other income (expense)</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Interest expense</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(3,576</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(18,698</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(24,658</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(37,191</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rFonts w:ascii="helvetica" w:hAnsi="helvetica"/>
                <w:sz w:val="20"/>
              </w:rPr>
              <w:t>(1,730,892</w:t>
            </w:r>
            <w:r>
              <w:rPr/>
              <w:t xml:space="preserve"> </w:t>
            </w:r>
          </w:p>
        </w:tc>
        <w:tc>
          <w:tcPr>
            <w:tcW w:w="168"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Interest income</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5,584</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5,584</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rFonts w:ascii="helvetica" w:hAnsi="helvetica"/>
                <w:sz w:val="20"/>
              </w:rPr>
              <w:t>133,165</w:t>
            </w:r>
            <w:r>
              <w:rPr/>
              <w:t xml:space="preserve"> </w:t>
            </w:r>
          </w:p>
        </w:tc>
        <w:tc>
          <w:tcPr>
            <w:tcW w:w="168" w:type="dxa"/>
            <w:tcBorders/>
            <w:shd w:fill="FFFFFF" w:val="clear"/>
            <w:vAlign w:val="bottom"/>
          </w:tcPr>
          <w:p>
            <w:pPr>
              <w:pStyle w:val="TableContents"/>
              <w:spacing w:before="0" w:after="283"/>
              <w:jc w:val="left"/>
              <w:rPr/>
            </w:pP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Loss on extinguishment of debt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(189,323</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(1,195,410</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rFonts w:ascii="helvetica" w:hAnsi="helvetica"/>
                <w:sz w:val="20"/>
              </w:rPr>
              <w:t>(1,195,410</w:t>
            </w:r>
            <w:r>
              <w:rPr/>
              <w:t xml:space="preserve"> </w:t>
            </w:r>
          </w:p>
        </w:tc>
        <w:tc>
          <w:tcPr>
            <w:tcW w:w="168"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Gain on settlement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rFonts w:ascii="helvetica" w:hAnsi="helvetica"/>
                <w:sz w:val="20"/>
              </w:rPr>
              <w:t>375,000</w:t>
            </w:r>
            <w:r>
              <w:rPr/>
              <w:t xml:space="preserve"> </w:t>
            </w:r>
          </w:p>
        </w:tc>
        <w:tc>
          <w:tcPr>
            <w:tcW w:w="168" w:type="dxa"/>
            <w:tcBorders/>
            <w:shd w:fill="FFFFFF" w:val="clear"/>
            <w:vAlign w:val="bottom"/>
          </w:tcPr>
          <w:p>
            <w:pPr>
              <w:pStyle w:val="TableContents"/>
              <w:spacing w:before="0" w:after="283"/>
              <w:jc w:val="left"/>
              <w:rPr/>
            </w:pP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Gain on forgiveness of liabilities</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rFonts w:ascii="helvetica" w:hAnsi="helvetica"/>
                <w:sz w:val="20"/>
              </w:rPr>
              <w:t>176,505</w:t>
            </w:r>
            <w:r>
              <w:rPr/>
              <w:t xml:space="preserve"> </w:t>
            </w:r>
          </w:p>
        </w:tc>
        <w:tc>
          <w:tcPr>
            <w:tcW w:w="168" w:type="dxa"/>
            <w:tcBorders/>
            <w:shd w:fill="CCEEFF" w:val="clear"/>
            <w:vAlign w:val="bottom"/>
          </w:tcPr>
          <w:p>
            <w:pPr>
              <w:pStyle w:val="TableContents"/>
              <w:spacing w:before="0" w:after="283"/>
              <w:jc w:val="left"/>
              <w:rPr/>
            </w:pP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Total other expense, net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(187,315</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(18,698</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(1,214,484</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(37,191</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rFonts w:ascii="helvetica" w:hAnsi="helvetica"/>
                <w:sz w:val="20"/>
              </w:rPr>
              <w:t>(2,241,632</w:t>
            </w:r>
            <w:r>
              <w:rPr/>
              <w:t xml:space="preserve"> </w:t>
            </w:r>
          </w:p>
        </w:tc>
        <w:tc>
          <w:tcPr>
            <w:tcW w:w="168"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Net loss</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(1,305,593</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(164,465</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rFonts w:ascii="helvetica" w:hAnsi="helvetica"/>
                <w:sz w:val="20"/>
              </w:rPr>
              <w:t>(2,684,681</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rFonts w:ascii="helvetica" w:hAnsi="helvetica"/>
                <w:sz w:val="20"/>
              </w:rPr>
              <w:t>(596,778</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rFonts w:ascii="helvetica" w:hAnsi="helvetica"/>
                <w:sz w:val="20"/>
              </w:rPr>
              <w:t>(21,105,414</w:t>
            </w:r>
            <w:r>
              <w:rPr/>
              <w:t xml:space="preserve"> </w:t>
            </w:r>
          </w:p>
        </w:tc>
        <w:tc>
          <w:tcPr>
            <w:tcW w:w="168"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Deemed dividend to preferred stockholders</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1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(200,000</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4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1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(200,000</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42"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56"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(300,000</w:t>
            </w:r>
            <w:r>
              <w:rPr/>
              <w:t xml:space="preserve"> </w:t>
            </w:r>
          </w:p>
        </w:tc>
        <w:tc>
          <w:tcPr>
            <w:tcW w:w="168"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Net loss attributable to common stockholders</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11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(1,505,593</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42"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(164,465</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11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(2,884,681</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42"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(596,778</w:t>
            </w:r>
            <w:r>
              <w:rPr/>
              <w:t xml:space="preserve"> </w:t>
            </w:r>
          </w:p>
        </w:tc>
        <w:tc>
          <w:tcPr>
            <w:tcW w:w="145"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156"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(21,405,414</w:t>
            </w:r>
            <w:r>
              <w:rPr/>
              <w:t xml:space="preserve"> </w:t>
            </w:r>
          </w:p>
        </w:tc>
        <w:tc>
          <w:tcPr>
            <w:tcW w:w="168"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Net loss per common share, basic and diluted:</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114"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(0.08</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42"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(0.08</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114"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(0.23</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42"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(0.30</w:t>
            </w:r>
            <w:r>
              <w:rPr/>
              <w:t xml:space="preserve"> </w:t>
            </w:r>
          </w:p>
        </w:tc>
        <w:tc>
          <w:tcPr>
            <w:tcW w:w="145"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r>
      <w:tr>
        <w:trPr/>
        <w:tc>
          <w:tcPr>
            <w:tcW w:w="2870" w:type="dxa"/>
            <w:tcBorders/>
            <w:shd w:fill="CCEEFF" w:val="clear"/>
            <w:vAlign w:val="bottom"/>
          </w:tcPr>
          <w:p>
            <w:pPr>
              <w:pStyle w:val="TableContents"/>
              <w:spacing w:before="0" w:after="0"/>
              <w:ind w:left="0" w:right="0" w:hanging="0"/>
              <w:jc w:val="left"/>
              <w:rPr/>
            </w:pPr>
            <w:r>
              <w:rPr>
                <w:rFonts w:ascii="helvetica" w:hAnsi="helvetica"/>
                <w:sz w:val="20"/>
              </w:rPr>
              <w:t>Weighted average common shares outstanding,</w:t>
            </w: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14"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042"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89" w:type="dxa"/>
            <w:tcBorders/>
            <w:shd w:fill="CCEEFF" w:val="clear"/>
            <w:vAlign w:val="bottom"/>
          </w:tcPr>
          <w:p>
            <w:pPr>
              <w:pStyle w:val="TableContents"/>
              <w:spacing w:before="0" w:after="283"/>
              <w:rPr/>
            </w:pPr>
            <w:r>
              <w:rPr/>
              <w:t xml:space="preserve">  </w:t>
            </w:r>
          </w:p>
        </w:tc>
        <w:tc>
          <w:tcPr>
            <w:tcW w:w="135" w:type="dxa"/>
            <w:tcBorders/>
            <w:shd w:fill="CCEEFF" w:val="clear"/>
            <w:vAlign w:val="bottom"/>
          </w:tcPr>
          <w:p>
            <w:pPr>
              <w:pStyle w:val="TableContents"/>
              <w:spacing w:before="0" w:after="283"/>
              <w:jc w:val="left"/>
              <w:rPr/>
            </w:pPr>
            <w:r>
              <w:rPr/>
              <w:t xml:space="preserve">  </w:t>
            </w:r>
          </w:p>
        </w:tc>
        <w:tc>
          <w:tcPr>
            <w:tcW w:w="1156" w:type="dxa"/>
            <w:tcBorders/>
            <w:shd w:fill="CCEEFF" w:val="clear"/>
            <w:vAlign w:val="bottom"/>
          </w:tcPr>
          <w:p>
            <w:pPr>
              <w:pStyle w:val="TableContents"/>
              <w:spacing w:before="0" w:after="283"/>
              <w:jc w:val="right"/>
              <w:rPr/>
            </w:pPr>
            <w:r>
              <w:rPr/>
              <w:t xml:space="preserve">  </w:t>
            </w:r>
          </w:p>
        </w:tc>
        <w:tc>
          <w:tcPr>
            <w:tcW w:w="168" w:type="dxa"/>
            <w:tcBorders/>
            <w:shd w:fill="CCEEFF" w:val="clear"/>
            <w:vAlign w:val="bottom"/>
          </w:tcPr>
          <w:p>
            <w:pPr>
              <w:pStyle w:val="TableContents"/>
              <w:spacing w:before="0" w:after="283"/>
              <w:jc w:val="left"/>
              <w:rPr/>
            </w:pPr>
            <w:r>
              <w:rPr/>
              <w:t xml:space="preserve">  </w:t>
            </w:r>
          </w:p>
        </w:tc>
      </w:tr>
      <w:tr>
        <w:trPr/>
        <w:tc>
          <w:tcPr>
            <w:tcW w:w="2870" w:type="dxa"/>
            <w:tcBorders/>
            <w:shd w:fill="FFFFFF" w:val="clear"/>
            <w:vAlign w:val="bottom"/>
          </w:tcPr>
          <w:p>
            <w:pPr>
              <w:pStyle w:val="TableContents"/>
              <w:spacing w:before="0" w:after="0"/>
              <w:ind w:left="0" w:right="0" w:hanging="0"/>
              <w:jc w:val="left"/>
              <w:rPr/>
            </w:pPr>
            <w:r>
              <w:rPr>
                <w:rFonts w:ascii="helvetica" w:hAnsi="helvetica"/>
                <w:sz w:val="20"/>
              </w:rPr>
              <w:t>basic and diluted</w:t>
            </w: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19,372,768</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1,989,404</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jc w:val="left"/>
              <w:rPr/>
            </w:pPr>
            <w:r>
              <w:rPr/>
              <w:t xml:space="preserve">  </w:t>
            </w:r>
          </w:p>
        </w:tc>
        <w:tc>
          <w:tcPr>
            <w:tcW w:w="1114" w:type="dxa"/>
            <w:tcBorders/>
            <w:shd w:fill="FFFFFF" w:val="clear"/>
            <w:vAlign w:val="bottom"/>
          </w:tcPr>
          <w:p>
            <w:pPr>
              <w:pStyle w:val="TableContents"/>
              <w:spacing w:before="0" w:after="283"/>
              <w:jc w:val="right"/>
              <w:rPr/>
            </w:pPr>
            <w:r>
              <w:rPr>
                <w:rFonts w:ascii="helvetica" w:hAnsi="helvetica"/>
                <w:sz w:val="20"/>
              </w:rPr>
              <w:t>12,345,855</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042" w:type="dxa"/>
            <w:tcBorders/>
            <w:shd w:fill="FFFFFF" w:val="clear"/>
            <w:vAlign w:val="bottom"/>
          </w:tcPr>
          <w:p>
            <w:pPr>
              <w:pStyle w:val="TableContents"/>
              <w:spacing w:before="0" w:after="283"/>
              <w:jc w:val="right"/>
              <w:rPr/>
            </w:pPr>
            <w:r>
              <w:rPr>
                <w:rFonts w:ascii="helvetica" w:hAnsi="helvetica"/>
                <w:sz w:val="20"/>
              </w:rPr>
              <w:t>1,990,450</w:t>
            </w:r>
            <w:r>
              <w:rPr/>
              <w:t xml:space="preserve"> </w:t>
            </w:r>
          </w:p>
        </w:tc>
        <w:tc>
          <w:tcPr>
            <w:tcW w:w="145"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rPr/>
            </w:pPr>
            <w:r>
              <w:rPr/>
              <w:t xml:space="preserve">  </w:t>
            </w:r>
          </w:p>
        </w:tc>
        <w:tc>
          <w:tcPr>
            <w:tcW w:w="135" w:type="dxa"/>
            <w:tcBorders/>
            <w:shd w:fill="FFFFFF" w:val="clear"/>
            <w:vAlign w:val="bottom"/>
          </w:tcPr>
          <w:p>
            <w:pPr>
              <w:pStyle w:val="TableContents"/>
              <w:spacing w:before="0" w:after="283"/>
              <w:jc w:val="left"/>
              <w:rPr/>
            </w:pPr>
            <w:r>
              <w:rPr/>
              <w:t xml:space="preserve">  </w:t>
            </w:r>
          </w:p>
        </w:tc>
        <w:tc>
          <w:tcPr>
            <w:tcW w:w="1156" w:type="dxa"/>
            <w:tcBorders/>
            <w:shd w:fill="FFFFFF" w:val="clear"/>
            <w:vAlign w:val="bottom"/>
          </w:tcPr>
          <w:p>
            <w:pPr>
              <w:pStyle w:val="TableContents"/>
              <w:spacing w:before="0" w:after="283"/>
              <w:jc w:val="right"/>
              <w:rPr/>
            </w:pPr>
            <w:r>
              <w:rPr/>
              <w:t xml:space="preserve">  </w:t>
            </w:r>
          </w:p>
        </w:tc>
        <w:tc>
          <w:tcPr>
            <w:tcW w:w="168" w:type="dxa"/>
            <w:tcBorders/>
            <w:shd w:fill="FFFFFF" w:val="clear"/>
            <w:vAlign w:val="bottom"/>
          </w:tcPr>
          <w:p>
            <w:pPr>
              <w:pStyle w:val="TableContents"/>
              <w:spacing w:before="0" w:after="283"/>
              <w:jc w:val="left"/>
              <w:rPr/>
            </w:pPr>
            <w:r>
              <w:rPr/>
              <w:t xml:space="preserve">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3" w:name="PGBRK74"/>
      <w:bookmarkStart w:id="914" w:name="PGBRK74"/>
      <w:bookmarkEnd w:id="9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5" w:name="FTR74"/>
      <w:bookmarkStart w:id="916" w:name="FTR74"/>
      <w:bookmarkEnd w:id="9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7" w:name="GLFTR73"/>
      <w:bookmarkEnd w:id="9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18" w:name="PN73"/>
      <w:bookmarkEnd w:id="918"/>
      <w:r>
        <w:rPr>
          <w:rFonts w:ascii="Helvetica" w:hAnsi="Helvetica"/>
          <w:sz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9" w:name="HDR73"/>
      <w:bookmarkStart w:id="920" w:name="HDR73"/>
      <w:bookmarkEnd w:id="9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1" w:name="GLHDR73"/>
      <w:bookmarkEnd w:id="9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CASH FLOWS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552"/>
        <w:gridCol w:w="105"/>
        <w:gridCol w:w="140"/>
        <w:gridCol w:w="1164"/>
        <w:gridCol w:w="148"/>
        <w:gridCol w:w="105"/>
        <w:gridCol w:w="140"/>
        <w:gridCol w:w="1077"/>
        <w:gridCol w:w="148"/>
        <w:gridCol w:w="105"/>
        <w:gridCol w:w="140"/>
        <w:gridCol w:w="1219"/>
        <w:gridCol w:w="162"/>
      </w:tblGrid>
      <w:tr>
        <w:trPr/>
        <w:tc>
          <w:tcPr>
            <w:tcW w:w="555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304" w:type="dxa"/>
            <w:gridSpan w:val="2"/>
            <w:tcBorders/>
            <w:shd w:fill="auto" w:val="clear"/>
            <w:vAlign w:val="bottom"/>
          </w:tcPr>
          <w:p>
            <w:pPr>
              <w:pStyle w:val="TableContents"/>
              <w:spacing w:before="0" w:after="0"/>
              <w:ind w:left="0" w:right="0" w:hanging="0"/>
              <w:jc w:val="center"/>
              <w:rPr/>
            </w:pPr>
            <w:r>
              <w:rPr>
                <w:rFonts w:ascii="helvetica" w:hAnsi="helvetica"/>
                <w:b/>
                <w:sz w:val="16"/>
              </w:rPr>
              <w:t>For The</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217" w:type="dxa"/>
            <w:gridSpan w:val="2"/>
            <w:tcBorders/>
            <w:shd w:fill="auto" w:val="clear"/>
            <w:vAlign w:val="bottom"/>
          </w:tcPr>
          <w:p>
            <w:pPr>
              <w:pStyle w:val="TableContents"/>
              <w:spacing w:before="0" w:after="0"/>
              <w:ind w:left="0" w:right="0" w:hanging="0"/>
              <w:jc w:val="center"/>
              <w:rPr/>
            </w:pPr>
            <w:r>
              <w:rPr>
                <w:rFonts w:ascii="helvetica" w:hAnsi="helvetica"/>
                <w:b/>
                <w:sz w:val="16"/>
              </w:rPr>
              <w:t>For The</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359" w:type="dxa"/>
            <w:gridSpan w:val="2"/>
            <w:tcBorders/>
            <w:shd w:fill="auto" w:val="clear"/>
            <w:vAlign w:val="bottom"/>
          </w:tcPr>
          <w:p>
            <w:pPr>
              <w:pStyle w:val="TableContents"/>
              <w:spacing w:before="0" w:after="0"/>
              <w:ind w:left="0" w:right="0" w:hanging="0"/>
              <w:jc w:val="center"/>
              <w:rPr/>
            </w:pPr>
            <w:r>
              <w:rPr>
                <w:rFonts w:ascii="helvetica" w:hAnsi="helvetica"/>
                <w:b/>
                <w:sz w:val="16"/>
              </w:rPr>
              <w:t>For the Period From</w:t>
            </w: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555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304" w:type="dxa"/>
            <w:gridSpan w:val="2"/>
            <w:tcBorders/>
            <w:shd w:fill="auto" w:val="clear"/>
            <w:vAlign w:val="bottom"/>
          </w:tcPr>
          <w:p>
            <w:pPr>
              <w:pStyle w:val="TableContents"/>
              <w:spacing w:before="0" w:after="0"/>
              <w:ind w:left="0" w:right="0" w:hanging="0"/>
              <w:jc w:val="center"/>
              <w:rPr/>
            </w:pPr>
            <w:r>
              <w:rPr>
                <w:rFonts w:ascii="helvetica" w:hAnsi="helvetica"/>
                <w:b/>
                <w:sz w:val="16"/>
              </w:rPr>
              <w:t>Six Months Ended</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217" w:type="dxa"/>
            <w:gridSpan w:val="2"/>
            <w:tcBorders/>
            <w:shd w:fill="auto" w:val="clear"/>
            <w:vAlign w:val="bottom"/>
          </w:tcPr>
          <w:p>
            <w:pPr>
              <w:pStyle w:val="TableContents"/>
              <w:spacing w:before="0" w:after="0"/>
              <w:ind w:left="0" w:right="0" w:hanging="0"/>
              <w:jc w:val="center"/>
              <w:rPr/>
            </w:pPr>
            <w:r>
              <w:rPr>
                <w:rFonts w:ascii="helvetica" w:hAnsi="helvetica"/>
                <w:b/>
                <w:sz w:val="16"/>
              </w:rPr>
              <w:t>Six Months Ended</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359" w:type="dxa"/>
            <w:gridSpan w:val="2"/>
            <w:tcBorders/>
            <w:shd w:fill="auto" w:val="clear"/>
            <w:vAlign w:val="bottom"/>
          </w:tcPr>
          <w:p>
            <w:pPr>
              <w:pStyle w:val="TableContents"/>
              <w:spacing w:before="0" w:after="0"/>
              <w:ind w:left="0" w:right="0" w:hanging="0"/>
              <w:jc w:val="center"/>
              <w:rPr/>
            </w:pPr>
            <w:r>
              <w:rPr>
                <w:rFonts w:ascii="helvetica" w:hAnsi="helvetica"/>
                <w:b/>
                <w:sz w:val="16"/>
              </w:rPr>
              <w:t>July 24, 1998</w:t>
            </w: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555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304"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217"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359" w:type="dxa"/>
            <w:gridSpan w:val="2"/>
            <w:tcBorders/>
            <w:shd w:fill="auto" w:val="clear"/>
            <w:vAlign w:val="bottom"/>
          </w:tcPr>
          <w:p>
            <w:pPr>
              <w:pStyle w:val="TableContents"/>
              <w:spacing w:before="0" w:after="0"/>
              <w:ind w:left="0" w:right="0" w:hanging="0"/>
              <w:jc w:val="center"/>
              <w:rPr/>
            </w:pPr>
            <w:r>
              <w:rPr>
                <w:rFonts w:ascii="helvetica" w:hAnsi="helvetica"/>
                <w:b/>
                <w:sz w:val="16"/>
              </w:rPr>
              <w:t>(Inception) through</w:t>
            </w: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555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3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3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June 30,2012</w:t>
            </w: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5552"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304"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217"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359" w:type="dxa"/>
            <w:gridSpan w:val="2"/>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5552" w:type="dxa"/>
            <w:tcBorders/>
            <w:shd w:fill="auto" w:val="clear"/>
            <w:vAlign w:val="bottom"/>
          </w:tcPr>
          <w:p>
            <w:pPr>
              <w:pStyle w:val="TableContents"/>
              <w:spacing w:before="0" w:after="0"/>
              <w:ind w:left="0" w:right="0" w:hanging="0"/>
              <w:jc w:val="left"/>
              <w:rPr/>
            </w:pPr>
            <w:r>
              <w:rPr>
                <w:rFonts w:ascii="helvetica" w:hAnsi="helvetica"/>
                <w:sz w:val="20"/>
              </w:rPr>
              <w:t>CASH FLOWS FROM OPERATING ACTIVITIES</w:t>
            </w:r>
            <w:r>
              <w:rPr/>
              <w:t xml:space="preserve"> </w:t>
            </w:r>
          </w:p>
        </w:tc>
        <w:tc>
          <w:tcPr>
            <w:tcW w:w="105" w:type="dxa"/>
            <w:tcBorders/>
            <w:shd w:fill="auto" w:val="clear"/>
            <w:vAlign w:val="bottom"/>
          </w:tcPr>
          <w:p>
            <w:pPr>
              <w:pStyle w:val="TableContents"/>
              <w:spacing w:before="0" w:after="283"/>
              <w:rPr/>
            </w:pPr>
            <w:r>
              <w:rPr/>
              <w:t xml:space="preserve">  </w:t>
            </w:r>
          </w:p>
        </w:tc>
        <w:tc>
          <w:tcPr>
            <w:tcW w:w="1304"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217" w:type="dxa"/>
            <w:gridSpan w:val="2"/>
            <w:tcBorders/>
            <w:shd w:fill="auto" w:val="clear"/>
            <w:vAlign w:val="bottom"/>
          </w:tcPr>
          <w:p>
            <w:pPr>
              <w:pStyle w:val="TableContents"/>
              <w:spacing w:before="0" w:after="283"/>
              <w:rPr/>
            </w:pPr>
            <w:r>
              <w:rPr/>
              <w:t xml:space="preserve">  </w:t>
            </w:r>
          </w:p>
        </w:tc>
        <w:tc>
          <w:tcPr>
            <w:tcW w:w="148"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359" w:type="dxa"/>
            <w:gridSpan w:val="2"/>
            <w:tcBorders/>
            <w:shd w:fill="auto" w:val="clear"/>
            <w:vAlign w:val="bottom"/>
          </w:tcPr>
          <w:p>
            <w:pPr>
              <w:pStyle w:val="TableContents"/>
              <w:spacing w:before="0" w:after="283"/>
              <w:rPr/>
            </w:pPr>
            <w:r>
              <w:rPr/>
              <w:t xml:space="preserve">  </w:t>
            </w:r>
          </w:p>
        </w:tc>
        <w:tc>
          <w:tcPr>
            <w:tcW w:w="162" w:type="dxa"/>
            <w:tcBorders/>
            <w:shd w:fill="auto"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(2,684,681</w:t>
            </w:r>
            <w:r>
              <w:rPr/>
              <w:t xml:space="preserve"> </w:t>
            </w:r>
          </w:p>
        </w:tc>
        <w:tc>
          <w:tcPr>
            <w:tcW w:w="148"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(596,778</w:t>
            </w:r>
            <w:r>
              <w:rPr/>
              <w:t xml:space="preserve"> </w:t>
            </w:r>
          </w:p>
        </w:tc>
        <w:tc>
          <w:tcPr>
            <w:tcW w:w="148"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(21,105,414</w:t>
            </w:r>
            <w:r>
              <w:rPr/>
              <w:t xml:space="preserve"> </w:t>
            </w:r>
          </w:p>
        </w:tc>
        <w:tc>
          <w:tcPr>
            <w:tcW w:w="16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Adjustments to reconcile net loss to net cash used in</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operating activities: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2,475,000</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Gain on forgiveness of liabilities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(176,505</w:t>
            </w:r>
            <w:r>
              <w:rPr/>
              <w:t xml:space="preserve"> </w:t>
            </w:r>
          </w:p>
        </w:tc>
        <w:tc>
          <w:tcPr>
            <w:tcW w:w="16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807,608</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Depreciation</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1,247</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338</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4,401</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Loss from extinguishment of debt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1,195,410</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1,195,410</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Non-cash interest on notes payable</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24,658</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37,191</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1,730,892</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848,038</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112,364</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2,976,854</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254,142</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Changes in assets and liabilities: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Prepaid consulting costs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(140,000</w:t>
            </w:r>
            <w:r>
              <w:rPr/>
              <w:t xml:space="preserve"> </w:t>
            </w:r>
          </w:p>
        </w:tc>
        <w:tc>
          <w:tcPr>
            <w:tcW w:w="16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(31,148</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(10,289</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(45,945</w:t>
            </w:r>
            <w:r>
              <w:rPr/>
              <w:t xml:space="preserve"> </w:t>
            </w:r>
          </w:p>
        </w:tc>
        <w:tc>
          <w:tcPr>
            <w:tcW w:w="162"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Accounts payable and accrued expenses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117,156</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102,430</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425,682</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Accrued Phase 3 expenses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111,871</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Accrued payroll</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11,915</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48,835</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98,506</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Deferred revenue</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6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(100,000</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20,000</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19"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NET CASH USED IN OPERATING ACTIVITIES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164"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(617,405</w:t>
            </w:r>
            <w:r>
              <w:rPr/>
              <w:t xml:space="preserve"> </w:t>
            </w:r>
          </w:p>
        </w:tc>
        <w:tc>
          <w:tcPr>
            <w:tcW w:w="148"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(285,909</w:t>
            </w:r>
            <w:r>
              <w:rPr/>
              <w:t xml:space="preserve"> </w:t>
            </w:r>
          </w:p>
        </w:tc>
        <w:tc>
          <w:tcPr>
            <w:tcW w:w="148"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19"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(11,387,498</w:t>
            </w:r>
            <w:r>
              <w:rPr/>
              <w:t xml:space="preserve"> </w:t>
            </w:r>
          </w:p>
        </w:tc>
        <w:tc>
          <w:tcPr>
            <w:tcW w:w="16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CASH FLOWS FROM INVESTING ACTIVITIES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Purchases of fixed assets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164"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(15,308</w:t>
            </w:r>
            <w:r>
              <w:rPr/>
              <w:t xml:space="preserve"> </w:t>
            </w:r>
          </w:p>
        </w:tc>
        <w:tc>
          <w:tcPr>
            <w:tcW w:w="148"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19"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(18,462</w:t>
            </w:r>
            <w:r>
              <w:rPr/>
              <w:t xml:space="preserve"> </w:t>
            </w:r>
          </w:p>
        </w:tc>
        <w:tc>
          <w:tcPr>
            <w:tcW w:w="16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NET CASH USED IN INVESTING ACTIVITIES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6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(15,308</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19"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(18,462</w:t>
            </w:r>
            <w:r>
              <w:rPr/>
              <w:t xml:space="preserve"> </w:t>
            </w:r>
          </w:p>
        </w:tc>
        <w:tc>
          <w:tcPr>
            <w:tcW w:w="162"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CASH FLOWS FROM FINANCING ACTIVITIES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notes payable to a related party</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450,000</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976,300</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Proceeds received in connection with debt modification</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50,000</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50,000</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100,000</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notes payable</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2,500,000</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Preferred stock deemed dividend paid at conversion</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(200,000</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(200,000</w:t>
            </w:r>
            <w:r>
              <w:rPr/>
              <w:t xml:space="preserve"> </w:t>
            </w:r>
          </w:p>
        </w:tc>
        <w:tc>
          <w:tcPr>
            <w:tcW w:w="162"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Cash advances from related party</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27,537</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(281,679</w:t>
            </w:r>
            <w:r>
              <w:rPr/>
              <w:t xml:space="preserve"> </w:t>
            </w:r>
          </w:p>
        </w:tc>
        <w:tc>
          <w:tcPr>
            <w:tcW w:w="162"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168,707</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exercise of warrants and stock options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99,450</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common stock and warrants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for cash, net of offering costs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7,933,845</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15,712,937</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Deferred offering costs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6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(30,000</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219"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(30,000</w:t>
            </w:r>
            <w:r>
              <w:rPr/>
              <w:t xml:space="preserve"> </w:t>
            </w:r>
          </w:p>
        </w:tc>
        <w:tc>
          <w:tcPr>
            <w:tcW w:w="162"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NET CASH PROVIDED BY FINANCING ACTIVITIES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164"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8,203,845</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1219" w:type="dxa"/>
            <w:tcBorders>
              <w:bottom w:val="single" w:sz="12" w:space="0" w:color="000000"/>
            </w:tcBorders>
            <w:shd w:fill="CCEEFF" w:val="clear"/>
            <w:tcMar>
              <w:bottom w:w="28" w:type="dxa"/>
            </w:tcMar>
            <w:vAlign w:val="bottom"/>
          </w:tcPr>
          <w:p>
            <w:pPr>
              <w:pStyle w:val="TableContents"/>
              <w:spacing w:before="0" w:after="283"/>
              <w:jc w:val="right"/>
              <w:rPr/>
            </w:pPr>
            <w:r>
              <w:rPr>
                <w:rFonts w:ascii="helvetica" w:hAnsi="helvetica"/>
                <w:sz w:val="20"/>
              </w:rPr>
              <w:t>19,123,252</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NET CHANGE IN CASH AND CASH EQUIVALENTS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7,571,132</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(285,909</w:t>
            </w:r>
            <w:r>
              <w:rPr/>
              <w:t xml:space="preserve"> </w:t>
            </w:r>
          </w:p>
        </w:tc>
        <w:tc>
          <w:tcPr>
            <w:tcW w:w="148"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7,717,292</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beginning of period</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146,160</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291,462</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164"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7,717,292</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5,553</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219"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7,717,292</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6961" w:type="dxa"/>
            <w:gridSpan w:val="4"/>
            <w:tcBorders/>
            <w:shd w:fill="CCEEFF" w:val="clear"/>
            <w:vAlign w:val="bottom"/>
          </w:tcPr>
          <w:p>
            <w:pPr>
              <w:pStyle w:val="TableContents"/>
              <w:spacing w:before="0" w:after="0"/>
              <w:ind w:left="0" w:right="0" w:hanging="0"/>
              <w:jc w:val="left"/>
              <w:rPr/>
            </w:pPr>
            <w:r>
              <w:rPr>
                <w:rFonts w:ascii="helvetica" w:hAnsi="helvetica"/>
                <w:sz w:val="20"/>
              </w:rPr>
              <w:t>SUPPLEMENTAL DISCLOSURE OF CASH FLOW INFORMATION:</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Issuance of and adjustment to common stock and warrants to</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432,007</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Deferred offering costs in connection with equity</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219" w:type="dxa"/>
            <w:tcBorders/>
            <w:shd w:fill="FFFFFF" w:val="clear"/>
            <w:vAlign w:val="bottom"/>
          </w:tcPr>
          <w:p>
            <w:pPr>
              <w:pStyle w:val="TableContents"/>
              <w:spacing w:before="0" w:after="283"/>
              <w:jc w:val="right"/>
              <w:rPr/>
            </w:pP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t>   </w:t>
            </w:r>
            <w:r>
              <w:rPr>
                <w:rFonts w:ascii="helvetica" w:hAnsi="helvetica"/>
                <w:sz w:val="20"/>
              </w:rPr>
              <w:t>offering recorded in accounts payable</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87,732</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87,732</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Conversion of related party accounts payable into common stock</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56,087</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56,087</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Conversion of notes payable and accrued interest into</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common stock</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1,905,137</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3,435,314</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Forgiveness of notes payable and accrued interest to</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t>  </w:t>
            </w:r>
            <w:r>
              <w:rPr>
                <w:rFonts w:ascii="helvetica" w:hAnsi="helvetica"/>
                <w:sz w:val="20"/>
              </w:rPr>
              <w:t>shareholders</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241,701</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Conversion of advances to notes payable to shareholders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196,300</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Accretion of preferred stock discount</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100,000</w:t>
            </w:r>
            <w:r>
              <w:rPr/>
              <w:t xml:space="preserve"> </w:t>
            </w:r>
          </w:p>
        </w:tc>
        <w:tc>
          <w:tcPr>
            <w:tcW w:w="162"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0" w:right="0" w:hanging="0"/>
              <w:jc w:val="left"/>
              <w:rPr/>
            </w:pPr>
            <w:r>
              <w:rPr>
                <w:rFonts w:ascii="helvetica" w:hAnsi="helvetica"/>
                <w:sz w:val="20"/>
              </w:rPr>
              <w:t>Related party acquisition of Phase 3 liabilities</w:t>
            </w: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CCEEFF" w:val="clear"/>
            <w:vAlign w:val="bottom"/>
          </w:tcPr>
          <w:p>
            <w:pPr>
              <w:pStyle w:val="TableContents"/>
              <w:spacing w:before="0" w:after="283"/>
              <w:jc w:val="right"/>
              <w:rPr/>
            </w:pPr>
            <w:r>
              <w:rPr>
                <w:rFonts w:ascii="helvetica" w:hAnsi="helvetica"/>
                <w:sz w:val="20"/>
              </w:rPr>
              <w:t>56,087</w:t>
            </w:r>
            <w:r>
              <w:rPr/>
              <w:t xml:space="preserve"> </w:t>
            </w:r>
          </w:p>
        </w:tc>
        <w:tc>
          <w:tcPr>
            <w:tcW w:w="162"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0" w:right="0" w:hanging="0"/>
              <w:jc w:val="left"/>
              <w:rPr/>
            </w:pPr>
            <w:r>
              <w:rPr>
                <w:rFonts w:ascii="helvetica" w:hAnsi="helvetica"/>
                <w:sz w:val="20"/>
              </w:rPr>
              <w:t>Conversion of preferred stock into common stock</w:t>
            </w: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164" w:type="dxa"/>
            <w:tcBorders/>
            <w:shd w:fill="FFFFFF" w:val="clear"/>
            <w:vAlign w:val="bottom"/>
          </w:tcPr>
          <w:p>
            <w:pPr>
              <w:pStyle w:val="TableContents"/>
              <w:spacing w:before="0" w:after="283"/>
              <w:jc w:val="right"/>
              <w:rPr/>
            </w:pPr>
            <w:r>
              <w:rPr>
                <w:rFonts w:ascii="helvetica" w:hAnsi="helvetica"/>
                <w:sz w:val="20"/>
              </w:rPr>
              <w:t>7,499</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48"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219" w:type="dxa"/>
            <w:tcBorders/>
            <w:shd w:fill="FFFFFF" w:val="clear"/>
            <w:vAlign w:val="bottom"/>
          </w:tcPr>
          <w:p>
            <w:pPr>
              <w:pStyle w:val="TableContents"/>
              <w:spacing w:before="0" w:after="283"/>
              <w:jc w:val="right"/>
              <w:rPr/>
            </w:pPr>
            <w:r>
              <w:rPr>
                <w:rFonts w:ascii="helvetica" w:hAnsi="helvetica"/>
                <w:sz w:val="20"/>
              </w:rPr>
              <w:t>7,499</w:t>
            </w:r>
            <w:r>
              <w:rPr/>
              <w:t xml:space="preserve"> </w:t>
            </w:r>
          </w:p>
        </w:tc>
        <w:tc>
          <w:tcPr>
            <w:tcW w:w="162"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2" w:name="PGBRK75"/>
      <w:bookmarkStart w:id="923" w:name="PGBRK75"/>
      <w:bookmarkEnd w:id="9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4" w:name="FTR75"/>
      <w:bookmarkStart w:id="925" w:name="FTR75"/>
      <w:bookmarkEnd w:id="9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6" w:name="GLFTR74"/>
      <w:bookmarkEnd w:id="9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27" w:name="PN74"/>
      <w:bookmarkEnd w:id="927"/>
      <w:r>
        <w:rPr>
          <w:rFonts w:ascii="Helvetica" w:hAnsi="Helvetica"/>
          <w:sz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8" w:name="HDR74"/>
      <w:bookmarkStart w:id="929" w:name="HDR74"/>
      <w:bookmarkEnd w:id="9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0" w:name="GLHDR74"/>
      <w:bookmarkEnd w:id="9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bookmarkStart w:id="931" w:name="FIS_NOTES_TO_FINANCIAL_STATEMENT"/>
      <w:bookmarkEnd w:id="931"/>
    </w:p>
    <w:p>
      <w:pPr>
        <w:pStyle w:val="TextBody"/>
        <w:spacing w:before="0" w:after="0"/>
        <w:ind w:left="0" w:right="0" w:hanging="0"/>
        <w:jc w:val="center"/>
        <w:rPr>
          <w:rFonts w:ascii="Helvetica" w:hAnsi="Helvetica"/>
          <w:b/>
          <w:sz w:val="20"/>
        </w:rPr>
      </w:pPr>
      <w:r>
        <w:rPr>
          <w:rFonts w:ascii="Helvetica" w:hAnsi="Helvetica"/>
          <w:b/>
          <w:sz w:val="20"/>
        </w:rPr>
        <w:t>NOTES TO THE UNAUDITED CONDENSED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three and six months ended June 30, 2012 and 2011 and the period from July 24, 1998 (Inception) through June 30, 2012</w:t>
      </w:r>
    </w:p>
    <w:p>
      <w:pPr>
        <w:pStyle w:val="TextBody"/>
        <w:spacing w:before="0" w:after="0"/>
        <w:ind w:left="0" w:right="0" w:hanging="0"/>
        <w:jc w:val="center"/>
        <w:rPr/>
      </w:pPr>
      <w:r>
        <w:rPr/>
        <w:t> </w:t>
      </w:r>
    </w:p>
    <w:p>
      <w:pPr>
        <w:pStyle w:val="Normal"/>
        <w:spacing w:before="0" w:after="0"/>
        <w:jc w:val="center"/>
        <w:rPr>
          <w:sz w:val="4"/>
          <w:szCs w:val="4"/>
        </w:rPr>
      </w:pPr>
      <w:r>
        <w:rPr>
          <w:sz w:val="4"/>
          <w:szCs w:val="4"/>
        </w:rPr>
      </w:r>
      <w:bookmarkStart w:id="932" w:name="hangingindent"/>
      <w:bookmarkStart w:id="933" w:name="hangingindent"/>
      <w:bookmarkEnd w:id="933"/>
    </w:p>
    <w:tbl>
      <w:tblPr>
        <w:tblW w:w="5000" w:type="pct"/>
        <w:jc w:val="center"/>
        <w:tblInd w:w="0" w:type="dxa"/>
        <w:tblCellMar>
          <w:top w:w="0" w:type="dxa"/>
          <w:left w:w="0" w:type="dxa"/>
          <w:bottom w:w="0" w:type="dxa"/>
          <w:right w:w="0" w:type="dxa"/>
        </w:tblCellMar>
      </w:tblPr>
      <w:tblGrid>
        <w:gridCol w:w="1672"/>
        <w:gridCol w:w="8533"/>
      </w:tblGrid>
      <w:tr>
        <w:trPr/>
        <w:tc>
          <w:tcPr>
            <w:tcW w:w="1672" w:type="dxa"/>
            <w:tcBorders/>
            <w:shd w:fill="auto" w:val="clear"/>
          </w:tcPr>
          <w:p>
            <w:pPr>
              <w:pStyle w:val="TableContents"/>
              <w:spacing w:before="0" w:after="0"/>
              <w:rPr>
                <w:rFonts w:ascii="Helvetica" w:hAnsi="Helvetica"/>
                <w:b/>
                <w:sz w:val="20"/>
              </w:rPr>
            </w:pPr>
            <w:r>
              <w:rPr>
                <w:rFonts w:ascii="Helvetica" w:hAnsi="Helvetica"/>
                <w:b/>
                <w:sz w:val="20"/>
              </w:rPr>
              <w:t>NOTE 1. </w:t>
            </w:r>
          </w:p>
        </w:tc>
        <w:tc>
          <w:tcPr>
            <w:tcW w:w="8533" w:type="dxa"/>
            <w:tcBorders/>
            <w:shd w:fill="auto" w:val="clear"/>
          </w:tcPr>
          <w:p>
            <w:pPr>
              <w:pStyle w:val="TableContents"/>
              <w:spacing w:before="0" w:after="0"/>
              <w:jc w:val="both"/>
              <w:rPr/>
            </w:pPr>
            <w:r>
              <w:rPr/>
              <w:t>   </w:t>
            </w:r>
            <w:r>
              <w:rPr>
                <w:rFonts w:ascii="Helvetica" w:hAnsi="Helvetica"/>
                <w:b/>
                <w:sz w:val="20"/>
              </w:rPr>
              <w:t>OVERVIEW AND BASIS OF PRESENTATION</w:t>
            </w:r>
          </w:p>
        </w:tc>
      </w:tr>
    </w:tbl>
    <w:p>
      <w:pPr>
        <w:pStyle w:val="TextBody"/>
        <w:spacing w:before="0" w:after="0"/>
        <w:ind w:left="0" w:right="0" w:hanging="0"/>
        <w:jc w:val="center"/>
        <w:rPr/>
      </w:pPr>
      <w:r>
        <w:rPr/>
        <w:t> </w:t>
      </w:r>
    </w:p>
    <w:p>
      <w:pPr>
        <w:pStyle w:val="TextBody"/>
        <w:spacing w:before="0" w:after="0"/>
        <w:ind w:left="0" w:right="0" w:hanging="0"/>
        <w:jc w:val="both"/>
        <w:rPr>
          <w:rFonts w:ascii="Helvetica" w:hAnsi="Helvetica"/>
          <w:b/>
          <w:sz w:val="20"/>
        </w:rPr>
      </w:pPr>
      <w:r>
        <w:rPr>
          <w:rFonts w:ascii="Helvetica" w:hAnsi="Helvetica"/>
          <w:b/>
          <w:sz w:val="20"/>
        </w:rPr>
        <w:t>Company and Background</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sz w:val="20"/>
        </w:rPr>
      </w:pPr>
      <w:r>
        <w:rPr>
          <w:rFonts w:ascii="helvetica" w:hAnsi="helvetica"/>
          <w:b w:val="false"/>
          <w:sz w:val="20"/>
        </w:rPr>
        <w:t>Imprimis Pharmaceuticals, Inc. (“Imprimis”, the “Company”, “we”, “us”, or “our”), is a specialty pharmaceutical company developing non-invasive, topically delivered products. Our innovative patented Accudel cream formulation technology is designed to enable highly targeted site specific treatment.  Impracor, our lead pain product,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r>
        <w:rPr>
          <w:rFonts w:ascii="Helvetica" w:hAnsi="Helvetica"/>
          <w:b/>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Basis of Presentation</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sz w:val="20"/>
        </w:rPr>
      </w:pPr>
      <w:r>
        <w:rPr>
          <w:rFonts w:ascii="helvetica" w:hAnsi="helvetica"/>
          <w:b w:val="false"/>
          <w:sz w:val="20"/>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All per share amounts and calculations in this report reflect this change.</w:t>
      </w:r>
      <w:r>
        <w:rPr>
          <w:rFonts w:ascii="Helvetica" w:hAnsi="Helvetica"/>
          <w:b/>
          <w:sz w:val="20"/>
        </w:rPr>
        <w:t xml:space="preserve"> </w:t>
      </w:r>
    </w:p>
    <w:p>
      <w:pPr>
        <w:pStyle w:val="TextBody"/>
        <w:spacing w:before="0" w:after="0"/>
        <w:ind w:left="0" w:right="0" w:hanging="0"/>
        <w:jc w:val="both"/>
        <w:rPr>
          <w:rFonts w:ascii="Helvetica" w:hAnsi="Helvetica"/>
          <w:b/>
          <w:sz w:val="20"/>
        </w:rPr>
      </w:pPr>
      <w:r>
        <w:rPr>
          <w:rFonts w:ascii="helvetica" w:hAnsi="helvetica"/>
          <w:b w:val="false"/>
          <w:sz w:val="20"/>
        </w:rPr>
        <w:t>Imprimis has prepared the accompanying interim condensed unaudited consolidated financial statements in accordance with accounting principles generally accepted in the United Stated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six months ended June 30,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  </w:t>
      </w:r>
      <w:r>
        <w:rPr>
          <w:rFonts w:ascii="Helvetica" w:hAnsi="Helvetica"/>
          <w:b/>
          <w:sz w:val="20"/>
        </w:rPr>
        <w:t xml:space="preserve"> </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sz w:val="20"/>
        </w:rPr>
      </w:pPr>
      <w:r>
        <w:rPr>
          <w:rFonts w:ascii="Helvetica" w:hAnsi="Helvetica"/>
          <w:b/>
          <w:sz w:val="20"/>
        </w:rPr>
        <w:t>Principles of Consolidation</w:t>
      </w:r>
    </w:p>
    <w:p>
      <w:pPr>
        <w:pStyle w:val="TextBody"/>
        <w:spacing w:before="0" w:after="0"/>
        <w:ind w:left="0" w:right="0" w:hanging="0"/>
        <w:jc w:val="center"/>
        <w:rPr/>
      </w:pPr>
      <w:r>
        <w:rPr/>
        <w:t> </w:t>
      </w:r>
    </w:p>
    <w:p>
      <w:pPr>
        <w:pStyle w:val="TextBody"/>
        <w:spacing w:before="0" w:after="0"/>
        <w:ind w:left="0" w:right="0" w:hanging="0"/>
        <w:jc w:val="both"/>
        <w:rPr>
          <w:rFonts w:ascii="Helvetica" w:hAnsi="Helvetica"/>
          <w:b/>
          <w:sz w:val="20"/>
        </w:rPr>
      </w:pPr>
      <w:r>
        <w:rPr>
          <w:rFonts w:ascii="helvetica" w:hAnsi="helvetica"/>
          <w:b w:val="false"/>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r>
        <w:rPr>
          <w:rFonts w:ascii="Helvetica" w:hAnsi="Helvetica"/>
          <w:b/>
          <w:sz w:val="20"/>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4" w:name="PGBRK76"/>
      <w:bookmarkStart w:id="935" w:name="PGBRK76"/>
      <w:bookmarkEnd w:id="9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6" w:name="FTR76"/>
      <w:bookmarkStart w:id="937" w:name="FTR76"/>
      <w:bookmarkEnd w:id="9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8" w:name="GLFTR75"/>
      <w:bookmarkEnd w:id="9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39" w:name="PN75"/>
      <w:bookmarkEnd w:id="939"/>
      <w:r>
        <w:rPr>
          <w:rFonts w:ascii="Helvetica" w:hAnsi="Helvetica"/>
          <w:sz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0" w:name="HDR75"/>
      <w:bookmarkStart w:id="941" w:name="HDR75"/>
      <w:bookmarkEnd w:id="9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2" w:name="GLHDR75"/>
      <w:bookmarkEnd w:id="9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Development Stage Enterprise</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Research and Development</w:t>
      </w:r>
    </w:p>
    <w:p>
      <w:pPr>
        <w:pStyle w:val="TextBody"/>
        <w:spacing w:before="0" w:after="0"/>
        <w:ind w:left="0" w:right="0" w:hanging="0"/>
        <w:rPr/>
      </w:pPr>
      <w:r>
        <w:rPr/>
      </w:r>
    </w:p>
    <w:p>
      <w:pPr>
        <w:pStyle w:val="TextBody"/>
        <w:spacing w:before="0" w:after="0"/>
        <w:ind w:left="0" w:right="0" w:hanging="0"/>
        <w:jc w:val="both"/>
        <w:rPr/>
      </w:pPr>
      <w:r>
        <w:rPr>
          <w:rFonts w:ascii="helvetica" w:hAnsi="helvetica"/>
          <w:sz w:val="20"/>
        </w:rPr>
        <w:t>The Company expenses all costs related to research and development as they are incurred.</w:t>
      </w:r>
      <w:r>
        <w:rPr/>
        <w:t xml:space="preserve"> </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Revenue Recognition and Deferred Revenue</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For the six months ended June 30, 2012, the Company recorded $100,000 in revenues for non-refundable royalty advances, which were previously deferred.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r>
        <w:rPr>
          <w:rFonts w:ascii="Helvetica" w:hAnsi="Helvetica"/>
          <w:sz w:val="20"/>
        </w:rPr>
        <w:t xml:space="preserv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3" w:name="PGBRK77"/>
      <w:bookmarkStart w:id="944" w:name="PGBRK77"/>
      <w:bookmarkEnd w:id="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5" w:name="FTR77"/>
      <w:bookmarkStart w:id="946" w:name="FTR77"/>
      <w:bookmarkEnd w:id="9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7" w:name="GLFTR76"/>
      <w:bookmarkEnd w:id="9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48" w:name="PN76"/>
      <w:bookmarkEnd w:id="948"/>
      <w:r>
        <w:rPr>
          <w:rFonts w:ascii="Helvetica" w:hAnsi="Helvetica"/>
          <w:sz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9" w:name="HDR76"/>
      <w:bookmarkStart w:id="950" w:name="HDR76"/>
      <w:bookmarkEnd w:id="9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1" w:name="GLHDR76"/>
      <w:bookmarkEnd w:id="9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Income Taxes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Income tax expense is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No income tax benefit (expense) was recognized for the six months ended June 30, 2012 as a result of tax losses in this period and because deferred tax benefits, derived from the Company’s prior net operating losses, were previously fully reserved.  At June 30, 2012, the Company had federal and California net operating loss carryforwards of approximately $13.6 million and $13.2 million, respectively.  The use of our net operating losses may be restricted in future years due to the limitations pursuant to IRC Section 382 on changes in ownership.</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subject to taxation in the United States and California. The Company’s tax years for 2000 and forward are subject to examination by the United States and state tax authorities due to the carry forward of unutilized net operating losses.</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Cash and Cash Equivalents</w:t>
      </w:r>
    </w:p>
    <w:p>
      <w:pPr>
        <w:pStyle w:val="TextBody"/>
        <w:spacing w:before="0" w:after="0"/>
        <w:ind w:left="0" w:right="0" w:hanging="0"/>
        <w:rPr/>
      </w:pPr>
      <w:r>
        <w:rPr/>
      </w:r>
    </w:p>
    <w:p>
      <w:pPr>
        <w:pStyle w:val="TextBody"/>
        <w:spacing w:before="0" w:after="0"/>
        <w:ind w:left="0" w:right="0" w:hanging="0"/>
        <w:jc w:val="both"/>
        <w:rPr/>
      </w:pPr>
      <w:r>
        <w:rPr>
          <w:rFonts w:ascii="helvetica" w:hAnsi="helvetica"/>
          <w:sz w:val="20"/>
        </w:rPr>
        <w:t>Cash equivalents include short-term, highly liquid investments with maturities of three months or less at the time of acquisition.</w:t>
      </w:r>
      <w:r>
        <w:rPr/>
        <w:t xml:space="preserve"> </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Concentrations of Credit Risk</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June 30, 2012, the Company had approximately $7.47 million in cash deposits in excess of FDIC limits.</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Furniture and Equipment</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sz w:val="20"/>
        </w:rPr>
        <w:t>Furniture and equipment is stated at cost less accumulated depreciation.  Depreciation is calculated using the straight-line method over the estimated useful lives of three to five years.</w:t>
      </w:r>
      <w:r>
        <w:rPr/>
        <w:t xml:space="preserve"> </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sz w:val="20"/>
        </w:rPr>
        <w:t>Furniture and equipment, net, as of June 30, 2012 and December 31, 2011 consisted of the following:</w:t>
      </w:r>
      <w:r>
        <w:rPr/>
        <w:t xml:space="preserve">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755"/>
        <w:gridCol w:w="125"/>
        <w:gridCol w:w="181"/>
        <w:gridCol w:w="1187"/>
        <w:gridCol w:w="194"/>
        <w:gridCol w:w="125"/>
        <w:gridCol w:w="502"/>
        <w:gridCol w:w="940"/>
        <w:gridCol w:w="196"/>
      </w:tblGrid>
      <w:tr>
        <w:trPr/>
        <w:tc>
          <w:tcPr>
            <w:tcW w:w="675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368"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94" w:type="dxa"/>
            <w:tcBorders/>
            <w:shd w:fill="auto" w:val="clear"/>
            <w:vAlign w:val="bottom"/>
          </w:tcPr>
          <w:p>
            <w:pPr>
              <w:pStyle w:val="TableContents"/>
              <w:spacing w:before="0" w:after="283"/>
              <w:jc w:val="left"/>
              <w:rPr/>
            </w:pPr>
            <w:r>
              <w:rPr/>
              <w:t xml:space="preserve">  </w:t>
            </w:r>
          </w:p>
        </w:tc>
        <w:tc>
          <w:tcPr>
            <w:tcW w:w="125" w:type="dxa"/>
            <w:tcBorders/>
            <w:shd w:fill="auto" w:val="clear"/>
            <w:vAlign w:val="bottom"/>
          </w:tcPr>
          <w:p>
            <w:pPr>
              <w:pStyle w:val="TableContents"/>
              <w:spacing w:before="0" w:after="283"/>
              <w:rPr/>
            </w:pPr>
            <w:r>
              <w:rPr/>
              <w:t xml:space="preserve">  </w:t>
            </w:r>
          </w:p>
        </w:tc>
        <w:tc>
          <w:tcPr>
            <w:tcW w:w="1442" w:type="dxa"/>
            <w:gridSpan w:val="2"/>
            <w:tcBorders/>
            <w:shd w:fill="auto" w:val="clear"/>
            <w:vAlign w:val="bottom"/>
          </w:tcPr>
          <w:p>
            <w:pPr>
              <w:pStyle w:val="TableContents"/>
              <w:spacing w:before="0" w:after="0"/>
              <w:ind w:left="0" w:right="0" w:hanging="0"/>
              <w:jc w:val="center"/>
              <w:rPr/>
            </w:pPr>
            <w:r>
              <w:rPr>
                <w:rFonts w:ascii="helvetica" w:hAnsi="helvetica"/>
                <w:b/>
                <w:sz w:val="16"/>
              </w:rPr>
              <w:t>December 31,</w:t>
            </w:r>
            <w:r>
              <w:rPr/>
              <w:t xml:space="preserve"> </w:t>
            </w:r>
          </w:p>
        </w:tc>
        <w:tc>
          <w:tcPr>
            <w:tcW w:w="196" w:type="dxa"/>
            <w:tcBorders/>
            <w:shd w:fill="auto" w:val="clear"/>
            <w:vAlign w:val="bottom"/>
          </w:tcPr>
          <w:p>
            <w:pPr>
              <w:pStyle w:val="TableContents"/>
              <w:spacing w:before="0" w:after="283"/>
              <w:jc w:val="left"/>
              <w:rPr/>
            </w:pPr>
            <w:r>
              <w:rPr/>
              <w:t xml:space="preserve">  </w:t>
            </w:r>
          </w:p>
        </w:tc>
      </w:tr>
      <w:tr>
        <w:trPr/>
        <w:tc>
          <w:tcPr>
            <w:tcW w:w="6755"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xml:space="preserve">  </w:t>
            </w:r>
          </w:p>
        </w:tc>
        <w:tc>
          <w:tcPr>
            <w:tcW w:w="13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94" w:type="dxa"/>
            <w:tcBorders/>
            <w:shd w:fill="auto" w:val="clear"/>
            <w:vAlign w:val="bottom"/>
          </w:tcPr>
          <w:p>
            <w:pPr>
              <w:pStyle w:val="TableContents"/>
              <w:spacing w:before="0" w:after="283"/>
              <w:jc w:val="left"/>
              <w:rPr/>
            </w:pPr>
            <w:r>
              <w:rPr/>
              <w:t xml:space="preserve">  </w:t>
            </w:r>
          </w:p>
        </w:tc>
        <w:tc>
          <w:tcPr>
            <w:tcW w:w="125" w:type="dxa"/>
            <w:tcBorders/>
            <w:shd w:fill="auto" w:val="clear"/>
            <w:vAlign w:val="bottom"/>
          </w:tcPr>
          <w:p>
            <w:pPr>
              <w:pStyle w:val="TableContents"/>
              <w:spacing w:before="0" w:after="283"/>
              <w:rPr/>
            </w:pPr>
            <w:r>
              <w:rPr/>
              <w:t xml:space="preserve">  </w:t>
            </w:r>
          </w:p>
        </w:tc>
        <w:tc>
          <w:tcPr>
            <w:tcW w:w="14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96" w:type="dxa"/>
            <w:tcBorders/>
            <w:shd w:fill="auto" w:val="clear"/>
            <w:vAlign w:val="bottom"/>
          </w:tcPr>
          <w:p>
            <w:pPr>
              <w:pStyle w:val="TableContents"/>
              <w:spacing w:before="0" w:after="283"/>
              <w:jc w:val="left"/>
              <w:rPr/>
            </w:pPr>
            <w:r>
              <w:rPr/>
              <w:t xml:space="preserve">  </w:t>
            </w:r>
          </w:p>
        </w:tc>
      </w:tr>
      <w:tr>
        <w:trPr/>
        <w:tc>
          <w:tcPr>
            <w:tcW w:w="6755" w:type="dxa"/>
            <w:tcBorders/>
            <w:shd w:fill="auto" w:val="clear"/>
            <w:vAlign w:val="bottom"/>
          </w:tcPr>
          <w:p>
            <w:pPr>
              <w:pStyle w:val="TableContents"/>
              <w:spacing w:before="0" w:after="0"/>
              <w:ind w:left="0" w:right="0" w:hanging="0"/>
              <w:jc w:val="left"/>
              <w:rPr/>
            </w:pPr>
            <w:r>
              <w:rPr>
                <w:rFonts w:ascii="helvetica" w:hAnsi="helvetica"/>
                <w:sz w:val="20"/>
              </w:rPr>
              <w:t>Furniture and Equipment, net:</w:t>
            </w:r>
            <w:r>
              <w:rPr/>
              <w:t xml:space="preserve"> </w:t>
            </w:r>
          </w:p>
        </w:tc>
        <w:tc>
          <w:tcPr>
            <w:tcW w:w="125" w:type="dxa"/>
            <w:tcBorders/>
            <w:shd w:fill="auto" w:val="clear"/>
            <w:vAlign w:val="bottom"/>
          </w:tcPr>
          <w:p>
            <w:pPr>
              <w:pStyle w:val="TableContents"/>
              <w:spacing w:before="0" w:after="283"/>
              <w:rPr/>
            </w:pPr>
            <w:r>
              <w:rPr/>
              <w:t xml:space="preserve">  </w:t>
            </w:r>
          </w:p>
        </w:tc>
        <w:tc>
          <w:tcPr>
            <w:tcW w:w="1368" w:type="dxa"/>
            <w:gridSpan w:val="2"/>
            <w:tcBorders/>
            <w:shd w:fill="auto" w:val="clear"/>
            <w:vAlign w:val="bottom"/>
          </w:tcPr>
          <w:p>
            <w:pPr>
              <w:pStyle w:val="TableContents"/>
              <w:spacing w:before="0" w:after="283"/>
              <w:rPr/>
            </w:pPr>
            <w:r>
              <w:rPr/>
              <w:t xml:space="preserve">  </w:t>
            </w:r>
          </w:p>
        </w:tc>
        <w:tc>
          <w:tcPr>
            <w:tcW w:w="194" w:type="dxa"/>
            <w:tcBorders/>
            <w:shd w:fill="auto" w:val="clear"/>
            <w:vAlign w:val="bottom"/>
          </w:tcPr>
          <w:p>
            <w:pPr>
              <w:pStyle w:val="TableContents"/>
              <w:spacing w:before="0" w:after="283"/>
              <w:jc w:val="left"/>
              <w:rPr/>
            </w:pPr>
            <w:r>
              <w:rPr/>
              <w:t xml:space="preserve">  </w:t>
            </w:r>
          </w:p>
        </w:tc>
        <w:tc>
          <w:tcPr>
            <w:tcW w:w="125" w:type="dxa"/>
            <w:tcBorders/>
            <w:shd w:fill="auto" w:val="clear"/>
            <w:vAlign w:val="bottom"/>
          </w:tcPr>
          <w:p>
            <w:pPr>
              <w:pStyle w:val="TableContents"/>
              <w:spacing w:before="0" w:after="283"/>
              <w:rPr/>
            </w:pPr>
            <w:r>
              <w:rPr/>
              <w:t xml:space="preserve">  </w:t>
            </w:r>
          </w:p>
        </w:tc>
        <w:tc>
          <w:tcPr>
            <w:tcW w:w="1442" w:type="dxa"/>
            <w:gridSpan w:val="2"/>
            <w:tcBorders/>
            <w:shd w:fill="auto" w:val="clear"/>
            <w:vAlign w:val="bottom"/>
          </w:tcPr>
          <w:p>
            <w:pPr>
              <w:pStyle w:val="TableContents"/>
              <w:spacing w:before="0" w:after="283"/>
              <w:rPr/>
            </w:pPr>
            <w:r>
              <w:rPr/>
              <w:t xml:space="preserve">  </w:t>
            </w:r>
          </w:p>
        </w:tc>
        <w:tc>
          <w:tcPr>
            <w:tcW w:w="196" w:type="dxa"/>
            <w:tcBorders/>
            <w:shd w:fill="auto" w:val="clear"/>
            <w:vAlign w:val="bottom"/>
          </w:tcPr>
          <w:p>
            <w:pPr>
              <w:pStyle w:val="TableContents"/>
              <w:spacing w:before="0" w:after="283"/>
              <w:jc w:val="left"/>
              <w:rPr/>
            </w:pPr>
            <w:r>
              <w:rPr/>
              <w:t xml:space="preserve">  </w:t>
            </w:r>
          </w:p>
        </w:tc>
      </w:tr>
      <w:tr>
        <w:trPr/>
        <w:tc>
          <w:tcPr>
            <w:tcW w:w="6755" w:type="dxa"/>
            <w:tcBorders/>
            <w:shd w:fill="CCEEFF" w:val="clear"/>
            <w:vAlign w:val="bottom"/>
          </w:tcPr>
          <w:p>
            <w:pPr>
              <w:pStyle w:val="TableContents"/>
              <w:spacing w:before="0" w:after="0"/>
              <w:ind w:left="0" w:right="0" w:hanging="0"/>
              <w:jc w:val="left"/>
              <w:rPr/>
            </w:pPr>
            <w:r>
              <w:rPr/>
              <w:t>   </w:t>
            </w:r>
            <w:r>
              <w:rPr>
                <w:rFonts w:ascii="helvetica" w:hAnsi="helvetica"/>
                <w:sz w:val="20"/>
              </w:rPr>
              <w:t>Computer Software and Hardware</w:t>
            </w:r>
            <w:r>
              <w:rPr/>
              <w:t xml:space="preserve"> </w:t>
            </w:r>
          </w:p>
        </w:tc>
        <w:tc>
          <w:tcPr>
            <w:tcW w:w="125" w:type="dxa"/>
            <w:tcBorders/>
            <w:shd w:fill="CCEEFF" w:val="clear"/>
            <w:vAlign w:val="bottom"/>
          </w:tcPr>
          <w:p>
            <w:pPr>
              <w:pStyle w:val="TableContents"/>
              <w:spacing w:before="0" w:after="283"/>
              <w:rPr/>
            </w:pPr>
            <w:r>
              <w:rPr/>
              <w:t xml:space="preserve">  </w:t>
            </w:r>
          </w:p>
        </w:tc>
        <w:tc>
          <w:tcPr>
            <w:tcW w:w="181"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87" w:type="dxa"/>
            <w:tcBorders/>
            <w:shd w:fill="CCEEFF" w:val="clear"/>
            <w:vAlign w:val="bottom"/>
          </w:tcPr>
          <w:p>
            <w:pPr>
              <w:pStyle w:val="TableContents"/>
              <w:spacing w:before="0" w:after="283"/>
              <w:jc w:val="right"/>
              <w:rPr/>
            </w:pPr>
            <w:r>
              <w:rPr>
                <w:rFonts w:ascii="helvetica" w:hAnsi="helvetica"/>
                <w:sz w:val="20"/>
              </w:rPr>
              <w:t>6,341</w:t>
            </w:r>
            <w:r>
              <w:rPr/>
              <w:t xml:space="preserve"> </w:t>
            </w:r>
          </w:p>
        </w:tc>
        <w:tc>
          <w:tcPr>
            <w:tcW w:w="194" w:type="dxa"/>
            <w:tcBorders/>
            <w:shd w:fill="CCEEFF" w:val="clear"/>
            <w:vAlign w:val="bottom"/>
          </w:tcPr>
          <w:p>
            <w:pPr>
              <w:pStyle w:val="TableContents"/>
              <w:spacing w:before="0" w:after="283"/>
              <w:jc w:val="left"/>
              <w:rPr/>
            </w:pPr>
            <w:r>
              <w:rPr/>
              <w:t xml:space="preserve">  </w:t>
            </w:r>
          </w:p>
        </w:tc>
        <w:tc>
          <w:tcPr>
            <w:tcW w:w="125" w:type="dxa"/>
            <w:tcBorders/>
            <w:shd w:fill="CCEEFF" w:val="clear"/>
            <w:vAlign w:val="bottom"/>
          </w:tcPr>
          <w:p>
            <w:pPr>
              <w:pStyle w:val="TableContents"/>
              <w:spacing w:before="0" w:after="283"/>
              <w:rPr/>
            </w:pPr>
            <w:r>
              <w:rPr/>
              <w:t xml:space="preserve">  </w:t>
            </w:r>
          </w:p>
        </w:tc>
        <w:tc>
          <w:tcPr>
            <w:tcW w:w="502"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940"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96" w:type="dxa"/>
            <w:tcBorders/>
            <w:shd w:fill="CCEEFF" w:val="clear"/>
            <w:vAlign w:val="bottom"/>
          </w:tcPr>
          <w:p>
            <w:pPr>
              <w:pStyle w:val="TableContents"/>
              <w:spacing w:before="0" w:after="283"/>
              <w:jc w:val="left"/>
              <w:rPr/>
            </w:pPr>
            <w:r>
              <w:rPr/>
              <w:t xml:space="preserve">  </w:t>
            </w:r>
          </w:p>
        </w:tc>
      </w:tr>
      <w:tr>
        <w:trPr/>
        <w:tc>
          <w:tcPr>
            <w:tcW w:w="6755" w:type="dxa"/>
            <w:tcBorders/>
            <w:shd w:fill="FFFFFF" w:val="clear"/>
            <w:vAlign w:val="bottom"/>
          </w:tcPr>
          <w:p>
            <w:pPr>
              <w:pStyle w:val="TableContents"/>
              <w:spacing w:before="0" w:after="0"/>
              <w:ind w:left="0" w:right="0" w:firstLine="360"/>
              <w:jc w:val="left"/>
              <w:rPr/>
            </w:pPr>
            <w:r>
              <w:rPr>
                <w:rFonts w:ascii="helvetica" w:hAnsi="helvetica"/>
                <w:sz w:val="20"/>
              </w:rPr>
              <w:t>Furniture and Equipment</w:t>
            </w:r>
            <w:r>
              <w:rPr/>
              <w:t xml:space="preserve"> </w:t>
            </w:r>
          </w:p>
        </w:tc>
        <w:tc>
          <w:tcPr>
            <w:tcW w:w="125" w:type="dxa"/>
            <w:tcBorders/>
            <w:shd w:fill="FFFFFF" w:val="clear"/>
            <w:vAlign w:val="bottom"/>
          </w:tcPr>
          <w:p>
            <w:pPr>
              <w:pStyle w:val="TableContents"/>
              <w:spacing w:before="0" w:after="283"/>
              <w:rPr/>
            </w:pPr>
            <w:r>
              <w:rPr/>
              <w:t xml:space="preserve">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8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8,967</w:t>
            </w:r>
            <w:r>
              <w:rPr/>
              <w:t xml:space="preserve"> </w:t>
            </w:r>
          </w:p>
        </w:tc>
        <w:tc>
          <w:tcPr>
            <w:tcW w:w="194"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rPr/>
            </w:pPr>
            <w:r>
              <w:rPr/>
              <w:t xml:space="preserve">  </w:t>
            </w:r>
          </w:p>
        </w:tc>
        <w:tc>
          <w:tcPr>
            <w:tcW w:w="502"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940"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96" w:type="dxa"/>
            <w:tcBorders/>
            <w:shd w:fill="FFFFFF" w:val="clear"/>
            <w:vAlign w:val="bottom"/>
          </w:tcPr>
          <w:p>
            <w:pPr>
              <w:pStyle w:val="TableContents"/>
              <w:spacing w:before="0" w:after="283"/>
              <w:jc w:val="left"/>
              <w:rPr/>
            </w:pPr>
            <w:r>
              <w:rPr/>
              <w:t xml:space="preserve">  </w:t>
            </w:r>
          </w:p>
        </w:tc>
      </w:tr>
      <w:tr>
        <w:trPr/>
        <w:tc>
          <w:tcPr>
            <w:tcW w:w="675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xml:space="preserve">  </w:t>
            </w:r>
          </w:p>
        </w:tc>
        <w:tc>
          <w:tcPr>
            <w:tcW w:w="181" w:type="dxa"/>
            <w:tcBorders/>
            <w:shd w:fill="CCEEFF" w:val="clear"/>
            <w:vAlign w:val="bottom"/>
          </w:tcPr>
          <w:p>
            <w:pPr>
              <w:pStyle w:val="TableContents"/>
              <w:spacing w:before="0" w:after="283"/>
              <w:jc w:val="left"/>
              <w:rPr/>
            </w:pPr>
            <w:r>
              <w:rPr/>
              <w:t xml:space="preserve">  </w:t>
            </w:r>
          </w:p>
        </w:tc>
        <w:tc>
          <w:tcPr>
            <w:tcW w:w="1187" w:type="dxa"/>
            <w:tcBorders/>
            <w:shd w:fill="CCEEFF" w:val="clear"/>
            <w:vAlign w:val="bottom"/>
          </w:tcPr>
          <w:p>
            <w:pPr>
              <w:pStyle w:val="TableContents"/>
              <w:spacing w:before="0" w:after="283"/>
              <w:jc w:val="right"/>
              <w:rPr/>
            </w:pPr>
            <w:r>
              <w:rPr>
                <w:rFonts w:ascii="helvetica" w:hAnsi="helvetica"/>
                <w:sz w:val="20"/>
              </w:rPr>
              <w:t>15,308</w:t>
            </w:r>
            <w:r>
              <w:rPr/>
              <w:t xml:space="preserve"> </w:t>
            </w:r>
          </w:p>
        </w:tc>
        <w:tc>
          <w:tcPr>
            <w:tcW w:w="194" w:type="dxa"/>
            <w:tcBorders/>
            <w:shd w:fill="CCEEFF" w:val="clear"/>
            <w:vAlign w:val="bottom"/>
          </w:tcPr>
          <w:p>
            <w:pPr>
              <w:pStyle w:val="TableContents"/>
              <w:spacing w:before="0" w:after="283"/>
              <w:jc w:val="left"/>
              <w:rPr/>
            </w:pPr>
            <w:r>
              <w:rPr/>
              <w:t xml:space="preserve">  </w:t>
            </w:r>
          </w:p>
        </w:tc>
        <w:tc>
          <w:tcPr>
            <w:tcW w:w="125" w:type="dxa"/>
            <w:tcBorders/>
            <w:shd w:fill="CCEEFF" w:val="clear"/>
            <w:vAlign w:val="bottom"/>
          </w:tcPr>
          <w:p>
            <w:pPr>
              <w:pStyle w:val="TableContents"/>
              <w:spacing w:before="0" w:after="283"/>
              <w:rPr/>
            </w:pPr>
            <w:r>
              <w:rPr/>
              <w:t xml:space="preserve">  </w:t>
            </w:r>
          </w:p>
        </w:tc>
        <w:tc>
          <w:tcPr>
            <w:tcW w:w="502" w:type="dxa"/>
            <w:tcBorders/>
            <w:shd w:fill="CCEEFF" w:val="clear"/>
            <w:vAlign w:val="bottom"/>
          </w:tcPr>
          <w:p>
            <w:pPr>
              <w:pStyle w:val="TableContents"/>
              <w:spacing w:before="0" w:after="283"/>
              <w:jc w:val="left"/>
              <w:rPr/>
            </w:pPr>
            <w:r>
              <w:rPr/>
              <w:t xml:space="preserve">  </w:t>
            </w:r>
          </w:p>
        </w:tc>
        <w:tc>
          <w:tcPr>
            <w:tcW w:w="940" w:type="dxa"/>
            <w:tcBorders/>
            <w:shd w:fill="CCEEFF" w:val="clear"/>
            <w:vAlign w:val="bottom"/>
          </w:tcPr>
          <w:p>
            <w:pPr>
              <w:pStyle w:val="TableContents"/>
              <w:spacing w:before="0" w:after="283"/>
              <w:jc w:val="right"/>
              <w:rPr/>
            </w:pPr>
            <w:r>
              <w:rPr/>
              <w:t xml:space="preserve">  </w:t>
            </w:r>
          </w:p>
        </w:tc>
        <w:tc>
          <w:tcPr>
            <w:tcW w:w="196" w:type="dxa"/>
            <w:tcBorders/>
            <w:shd w:fill="CCEEFF" w:val="clear"/>
            <w:vAlign w:val="bottom"/>
          </w:tcPr>
          <w:p>
            <w:pPr>
              <w:pStyle w:val="TableContents"/>
              <w:spacing w:before="0" w:after="283"/>
              <w:jc w:val="left"/>
              <w:rPr/>
            </w:pPr>
            <w:r>
              <w:rPr/>
              <w:t xml:space="preserve">  </w:t>
            </w:r>
          </w:p>
        </w:tc>
      </w:tr>
      <w:tr>
        <w:trPr/>
        <w:tc>
          <w:tcPr>
            <w:tcW w:w="6755" w:type="dxa"/>
            <w:tcBorders/>
            <w:shd w:fill="FFFFFF" w:val="clear"/>
            <w:vAlign w:val="bottom"/>
          </w:tcPr>
          <w:p>
            <w:pPr>
              <w:pStyle w:val="TableContents"/>
              <w:spacing w:before="0" w:after="0"/>
              <w:ind w:left="0" w:right="0" w:hanging="0"/>
              <w:jc w:val="left"/>
              <w:rPr/>
            </w:pPr>
            <w:r>
              <w:rPr/>
              <w:t>  </w:t>
            </w:r>
            <w:r>
              <w:rPr>
                <w:rFonts w:ascii="helvetica" w:hAnsi="helvetica"/>
                <w:sz w:val="20"/>
              </w:rPr>
              <w:t>Accumulated Depreciation</w:t>
            </w:r>
            <w:r>
              <w:rPr/>
              <w:t xml:space="preserve"> </w:t>
            </w:r>
          </w:p>
        </w:tc>
        <w:tc>
          <w:tcPr>
            <w:tcW w:w="125" w:type="dxa"/>
            <w:tcBorders/>
            <w:shd w:fill="FFFFFF" w:val="clear"/>
            <w:vAlign w:val="bottom"/>
          </w:tcPr>
          <w:p>
            <w:pPr>
              <w:pStyle w:val="TableContents"/>
              <w:spacing w:before="0" w:after="283"/>
              <w:rPr/>
            </w:pPr>
            <w:r>
              <w:rPr/>
              <w:t xml:space="preserve">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8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(1,247</w:t>
            </w:r>
            <w:r>
              <w:rPr/>
              <w:t xml:space="preserve"> </w:t>
            </w:r>
          </w:p>
        </w:tc>
        <w:tc>
          <w:tcPr>
            <w:tcW w:w="194"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25" w:type="dxa"/>
            <w:tcBorders/>
            <w:shd w:fill="FFFFFF" w:val="clear"/>
            <w:vAlign w:val="bottom"/>
          </w:tcPr>
          <w:p>
            <w:pPr>
              <w:pStyle w:val="TableContents"/>
              <w:spacing w:before="0" w:after="283"/>
              <w:rPr/>
            </w:pPr>
            <w:r>
              <w:rPr/>
              <w:t xml:space="preserve">  </w:t>
            </w:r>
          </w:p>
        </w:tc>
        <w:tc>
          <w:tcPr>
            <w:tcW w:w="502"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940"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96" w:type="dxa"/>
            <w:tcBorders/>
            <w:shd w:fill="FFFFFF" w:val="clear"/>
            <w:vAlign w:val="bottom"/>
          </w:tcPr>
          <w:p>
            <w:pPr>
              <w:pStyle w:val="TableContents"/>
              <w:spacing w:before="0" w:after="283"/>
              <w:jc w:val="left"/>
              <w:rPr/>
            </w:pPr>
            <w:r>
              <w:rPr/>
              <w:t xml:space="preserve">  </w:t>
            </w:r>
          </w:p>
        </w:tc>
      </w:tr>
      <w:tr>
        <w:trPr/>
        <w:tc>
          <w:tcPr>
            <w:tcW w:w="675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xml:space="preserve">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187"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14,061</w:t>
            </w:r>
            <w:r>
              <w:rPr/>
              <w:t xml:space="preserve"> </w:t>
            </w:r>
          </w:p>
        </w:tc>
        <w:tc>
          <w:tcPr>
            <w:tcW w:w="194" w:type="dxa"/>
            <w:tcBorders/>
            <w:shd w:fill="CCEEFF" w:val="clear"/>
            <w:vAlign w:val="bottom"/>
          </w:tcPr>
          <w:p>
            <w:pPr>
              <w:pStyle w:val="TableContents"/>
              <w:spacing w:before="0" w:after="283"/>
              <w:jc w:val="left"/>
              <w:rPr/>
            </w:pPr>
            <w:r>
              <w:rPr/>
              <w:t xml:space="preserve">  </w:t>
            </w:r>
          </w:p>
        </w:tc>
        <w:tc>
          <w:tcPr>
            <w:tcW w:w="125" w:type="dxa"/>
            <w:tcBorders/>
            <w:shd w:fill="CCEEFF" w:val="clear"/>
            <w:vAlign w:val="bottom"/>
          </w:tcPr>
          <w:p>
            <w:pPr>
              <w:pStyle w:val="TableContents"/>
              <w:spacing w:before="0" w:after="283"/>
              <w:rPr/>
            </w:pPr>
            <w:r>
              <w:rPr/>
              <w:t xml:space="preserve">  </w:t>
            </w:r>
          </w:p>
        </w:tc>
        <w:tc>
          <w:tcPr>
            <w:tcW w:w="502"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40"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96"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2" w:name="PGBRK78"/>
      <w:bookmarkStart w:id="953" w:name="PGBRK78"/>
      <w:bookmarkEnd w:id="9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4" w:name="FTR78"/>
      <w:bookmarkStart w:id="955" w:name="FTR78"/>
      <w:bookmarkEnd w:id="9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6" w:name="GLFTR77"/>
      <w:bookmarkEnd w:id="9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57" w:name="PN77"/>
      <w:bookmarkEnd w:id="957"/>
      <w:r>
        <w:rPr>
          <w:rFonts w:ascii="Helvetica" w:hAnsi="Helvetica"/>
          <w:sz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8" w:name="HDR77"/>
      <w:bookmarkStart w:id="959" w:name="HDR77"/>
      <w:bookmarkEnd w:id="9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0" w:name="GLHDR77"/>
      <w:bookmarkEnd w:id="9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sz w:val="20"/>
        </w:rPr>
        <w:t>During the three and six months ended June 30, 2012, the Company recorded depreciation expenses of $843 and $1,247, respectively, and during the three and six months ended June 30, 2011, the Company recorded depreciation expenses of $74 and $338, respectively.</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b/>
          <w:sz w:val="20"/>
        </w:rPr>
        <w:t>Deferred Offering Costs</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On July 25, 2012, the Company filed with the Securities and Exchange Commission a registration statement in connection with a proposed offering of its securities.  At June 30, 2012, the Company had deferred offering costs of $117,732 for legal, accounting and other expenses directly related to the proposed offering.  Any cash proceeds to the Company arising from the proposed offering will be netted against these deferred offering costs and any future cost directly associated with the offering.  There is no obligation to consummate an offering and an offering may not occur.</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b/>
          <w:sz w:val="20"/>
        </w:rPr>
        <w:t>Deferred Rent</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 The deferred rent balance at June 30, 2012 was $991 and is included in accounts payable and accrued expenses in the accompanying unaudited condensed consolidated balance sheet.</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b/>
          <w:sz w:val="20"/>
        </w:rPr>
        <w:t>Fair Value Measurements</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r>
        <w:rPr/>
        <w:t xml:space="preserve">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both"/>
              <w:rPr/>
            </w:pPr>
            <w:r>
              <w:rPr/>
              <w:t xml:space="preserve">● </w:t>
            </w:r>
          </w:p>
        </w:tc>
        <w:tc>
          <w:tcPr>
            <w:tcW w:w="9814" w:type="dxa"/>
            <w:tcBorders/>
            <w:shd w:fill="auto" w:val="clear"/>
          </w:tcPr>
          <w:p>
            <w:pPr>
              <w:pStyle w:val="TableContents"/>
              <w:spacing w:before="0" w:after="0"/>
              <w:ind w:left="0" w:right="0" w:hanging="0"/>
              <w:jc w:val="both"/>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r>
              <w:rPr/>
              <w:t xml:space="preserve"> </w:t>
            </w:r>
          </w:p>
        </w:tc>
      </w:tr>
      <w:tr>
        <w:trPr/>
        <w:tc>
          <w:tcPr>
            <w:tcW w:w="391" w:type="dxa"/>
            <w:tcBorders/>
            <w:shd w:fill="auto" w:val="clear"/>
          </w:tcPr>
          <w:p>
            <w:pPr>
              <w:pStyle w:val="TableContents"/>
              <w:spacing w:before="0" w:after="0"/>
              <w:ind w:left="0" w:right="0" w:hanging="0"/>
              <w:jc w:val="both"/>
              <w:rPr/>
            </w:pPr>
            <w:r>
              <w:rPr/>
              <w:t xml:space="preserve">● </w:t>
            </w:r>
          </w:p>
        </w:tc>
        <w:tc>
          <w:tcPr>
            <w:tcW w:w="9814" w:type="dxa"/>
            <w:tcBorders/>
            <w:shd w:fill="auto" w:val="clear"/>
          </w:tcPr>
          <w:p>
            <w:pPr>
              <w:pStyle w:val="TableContents"/>
              <w:spacing w:before="0" w:after="0"/>
              <w:ind w:left="0" w:right="0" w:hanging="0"/>
              <w:jc w:val="both"/>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r>
              <w:rPr/>
              <w:t xml:space="preserve"> </w:t>
            </w:r>
          </w:p>
        </w:tc>
      </w:tr>
      <w:tr>
        <w:trPr/>
        <w:tc>
          <w:tcPr>
            <w:tcW w:w="391" w:type="dxa"/>
            <w:tcBorders/>
            <w:shd w:fill="auto" w:val="clear"/>
          </w:tcPr>
          <w:p>
            <w:pPr>
              <w:pStyle w:val="TableContents"/>
              <w:spacing w:before="0" w:after="0"/>
              <w:ind w:left="0" w:right="0" w:hanging="0"/>
              <w:jc w:val="both"/>
              <w:rPr/>
            </w:pPr>
            <w:r>
              <w:rPr/>
              <w:t xml:space="preserve">● </w:t>
            </w:r>
          </w:p>
        </w:tc>
        <w:tc>
          <w:tcPr>
            <w:tcW w:w="9814" w:type="dxa"/>
            <w:tcBorders/>
            <w:shd w:fill="auto" w:val="clear"/>
          </w:tcPr>
          <w:p>
            <w:pPr>
              <w:pStyle w:val="TableContents"/>
              <w:spacing w:before="0" w:after="0"/>
              <w:ind w:left="0" w:right="0" w:hanging="0"/>
              <w:jc w:val="both"/>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r>
              <w:rPr/>
              <w:t xml:space="preserve"> </w:t>
            </w:r>
          </w:p>
        </w:tc>
      </w:tr>
    </w:tbl>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The fair values of the Company’s cash and cash equivalents, accounts payable, and accrued expenses approximate carrying values due to their short term maturities.</w:t>
      </w:r>
      <w:r>
        <w:rPr/>
        <w:t xml:space="preserve"> </w:t>
      </w:r>
    </w:p>
    <w:p>
      <w:pPr>
        <w:pStyle w:val="TextBody"/>
        <w:spacing w:before="0" w:after="0"/>
        <w:ind w:left="0" w:right="0" w:hanging="0"/>
        <w:jc w:val="both"/>
        <w:rPr/>
      </w:pPr>
      <w:r>
        <w:rPr/>
        <w:t> </w:t>
      </w:r>
    </w:p>
    <w:p>
      <w:pPr>
        <w:pStyle w:val="TextBody"/>
        <w:spacing w:before="0" w:after="0"/>
        <w:ind w:left="0" w:right="0" w:hanging="0"/>
        <w:jc w:val="left"/>
        <w:rPr/>
      </w:pPr>
      <w:r>
        <w:rPr>
          <w:rFonts w:ascii="helvetica" w:hAnsi="helvetica"/>
          <w:b/>
          <w:sz w:val="20"/>
        </w:rPr>
        <w:t>Beneficial Conversion Features and Debt Discounts</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sz w:val="20"/>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r>
        <w:rPr/>
        <w:t xml:space="preserve"> </w:t>
      </w:r>
    </w:p>
    <w:p>
      <w:pPr>
        <w:pStyle w:val="TextBody"/>
        <w:spacing w:before="0" w:after="0"/>
        <w:ind w:left="0" w:right="0" w:hanging="0"/>
        <w:rPr/>
      </w:pPr>
      <w:r>
        <w:rPr/>
        <w:t> </w:t>
      </w:r>
    </w:p>
    <w:p>
      <w:pPr>
        <w:pStyle w:val="TextBody"/>
        <w:spacing w:before="0" w:after="0"/>
        <w:ind w:left="0" w:right="0" w:hanging="0"/>
        <w:jc w:val="left"/>
        <w:rPr/>
      </w:pPr>
      <w:r>
        <w:rPr>
          <w:rFonts w:ascii="helvetica" w:hAnsi="helvetica"/>
          <w:b/>
          <w:sz w:val="20"/>
        </w:rPr>
        <w:t>Stock-Based Compensation</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All share-based payments to employees, including grants of stock options to employees, directors and consultants and restricted stock grants, are recognized in the financial statements based upon their fair values.</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The Company recorded stock-based compensation related to equity instruments granted to employees, directors and consultants as follows:</w:t>
      </w:r>
      <w:r>
        <w:rPr/>
        <w:t xml:space="preserve">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655"/>
        <w:gridCol w:w="105"/>
        <w:gridCol w:w="133"/>
        <w:gridCol w:w="1024"/>
        <w:gridCol w:w="131"/>
        <w:gridCol w:w="105"/>
        <w:gridCol w:w="133"/>
        <w:gridCol w:w="977"/>
        <w:gridCol w:w="140"/>
        <w:gridCol w:w="105"/>
        <w:gridCol w:w="133"/>
        <w:gridCol w:w="1024"/>
        <w:gridCol w:w="131"/>
        <w:gridCol w:w="105"/>
        <w:gridCol w:w="133"/>
        <w:gridCol w:w="1024"/>
        <w:gridCol w:w="147"/>
      </w:tblGrid>
      <w:tr>
        <w:trPr/>
        <w:tc>
          <w:tcPr>
            <w:tcW w:w="465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shd w:fill="auto" w:val="clear"/>
            <w:vAlign w:val="bottom"/>
          </w:tcPr>
          <w:p>
            <w:pPr>
              <w:pStyle w:val="TableContents"/>
              <w:spacing w:before="0" w:after="0"/>
              <w:ind w:left="0" w:right="0" w:hanging="0"/>
              <w:jc w:val="center"/>
              <w:rPr/>
            </w:pPr>
            <w:r>
              <w:rPr>
                <w:rFonts w:ascii="helvetica" w:hAnsi="helvetica"/>
                <w:b/>
                <w:sz w:val="16"/>
              </w:rPr>
              <w:t>For The Three</w:t>
            </w:r>
            <w:r>
              <w:rPr/>
              <w:t xml:space="preserve"> </w:t>
            </w:r>
          </w:p>
        </w:tc>
        <w:tc>
          <w:tcPr>
            <w:tcW w:w="131"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10" w:type="dxa"/>
            <w:gridSpan w:val="2"/>
            <w:tcBorders/>
            <w:shd w:fill="auto" w:val="clear"/>
            <w:vAlign w:val="bottom"/>
          </w:tcPr>
          <w:p>
            <w:pPr>
              <w:pStyle w:val="TableContents"/>
              <w:spacing w:before="0" w:after="0"/>
              <w:ind w:left="0" w:right="0" w:hanging="0"/>
              <w:jc w:val="center"/>
              <w:rPr/>
            </w:pPr>
            <w:r>
              <w:rPr>
                <w:rFonts w:ascii="helvetica" w:hAnsi="helvetica"/>
                <w:b/>
                <w:sz w:val="16"/>
              </w:rPr>
              <w:t>For The Three</w:t>
            </w:r>
            <w:r>
              <w:rPr/>
              <w:t xml:space="preserve"> </w:t>
            </w:r>
          </w:p>
        </w:tc>
        <w:tc>
          <w:tcPr>
            <w:tcW w:w="140"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shd w:fill="auto" w:val="clear"/>
            <w:vAlign w:val="bottom"/>
          </w:tcPr>
          <w:p>
            <w:pPr>
              <w:pStyle w:val="TableContents"/>
              <w:spacing w:before="0" w:after="0"/>
              <w:ind w:left="0" w:right="0" w:hanging="0"/>
              <w:jc w:val="center"/>
              <w:rPr/>
            </w:pPr>
            <w:r>
              <w:rPr>
                <w:rFonts w:ascii="helvetica" w:hAnsi="helvetica"/>
                <w:b/>
                <w:sz w:val="16"/>
              </w:rPr>
              <w:t>For The Six</w:t>
            </w:r>
            <w:r>
              <w:rPr/>
              <w:t xml:space="preserve"> </w:t>
            </w:r>
          </w:p>
        </w:tc>
        <w:tc>
          <w:tcPr>
            <w:tcW w:w="131"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shd w:fill="auto" w:val="clear"/>
            <w:vAlign w:val="bottom"/>
          </w:tcPr>
          <w:p>
            <w:pPr>
              <w:pStyle w:val="TableContents"/>
              <w:spacing w:before="0" w:after="0"/>
              <w:ind w:left="0" w:right="0" w:hanging="0"/>
              <w:jc w:val="center"/>
              <w:rPr/>
            </w:pPr>
            <w:r>
              <w:rPr>
                <w:rFonts w:ascii="helvetica" w:hAnsi="helvetica"/>
                <w:b/>
                <w:sz w:val="16"/>
              </w:rPr>
              <w:t>For The Six</w:t>
            </w:r>
            <w:r>
              <w:rPr/>
              <w:t xml:space="preserve"> </w:t>
            </w:r>
          </w:p>
        </w:tc>
        <w:tc>
          <w:tcPr>
            <w:tcW w:w="147" w:type="dxa"/>
            <w:tcBorders/>
            <w:shd w:fill="auto" w:val="clear"/>
            <w:vAlign w:val="bottom"/>
          </w:tcPr>
          <w:p>
            <w:pPr>
              <w:pStyle w:val="TableContents"/>
              <w:spacing w:before="0" w:after="283"/>
              <w:jc w:val="left"/>
              <w:rPr/>
            </w:pPr>
            <w:r>
              <w:rPr/>
              <w:t xml:space="preserve">  </w:t>
            </w:r>
          </w:p>
        </w:tc>
      </w:tr>
      <w:tr>
        <w:trPr/>
        <w:tc>
          <w:tcPr>
            <w:tcW w:w="465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shd w:fill="auto" w:val="clear"/>
            <w:vAlign w:val="bottom"/>
          </w:tcPr>
          <w:p>
            <w:pPr>
              <w:pStyle w:val="TableContents"/>
              <w:spacing w:before="0" w:after="0"/>
              <w:ind w:left="0" w:right="0" w:hanging="0"/>
              <w:jc w:val="center"/>
              <w:rPr/>
            </w:pPr>
            <w:r>
              <w:rPr>
                <w:rFonts w:ascii="helvetica" w:hAnsi="helvetica"/>
                <w:b/>
                <w:sz w:val="16"/>
              </w:rPr>
              <w:t>Months Ended</w:t>
            </w:r>
            <w:r>
              <w:rPr/>
              <w:t xml:space="preserve"> </w:t>
            </w:r>
          </w:p>
        </w:tc>
        <w:tc>
          <w:tcPr>
            <w:tcW w:w="131"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10" w:type="dxa"/>
            <w:gridSpan w:val="2"/>
            <w:tcBorders/>
            <w:shd w:fill="auto" w:val="clear"/>
            <w:vAlign w:val="bottom"/>
          </w:tcPr>
          <w:p>
            <w:pPr>
              <w:pStyle w:val="TableContents"/>
              <w:spacing w:before="0" w:after="0"/>
              <w:ind w:left="0" w:right="0" w:hanging="0"/>
              <w:jc w:val="center"/>
              <w:rPr/>
            </w:pPr>
            <w:r>
              <w:rPr>
                <w:rFonts w:ascii="helvetica" w:hAnsi="helvetica"/>
                <w:b/>
                <w:sz w:val="16"/>
              </w:rPr>
              <w:t>Months Ended</w:t>
            </w:r>
            <w:r>
              <w:rPr/>
              <w:t xml:space="preserve"> </w:t>
            </w:r>
          </w:p>
        </w:tc>
        <w:tc>
          <w:tcPr>
            <w:tcW w:w="140"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shd w:fill="auto" w:val="clear"/>
            <w:vAlign w:val="bottom"/>
          </w:tcPr>
          <w:p>
            <w:pPr>
              <w:pStyle w:val="TableContents"/>
              <w:spacing w:before="0" w:after="0"/>
              <w:ind w:left="0" w:right="0" w:hanging="0"/>
              <w:jc w:val="center"/>
              <w:rPr/>
            </w:pPr>
            <w:r>
              <w:rPr>
                <w:rFonts w:ascii="helvetica" w:hAnsi="helvetica"/>
                <w:b/>
                <w:sz w:val="16"/>
              </w:rPr>
              <w:t>Months Ended</w:t>
            </w:r>
            <w:r>
              <w:rPr/>
              <w:t xml:space="preserve"> </w:t>
            </w:r>
          </w:p>
        </w:tc>
        <w:tc>
          <w:tcPr>
            <w:tcW w:w="131"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shd w:fill="auto" w:val="clear"/>
            <w:vAlign w:val="bottom"/>
          </w:tcPr>
          <w:p>
            <w:pPr>
              <w:pStyle w:val="TableContents"/>
              <w:spacing w:before="0" w:after="0"/>
              <w:ind w:left="0" w:right="0" w:hanging="0"/>
              <w:jc w:val="center"/>
              <w:rPr/>
            </w:pPr>
            <w:r>
              <w:rPr>
                <w:rFonts w:ascii="helvetica" w:hAnsi="helvetica"/>
                <w:b/>
                <w:sz w:val="16"/>
              </w:rPr>
              <w:t>Months Ended</w:t>
            </w:r>
            <w:r>
              <w:rPr/>
              <w:t xml:space="preserve"> </w:t>
            </w:r>
          </w:p>
        </w:tc>
        <w:tc>
          <w:tcPr>
            <w:tcW w:w="147" w:type="dxa"/>
            <w:tcBorders/>
            <w:shd w:fill="auto" w:val="clear"/>
            <w:vAlign w:val="bottom"/>
          </w:tcPr>
          <w:p>
            <w:pPr>
              <w:pStyle w:val="TableContents"/>
              <w:spacing w:before="0" w:after="283"/>
              <w:jc w:val="left"/>
              <w:rPr/>
            </w:pPr>
            <w:r>
              <w:rPr/>
              <w:t xml:space="preserve">  </w:t>
            </w:r>
          </w:p>
        </w:tc>
      </w:tr>
      <w:tr>
        <w:trPr/>
        <w:tc>
          <w:tcPr>
            <w:tcW w:w="465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June 30, 2012</w:t>
            </w:r>
            <w:r>
              <w:rPr/>
              <w:t xml:space="preserve"> </w:t>
            </w:r>
          </w:p>
        </w:tc>
        <w:tc>
          <w:tcPr>
            <w:tcW w:w="131"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June 30, 2011</w:t>
            </w:r>
            <w:r>
              <w:rPr/>
              <w:t xml:space="preserve"> </w:t>
            </w:r>
          </w:p>
        </w:tc>
        <w:tc>
          <w:tcPr>
            <w:tcW w:w="140"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June 30, 2012</w:t>
            </w:r>
            <w:r>
              <w:rPr/>
              <w:t xml:space="preserve"> </w:t>
            </w:r>
          </w:p>
        </w:tc>
        <w:tc>
          <w:tcPr>
            <w:tcW w:w="131"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1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June 30, 2011</w:t>
            </w:r>
            <w:r>
              <w:rPr/>
              <w:t xml:space="preserve"> </w:t>
            </w:r>
          </w:p>
        </w:tc>
        <w:tc>
          <w:tcPr>
            <w:tcW w:w="147" w:type="dxa"/>
            <w:tcBorders/>
            <w:shd w:fill="auto"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0" w:right="0" w:hanging="0"/>
              <w:jc w:val="left"/>
              <w:rPr/>
            </w:pPr>
            <w:r>
              <w:rPr>
                <w:rFonts w:ascii="helvetica" w:hAnsi="helvetica"/>
                <w:sz w:val="20"/>
              </w:rPr>
              <w:t>Employees - selling, general and administrative</w:t>
            </w: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24" w:type="dxa"/>
            <w:tcBorders/>
            <w:shd w:fill="CCEEFF" w:val="clear"/>
            <w:vAlign w:val="bottom"/>
          </w:tcPr>
          <w:p>
            <w:pPr>
              <w:pStyle w:val="TableContents"/>
              <w:spacing w:before="0" w:after="283"/>
              <w:jc w:val="right"/>
              <w:rPr/>
            </w:pPr>
            <w:r>
              <w:rPr>
                <w:rFonts w:ascii="helvetica" w:hAnsi="helvetica"/>
                <w:sz w:val="20"/>
              </w:rPr>
              <w:t>115,634</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977" w:type="dxa"/>
            <w:tcBorders/>
            <w:shd w:fill="CCEEFF" w:val="clear"/>
            <w:vAlign w:val="bottom"/>
          </w:tcPr>
          <w:p>
            <w:pPr>
              <w:pStyle w:val="TableContents"/>
              <w:spacing w:before="0" w:after="283"/>
              <w:jc w:val="right"/>
              <w:rPr/>
            </w:pPr>
            <w:r>
              <w:rPr>
                <w:rFonts w:ascii="helvetica" w:hAnsi="helvetica"/>
                <w:sz w:val="20"/>
              </w:rPr>
              <w:t>27,059</w:t>
            </w: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24" w:type="dxa"/>
            <w:tcBorders/>
            <w:shd w:fill="CCEEFF" w:val="clear"/>
            <w:vAlign w:val="bottom"/>
          </w:tcPr>
          <w:p>
            <w:pPr>
              <w:pStyle w:val="TableContents"/>
              <w:spacing w:before="0" w:after="283"/>
              <w:jc w:val="right"/>
              <w:rPr/>
            </w:pPr>
            <w:r>
              <w:rPr>
                <w:rFonts w:ascii="helvetica" w:hAnsi="helvetica"/>
                <w:sz w:val="20"/>
              </w:rPr>
              <w:t>118,224</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24" w:type="dxa"/>
            <w:tcBorders/>
            <w:shd w:fill="CCEEFF" w:val="clear"/>
            <w:vAlign w:val="bottom"/>
          </w:tcPr>
          <w:p>
            <w:pPr>
              <w:pStyle w:val="TableContents"/>
              <w:spacing w:before="0" w:after="283"/>
              <w:jc w:val="right"/>
              <w:rPr/>
            </w:pPr>
            <w:r>
              <w:rPr>
                <w:rFonts w:ascii="helvetica" w:hAnsi="helvetica"/>
                <w:sz w:val="20"/>
              </w:rPr>
              <w:t>71,918</w:t>
            </w:r>
            <w:r>
              <w:rPr/>
              <w:t xml:space="preserve"> </w:t>
            </w:r>
          </w:p>
        </w:tc>
        <w:tc>
          <w:tcPr>
            <w:tcW w:w="147"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0"/>
              <w:ind w:left="0" w:right="0" w:hanging="0"/>
              <w:jc w:val="left"/>
              <w:rPr/>
            </w:pPr>
            <w:r>
              <w:rPr>
                <w:rFonts w:ascii="helvetica" w:hAnsi="helvetica"/>
                <w:sz w:val="20"/>
              </w:rPr>
              <w:t>Employees - research and development</w:t>
            </w: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1024" w:type="dxa"/>
            <w:tcBorders/>
            <w:shd w:fill="FFFFFF" w:val="clear"/>
            <w:vAlign w:val="bottom"/>
          </w:tcPr>
          <w:p>
            <w:pPr>
              <w:pStyle w:val="TableContents"/>
              <w:spacing w:before="0" w:after="283"/>
              <w:jc w:val="right"/>
              <w:rPr/>
            </w:pPr>
            <w:r>
              <w:rPr>
                <w:rFonts w:ascii="helvetica" w:hAnsi="helvetica"/>
                <w:sz w:val="20"/>
              </w:rPr>
              <w:t>40,866</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977" w:type="dxa"/>
            <w:tcBorders/>
            <w:shd w:fill="FFFFFF" w:val="clear"/>
            <w:vAlign w:val="bottom"/>
          </w:tcPr>
          <w:p>
            <w:pPr>
              <w:pStyle w:val="TableContents"/>
              <w:spacing w:before="0" w:after="283"/>
              <w:jc w:val="right"/>
              <w:rPr/>
            </w:pPr>
            <w:r>
              <w:rPr>
                <w:rFonts w:ascii="helvetica" w:hAnsi="helvetica"/>
                <w:sz w:val="20"/>
              </w:rPr>
              <w:t>19,388</w:t>
            </w: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1024" w:type="dxa"/>
            <w:tcBorders/>
            <w:shd w:fill="FFFFFF" w:val="clear"/>
            <w:vAlign w:val="bottom"/>
          </w:tcPr>
          <w:p>
            <w:pPr>
              <w:pStyle w:val="TableContents"/>
              <w:spacing w:before="0" w:after="283"/>
              <w:jc w:val="right"/>
              <w:rPr/>
            </w:pPr>
            <w:r>
              <w:rPr>
                <w:rFonts w:ascii="helvetica" w:hAnsi="helvetica"/>
                <w:sz w:val="20"/>
              </w:rPr>
              <w:t>82,412</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1024" w:type="dxa"/>
            <w:tcBorders/>
            <w:shd w:fill="FFFFFF" w:val="clear"/>
            <w:vAlign w:val="bottom"/>
          </w:tcPr>
          <w:p>
            <w:pPr>
              <w:pStyle w:val="TableContents"/>
              <w:spacing w:before="0" w:after="283"/>
              <w:jc w:val="right"/>
              <w:rPr/>
            </w:pPr>
            <w:r>
              <w:rPr>
                <w:rFonts w:ascii="helvetica" w:hAnsi="helvetica"/>
                <w:sz w:val="20"/>
              </w:rPr>
              <w:t>37,754</w:t>
            </w:r>
            <w:r>
              <w:rPr/>
              <w:t xml:space="preserve"> </w:t>
            </w:r>
          </w:p>
        </w:tc>
        <w:tc>
          <w:tcPr>
            <w:tcW w:w="147"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0" w:right="0" w:hanging="0"/>
              <w:jc w:val="left"/>
              <w:rPr/>
            </w:pPr>
            <w:r>
              <w:rPr>
                <w:rFonts w:ascii="helvetica" w:hAnsi="helvetica"/>
                <w:sz w:val="20"/>
              </w:rPr>
              <w:t>Directors - selling, general and administrative</w:t>
            </w: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1024" w:type="dxa"/>
            <w:tcBorders/>
            <w:shd w:fill="CCEEFF" w:val="clear"/>
            <w:vAlign w:val="bottom"/>
          </w:tcPr>
          <w:p>
            <w:pPr>
              <w:pStyle w:val="TableContents"/>
              <w:spacing w:before="0" w:after="283"/>
              <w:jc w:val="right"/>
              <w:rPr/>
            </w:pPr>
            <w:r>
              <w:rPr>
                <w:rFonts w:ascii="helvetica" w:hAnsi="helvetica"/>
                <w:sz w:val="20"/>
              </w:rPr>
              <w:t>493,047</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977" w:type="dxa"/>
            <w:tcBorders/>
            <w:shd w:fill="CCEEFF" w:val="clear"/>
            <w:vAlign w:val="bottom"/>
          </w:tcPr>
          <w:p>
            <w:pPr>
              <w:pStyle w:val="TableContents"/>
              <w:spacing w:before="0" w:after="283"/>
              <w:jc w:val="right"/>
              <w:rPr/>
            </w:pPr>
            <w:r>
              <w:rPr>
                <w:rFonts w:ascii="helvetica" w:hAnsi="helvetica"/>
                <w:sz w:val="20"/>
              </w:rPr>
              <w:t>(404</w:t>
            </w:r>
            <w:r>
              <w:rPr/>
              <w:t xml:space="preserve"> </w:t>
            </w:r>
          </w:p>
        </w:tc>
        <w:tc>
          <w:tcPr>
            <w:tcW w:w="14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1024" w:type="dxa"/>
            <w:tcBorders/>
            <w:shd w:fill="CCEEFF" w:val="clear"/>
            <w:vAlign w:val="bottom"/>
          </w:tcPr>
          <w:p>
            <w:pPr>
              <w:pStyle w:val="TableContents"/>
              <w:spacing w:before="0" w:after="283"/>
              <w:jc w:val="right"/>
              <w:rPr/>
            </w:pPr>
            <w:r>
              <w:rPr>
                <w:rFonts w:ascii="helvetica" w:hAnsi="helvetica"/>
                <w:sz w:val="20"/>
              </w:rPr>
              <w:t>567,415</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1024" w:type="dxa"/>
            <w:tcBorders/>
            <w:shd w:fill="CCEEFF" w:val="clear"/>
            <w:vAlign w:val="bottom"/>
          </w:tcPr>
          <w:p>
            <w:pPr>
              <w:pStyle w:val="TableContents"/>
              <w:spacing w:before="0" w:after="283"/>
              <w:jc w:val="right"/>
              <w:rPr/>
            </w:pPr>
            <w:r>
              <w:rPr>
                <w:rFonts w:ascii="helvetica" w:hAnsi="helvetica"/>
                <w:sz w:val="20"/>
              </w:rPr>
              <w:t>2,692</w:t>
            </w:r>
            <w:r>
              <w:rPr/>
              <w:t xml:space="preserve"> </w:t>
            </w:r>
          </w:p>
        </w:tc>
        <w:tc>
          <w:tcPr>
            <w:tcW w:w="147" w:type="dxa"/>
            <w:tcBorders/>
            <w:shd w:fill="CCEEFF" w:val="clear"/>
            <w:vAlign w:val="bottom"/>
          </w:tcPr>
          <w:p>
            <w:pPr>
              <w:pStyle w:val="TableContents"/>
              <w:spacing w:before="0" w:after="283"/>
              <w:jc w:val="left"/>
              <w:rPr/>
            </w:pPr>
            <w:r>
              <w:rPr/>
              <w:t xml:space="preserve">  </w:t>
            </w:r>
          </w:p>
        </w:tc>
      </w:tr>
      <w:tr>
        <w:trPr/>
        <w:tc>
          <w:tcPr>
            <w:tcW w:w="4655" w:type="dxa"/>
            <w:tcBorders/>
            <w:shd w:fill="FFFFFF" w:val="clear"/>
            <w:vAlign w:val="bottom"/>
          </w:tcPr>
          <w:p>
            <w:pPr>
              <w:pStyle w:val="TableContents"/>
              <w:spacing w:before="0" w:after="0"/>
              <w:ind w:left="0" w:right="0" w:hanging="0"/>
              <w:jc w:val="left"/>
              <w:rPr/>
            </w:pPr>
            <w:r>
              <w:rPr>
                <w:rFonts w:ascii="helvetica" w:hAnsi="helvetica"/>
                <w:sz w:val="20"/>
              </w:rPr>
              <w:t>Consultants - selling, general and administrative</w:t>
            </w: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79,987</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97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79,987</w:t>
            </w:r>
            <w:r>
              <w:rPr/>
              <w:t xml:space="preserve"> </w:t>
            </w:r>
          </w:p>
        </w:tc>
        <w:tc>
          <w:tcPr>
            <w:tcW w:w="131"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7" w:type="dxa"/>
            <w:tcBorders/>
            <w:shd w:fill="FFFFFF" w:val="clear"/>
            <w:vAlign w:val="bottom"/>
          </w:tcPr>
          <w:p>
            <w:pPr>
              <w:pStyle w:val="TableContents"/>
              <w:spacing w:before="0" w:after="283"/>
              <w:jc w:val="left"/>
              <w:rPr/>
            </w:pPr>
            <w:r>
              <w:rPr/>
              <w:t xml:space="preserve">  </w:t>
            </w:r>
          </w:p>
        </w:tc>
      </w:tr>
      <w:tr>
        <w:trPr/>
        <w:tc>
          <w:tcPr>
            <w:tcW w:w="4655" w:type="dxa"/>
            <w:tcBorders/>
            <w:shd w:fill="CCEEFF" w:val="clear"/>
            <w:vAlign w:val="bottom"/>
          </w:tcPr>
          <w:p>
            <w:pPr>
              <w:pStyle w:val="TableContents"/>
              <w:spacing w:before="0" w:after="0"/>
              <w:ind w:left="0" w:right="0" w:hanging="0"/>
              <w:jc w:val="right"/>
              <w:rPr/>
            </w:pPr>
            <w:r>
              <w:rPr>
                <w:rFonts w:ascii="helvetica" w:hAnsi="helvetica"/>
                <w:sz w:val="20"/>
              </w:rPr>
              <w:t>Total</w:t>
            </w: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2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729,534</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46,043</w:t>
            </w: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2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848,038</w:t>
            </w:r>
            <w:r>
              <w:rPr/>
              <w:t xml:space="preserve"> </w:t>
            </w:r>
          </w:p>
        </w:tc>
        <w:tc>
          <w:tcPr>
            <w:tcW w:w="131"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33"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2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112,364</w:t>
            </w:r>
            <w:r>
              <w:rPr/>
              <w:t xml:space="preserve"> </w:t>
            </w:r>
          </w:p>
        </w:tc>
        <w:tc>
          <w:tcPr>
            <w:tcW w:w="147"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rPr/>
      </w:pPr>
      <w:r>
        <w:rPr/>
        <w:t> </w:t>
      </w:r>
    </w:p>
    <w:p>
      <w:pPr>
        <w:pStyle w:val="TextBody"/>
        <w:spacing w:before="0" w:after="0"/>
        <w:ind w:left="0" w:right="0" w:hanging="0"/>
        <w:jc w:val="left"/>
        <w:rPr/>
      </w:pPr>
      <w:r>
        <w:rPr>
          <w:rFonts w:ascii="helvetica" w:hAnsi="helvetica"/>
          <w:b/>
          <w:sz w:val="20"/>
        </w:rPr>
        <w:t>Basic and Diluted Loss per Common Share</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Basic and diluted net loss applicable to common stock per share is computed using the weighted average number of common shares outstanding during the period. Common stock equivalents (prior to application of the treasury stock or, “if converted” method) from convertible notes, preferred stock, stock options and warrants were 7,384,933 and 437,233 at June 30, 2012 and 2011, respectively, and are excluded from the calculation of diluted net loss per share for all periods presented because the effect is anti-dilutive.</w:t>
      </w:r>
      <w:r>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1" w:name="PGBRK79"/>
      <w:bookmarkStart w:id="962" w:name="PGBRK79"/>
      <w:bookmarkEnd w:id="9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3" w:name="FTR79"/>
      <w:bookmarkStart w:id="964" w:name="FTR79"/>
      <w:bookmarkEnd w:id="9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5" w:name="GLFTR78"/>
      <w:bookmarkEnd w:id="9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66" w:name="PN78"/>
      <w:bookmarkEnd w:id="966"/>
      <w:r>
        <w:rPr>
          <w:rFonts w:ascii="Helvetica" w:hAnsi="Helvetica"/>
          <w:sz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7" w:name="HDR78"/>
      <w:bookmarkStart w:id="968" w:name="HDR78"/>
      <w:bookmarkEnd w:id="9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9" w:name="GLHDR78"/>
      <w:bookmarkEnd w:id="9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Use of Estimates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left"/>
        <w:rPr>
          <w:rFonts w:ascii="Helvetica" w:hAnsi="Helvetica"/>
          <w:b/>
          <w:sz w:val="20"/>
        </w:rPr>
      </w:pPr>
      <w:r>
        <w:rPr>
          <w:rFonts w:ascii="helvetica" w:hAnsi="helvetica"/>
          <w:b/>
          <w:sz w:val="20"/>
        </w:rPr>
        <w:t>Unaudited Pro Forma Stockholders’ Equity</w:t>
      </w:r>
      <w:r>
        <w:rPr>
          <w:rFonts w:ascii="Helvetica" w:hAnsi="Helvetica"/>
          <w:b/>
          <w:sz w:val="20"/>
        </w:rPr>
        <w:t xml:space="preserve"> </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val="false"/>
          <w:sz w:val="20"/>
        </w:rPr>
        <w:t>The Company has filed a registration statement on Form S-1 with the U.S. Securities and Exchange Commission in connection with a proposed public offering of its securities. If the offering contemplated by this registration statement is consummated, and the Company raises sufficient equity to meet the listing requirements of the NASDAQ Capital Market, the Company will effect a 1-for-5 reverse stock split of its common stock after the effectiveness of the registration statement and prior to the closing of the offering. The unaudited pro forma consolidated balance sheet as of June 30, 2012 gives effect to the assumed reverse stock split.</w:t>
      </w:r>
      <w:r>
        <w:rPr>
          <w:rFonts w:ascii="Helvetica" w:hAnsi="Helvetica"/>
          <w:b/>
          <w:sz w:val="20"/>
        </w:rPr>
        <w:t xml:space="preserve"> </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val="false"/>
          <w:sz w:val="20"/>
        </w:rPr>
        <w:t>Since the 1-for-5 reverse stock split is to be effected after the effectiveness of the registration statement, the historical share information included in the accompanying consolidated financial statements and notes hereto do not assume the reverse stock split, and accordingly, have not been adjusted.</w:t>
      </w:r>
      <w:r>
        <w:rPr>
          <w:rFonts w:ascii="Helvetica" w:hAnsi="Helvetica"/>
          <w:b/>
          <w:sz w:val="20"/>
        </w:rPr>
        <w:t xml:space="preserve"> </w:t>
      </w:r>
    </w:p>
    <w:p>
      <w:pPr>
        <w:pStyle w:val="TextBody"/>
        <w:spacing w:before="0" w:after="0"/>
        <w:rPr/>
      </w:pPr>
      <w:r>
        <w:rPr/>
        <w:t> </w:t>
      </w:r>
    </w:p>
    <w:p>
      <w:pPr>
        <w:pStyle w:val="TextBody"/>
        <w:spacing w:before="0" w:after="0"/>
        <w:rPr>
          <w:rFonts w:ascii="Helvetica" w:hAnsi="Helvetica"/>
          <w:b/>
          <w:sz w:val="20"/>
        </w:rPr>
      </w:pPr>
      <w:r>
        <w:rPr>
          <w:rFonts w:ascii="Helvetica" w:hAnsi="Helvetica"/>
          <w:b/>
          <w:sz w:val="20"/>
        </w:rPr>
        <w:t>NOTE 2.  GOING CONCERN</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accompanying unaudited condensed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significant revenues since July 24, 1998 (inception). In addition, the Company has a deficit accumulated during the development stage of approximately $21.4 million at June 30, 2012. These factors raise substantial doubt about the Company’s ability to continue as a going concern.</w:t>
      </w:r>
      <w:r>
        <w:rPr>
          <w:rFonts w:ascii="Helvetica" w:hAnsi="Helvetica"/>
          <w:sz w:val="20"/>
        </w:rPr>
        <w:t xml:space="preserve"> </w:t>
      </w:r>
    </w:p>
    <w:p>
      <w:pPr>
        <w:pStyle w:val="TextBody"/>
        <w:spacing w:before="0" w:after="0"/>
        <w:ind w:left="0" w:right="0" w:hanging="0"/>
        <w:jc w:val="both"/>
        <w:rPr>
          <w:rFonts w:ascii="Helvetica" w:hAnsi="Helvetica"/>
          <w:sz w:val="20"/>
        </w:rPr>
      </w:pPr>
      <w:r>
        <w:rPr>
          <w:rFonts w:ascii="Helvetica" w:hAnsi="Helvetica"/>
          <w:sz w:val="20"/>
        </w:rPr>
        <w:br/>
      </w:r>
      <w:r>
        <w:rPr>
          <w:rFonts w:ascii="helvetica" w:hAnsi="helvetica"/>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(formerly referred to as Ketotransdel), which are required by the U.S. Food and Drug Administration (“FDA”) to obtain final regulatory approval for Impracor, the Company will need to secure additional funds through various means, including equity and debt financing, funding from a corporate partnership or licensing arrangement or any similar financing.</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25, 2012, the Company closed a private placement with several accredited investors, whereby the Company issued an aggregate of 10,058,455 shares of common stock and warrants to purchase an aggregate of 2,514,642 shares of common stock, for proceeds, net of offering costs, to the Company of approximately $7.93 million.  The Company expects to use proceeds from this offering to fund its operations and begin additional clinical studies.  However, to fully execute on the Company’s business plan, management believes the Company will need to raise additional funds of not less than $7 million.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Company’s long term liquidity also depends upon its ability to generate revenues from the sale of its products and achieve profitability. The failure to raise needed funds on sufficiently favorable terms or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The Company has filed a registration statement in connection with a proposed public offering of its common stock, however, there is no assurance that sufficient financing from that offering, or other financings, will be available or, if available, on terms that would be acceptable to the Company.</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unaudited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r>
        <w:rPr>
          <w:rFonts w:ascii="Helvetica" w:hAnsi="Helvetica"/>
          <w:sz w:val="20"/>
        </w:rPr>
        <w:t xml:space="preserv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0" w:name="PGBRK80"/>
      <w:bookmarkStart w:id="971" w:name="PGBRK80"/>
      <w:bookmarkEnd w:id="9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2" w:name="FTR80"/>
      <w:bookmarkStart w:id="973" w:name="FTR80"/>
      <w:bookmarkEnd w:id="9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4" w:name="GLFTR79"/>
      <w:bookmarkEnd w:id="9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75" w:name="PN79"/>
      <w:bookmarkEnd w:id="975"/>
      <w:r>
        <w:rPr>
          <w:rFonts w:ascii="Helvetica" w:hAnsi="Helvetica"/>
          <w:sz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6" w:name="HDR79"/>
      <w:bookmarkStart w:id="977" w:name="HDR79"/>
      <w:bookmarkEnd w:id="9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8" w:name="GLHDR79"/>
      <w:bookmarkEnd w:id="9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NOTE 3.  BANKRUPTCY PETITION AND ASSET PURCHASE AGREEMENT</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4 and 5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r>
        <w:rPr>
          <w:rFonts w:ascii="Helvetica" w:hAnsi="Helvetica"/>
          <w:sz w:val="20"/>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9" w:name="PGBRK81"/>
      <w:bookmarkStart w:id="980" w:name="PGBRK81"/>
      <w:bookmarkEnd w:id="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1" w:name="FTR81"/>
      <w:bookmarkStart w:id="982" w:name="FTR81"/>
      <w:bookmarkEnd w:id="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3" w:name="GLFTR80"/>
      <w:bookmarkEnd w:id="9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84" w:name="PN80"/>
      <w:bookmarkEnd w:id="984"/>
      <w:r>
        <w:rPr>
          <w:rFonts w:ascii="Helvetica" w:hAnsi="Helvetica"/>
          <w:sz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5" w:name="HDR80"/>
      <w:bookmarkStart w:id="986" w:name="HDR80"/>
      <w:bookmarkEnd w:id="9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7" w:name="GLHDR80"/>
      <w:bookmarkEnd w:id="9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Helvetica" w:hAnsi="Helvetica"/>
          <w:b/>
          <w:sz w:val="20"/>
        </w:rPr>
      </w:pPr>
      <w:r>
        <w:rPr>
          <w:rFonts w:ascii="Helvetica" w:hAnsi="Helvetica"/>
          <w:b/>
          <w:sz w:val="20"/>
        </w:rPr>
        <w:t>NOTE 4.  NOTES PAYABLE – RELATED PARTY</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val="false"/>
          <w:sz w:val="20"/>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Esq., Chief Executive Officer and a director of the Company, were managing members and partial owners of DermaStar.  Subsequent to June 30, 2012, the Company was informed by DermaStar that it had dissolved and distributed all of its shares of the Company’s capital stock held by it to its members.  As a result of that dissolution and distribution, DermaStar is no longer a control person of the Company.</w:t>
      </w:r>
      <w:r>
        <w:rPr>
          <w:rFonts w:ascii="Helvetica" w:hAnsi="Helvetica"/>
          <w:b/>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April 5, 2010, the Company issued a Senior Convertible Promissory Note (the “Note”) to an existing investor through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$1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June 30, 2012 and December 31, 2011, respectively, and interest expense on the Note for the three and six months ended June 30, 2012 was $0 and $12,123, respectively, and for the three and six months ended June 30, 2011 was $18,698 and $37,191, respectively.  Following the Company’s bankruptcy petition filed June 26, 2011, as well as the change in ownership control following the issuance of Series A Convertible Preferred Stock, the entire unpaid principal sum of this Note, together with its accrued and unpaid interest became immediately due and payable.</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January 25, 2012, the Board of Directors of the Company approved, and the Company entered into, separate waiver and settlement agreements with the two parties holding the Note. DermaStar, a related party, had previously acquired 80% of the Note in a private transaction with Alexej Ladonnikov, the original purchaser of the Note. Mr. Ladonnikov then became the holder of 20% of the Note.</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Note related to the change of control that resulted from the sale of the Series A Convertible Preferred Stock.</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Pursuant to the terms of the waiver and settlement agreement by and between the Company and DermaStar (the “DermaStar Waiver Agreement”),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for such conversion. The AP Conversion was made at the DermaStar Conversion Price.</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issued 7,274,812 common shares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six months ended June 30, 2012.</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$0.12. Additionally, Mr. Ladonnikov agreed to make a one-time payment to the Company, at such time as the Note is converted into Company common stock, of $50,000.</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received payment from Mr. Ladonnikov of $50,000 and issued 1,904,338 common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six months ended June 30, 2012.</w:t>
      </w:r>
      <w:r>
        <w:rPr>
          <w:rFonts w:ascii="Helvetica" w:hAnsi="Helvetica"/>
          <w:sz w:val="20"/>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88" w:name="PGBRK82"/>
      <w:bookmarkStart w:id="989" w:name="PGBRK82"/>
      <w:bookmarkEnd w:id="9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0" w:name="FTR82"/>
      <w:bookmarkStart w:id="991" w:name="FTR82"/>
      <w:bookmarkEnd w:id="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2" w:name="GLFTR81"/>
      <w:bookmarkEnd w:id="9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93" w:name="PN81"/>
      <w:bookmarkEnd w:id="993"/>
      <w:r>
        <w:rPr>
          <w:rFonts w:ascii="Helvetica" w:hAnsi="Helvetica"/>
          <w:sz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4" w:name="HDR81"/>
      <w:bookmarkStart w:id="995" w:name="HDR81"/>
      <w:bookmarkEnd w:id="9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6" w:name="GLHDR81"/>
      <w:bookmarkEnd w:id="9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Secured Line of Credit – Related Party</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On November 21, 2011, the Company entered into a Secured Line of Credit Letter Agreement (the “Line of Credit Agreement”) with DermaStar.  The Line of Credit Agreement became effective on December 10, 2011, in connection with the dismissal of the Chapter 11 Case by the Bankruptcy Court.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had received advances totaling $750,000 and $300,000 up to April 25, 2012 (the date of the conversion thereof) and as of December 31, 2011, respectively.  The promissory notes accrued interest at 10% annually and had a maturity of one year after the effective dates of the applicable Advance.  There was no accrued interest on the promissory notes at June 30, 2012 and interest expense for the three and six months ended June 30, 2012 was $3,575 and $12,534, respectively.</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Units (as defined in Note 5) at a rate of $0.79 per Unit.  Pursuant to the Conversion Agreement, on April 25, 2012 and upon conversion of the outstanding principal balance and unpaid interest under the Line of Credit Agreement, DermaStar was issued a total of 965,233 shares of the Company’s common stock and a related warrant to purchase up to an additional 241,308 shares of the Company’s common stock.  The warrant has an exercise price of $1.185 per share and a three year term.  The Line of Credit Agreement has been terminated.</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valuation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is immediately convertible, the debt discount of $189,323 was immediately expensed as a loss on extinguishment of debt.</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950"/>
        <w:gridCol w:w="123"/>
        <w:gridCol w:w="254"/>
        <w:gridCol w:w="846"/>
        <w:gridCol w:w="164"/>
        <w:gridCol w:w="123"/>
        <w:gridCol w:w="168"/>
        <w:gridCol w:w="1383"/>
        <w:gridCol w:w="194"/>
      </w:tblGrid>
      <w:tr>
        <w:trPr/>
        <w:tc>
          <w:tcPr>
            <w:tcW w:w="6950"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1100" w:type="dxa"/>
            <w:gridSpan w:val="2"/>
            <w:tcBorders/>
            <w:shd w:fill="auto" w:val="clear"/>
            <w:vAlign w:val="bottom"/>
          </w:tcPr>
          <w:p>
            <w:pPr>
              <w:pStyle w:val="TableContents"/>
              <w:spacing w:before="0" w:after="0"/>
              <w:ind w:left="0" w:right="0" w:hanging="0"/>
              <w:jc w:val="center"/>
              <w:rPr/>
            </w:pPr>
            <w:r>
              <w:rPr>
                <w:rFonts w:ascii="helvetica" w:hAnsi="helvetica"/>
                <w:b/>
                <w:sz w:val="16"/>
              </w:rPr>
              <w:t>June 30,</w:t>
            </w:r>
            <w:r>
              <w:rPr/>
              <w:t xml:space="preserve"> </w:t>
            </w:r>
          </w:p>
        </w:tc>
        <w:tc>
          <w:tcPr>
            <w:tcW w:w="16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rPr/>
            </w:pPr>
            <w:r>
              <w:rPr/>
              <w:t xml:space="preserve">  </w:t>
            </w:r>
          </w:p>
        </w:tc>
        <w:tc>
          <w:tcPr>
            <w:tcW w:w="1551" w:type="dxa"/>
            <w:gridSpan w:val="2"/>
            <w:tcBorders/>
            <w:shd w:fill="auto" w:val="clear"/>
            <w:vAlign w:val="bottom"/>
          </w:tcPr>
          <w:p>
            <w:pPr>
              <w:pStyle w:val="TableContents"/>
              <w:spacing w:before="0" w:after="0"/>
              <w:ind w:left="0" w:right="0" w:hanging="0"/>
              <w:jc w:val="center"/>
              <w:rPr/>
            </w:pPr>
            <w:r>
              <w:rPr>
                <w:rFonts w:ascii="helvetica" w:hAnsi="helvetica"/>
                <w:b/>
                <w:sz w:val="16"/>
              </w:rPr>
              <w:t>December 31,</w:t>
            </w:r>
            <w:r>
              <w:rPr/>
              <w:t xml:space="preserve"> </w:t>
            </w:r>
          </w:p>
        </w:tc>
        <w:tc>
          <w:tcPr>
            <w:tcW w:w="194" w:type="dxa"/>
            <w:tcBorders/>
            <w:shd w:fill="auto" w:val="clear"/>
            <w:vAlign w:val="bottom"/>
          </w:tcPr>
          <w:p>
            <w:pPr>
              <w:pStyle w:val="TableContents"/>
              <w:spacing w:before="0" w:after="283"/>
              <w:jc w:val="left"/>
              <w:rPr/>
            </w:pPr>
            <w:r>
              <w:rPr/>
              <w:t xml:space="preserve">  </w:t>
            </w:r>
          </w:p>
        </w:tc>
      </w:tr>
      <w:tr>
        <w:trPr/>
        <w:tc>
          <w:tcPr>
            <w:tcW w:w="6950"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11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2012</w:t>
            </w:r>
            <w:r>
              <w:rPr/>
              <w:t xml:space="preserve"> </w:t>
            </w:r>
          </w:p>
        </w:tc>
        <w:tc>
          <w:tcPr>
            <w:tcW w:w="164" w:type="dxa"/>
            <w:tcBorders/>
            <w:shd w:fill="auto" w:val="clear"/>
            <w:vAlign w:val="bottom"/>
          </w:tcPr>
          <w:p>
            <w:pPr>
              <w:pStyle w:val="TableContents"/>
              <w:spacing w:before="0" w:after="283"/>
              <w:jc w:val="left"/>
              <w:rPr/>
            </w:pPr>
            <w:r>
              <w:rPr/>
              <w:t xml:space="preserve">  </w:t>
            </w:r>
          </w:p>
        </w:tc>
        <w:tc>
          <w:tcPr>
            <w:tcW w:w="123" w:type="dxa"/>
            <w:tcBorders/>
            <w:shd w:fill="auto" w:val="clear"/>
            <w:vAlign w:val="bottom"/>
          </w:tcPr>
          <w:p>
            <w:pPr>
              <w:pStyle w:val="TableContents"/>
              <w:spacing w:before="0" w:after="283"/>
              <w:rPr/>
            </w:pPr>
            <w:r>
              <w:rPr/>
              <w:t xml:space="preserve">  </w:t>
            </w:r>
          </w:p>
        </w:tc>
        <w:tc>
          <w:tcPr>
            <w:tcW w:w="15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2011</w:t>
            </w:r>
            <w:r>
              <w:rPr/>
              <w:t xml:space="preserve"> </w:t>
            </w:r>
          </w:p>
        </w:tc>
        <w:tc>
          <w:tcPr>
            <w:tcW w:w="194" w:type="dxa"/>
            <w:tcBorders/>
            <w:shd w:fill="auto" w:val="clear"/>
            <w:vAlign w:val="bottom"/>
          </w:tcPr>
          <w:p>
            <w:pPr>
              <w:pStyle w:val="TableContents"/>
              <w:spacing w:before="0" w:after="283"/>
              <w:jc w:val="left"/>
              <w:rPr/>
            </w:pPr>
            <w:r>
              <w:rPr/>
              <w:t xml:space="preserve">  </w:t>
            </w:r>
          </w:p>
        </w:tc>
      </w:tr>
      <w:tr>
        <w:trPr/>
        <w:tc>
          <w:tcPr>
            <w:tcW w:w="6950" w:type="dxa"/>
            <w:tcBorders/>
            <w:shd w:fill="CCEEFF" w:val="clear"/>
            <w:vAlign w:val="bottom"/>
          </w:tcPr>
          <w:p>
            <w:pPr>
              <w:pStyle w:val="TableContents"/>
              <w:spacing w:before="0" w:after="0"/>
              <w:ind w:left="0" w:right="0" w:hanging="0"/>
              <w:jc w:val="left"/>
              <w:rPr/>
            </w:pPr>
            <w:r>
              <w:rPr>
                <w:rFonts w:ascii="helvetica" w:hAnsi="helvetica"/>
                <w:sz w:val="20"/>
              </w:rPr>
              <w:t>10% convertible notes</w:t>
            </w:r>
            <w:r>
              <w:rPr/>
              <w:t xml:space="preserve"> </w:t>
            </w:r>
          </w:p>
        </w:tc>
        <w:tc>
          <w:tcPr>
            <w:tcW w:w="123" w:type="dxa"/>
            <w:tcBorders/>
            <w:shd w:fill="CCEEFF" w:val="clear"/>
            <w:vAlign w:val="bottom"/>
          </w:tcPr>
          <w:p>
            <w:pPr>
              <w:pStyle w:val="TableContents"/>
              <w:spacing w:before="0" w:after="283"/>
              <w:rPr/>
            </w:pPr>
            <w:r>
              <w:rPr/>
              <w:t xml:space="preserve">  </w:t>
            </w:r>
          </w:p>
        </w:tc>
        <w:tc>
          <w:tcPr>
            <w:tcW w:w="254"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846"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3" w:type="dxa"/>
            <w:tcBorders/>
            <w:shd w:fill="CCEEFF" w:val="clear"/>
            <w:vAlign w:val="bottom"/>
          </w:tcPr>
          <w:p>
            <w:pPr>
              <w:pStyle w:val="TableContents"/>
              <w:spacing w:before="0" w:after="283"/>
              <w:rPr/>
            </w:pPr>
            <w:r>
              <w:rPr/>
              <w:t xml:space="preserve">  </w:t>
            </w:r>
          </w:p>
        </w:tc>
        <w:tc>
          <w:tcPr>
            <w:tcW w:w="168"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383" w:type="dxa"/>
            <w:tcBorders/>
            <w:shd w:fill="CCEEFF" w:val="clear"/>
            <w:vAlign w:val="bottom"/>
          </w:tcPr>
          <w:p>
            <w:pPr>
              <w:pStyle w:val="TableContents"/>
              <w:spacing w:before="0" w:after="283"/>
              <w:jc w:val="right"/>
              <w:rPr/>
            </w:pPr>
            <w:r>
              <w:rPr>
                <w:rFonts w:ascii="helvetica" w:hAnsi="helvetica"/>
                <w:sz w:val="20"/>
              </w:rPr>
              <w:t>300,000</w:t>
            </w:r>
            <w:r>
              <w:rPr/>
              <w:t xml:space="preserve"> </w:t>
            </w:r>
          </w:p>
        </w:tc>
        <w:tc>
          <w:tcPr>
            <w:tcW w:w="194" w:type="dxa"/>
            <w:tcBorders/>
            <w:shd w:fill="CCEEFF" w:val="clear"/>
            <w:vAlign w:val="bottom"/>
          </w:tcPr>
          <w:p>
            <w:pPr>
              <w:pStyle w:val="TableContents"/>
              <w:spacing w:before="0" w:after="283"/>
              <w:jc w:val="left"/>
              <w:rPr/>
            </w:pPr>
            <w:r>
              <w:rPr/>
              <w:t xml:space="preserve">  </w:t>
            </w:r>
          </w:p>
        </w:tc>
      </w:tr>
      <w:tr>
        <w:trPr/>
        <w:tc>
          <w:tcPr>
            <w:tcW w:w="6950" w:type="dxa"/>
            <w:tcBorders/>
            <w:shd w:fill="FFFFFF" w:val="clear"/>
            <w:vAlign w:val="bottom"/>
          </w:tcPr>
          <w:p>
            <w:pPr>
              <w:pStyle w:val="TableContents"/>
              <w:spacing w:before="0" w:after="0"/>
              <w:ind w:left="0" w:right="0" w:hanging="0"/>
              <w:jc w:val="left"/>
              <w:rPr/>
            </w:pPr>
            <w:r>
              <w:rPr>
                <w:rFonts w:ascii="helvetica" w:hAnsi="helvetica"/>
                <w:sz w:val="20"/>
              </w:rPr>
              <w:t>7.5% convertible note</w:t>
            </w:r>
            <w:r>
              <w:rPr/>
              <w:t xml:space="preserve"> </w:t>
            </w:r>
          </w:p>
        </w:tc>
        <w:tc>
          <w:tcPr>
            <w:tcW w:w="123" w:type="dxa"/>
            <w:tcBorders/>
            <w:shd w:fill="FFFFFF" w:val="clear"/>
            <w:vAlign w:val="bottom"/>
          </w:tcPr>
          <w:p>
            <w:pPr>
              <w:pStyle w:val="TableContents"/>
              <w:spacing w:before="0" w:after="283"/>
              <w:rPr/>
            </w:pPr>
            <w:r>
              <w:rPr/>
              <w:t xml:space="preserve">  </w:t>
            </w:r>
          </w:p>
        </w:tc>
        <w:tc>
          <w:tcPr>
            <w:tcW w:w="254"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846"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3" w:type="dxa"/>
            <w:tcBorders/>
            <w:shd w:fill="FFFFFF" w:val="clear"/>
            <w:vAlign w:val="bottom"/>
          </w:tcPr>
          <w:p>
            <w:pPr>
              <w:pStyle w:val="TableContents"/>
              <w:spacing w:before="0" w:after="283"/>
              <w:rPr/>
            </w:pPr>
            <w:r>
              <w:rPr/>
              <w:t xml:space="preserve">  </w:t>
            </w:r>
          </w:p>
        </w:tc>
        <w:tc>
          <w:tcPr>
            <w:tcW w:w="168"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383"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1,000,000</w:t>
            </w:r>
            <w:r>
              <w:rPr/>
              <w:t xml:space="preserve"> </w:t>
            </w:r>
          </w:p>
        </w:tc>
        <w:tc>
          <w:tcPr>
            <w:tcW w:w="194" w:type="dxa"/>
            <w:tcBorders/>
            <w:shd w:fill="FFFFFF" w:val="clear"/>
            <w:vAlign w:val="bottom"/>
          </w:tcPr>
          <w:p>
            <w:pPr>
              <w:pStyle w:val="TableContents"/>
              <w:spacing w:before="0" w:after="283"/>
              <w:jc w:val="left"/>
              <w:rPr/>
            </w:pPr>
            <w:r>
              <w:rPr/>
              <w:t xml:space="preserve">  </w:t>
            </w:r>
          </w:p>
        </w:tc>
      </w:tr>
      <w:tr>
        <w:trPr/>
        <w:tc>
          <w:tcPr>
            <w:tcW w:w="6950" w:type="dxa"/>
            <w:tcBorders/>
            <w:shd w:fill="CCEEFF" w:val="clear"/>
            <w:vAlign w:val="bottom"/>
          </w:tcPr>
          <w:p>
            <w:pPr>
              <w:pStyle w:val="TableContents"/>
              <w:spacing w:before="0" w:after="0"/>
              <w:ind w:left="0" w:right="0" w:hanging="0"/>
              <w:jc w:val="left"/>
              <w:rPr/>
            </w:pPr>
            <w:r>
              <w:rPr>
                <w:rFonts w:ascii="helvetica" w:hAnsi="helvetica"/>
                <w:b/>
                <w:sz w:val="20"/>
              </w:rPr>
              <w:t>Total convertible notes payable</w:t>
            </w:r>
            <w:r>
              <w:rPr/>
              <w:t xml:space="preserve"> </w:t>
            </w:r>
          </w:p>
        </w:tc>
        <w:tc>
          <w:tcPr>
            <w:tcW w:w="123" w:type="dxa"/>
            <w:tcBorders/>
            <w:shd w:fill="CCEEFF" w:val="clear"/>
            <w:vAlign w:val="bottom"/>
          </w:tcPr>
          <w:p>
            <w:pPr>
              <w:pStyle w:val="TableContents"/>
              <w:spacing w:before="0" w:after="283"/>
              <w:rPr/>
            </w:pPr>
            <w:r>
              <w:rPr/>
              <w:t xml:space="preserve">  </w:t>
            </w:r>
          </w:p>
        </w:tc>
        <w:tc>
          <w:tcPr>
            <w:tcW w:w="254" w:type="dxa"/>
            <w:tcBorders/>
            <w:shd w:fill="CCEEFF" w:val="clear"/>
            <w:vAlign w:val="bottom"/>
          </w:tcPr>
          <w:p>
            <w:pPr>
              <w:pStyle w:val="TableContents"/>
              <w:spacing w:before="0" w:after="283"/>
              <w:jc w:val="left"/>
              <w:rPr/>
            </w:pPr>
            <w:r>
              <w:rPr>
                <w:rFonts w:ascii="helvetica" w:hAnsi="helvetica"/>
                <w:b/>
                <w:sz w:val="20"/>
              </w:rPr>
              <w:t>$</w:t>
            </w:r>
            <w:r>
              <w:rPr/>
              <w:t xml:space="preserve"> </w:t>
            </w:r>
          </w:p>
        </w:tc>
        <w:tc>
          <w:tcPr>
            <w:tcW w:w="846" w:type="dxa"/>
            <w:tcBorders/>
            <w:shd w:fill="CCEEFF" w:val="clear"/>
            <w:vAlign w:val="bottom"/>
          </w:tcPr>
          <w:p>
            <w:pPr>
              <w:pStyle w:val="TableContents"/>
              <w:spacing w:before="0" w:after="283"/>
              <w:jc w:val="right"/>
              <w:rPr/>
            </w:pPr>
            <w:r>
              <w:rPr>
                <w:rFonts w:ascii="helvetica" w:hAnsi="helvetica"/>
                <w:b/>
                <w:sz w:val="20"/>
              </w:rPr>
              <w:t>-</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3" w:type="dxa"/>
            <w:tcBorders/>
            <w:shd w:fill="CCEEFF" w:val="clear"/>
            <w:vAlign w:val="bottom"/>
          </w:tcPr>
          <w:p>
            <w:pPr>
              <w:pStyle w:val="TableContents"/>
              <w:spacing w:before="0" w:after="283"/>
              <w:rPr/>
            </w:pPr>
            <w:r>
              <w:rPr/>
              <w:t xml:space="preserve">  </w:t>
            </w:r>
          </w:p>
        </w:tc>
        <w:tc>
          <w:tcPr>
            <w:tcW w:w="168" w:type="dxa"/>
            <w:tcBorders/>
            <w:shd w:fill="CCEEFF" w:val="clear"/>
            <w:vAlign w:val="bottom"/>
          </w:tcPr>
          <w:p>
            <w:pPr>
              <w:pStyle w:val="TableContents"/>
              <w:spacing w:before="0" w:after="283"/>
              <w:jc w:val="left"/>
              <w:rPr/>
            </w:pPr>
            <w:r>
              <w:rPr>
                <w:rFonts w:ascii="helvetica" w:hAnsi="helvetica"/>
                <w:b/>
                <w:sz w:val="20"/>
              </w:rPr>
              <w:t>$</w:t>
            </w:r>
            <w:r>
              <w:rPr/>
              <w:t xml:space="preserve"> </w:t>
            </w:r>
          </w:p>
        </w:tc>
        <w:tc>
          <w:tcPr>
            <w:tcW w:w="1383" w:type="dxa"/>
            <w:tcBorders/>
            <w:shd w:fill="CCEEFF" w:val="clear"/>
            <w:vAlign w:val="bottom"/>
          </w:tcPr>
          <w:p>
            <w:pPr>
              <w:pStyle w:val="TableContents"/>
              <w:spacing w:before="0" w:after="283"/>
              <w:jc w:val="right"/>
              <w:rPr/>
            </w:pPr>
            <w:r>
              <w:rPr>
                <w:rFonts w:ascii="helvetica" w:hAnsi="helvetica"/>
                <w:b/>
                <w:sz w:val="20"/>
              </w:rPr>
              <w:t>1,300,000</w:t>
            </w:r>
            <w:r>
              <w:rPr/>
              <w:t xml:space="preserve"> </w:t>
            </w:r>
          </w:p>
        </w:tc>
        <w:tc>
          <w:tcPr>
            <w:tcW w:w="194" w:type="dxa"/>
            <w:tcBorders/>
            <w:shd w:fill="CCEEFF" w:val="clear"/>
            <w:vAlign w:val="bottom"/>
          </w:tcPr>
          <w:p>
            <w:pPr>
              <w:pStyle w:val="TableContents"/>
              <w:spacing w:before="0" w:after="283"/>
              <w:jc w:val="left"/>
              <w:rPr/>
            </w:pPr>
            <w:r>
              <w:rPr/>
              <w:t xml:space="preserve">  </w:t>
            </w:r>
          </w:p>
        </w:tc>
      </w:tr>
      <w:tr>
        <w:trPr/>
        <w:tc>
          <w:tcPr>
            <w:tcW w:w="6950" w:type="dxa"/>
            <w:tcBorders/>
            <w:shd w:fill="FFFFFF" w:val="clear"/>
            <w:vAlign w:val="bottom"/>
          </w:tcPr>
          <w:p>
            <w:pPr>
              <w:pStyle w:val="TableContents"/>
              <w:spacing w:before="0" w:after="0"/>
              <w:ind w:left="0" w:right="0" w:hanging="0"/>
              <w:jc w:val="left"/>
              <w:rPr/>
            </w:pPr>
            <w:r>
              <w:rPr>
                <w:rFonts w:ascii="helvetica" w:hAnsi="helvetica"/>
                <w:sz w:val="20"/>
              </w:rPr>
              <w:t>Less: Current portion</w:t>
            </w:r>
            <w:r>
              <w:rPr/>
              <w:t xml:space="preserve"> </w:t>
            </w:r>
          </w:p>
        </w:tc>
        <w:tc>
          <w:tcPr>
            <w:tcW w:w="123"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jc w:val="left"/>
              <w:rPr/>
            </w:pPr>
            <w:r>
              <w:rPr/>
              <w:t xml:space="preserve">  </w:t>
            </w:r>
          </w:p>
        </w:tc>
        <w:tc>
          <w:tcPr>
            <w:tcW w:w="846" w:type="dxa"/>
            <w:tcBorders/>
            <w:shd w:fill="FFFFFF" w:val="clear"/>
            <w:vAlign w:val="bottom"/>
          </w:tcPr>
          <w:p>
            <w:pPr>
              <w:pStyle w:val="TableContents"/>
              <w:spacing w:before="0" w:after="283"/>
              <w:jc w:val="right"/>
              <w:rPr/>
            </w:pPr>
            <w:r>
              <w:rPr>
                <w:rFonts w:ascii="helvetica" w:hAnsi="helvetica"/>
                <w:sz w:val="20"/>
              </w:rPr>
              <w:t>-</w:t>
            </w: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23" w:type="dxa"/>
            <w:tcBorders/>
            <w:shd w:fill="FFFFFF" w:val="clear"/>
            <w:vAlign w:val="bottom"/>
          </w:tcPr>
          <w:p>
            <w:pPr>
              <w:pStyle w:val="TableContents"/>
              <w:spacing w:before="0" w:after="283"/>
              <w:rPr/>
            </w:pPr>
            <w:r>
              <w:rPr/>
              <w:t xml:space="preserve">  </w:t>
            </w:r>
          </w:p>
        </w:tc>
        <w:tc>
          <w:tcPr>
            <w:tcW w:w="168" w:type="dxa"/>
            <w:tcBorders/>
            <w:shd w:fill="FFFFFF" w:val="clear"/>
            <w:vAlign w:val="bottom"/>
          </w:tcPr>
          <w:p>
            <w:pPr>
              <w:pStyle w:val="TableContents"/>
              <w:spacing w:before="0" w:after="283"/>
              <w:jc w:val="left"/>
              <w:rPr/>
            </w:pPr>
            <w:r>
              <w:rPr/>
              <w:t xml:space="preserve">  </w:t>
            </w:r>
          </w:p>
        </w:tc>
        <w:tc>
          <w:tcPr>
            <w:tcW w:w="1383" w:type="dxa"/>
            <w:tcBorders/>
            <w:shd w:fill="FFFFFF" w:val="clear"/>
            <w:vAlign w:val="bottom"/>
          </w:tcPr>
          <w:p>
            <w:pPr>
              <w:pStyle w:val="TableContents"/>
              <w:spacing w:before="0" w:after="283"/>
              <w:jc w:val="right"/>
              <w:rPr/>
            </w:pPr>
            <w:r>
              <w:rPr>
                <w:rFonts w:ascii="helvetica" w:hAnsi="helvetica"/>
                <w:sz w:val="20"/>
              </w:rPr>
              <w:t>(1,300,000</w:t>
            </w:r>
            <w:r>
              <w:rPr/>
              <w:t xml:space="preserve"> </w:t>
            </w:r>
          </w:p>
        </w:tc>
        <w:tc>
          <w:tcPr>
            <w:tcW w:w="194"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6950" w:type="dxa"/>
            <w:tcBorders/>
            <w:shd w:fill="CCEEFF" w:val="clear"/>
            <w:vAlign w:val="bottom"/>
          </w:tcPr>
          <w:p>
            <w:pPr>
              <w:pStyle w:val="TableContents"/>
              <w:spacing w:before="0" w:after="0"/>
              <w:ind w:left="0" w:right="0" w:hanging="0"/>
              <w:jc w:val="left"/>
              <w:rPr/>
            </w:pPr>
            <w:r>
              <w:rPr>
                <w:rFonts w:ascii="helvetica" w:hAnsi="helvetica"/>
                <w:b/>
                <w:sz w:val="20"/>
              </w:rPr>
              <w:t>Long-term portion</w:t>
            </w:r>
            <w:r>
              <w:rPr/>
              <w:t xml:space="preserve"> </w:t>
            </w:r>
          </w:p>
        </w:tc>
        <w:tc>
          <w:tcPr>
            <w:tcW w:w="123" w:type="dxa"/>
            <w:tcBorders/>
            <w:shd w:fill="CCEEFF" w:val="clear"/>
            <w:vAlign w:val="bottom"/>
          </w:tcPr>
          <w:p>
            <w:pPr>
              <w:pStyle w:val="TableContents"/>
              <w:spacing w:before="0" w:after="283"/>
              <w:rPr/>
            </w:pPr>
            <w:r>
              <w:rPr/>
              <w:t xml:space="preserve">  </w:t>
            </w:r>
          </w:p>
        </w:tc>
        <w:tc>
          <w:tcPr>
            <w:tcW w:w="254"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b/>
                <w:sz w:val="20"/>
              </w:rPr>
              <w:t>$</w:t>
            </w:r>
            <w:r>
              <w:rPr/>
              <w:t xml:space="preserve"> </w:t>
            </w:r>
          </w:p>
        </w:tc>
        <w:tc>
          <w:tcPr>
            <w:tcW w:w="846"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b/>
                <w:sz w:val="20"/>
              </w:rPr>
              <w:t>-</w:t>
            </w: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23" w:type="dxa"/>
            <w:tcBorders/>
            <w:shd w:fill="CCEEFF" w:val="clear"/>
            <w:vAlign w:val="bottom"/>
          </w:tcPr>
          <w:p>
            <w:pPr>
              <w:pStyle w:val="TableContents"/>
              <w:spacing w:before="0" w:after="283"/>
              <w:rPr/>
            </w:pPr>
            <w:r>
              <w:rPr/>
              <w:t xml:space="preserve">  </w:t>
            </w:r>
          </w:p>
        </w:tc>
        <w:tc>
          <w:tcPr>
            <w:tcW w:w="168"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b/>
                <w:sz w:val="20"/>
              </w:rPr>
              <w:t>$</w:t>
            </w:r>
            <w:r>
              <w:rPr/>
              <w:t xml:space="preserve"> </w:t>
            </w:r>
          </w:p>
        </w:tc>
        <w:tc>
          <w:tcPr>
            <w:tcW w:w="1383"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b/>
                <w:sz w:val="20"/>
              </w:rPr>
              <w:t>-</w:t>
            </w:r>
            <w:r>
              <w:rPr/>
              <w:t xml:space="preserve"> </w:t>
            </w:r>
          </w:p>
        </w:tc>
        <w:tc>
          <w:tcPr>
            <w:tcW w:w="194"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rPr/>
      </w:pPr>
      <w:r>
        <w:rPr/>
        <w:br/>
      </w:r>
      <w:r>
        <w:rPr>
          <w:rFonts w:ascii="Helvetica" w:hAnsi="Helvetica"/>
          <w:b/>
          <w:sz w:val="20"/>
        </w:rPr>
        <w:t>NOTE 5.  STOCKHOLDERS’ EQUITY</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Common Stock</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February 28, 2012, the Company increased the number of authorized shares of capital stock to 400,000,000, and the number of authorized shares of common stock to 395,000,000 and effected a one-for-eight reverse stock split. All per share amounts and calculations in this report reflect that one-for-eight reverse stock split.</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issued 1,904,338 common shares to Alexej Ladonnikov as payment in full for his 20% ownership of the Note ($200,000) and its related accrued interest ($28,521).</w:t>
      </w:r>
      <w:r>
        <w:rPr>
          <w:rFonts w:ascii="Helvetica" w:hAnsi="Helvetica"/>
          <w:sz w:val="20"/>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97" w:name="PGBRK83"/>
      <w:bookmarkStart w:id="998" w:name="PGBRK83"/>
      <w:bookmarkEnd w:id="9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9" w:name="FTR83"/>
      <w:bookmarkStart w:id="1000" w:name="FTR83"/>
      <w:bookmarkEnd w:id="1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1" w:name="GLFTR82"/>
      <w:bookmarkEnd w:id="10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02" w:name="PN82"/>
      <w:bookmarkEnd w:id="1002"/>
      <w:r>
        <w:rPr>
          <w:rFonts w:ascii="Helvetica" w:hAnsi="Helvetica"/>
          <w:sz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3" w:name="HDR82"/>
      <w:bookmarkStart w:id="1004" w:name="HDR82"/>
      <w:bookmarkEnd w:id="10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5" w:name="GLHDR82"/>
      <w:bookmarkEnd w:id="10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February 28, 2012, the Company issued 7,274,812 common shares to DermaStar as payment in full for its 80% ownership of the Note ($800,000), its related accrued interest ($114,082) and $56,087 in the Company’s accounts payable.</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20, 2012, the Company entered into a Securities Purchase Agreement (the “Securities Purchase Agreement”) with certain accredited investors (the “Investors”) relating to the sale and issuance of 10,058,455 units (each, a “Unit”) consisting of one share of the Company’s common stock and a warrant to purchase up to one-fourth of a share of the Company’s common stock at an exercise price of $1.185 per share, at a price per Unit of $0.79 (the “April Private Placement”).  The April Private Placement closed on April 25, 2012.  In connection with the April Private Placement, the Company issued 10,058,455 shares of common stock and warrants to purchase an aggregate of 2,514,642 shares of common stock, for proceeds, net of offering costs, to the Company of approximately $7.93 million.</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25, 2012, the Company converted debt totaling $762,534 (including accrued interest of $12,534) owed to DermaStar, a related party, into 965,233 shares of the Company’s common stock and a related warrant to purchase 241,308 shares of the Company’s common stock at an exercise price of $1.185 per share (see Note 4).</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Preferred Stock</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At June 30, 2012, the Company had 5,000,000 shares of preferred stock, $0.001 par value, authorized and no shares of preferred stock issued and outstanding.</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both"/>
        <w:rPr/>
      </w:pPr>
      <w:bookmarkStart w:id="1006" w:name="TAB217"/>
      <w:bookmarkEnd w:id="1006"/>
      <w:r>
        <w:rPr>
          <w:spacing w:val="180"/>
        </w:rPr>
        <w:t> </w:t>
      </w:r>
      <w:r>
        <w:rPr>
          <w:rFonts w:ascii="helvetica" w:hAnsi="helvetica"/>
          <w:b/>
          <w:sz w:val="20"/>
        </w:rPr>
        <w:t>Series A Preferred Stock</w:t>
      </w:r>
      <w:r>
        <w:rPr>
          <w:rFonts w:ascii="Helvetica" w:hAnsi="Helvetica"/>
          <w:b/>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val="false"/>
          <w:sz w:val="20"/>
        </w:rPr>
        <w:t>On December 12, 2011, the Company issued 10 shares of Series A Preferred Stock to DermaStar, a related party,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$0.013336,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r>
        <w:rPr>
          <w:rFonts w:ascii="Helvetica" w:hAnsi="Helvetica"/>
          <w:b/>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val="false"/>
          <w:sz w:val="20"/>
        </w:rPr>
        <w:t>On June 29, 2012, DermaStar converted the 10 shares of Series A Preferred Stock held by it into 7,498,500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r>
        <w:rPr>
          <w:rFonts w:ascii="Helvetica" w:hAnsi="Helvetica"/>
          <w:b/>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6.  STOCK OPTION PLAN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the Company’s Board of Directors and stockholders adopted the 2007 Incentive Stock and Awards Plan (as amended on November 5, 2008, January 25, 2012, and July 18, 2012, the “Plan”), which, as of June 30, 2012, provided for the issuance of a maximum of an aggregate of 3,750,000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  Effective on July 18, 2012, our board of directors and stockholders holding a majority of our outstanding voting power approved a further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  Stockholder approval of the amendment will become effective when the Company has complied with certain notice requirements under the Securities Exchange Act of 1934 (the “Exchange Act”).</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 summary of the Plan activity for the six months ended June 30, 2012 is as follows:</w:t>
      </w:r>
      <w:r>
        <w:rPr>
          <w:rFonts w:ascii="Helvetica" w:hAnsi="Helvetica"/>
          <w:sz w:val="20"/>
        </w:rPr>
        <w:t xml:space="preserve">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215"/>
        <w:gridCol w:w="106"/>
        <w:gridCol w:w="106"/>
        <w:gridCol w:w="1173"/>
        <w:gridCol w:w="157"/>
        <w:gridCol w:w="106"/>
        <w:gridCol w:w="186"/>
        <w:gridCol w:w="986"/>
        <w:gridCol w:w="144"/>
        <w:gridCol w:w="105"/>
        <w:gridCol w:w="148"/>
        <w:gridCol w:w="1140"/>
        <w:gridCol w:w="144"/>
        <w:gridCol w:w="106"/>
        <w:gridCol w:w="186"/>
        <w:gridCol w:w="1034"/>
        <w:gridCol w:w="163"/>
      </w:tblGrid>
      <w:tr>
        <w:trPr/>
        <w:tc>
          <w:tcPr>
            <w:tcW w:w="421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xml:space="preserve">  </w:t>
            </w:r>
          </w:p>
        </w:tc>
        <w:tc>
          <w:tcPr>
            <w:tcW w:w="12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Number of shares</w:t>
            </w:r>
            <w:r>
              <w:rPr/>
              <w:t xml:space="preserve"> </w:t>
            </w:r>
          </w:p>
        </w:tc>
        <w:tc>
          <w:tcPr>
            <w:tcW w:w="157" w:type="dxa"/>
            <w:tcBorders/>
            <w:shd w:fill="auto" w:val="clear"/>
            <w:vAlign w:val="bottom"/>
          </w:tcPr>
          <w:p>
            <w:pPr>
              <w:pStyle w:val="TableContents"/>
              <w:spacing w:before="0" w:after="283"/>
              <w:jc w:val="left"/>
              <w:rPr/>
            </w:pPr>
            <w:r>
              <w:rPr/>
              <w:t xml:space="preserve">  </w:t>
            </w:r>
          </w:p>
        </w:tc>
        <w:tc>
          <w:tcPr>
            <w:tcW w:w="106" w:type="dxa"/>
            <w:tcBorders/>
            <w:shd w:fill="auto" w:val="clear"/>
            <w:vAlign w:val="bottom"/>
          </w:tcPr>
          <w:p>
            <w:pPr>
              <w:pStyle w:val="TableContents"/>
              <w:spacing w:before="0" w:after="283"/>
              <w:rPr/>
            </w:pPr>
            <w:r>
              <w:rPr/>
              <w:t xml:space="preserve">  </w:t>
            </w:r>
          </w:p>
        </w:tc>
        <w:tc>
          <w:tcPr>
            <w:tcW w:w="11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Weighted Avg. Exercise Price</w:t>
            </w:r>
            <w:r>
              <w:rPr/>
              <w:t xml:space="preserve"> </w:t>
            </w:r>
          </w:p>
        </w:tc>
        <w:tc>
          <w:tcPr>
            <w:tcW w:w="144" w:type="dxa"/>
            <w:tcBorders/>
            <w:shd w:fill="auto" w:val="clear"/>
            <w:vAlign w:val="bottom"/>
          </w:tcPr>
          <w:p>
            <w:pPr>
              <w:pStyle w:val="TableContents"/>
              <w:spacing w:before="0" w:after="283"/>
              <w:jc w:val="left"/>
              <w:rPr/>
            </w:pPr>
            <w:r>
              <w:rPr/>
              <w:t xml:space="preserve">  </w:t>
            </w:r>
          </w:p>
        </w:tc>
        <w:tc>
          <w:tcPr>
            <w:tcW w:w="105" w:type="dxa"/>
            <w:tcBorders/>
            <w:shd w:fill="auto" w:val="clear"/>
            <w:vAlign w:val="bottom"/>
          </w:tcPr>
          <w:p>
            <w:pPr>
              <w:pStyle w:val="TableContents"/>
              <w:spacing w:before="0" w:after="283"/>
              <w:rPr/>
            </w:pPr>
            <w:r>
              <w:rPr/>
              <w:t xml:space="preserve">  </w:t>
            </w:r>
          </w:p>
        </w:tc>
        <w:tc>
          <w:tcPr>
            <w:tcW w:w="12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Weighted Avg. Remaining</w:t>
              <w:br/>
              <w:t>Contractual Life</w:t>
            </w:r>
            <w:r>
              <w:rPr/>
              <w:t xml:space="preserve"> </w:t>
            </w:r>
          </w:p>
        </w:tc>
        <w:tc>
          <w:tcPr>
            <w:tcW w:w="144" w:type="dxa"/>
            <w:tcBorders/>
            <w:shd w:fill="auto" w:val="clear"/>
            <w:vAlign w:val="bottom"/>
          </w:tcPr>
          <w:p>
            <w:pPr>
              <w:pStyle w:val="TableContents"/>
              <w:spacing w:before="0" w:after="283"/>
              <w:jc w:val="left"/>
              <w:rPr/>
            </w:pPr>
            <w:r>
              <w:rPr/>
              <w:t xml:space="preserve">  </w:t>
            </w:r>
          </w:p>
        </w:tc>
        <w:tc>
          <w:tcPr>
            <w:tcW w:w="106" w:type="dxa"/>
            <w:tcBorders/>
            <w:shd w:fill="auto" w:val="clear"/>
            <w:vAlign w:val="bottom"/>
          </w:tcPr>
          <w:p>
            <w:pPr>
              <w:pStyle w:val="TableContents"/>
              <w:spacing w:before="0" w:after="283"/>
              <w:rPr/>
            </w:pPr>
            <w:r>
              <w:rPr/>
              <w:t xml:space="preserve">  </w:t>
            </w:r>
          </w:p>
        </w:tc>
        <w:tc>
          <w:tcPr>
            <w:tcW w:w="12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Aggregate</w:t>
              <w:br/>
              <w:t>Intrinsic Value</w:t>
            </w:r>
            <w:r>
              <w:rPr/>
              <w:t xml:space="preserve"> </w:t>
            </w:r>
          </w:p>
        </w:tc>
        <w:tc>
          <w:tcPr>
            <w:tcW w:w="163" w:type="dxa"/>
            <w:tcBorders/>
            <w:shd w:fill="auto" w:val="clear"/>
            <w:vAlign w:val="bottom"/>
          </w:tcPr>
          <w:p>
            <w:pPr>
              <w:pStyle w:val="TableContents"/>
              <w:spacing w:before="0" w:after="283"/>
              <w:jc w:val="left"/>
              <w:rPr/>
            </w:pPr>
            <w:r>
              <w:rPr/>
              <w:t xml:space="preserve">  </w:t>
            </w:r>
          </w:p>
        </w:tc>
      </w:tr>
      <w:tr>
        <w:trPr/>
        <w:tc>
          <w:tcPr>
            <w:tcW w:w="4215" w:type="dxa"/>
            <w:tcBorders/>
            <w:shd w:fill="CCEEFF" w:val="clear"/>
            <w:vAlign w:val="bottom"/>
          </w:tcPr>
          <w:p>
            <w:pPr>
              <w:pStyle w:val="TableContents"/>
              <w:spacing w:before="0" w:after="0"/>
              <w:ind w:left="0" w:right="0" w:hanging="0"/>
              <w:jc w:val="left"/>
              <w:rPr/>
            </w:pPr>
            <w:r>
              <w:rPr>
                <w:rFonts w:ascii="helvetica" w:hAnsi="helvetica"/>
                <w:sz w:val="20"/>
              </w:rPr>
              <w:t>Outstanding - January 1, 2012</w:t>
            </w: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173" w:type="dxa"/>
            <w:tcBorders/>
            <w:shd w:fill="CCEEFF" w:val="clear"/>
            <w:vAlign w:val="bottom"/>
          </w:tcPr>
          <w:p>
            <w:pPr>
              <w:pStyle w:val="TableContents"/>
              <w:spacing w:before="0" w:after="283"/>
              <w:jc w:val="right"/>
              <w:rPr/>
            </w:pPr>
            <w:r>
              <w:rPr>
                <w:rFonts w:ascii="helvetica" w:hAnsi="helvetica"/>
                <w:sz w:val="20"/>
              </w:rPr>
              <w:t>150,152</w:t>
            </w:r>
            <w:r>
              <w:rPr/>
              <w:t xml:space="preserve"> </w:t>
            </w:r>
          </w:p>
        </w:tc>
        <w:tc>
          <w:tcPr>
            <w:tcW w:w="157"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986" w:type="dxa"/>
            <w:tcBorders/>
            <w:shd w:fill="CCEEFF" w:val="clear"/>
            <w:vAlign w:val="bottom"/>
          </w:tcPr>
          <w:p>
            <w:pPr>
              <w:pStyle w:val="TableContents"/>
              <w:spacing w:before="0" w:after="283"/>
              <w:jc w:val="right"/>
              <w:rPr/>
            </w:pPr>
            <w:r>
              <w:rPr>
                <w:rFonts w:ascii="helvetica" w:hAnsi="helvetica"/>
                <w:sz w:val="20"/>
              </w:rPr>
              <w:t>9.68</w:t>
            </w: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288" w:type="dxa"/>
            <w:gridSpan w:val="2"/>
            <w:tcBorders/>
            <w:shd w:fill="CCEEFF" w:val="clear"/>
            <w:vAlign w:val="bottom"/>
          </w:tcPr>
          <w:p>
            <w:pPr>
              <w:pStyle w:val="TableContents"/>
              <w:spacing w:before="0" w:after="283"/>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220" w:type="dxa"/>
            <w:gridSpan w:val="2"/>
            <w:tcBorders/>
            <w:shd w:fill="CCEEFF" w:val="clear"/>
            <w:vAlign w:val="bottom"/>
          </w:tcPr>
          <w:p>
            <w:pPr>
              <w:pStyle w:val="TableContents"/>
              <w:spacing w:before="0" w:after="283"/>
              <w:rPr/>
            </w:pPr>
            <w:r>
              <w:rPr/>
              <w:t xml:space="preserve">  </w:t>
            </w:r>
          </w:p>
        </w:tc>
        <w:tc>
          <w:tcPr>
            <w:tcW w:w="163" w:type="dxa"/>
            <w:tcBorders/>
            <w:shd w:fill="CCEEFF" w:val="clear"/>
            <w:vAlign w:val="bottom"/>
          </w:tcPr>
          <w:p>
            <w:pPr>
              <w:pStyle w:val="TableContents"/>
              <w:spacing w:before="0" w:after="283"/>
              <w:jc w:val="left"/>
              <w:rPr/>
            </w:pPr>
            <w:r>
              <w:rPr/>
              <w:t xml:space="preserve">  </w:t>
            </w:r>
          </w:p>
        </w:tc>
      </w:tr>
      <w:tr>
        <w:trPr/>
        <w:tc>
          <w:tcPr>
            <w:tcW w:w="4215" w:type="dxa"/>
            <w:tcBorders/>
            <w:shd w:fill="FFFFFF" w:val="clear"/>
            <w:vAlign w:val="bottom"/>
          </w:tcPr>
          <w:p>
            <w:pPr>
              <w:pStyle w:val="TableContents"/>
              <w:spacing w:before="0" w:after="0"/>
              <w:ind w:left="0" w:right="0" w:hanging="0"/>
              <w:jc w:val="left"/>
              <w:rPr/>
            </w:pPr>
            <w:r>
              <w:rPr>
                <w:rFonts w:ascii="helvetica" w:hAnsi="helvetica"/>
                <w:sz w:val="20"/>
              </w:rPr>
              <w:t>Granted</w:t>
            </w:r>
            <w:r>
              <w:rPr/>
              <w:t xml:space="preserve"> </w:t>
            </w:r>
          </w:p>
        </w:tc>
        <w:tc>
          <w:tcPr>
            <w:tcW w:w="106"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jc w:val="left"/>
              <w:rPr/>
            </w:pPr>
            <w:r>
              <w:rPr/>
              <w:t xml:space="preserve">  </w:t>
            </w:r>
          </w:p>
        </w:tc>
        <w:tc>
          <w:tcPr>
            <w:tcW w:w="1173" w:type="dxa"/>
            <w:tcBorders/>
            <w:shd w:fill="FFFFFF" w:val="clear"/>
            <w:vAlign w:val="bottom"/>
          </w:tcPr>
          <w:p>
            <w:pPr>
              <w:pStyle w:val="TableContents"/>
              <w:spacing w:before="0" w:after="283"/>
              <w:jc w:val="right"/>
              <w:rPr/>
            </w:pPr>
            <w:r>
              <w:rPr>
                <w:rFonts w:ascii="helvetica" w:hAnsi="helvetica"/>
                <w:sz w:val="20"/>
              </w:rPr>
              <w:t>4,975,000</w:t>
            </w:r>
            <w:r>
              <w:rPr/>
              <w:t xml:space="preserve"> </w:t>
            </w:r>
          </w:p>
        </w:tc>
        <w:tc>
          <w:tcPr>
            <w:tcW w:w="157"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jc w:val="left"/>
              <w:rPr/>
            </w:pPr>
            <w:r>
              <w:rPr/>
              <w:t xml:space="preserve">  </w:t>
            </w:r>
          </w:p>
        </w:tc>
        <w:tc>
          <w:tcPr>
            <w:tcW w:w="986" w:type="dxa"/>
            <w:tcBorders/>
            <w:shd w:fill="FFFFFF" w:val="clear"/>
            <w:vAlign w:val="bottom"/>
          </w:tcPr>
          <w:p>
            <w:pPr>
              <w:pStyle w:val="TableContents"/>
              <w:spacing w:before="0" w:after="283"/>
              <w:jc w:val="right"/>
              <w:rPr/>
            </w:pPr>
            <w:r>
              <w:rPr>
                <w:rFonts w:ascii="helvetica" w:hAnsi="helvetica"/>
                <w:sz w:val="20"/>
              </w:rPr>
              <w:t>0.73</w:t>
            </w: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288" w:type="dxa"/>
            <w:gridSpan w:val="2"/>
            <w:tcBorders/>
            <w:shd w:fill="FFFFFF" w:val="cle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rPr/>
            </w:pPr>
            <w:r>
              <w:rPr/>
              <w:t xml:space="preserve">  </w:t>
            </w:r>
          </w:p>
        </w:tc>
        <w:tc>
          <w:tcPr>
            <w:tcW w:w="1220" w:type="dxa"/>
            <w:gridSpan w:val="2"/>
            <w:tcBorders/>
            <w:shd w:fill="FFFFFF" w:val="cle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jc w:val="left"/>
              <w:rPr/>
            </w:pPr>
            <w:r>
              <w:rPr/>
              <w:t xml:space="preserve">  </w:t>
            </w:r>
          </w:p>
        </w:tc>
      </w:tr>
      <w:tr>
        <w:trPr/>
        <w:tc>
          <w:tcPr>
            <w:tcW w:w="4215" w:type="dxa"/>
            <w:tcBorders/>
            <w:shd w:fill="CCEEFF" w:val="clear"/>
            <w:vAlign w:val="bottom"/>
          </w:tcPr>
          <w:p>
            <w:pPr>
              <w:pStyle w:val="TableContents"/>
              <w:spacing w:before="0" w:after="0"/>
              <w:ind w:left="0" w:right="0" w:hanging="0"/>
              <w:jc w:val="left"/>
              <w:rPr/>
            </w:pPr>
            <w:r>
              <w:rPr>
                <w:rFonts w:ascii="helvetica" w:hAnsi="helvetica"/>
                <w:sz w:val="20"/>
              </w:rPr>
              <w:t>Exercised</w:t>
            </w: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jc w:val="left"/>
              <w:rPr/>
            </w:pPr>
            <w:r>
              <w:rPr/>
              <w:t xml:space="preserve">  </w:t>
            </w:r>
          </w:p>
        </w:tc>
        <w:tc>
          <w:tcPr>
            <w:tcW w:w="1173"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57"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86" w:type="dxa"/>
            <w:tcBorders/>
            <w:shd w:fill="CCEEFF" w:val="clear"/>
            <w:vAlign w:val="bottom"/>
          </w:tcPr>
          <w:p>
            <w:pPr>
              <w:pStyle w:val="TableContents"/>
              <w:spacing w:before="0" w:after="283"/>
              <w:jc w:val="left"/>
              <w:rPr/>
            </w:pPr>
            <w:r>
              <w:rPr/>
              <w:t xml:space="preserve">  </w:t>
            </w:r>
          </w:p>
        </w:tc>
        <w:tc>
          <w:tcPr>
            <w:tcW w:w="986" w:type="dxa"/>
            <w:tcBorders/>
            <w:shd w:fill="CCEEFF" w:val="clear"/>
            <w:vAlign w:val="bottom"/>
          </w:tcPr>
          <w:p>
            <w:pPr>
              <w:pStyle w:val="TableContents"/>
              <w:spacing w:before="0" w:after="283"/>
              <w:jc w:val="right"/>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288" w:type="dxa"/>
            <w:gridSpan w:val="2"/>
            <w:tcBorders/>
            <w:shd w:fill="CCEEFF" w:val="clear"/>
            <w:vAlign w:val="bottom"/>
          </w:tcPr>
          <w:p>
            <w:pPr>
              <w:pStyle w:val="TableContents"/>
              <w:spacing w:before="0" w:after="283"/>
              <w:rPr/>
            </w:pP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220" w:type="dxa"/>
            <w:gridSpan w:val="2"/>
            <w:tcBorders/>
            <w:shd w:fill="CCEEFF" w:val="clear"/>
            <w:vAlign w:val="bottom"/>
          </w:tcPr>
          <w:p>
            <w:pPr>
              <w:pStyle w:val="TableContents"/>
              <w:spacing w:before="0" w:after="283"/>
              <w:rPr/>
            </w:pPr>
            <w:r>
              <w:rPr/>
              <w:t xml:space="preserve">  </w:t>
            </w:r>
          </w:p>
        </w:tc>
        <w:tc>
          <w:tcPr>
            <w:tcW w:w="163" w:type="dxa"/>
            <w:tcBorders/>
            <w:shd w:fill="CCEEFF" w:val="clear"/>
            <w:vAlign w:val="bottom"/>
          </w:tcPr>
          <w:p>
            <w:pPr>
              <w:pStyle w:val="TableContents"/>
              <w:spacing w:before="0" w:after="283"/>
              <w:jc w:val="left"/>
              <w:rPr/>
            </w:pPr>
            <w:r>
              <w:rPr/>
              <w:t xml:space="preserve">  </w:t>
            </w:r>
          </w:p>
        </w:tc>
      </w:tr>
      <w:tr>
        <w:trPr/>
        <w:tc>
          <w:tcPr>
            <w:tcW w:w="4215" w:type="dxa"/>
            <w:tcBorders/>
            <w:shd w:fill="FFFFFF" w:val="clear"/>
            <w:vAlign w:val="bottom"/>
          </w:tcPr>
          <w:p>
            <w:pPr>
              <w:pStyle w:val="TableContents"/>
              <w:spacing w:before="0" w:after="0"/>
              <w:ind w:left="0" w:right="0" w:hanging="0"/>
              <w:jc w:val="left"/>
              <w:rPr/>
            </w:pPr>
            <w:r>
              <w:rPr>
                <w:rFonts w:ascii="helvetica" w:hAnsi="helvetica"/>
                <w:sz w:val="20"/>
              </w:rPr>
              <w:t>Cancelled/Forfeited</w:t>
            </w:r>
            <w:r>
              <w:rPr/>
              <w:t xml:space="preserve"> </w:t>
            </w:r>
          </w:p>
        </w:tc>
        <w:tc>
          <w:tcPr>
            <w:tcW w:w="106" w:type="dxa"/>
            <w:tcBorders/>
            <w:shd w:fill="FFFFFF" w:val="clear"/>
            <w:vAlign w:val="bottom"/>
          </w:tcPr>
          <w:p>
            <w:pPr>
              <w:pStyle w:val="TableContents"/>
              <w:spacing w:before="0" w:after="283"/>
              <w:rPr/>
            </w:pPr>
            <w:r>
              <w:rPr/>
              <w:t xml:space="preserve">  </w:t>
            </w:r>
          </w:p>
        </w:tc>
        <w:tc>
          <w:tcPr>
            <w:tcW w:w="106"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73"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(625,000</w:t>
            </w:r>
            <w:r>
              <w:rPr/>
              <w:t xml:space="preserve"> </w:t>
            </w:r>
          </w:p>
        </w:tc>
        <w:tc>
          <w:tcPr>
            <w:tcW w:w="157" w:type="dxa"/>
            <w:tcBorders/>
            <w:shd w:fill="FFFFFF" w:val="clear"/>
            <w:vAlign w:val="bottom"/>
          </w:tcPr>
          <w:p>
            <w:pPr>
              <w:pStyle w:val="TableContents"/>
              <w:spacing w:before="0" w:after="283"/>
              <w:jc w:val="left"/>
              <w:rPr/>
            </w:pPr>
            <w:r>
              <w:rPr>
                <w:rFonts w:ascii="helvetica" w:hAnsi="helvetica"/>
                <w:sz w:val="20"/>
              </w:rPr>
              <w:t>)</w:t>
            </w:r>
            <w:r>
              <w:rPr/>
              <w:t xml:space="preserve"> </w:t>
            </w:r>
          </w:p>
        </w:tc>
        <w:tc>
          <w:tcPr>
            <w:tcW w:w="106" w:type="dxa"/>
            <w:tcBorders/>
            <w:shd w:fill="FFFFFF" w:val="clear"/>
            <w:vAlign w:val="bottom"/>
          </w:tcPr>
          <w:p>
            <w:pPr>
              <w:pStyle w:val="TableContents"/>
              <w:spacing w:before="0" w:after="283"/>
              <w:rPr/>
            </w:pPr>
            <w:r>
              <w:rPr/>
              <w:t xml:space="preserve">  </w:t>
            </w:r>
          </w:p>
        </w:tc>
        <w:tc>
          <w:tcPr>
            <w:tcW w:w="186"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0.64</w:t>
            </w: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288" w:type="dxa"/>
            <w:gridSpan w:val="2"/>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rPr/>
            </w:pPr>
            <w:r>
              <w:rPr/>
              <w:t xml:space="preserve">  </w:t>
            </w:r>
          </w:p>
        </w:tc>
        <w:tc>
          <w:tcPr>
            <w:tcW w:w="1220" w:type="dxa"/>
            <w:gridSpan w:val="2"/>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163" w:type="dxa"/>
            <w:tcBorders/>
            <w:shd w:fill="FFFFFF" w:val="clear"/>
            <w:vAlign w:val="bottom"/>
          </w:tcPr>
          <w:p>
            <w:pPr>
              <w:pStyle w:val="TableContents"/>
              <w:spacing w:before="0" w:after="283"/>
              <w:jc w:val="left"/>
              <w:rPr/>
            </w:pPr>
            <w:r>
              <w:rPr/>
              <w:t xml:space="preserve">  </w:t>
            </w:r>
          </w:p>
        </w:tc>
      </w:tr>
      <w:tr>
        <w:trPr/>
        <w:tc>
          <w:tcPr>
            <w:tcW w:w="4215" w:type="dxa"/>
            <w:tcBorders/>
            <w:shd w:fill="CCEEFF" w:val="clear"/>
            <w:vAlign w:val="bottom"/>
          </w:tcPr>
          <w:p>
            <w:pPr>
              <w:pStyle w:val="TableContents"/>
              <w:spacing w:before="0" w:after="0"/>
              <w:ind w:left="0" w:right="0" w:hanging="0"/>
              <w:jc w:val="left"/>
              <w:rPr/>
            </w:pPr>
            <w:r>
              <w:rPr>
                <w:rFonts w:ascii="helvetica" w:hAnsi="helvetica"/>
                <w:sz w:val="20"/>
              </w:rPr>
              <w:t>Outstanding - June 30, 2012</w:t>
            </w: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bottom w:val="double" w:sz="8" w:space="0" w:color="000000"/>
            </w:tcBorders>
            <w:shd w:fill="CCEEFF" w:val="clear"/>
            <w:tcMar>
              <w:bottom w:w="28" w:type="dxa"/>
            </w:tcMar>
            <w:vAlign w:val="bottom"/>
          </w:tcPr>
          <w:p>
            <w:pPr>
              <w:pStyle w:val="TableContents"/>
              <w:spacing w:before="0" w:after="283"/>
              <w:jc w:val="left"/>
              <w:rPr/>
            </w:pPr>
            <w:r>
              <w:rPr/>
              <w:t xml:space="preserve">  </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4,500,152</w:t>
            </w:r>
            <w:r>
              <w:rPr/>
              <w:t xml:space="preserve"> </w:t>
            </w:r>
          </w:p>
        </w:tc>
        <w:tc>
          <w:tcPr>
            <w:tcW w:w="157"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86"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1.03</w:t>
            </w: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8" w:type="dxa"/>
            <w:tcBorders>
              <w:bottom w:val="double" w:sz="8" w:space="0" w:color="000000"/>
            </w:tcBorders>
            <w:shd w:fill="CCEEFF" w:val="clear"/>
            <w:tcMar>
              <w:bottom w:w="28" w:type="dxa"/>
            </w:tcMar>
            <w:vAlign w:val="bottom"/>
          </w:tcPr>
          <w:p>
            <w:pPr>
              <w:pStyle w:val="TableContents"/>
              <w:spacing w:before="0" w:after="283"/>
              <w:jc w:val="left"/>
              <w:rPr/>
            </w:pPr>
            <w:r>
              <w:rPr/>
              <w:t xml:space="preserve">  </w:t>
            </w:r>
          </w:p>
        </w:tc>
        <w:tc>
          <w:tcPr>
            <w:tcW w:w="1140"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5.26</w:t>
            </w: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3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75,000</w:t>
            </w:r>
            <w:r>
              <w:rPr/>
              <w:t xml:space="preserve"> </w:t>
            </w:r>
          </w:p>
        </w:tc>
        <w:tc>
          <w:tcPr>
            <w:tcW w:w="163" w:type="dxa"/>
            <w:tcBorders/>
            <w:shd w:fill="CCEEFF" w:val="clear"/>
            <w:vAlign w:val="bottom"/>
          </w:tcPr>
          <w:p>
            <w:pPr>
              <w:pStyle w:val="TableContents"/>
              <w:spacing w:before="0" w:after="283"/>
              <w:jc w:val="left"/>
              <w:rPr/>
            </w:pPr>
            <w:r>
              <w:rPr/>
              <w:t xml:space="preserve">  </w:t>
            </w:r>
          </w:p>
        </w:tc>
      </w:tr>
      <w:tr>
        <w:trPr/>
        <w:tc>
          <w:tcPr>
            <w:tcW w:w="4215" w:type="dxa"/>
            <w:tcBorders/>
            <w:shd w:fill="FFFFFF" w:val="clear"/>
            <w:vAlign w:val="bottom"/>
          </w:tcPr>
          <w:p>
            <w:pPr>
              <w:pStyle w:val="TableContents"/>
              <w:spacing w:before="0" w:after="0"/>
              <w:ind w:left="0" w:right="0" w:hanging="0"/>
              <w:jc w:val="left"/>
              <w:rPr/>
            </w:pPr>
            <w:r>
              <w:rPr>
                <w:rFonts w:ascii="helvetica" w:hAnsi="helvetica"/>
                <w:sz w:val="20"/>
              </w:rPr>
              <w:t>Exercisable - June 30, 2012</w:t>
            </w:r>
            <w:r>
              <w:rPr/>
              <w:t xml:space="preserve"> </w:t>
            </w:r>
          </w:p>
        </w:tc>
        <w:tc>
          <w:tcPr>
            <w:tcW w:w="106" w:type="dxa"/>
            <w:tcBorders/>
            <w:shd w:fill="FFFFFF" w:val="clear"/>
            <w:vAlign w:val="bottom"/>
          </w:tcPr>
          <w:p>
            <w:pPr>
              <w:pStyle w:val="TableContents"/>
              <w:spacing w:before="0" w:after="283"/>
              <w:rPr/>
            </w:pPr>
            <w:r>
              <w:rPr/>
              <w:t xml:space="preserve">  </w:t>
            </w:r>
          </w:p>
        </w:tc>
        <w:tc>
          <w:tcPr>
            <w:tcW w:w="106"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1173"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1,053,402</w:t>
            </w:r>
            <w:r>
              <w:rPr/>
              <w:t xml:space="preserve"> </w:t>
            </w:r>
          </w:p>
        </w:tc>
        <w:tc>
          <w:tcPr>
            <w:tcW w:w="157"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rPr/>
            </w:pPr>
            <w:r>
              <w:rPr/>
              <w:t xml:space="preserve">  </w:t>
            </w:r>
          </w:p>
        </w:tc>
        <w:tc>
          <w:tcPr>
            <w:tcW w:w="186"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86"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1.97</w:t>
            </w: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rPr/>
            </w:pPr>
            <w:r>
              <w:rPr/>
              <w:t xml:space="preserve">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1140"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5.78</w:t>
            </w:r>
            <w:r>
              <w:rPr/>
              <w:t xml:space="preserve"> </w:t>
            </w:r>
          </w:p>
        </w:tc>
        <w:tc>
          <w:tcPr>
            <w:tcW w:w="144" w:type="dxa"/>
            <w:tcBorders/>
            <w:shd w:fill="FFFFFF" w:val="clear"/>
            <w:vAlign w:val="bottom"/>
          </w:tcPr>
          <w:p>
            <w:pPr>
              <w:pStyle w:val="TableContents"/>
              <w:spacing w:before="0" w:after="283"/>
              <w:jc w:val="left"/>
              <w:rPr/>
            </w:pPr>
            <w:r>
              <w:rPr/>
              <w:t xml:space="preserve">  </w:t>
            </w:r>
          </w:p>
        </w:tc>
        <w:tc>
          <w:tcPr>
            <w:tcW w:w="106" w:type="dxa"/>
            <w:tcBorders/>
            <w:shd w:fill="FFFFFF" w:val="clear"/>
            <w:vAlign w:val="bottom"/>
          </w:tcPr>
          <w:p>
            <w:pPr>
              <w:pStyle w:val="TableContents"/>
              <w:spacing w:before="0" w:after="283"/>
              <w:rPr/>
            </w:pPr>
            <w:r>
              <w:rPr/>
              <w:t xml:space="preserve">  </w:t>
            </w:r>
          </w:p>
        </w:tc>
        <w:tc>
          <w:tcPr>
            <w:tcW w:w="186" w:type="dxa"/>
            <w:tcBorders>
              <w:bottom w:val="double" w:sz="8" w:space="0" w:color="000000"/>
            </w:tcBorders>
            <w:shd w:fill="FFFF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34"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15,885</w:t>
            </w:r>
            <w:r>
              <w:rPr/>
              <w:t xml:space="preserve"> </w:t>
            </w:r>
          </w:p>
        </w:tc>
        <w:tc>
          <w:tcPr>
            <w:tcW w:w="163" w:type="dxa"/>
            <w:tcBorders/>
            <w:shd w:fill="FFFFFF" w:val="clear"/>
            <w:vAlign w:val="bottom"/>
          </w:tcPr>
          <w:p>
            <w:pPr>
              <w:pStyle w:val="TableContents"/>
              <w:spacing w:before="0" w:after="283"/>
              <w:jc w:val="left"/>
              <w:rPr/>
            </w:pPr>
            <w:r>
              <w:rPr/>
              <w:t xml:space="preserve">  </w:t>
            </w:r>
          </w:p>
        </w:tc>
      </w:tr>
      <w:tr>
        <w:trPr/>
        <w:tc>
          <w:tcPr>
            <w:tcW w:w="4215" w:type="dxa"/>
            <w:tcBorders/>
            <w:shd w:fill="CCEEFF" w:val="clear"/>
            <w:vAlign w:val="bottom"/>
          </w:tcPr>
          <w:p>
            <w:pPr>
              <w:pStyle w:val="TableContents"/>
              <w:spacing w:before="0" w:after="0"/>
              <w:ind w:left="0" w:right="0" w:hanging="0"/>
              <w:jc w:val="left"/>
              <w:rPr/>
            </w:pPr>
            <w:r>
              <w:rPr>
                <w:rFonts w:ascii="helvetica" w:hAnsi="helvetica"/>
                <w:sz w:val="20"/>
              </w:rPr>
              <w:t>Vested and expected to vest - June 30, 2012</w:t>
            </w:r>
            <w:r>
              <w:rPr/>
              <w:t xml:space="preserve"> </w:t>
            </w:r>
          </w:p>
        </w:tc>
        <w:tc>
          <w:tcPr>
            <w:tcW w:w="106" w:type="dxa"/>
            <w:tcBorders/>
            <w:shd w:fill="CCEEFF" w:val="clear"/>
            <w:vAlign w:val="bottom"/>
          </w:tcPr>
          <w:p>
            <w:pPr>
              <w:pStyle w:val="TableContents"/>
              <w:spacing w:before="0" w:after="283"/>
              <w:rPr/>
            </w:pPr>
            <w:r>
              <w:rPr/>
              <w:t xml:space="preserve">  </w:t>
            </w:r>
          </w:p>
        </w:tc>
        <w:tc>
          <w:tcPr>
            <w:tcW w:w="106" w:type="dxa"/>
            <w:tcBorders>
              <w:bottom w:val="double" w:sz="8" w:space="0" w:color="000000"/>
            </w:tcBorders>
            <w:shd w:fill="CCEEFF" w:val="clear"/>
            <w:tcMar>
              <w:bottom w:w="28" w:type="dxa"/>
            </w:tcMar>
            <w:vAlign w:val="bottom"/>
          </w:tcPr>
          <w:p>
            <w:pPr>
              <w:pStyle w:val="TableContents"/>
              <w:spacing w:before="0" w:after="283"/>
              <w:jc w:val="left"/>
              <w:rPr/>
            </w:pPr>
            <w:r>
              <w:rPr/>
              <w:t xml:space="preserve">  </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4,155,477</w:t>
            </w:r>
            <w:r>
              <w:rPr/>
              <w:t xml:space="preserve"> </w:t>
            </w:r>
          </w:p>
        </w:tc>
        <w:tc>
          <w:tcPr>
            <w:tcW w:w="157"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986"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1.06</w:t>
            </w: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5" w:type="dxa"/>
            <w:tcBorders/>
            <w:shd w:fill="CCEEFF" w:val="clear"/>
            <w:vAlign w:val="bottom"/>
          </w:tcPr>
          <w:p>
            <w:pPr>
              <w:pStyle w:val="TableContents"/>
              <w:spacing w:before="0" w:after="283"/>
              <w:rPr/>
            </w:pPr>
            <w:r>
              <w:rPr/>
              <w:t xml:space="preserve">  </w:t>
            </w:r>
          </w:p>
        </w:tc>
        <w:tc>
          <w:tcPr>
            <w:tcW w:w="148" w:type="dxa"/>
            <w:tcBorders>
              <w:bottom w:val="double" w:sz="8" w:space="0" w:color="000000"/>
            </w:tcBorders>
            <w:shd w:fill="CCEEFF" w:val="clear"/>
            <w:tcMar>
              <w:bottom w:w="28" w:type="dxa"/>
            </w:tcMar>
            <w:vAlign w:val="bottom"/>
          </w:tcPr>
          <w:p>
            <w:pPr>
              <w:pStyle w:val="TableContents"/>
              <w:spacing w:before="0" w:after="283"/>
              <w:jc w:val="left"/>
              <w:rPr/>
            </w:pPr>
            <w:r>
              <w:rPr/>
              <w:t xml:space="preserve">  </w:t>
            </w:r>
          </w:p>
        </w:tc>
        <w:tc>
          <w:tcPr>
            <w:tcW w:w="1140"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5.27</w:t>
            </w:r>
            <w:r>
              <w:rPr/>
              <w:t xml:space="preserve"> </w:t>
            </w:r>
          </w:p>
        </w:tc>
        <w:tc>
          <w:tcPr>
            <w:tcW w:w="144" w:type="dxa"/>
            <w:tcBorders/>
            <w:shd w:fill="CCEEFF" w:val="clear"/>
            <w:vAlign w:val="bottom"/>
          </w:tcPr>
          <w:p>
            <w:pPr>
              <w:pStyle w:val="TableContents"/>
              <w:spacing w:before="0" w:after="283"/>
              <w:jc w:val="left"/>
              <w:rPr/>
            </w:pPr>
            <w:r>
              <w:rPr/>
              <w:t xml:space="preserve">  </w:t>
            </w:r>
          </w:p>
        </w:tc>
        <w:tc>
          <w:tcPr>
            <w:tcW w:w="106" w:type="dxa"/>
            <w:tcBorders/>
            <w:shd w:fill="CCEEFF" w:val="clear"/>
            <w:vAlign w:val="bottom"/>
          </w:tcPr>
          <w:p>
            <w:pPr>
              <w:pStyle w:val="TableContents"/>
              <w:spacing w:before="0" w:after="283"/>
              <w:rPr/>
            </w:pPr>
            <w:r>
              <w:rPr/>
              <w:t xml:space="preserve">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34"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70,625</w:t>
            </w:r>
            <w:r>
              <w:rPr/>
              <w:t xml:space="preserve"> </w:t>
            </w:r>
          </w:p>
        </w:tc>
        <w:tc>
          <w:tcPr>
            <w:tcW w:w="163"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29, 2012, based on the closing price of the Company’s common stock of $0.60 on that date.</w:t>
      </w:r>
      <w:r>
        <w:rPr>
          <w:rFonts w:ascii="Helvetica" w:hAnsi="Helvetica"/>
          <w:sz w:val="20"/>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07" w:name="PGBRK84"/>
      <w:bookmarkStart w:id="1008" w:name="PGBRK84"/>
      <w:bookmarkEnd w:id="10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9" w:name="FTR84"/>
      <w:bookmarkStart w:id="1010" w:name="FTR84"/>
      <w:bookmarkEnd w:id="10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1" w:name="GLFTR83"/>
      <w:bookmarkEnd w:id="10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12" w:name="PN83"/>
      <w:bookmarkEnd w:id="1012"/>
      <w:r>
        <w:rPr>
          <w:rFonts w:ascii="Helvetica" w:hAnsi="Helvetica"/>
          <w:sz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3" w:name="HDR83"/>
      <w:bookmarkStart w:id="1014" w:name="HDR83"/>
      <w:bookmarkEnd w:id="10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5" w:name="GLHDR83"/>
      <w:bookmarkEnd w:id="10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rFonts w:ascii="helvetica" w:hAnsi="helvetica"/>
          <w:sz w:val="20"/>
        </w:rPr>
        <w:t>On January 25, 2012, the Board approved the grant to Dr. Balbir Brar, the Company’s President, of an option to purchase 1,125,000 shares of common stock under the Plan pursuant to the Company’s form of Incentive Stock Option Agreement, which option was granted on January 25, 2012. The exercise price of the option is $0.736 and the option vests as follows: 1/36th of the unvested shares will vest on each of the 36 monthly periods following the date of the grant provided Dr. Brar continues to be employed by the Company as of the applicable vesting date.</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On January 25, 2012, in connection with a senior advisory agreement, the Board approved the grant to Dr. Paul Finnegan, a director, an option to purchase up to 625,000 shares of common stock under the Plan pursuant to the Company’s form of Nonqualified Stock Option Agreement, which option was granted on January 25, 2012. The exercise price of the option is $0.64. The option was originally scheduled to vest as follows: 250,000 shares on January 6, 2013, 250,000 shares on January 6, 2014 and 125,000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On January 25, 2012, the Board approved a one-time stock option grant to Mr. Mark Baum, the Company’s current Chief Executive Officer and a director, to purchase up to 625,000 shares of the Company’s common stock under the Plan pursuant to the Company’s form of Nonqualified Stock Option Agreement, which option was granted on January 25, 2012. The options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On January 25, 2012 the Board approved the grant to Andrew R. Boll, the Company’s Vice-President of Accounting and Public Reporting, of an option to purchase up to 75,000 shares of common stock under the Plan pursuant to the Company’s form of Incentive Stock Option Agreement, which option was granted on February 1, 2012. The exercise price of the option is $0.736 and the option vests as follows: 1/36th of the unvested shares will vest on each of the 36 monthly periods following the date of the grant provided Mr. Boll continues to be employed by the Company as of the applicable vesting date.</w:t>
      </w:r>
      <w:r>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16" w:name="PGBRK85"/>
      <w:bookmarkStart w:id="1017" w:name="PGBRK85"/>
      <w:bookmarkEnd w:id="10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8" w:name="FTR85"/>
      <w:bookmarkStart w:id="1019" w:name="FTR85"/>
      <w:bookmarkEnd w:id="1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0" w:name="GLFTR84"/>
      <w:bookmarkEnd w:id="10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21" w:name="PN84"/>
      <w:bookmarkEnd w:id="1021"/>
      <w:r>
        <w:rPr>
          <w:rFonts w:ascii="Helvetica" w:hAnsi="Helvetica"/>
          <w:sz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2" w:name="HDR84"/>
      <w:bookmarkStart w:id="1023" w:name="HDR84"/>
      <w:bookmarkEnd w:id="10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4" w:name="GLHDR84"/>
      <w:bookmarkEnd w:id="10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On January 25, 2012 the Board approved the grant to Dr. Joachim Schupp, the Company’s Chief Medical Officer, of an option to purchase up to 375,000 shares of common stock under the Plan pursuant to the Company’s form of Incentive Stock Option Agreement, which option was granted on February 15, 2012. The exercise price of the option is $0.72 and the option vests as follows: 1/36th of the unvested shares will vest on each of the 36 monthly periods following the date of the grant provided Dr. Schupp continues to be employed by the Company as of the applicable vesting date.</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1, 2012, the Board of Directors approved the issuance of options to purchase 125,000 shares of the Company’s common stock to each of the Company’s directors, including the Company’s employee and non-employee directors, under the Plan pursuant to the Company’s form of Nonqualified Stock Option Agreement.  Each of the options has an exercise price of $0.90 per share.  The options have a term of five years and vest quarterly over a one year period, such that the option to purchase 31,250 shares vests on each of June 30, 2012, September 30, 2012, December 31, 2012 and March 31, 2013.</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Plan pursuant to the Company’s form of Nonqualified Stock Option Agreement.  The option has a ten year term and vests monthly over a one year period.</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1, 2012, the Company granted to Mr. Baum an option to purchase up to 300,000 shares of the Company’s common stock at an exercise price of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table below illustrates the fair value per share determined by the Black-Scholes-Merton option pricing model with the following assumptions used for the grants issued to employees and directors during the six months ended June 30, 2012:</w:t>
      </w:r>
      <w:r>
        <w:rPr>
          <w:rFonts w:ascii="Helvetica" w:hAnsi="Helvetica"/>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523"/>
        <w:gridCol w:w="126"/>
        <w:gridCol w:w="200"/>
        <w:gridCol w:w="1077"/>
        <w:gridCol w:w="279"/>
      </w:tblGrid>
      <w:tr>
        <w:trPr/>
        <w:tc>
          <w:tcPr>
            <w:tcW w:w="8523"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Six Months Ended June 30, 2012</w:t>
            </w:r>
            <w:r>
              <w:rPr/>
              <w:t xml:space="preserve"> </w:t>
            </w:r>
          </w:p>
        </w:tc>
        <w:tc>
          <w:tcPr>
            <w:tcW w:w="279" w:type="dxa"/>
            <w:tcBorders/>
            <w:shd w:fill="auto" w:val="clear"/>
            <w:vAlign w:val="bottom"/>
          </w:tcPr>
          <w:p>
            <w:pPr>
              <w:pStyle w:val="TableContents"/>
              <w:spacing w:before="0" w:after="283"/>
              <w:jc w:val="left"/>
              <w:rPr/>
            </w:pPr>
            <w:r>
              <w:rPr/>
              <w:t xml:space="preserve">  </w:t>
            </w:r>
          </w:p>
        </w:tc>
      </w:tr>
      <w:tr>
        <w:trPr/>
        <w:tc>
          <w:tcPr>
            <w:tcW w:w="8523" w:type="dxa"/>
            <w:tcBorders/>
            <w:shd w:fill="CCEEFF" w:val="clear"/>
            <w:vAlign w:val="bottom"/>
          </w:tcPr>
          <w:p>
            <w:pPr>
              <w:pStyle w:val="TableContents"/>
              <w:spacing w:before="0" w:after="0"/>
              <w:ind w:left="0" w:right="0" w:hanging="0"/>
              <w:jc w:val="left"/>
              <w:rPr/>
            </w:pPr>
            <w:r>
              <w:rPr>
                <w:rFonts w:ascii="helvetica" w:hAnsi="helvetica"/>
                <w:sz w:val="20"/>
              </w:rPr>
              <w:t>Weighted-average fair value of options granted</w:t>
            </w:r>
            <w:r>
              <w:rPr/>
              <w:t xml:space="preserve"> </w:t>
            </w:r>
          </w:p>
        </w:tc>
        <w:tc>
          <w:tcPr>
            <w:tcW w:w="1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0.64</w:t>
            </w:r>
            <w:r>
              <w:rPr/>
              <w:t xml:space="preserve"> </w:t>
            </w:r>
          </w:p>
        </w:tc>
        <w:tc>
          <w:tcPr>
            <w:tcW w:w="279" w:type="dxa"/>
            <w:tcBorders/>
            <w:shd w:fill="CCEEFF" w:val="clear"/>
            <w:vAlign w:val="bottom"/>
          </w:tcPr>
          <w:p>
            <w:pPr>
              <w:pStyle w:val="TableContents"/>
              <w:spacing w:before="0" w:after="283"/>
              <w:jc w:val="left"/>
              <w:rPr/>
            </w:pPr>
            <w:r>
              <w:rPr/>
              <w:t xml:space="preserve">  </w:t>
            </w:r>
          </w:p>
        </w:tc>
      </w:tr>
      <w:tr>
        <w:trPr/>
        <w:tc>
          <w:tcPr>
            <w:tcW w:w="8523" w:type="dxa"/>
            <w:tcBorders/>
            <w:shd w:fill="FFFFFF" w:val="clear"/>
            <w:vAlign w:val="bottom"/>
          </w:tcPr>
          <w:p>
            <w:pPr>
              <w:pStyle w:val="TableContents"/>
              <w:spacing w:before="0" w:after="0"/>
              <w:ind w:left="0" w:right="0" w:hanging="0"/>
              <w:jc w:val="left"/>
              <w:rPr/>
            </w:pPr>
            <w:r>
              <w:rPr>
                <w:rFonts w:ascii="helvetica" w:hAnsi="helvetica"/>
                <w:sz w:val="20"/>
              </w:rPr>
              <w:t>Expected terms (in years)</w:t>
            </w:r>
            <w:r>
              <w:rPr/>
              <w:t xml:space="preserve"> </w:t>
            </w:r>
          </w:p>
        </w:tc>
        <w:tc>
          <w:tcPr>
            <w:tcW w:w="1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3-5.5</w:t>
            </w:r>
            <w:r>
              <w:rPr/>
              <w:t xml:space="preserve"> </w:t>
            </w:r>
          </w:p>
        </w:tc>
        <w:tc>
          <w:tcPr>
            <w:tcW w:w="279" w:type="dxa"/>
            <w:tcBorders/>
            <w:shd w:fill="FFFFFF" w:val="clear"/>
            <w:vAlign w:val="bottom"/>
          </w:tcPr>
          <w:p>
            <w:pPr>
              <w:pStyle w:val="TableContents"/>
              <w:spacing w:before="0" w:after="283"/>
              <w:jc w:val="left"/>
              <w:rPr/>
            </w:pPr>
            <w:r>
              <w:rPr/>
              <w:t xml:space="preserve">  </w:t>
            </w:r>
          </w:p>
        </w:tc>
      </w:tr>
      <w:tr>
        <w:trPr/>
        <w:tc>
          <w:tcPr>
            <w:tcW w:w="8523" w:type="dxa"/>
            <w:tcBorders/>
            <w:shd w:fill="CCEEFF" w:val="clear"/>
            <w:vAlign w:val="bottom"/>
          </w:tcPr>
          <w:p>
            <w:pPr>
              <w:pStyle w:val="TableContents"/>
              <w:spacing w:before="0" w:after="0"/>
              <w:ind w:left="0" w:right="0" w:hanging="0"/>
              <w:jc w:val="left"/>
              <w:rPr/>
            </w:pPr>
            <w:r>
              <w:rPr>
                <w:rFonts w:ascii="helvetica" w:hAnsi="helvetica"/>
                <w:sz w:val="20"/>
              </w:rPr>
              <w:t>Expected volatility</w:t>
            </w:r>
            <w:r>
              <w:rPr/>
              <w:t xml:space="preserve"> </w:t>
            </w:r>
          </w:p>
        </w:tc>
        <w:tc>
          <w:tcPr>
            <w:tcW w:w="1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219-360</w:t>
            </w:r>
            <w:r>
              <w:rPr/>
              <w:t xml:space="preserve"> </w:t>
            </w:r>
          </w:p>
        </w:tc>
        <w:tc>
          <w:tcPr>
            <w:tcW w:w="279"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8523" w:type="dxa"/>
            <w:tcBorders/>
            <w:shd w:fill="FFFFFF" w:val="clear"/>
            <w:vAlign w:val="bottom"/>
          </w:tcPr>
          <w:p>
            <w:pPr>
              <w:pStyle w:val="TableContents"/>
              <w:spacing w:before="0" w:after="0"/>
              <w:ind w:left="0" w:right="0" w:hanging="0"/>
              <w:jc w:val="left"/>
              <w:rPr/>
            </w:pPr>
            <w:r>
              <w:rPr>
                <w:rFonts w:ascii="helvetica" w:hAnsi="helvetica"/>
                <w:sz w:val="20"/>
              </w:rPr>
              <w:t>Risk-free interest rate</w:t>
            </w:r>
            <w:r>
              <w:rPr/>
              <w:t xml:space="preserve"> </w:t>
            </w:r>
          </w:p>
        </w:tc>
        <w:tc>
          <w:tcPr>
            <w:tcW w:w="126"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1077" w:type="dxa"/>
            <w:tcBorders/>
            <w:shd w:fill="FFFFFF" w:val="clear"/>
            <w:vAlign w:val="bottom"/>
          </w:tcPr>
          <w:p>
            <w:pPr>
              <w:pStyle w:val="TableContents"/>
              <w:spacing w:before="0" w:after="283"/>
              <w:jc w:val="right"/>
              <w:rPr/>
            </w:pPr>
            <w:r>
              <w:rPr>
                <w:rFonts w:ascii="helvetica" w:hAnsi="helvetica"/>
                <w:sz w:val="20"/>
              </w:rPr>
              <w:t>0.36-1.03</w:t>
            </w:r>
            <w:r>
              <w:rPr/>
              <w:t xml:space="preserve"> </w:t>
            </w:r>
          </w:p>
        </w:tc>
        <w:tc>
          <w:tcPr>
            <w:tcW w:w="279"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8523" w:type="dxa"/>
            <w:tcBorders/>
            <w:shd w:fill="CCEEFF" w:val="clear"/>
            <w:vAlign w:val="bottom"/>
          </w:tcPr>
          <w:p>
            <w:pPr>
              <w:pStyle w:val="TableContents"/>
              <w:spacing w:before="0" w:after="0"/>
              <w:ind w:left="0" w:right="0" w:hanging="0"/>
              <w:jc w:val="left"/>
              <w:rPr/>
            </w:pPr>
            <w:r>
              <w:rPr>
                <w:rFonts w:ascii="helvetica" w:hAnsi="helvetica"/>
                <w:sz w:val="20"/>
              </w:rPr>
              <w:t>Dividend yield</w:t>
            </w:r>
            <w:r>
              <w:rPr/>
              <w:t xml:space="preserve"> </w:t>
            </w:r>
          </w:p>
        </w:tc>
        <w:tc>
          <w:tcPr>
            <w:tcW w:w="126"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1077"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279" w:type="dxa"/>
            <w:tcBorders/>
            <w:shd w:fill="CCEEFF" w:val="clear"/>
            <w:vAlign w:val="bottom"/>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sz w:val="20"/>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Under the terms of the Advisory Agreement, Dr. Kammer is to be compensated $10,000 per month in the form of common stock based on $0.90 price per share being allocated to each dollar of payment due to Dr. Kammer. Upon the completion of a financing transaction yielding not less than $15,000,000 to the Company, Dr. Kammer may unilaterally choose to be paid in either cash or common stock, based on the same $0.90 price per share. Dr. Kammer and the Company have agreed that the common stock issuable to Dr. Kammer as compensation under his advisory agreement is to be accrued and issued on a quarterly or annual basis; accordingly, as of the date hereof no such shares have been issued to Dr. Kammer. The balance due to Dr. Kammer at June 30, 2012 under the Advisory Agreement was $30,000 (share equivalent of 33,333 common shares) and is included in accounts payable and accrued expenses in the accompanying unaudited condensed consolidated balance sheet.</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In connection with the Advisory Agreement, the Company granted to Dr. Kammer an option to purchase up to 300,000 shares of the Company’s common stock at an exercise price of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June 30, 2012, the revalued aggregate estimated fair value of the stock option, based on the Black-Scholes-Merton pricing model, was $203,736.</w:t>
      </w:r>
      <w:r>
        <w:rPr/>
        <w:t xml:space="preserve"> </w:t>
      </w:r>
    </w:p>
    <w:p>
      <w:pPr>
        <w:pStyle w:val="TextBody"/>
        <w:spacing w:before="0" w:after="0"/>
        <w:ind w:left="0" w:right="0" w:hanging="0"/>
        <w:rPr/>
      </w:pPr>
      <w:r>
        <w:rPr/>
        <w:t> </w:t>
      </w:r>
    </w:p>
    <w:p>
      <w:pPr>
        <w:pStyle w:val="TextBody"/>
        <w:spacing w:before="0" w:after="0"/>
        <w:ind w:left="0" w:right="0" w:hanging="0"/>
        <w:jc w:val="left"/>
        <w:rPr/>
      </w:pPr>
      <w:r>
        <w:rPr>
          <w:rFonts w:ascii="helvetica" w:hAnsi="helvetica"/>
          <w:sz w:val="20"/>
        </w:rPr>
        <w:t>The table below illustrates the fair value per share determined by the Black-Scholes-Merton option pricing model with the following assumptions used for the grants issued to consultants during the six months ended June 30, 2012:</w:t>
      </w:r>
      <w:r>
        <w:rPr/>
        <w:t xml:space="preserve">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65"/>
        <w:gridCol w:w="126"/>
        <w:gridCol w:w="172"/>
        <w:gridCol w:w="1160"/>
        <w:gridCol w:w="282"/>
      </w:tblGrid>
      <w:tr>
        <w:trPr/>
        <w:tc>
          <w:tcPr>
            <w:tcW w:w="8465"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xml:space="preserve">  </w:t>
            </w:r>
          </w:p>
        </w:tc>
        <w:tc>
          <w:tcPr>
            <w:tcW w:w="13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Six Months Ended June 30,2012</w:t>
            </w:r>
            <w:r>
              <w:rPr/>
              <w:t xml:space="preserve"> </w:t>
            </w:r>
          </w:p>
        </w:tc>
        <w:tc>
          <w:tcPr>
            <w:tcW w:w="282" w:type="dxa"/>
            <w:tcBorders/>
            <w:shd w:fill="auto" w:val="clear"/>
            <w:vAlign w:val="bottom"/>
          </w:tcPr>
          <w:p>
            <w:pPr>
              <w:pStyle w:val="TableContents"/>
              <w:spacing w:before="0" w:after="283"/>
              <w:jc w:val="left"/>
              <w:rPr/>
            </w:pPr>
            <w:r>
              <w:rPr/>
              <w:t xml:space="preserve">  </w:t>
            </w:r>
          </w:p>
        </w:tc>
      </w:tr>
      <w:tr>
        <w:trPr/>
        <w:tc>
          <w:tcPr>
            <w:tcW w:w="8465" w:type="dxa"/>
            <w:tcBorders/>
            <w:shd w:fill="CCEEFF" w:val="clear"/>
            <w:vAlign w:val="bottom"/>
          </w:tcPr>
          <w:p>
            <w:pPr>
              <w:pStyle w:val="TableContents"/>
              <w:spacing w:before="0" w:after="0"/>
              <w:ind w:left="0" w:right="0" w:hanging="0"/>
              <w:jc w:val="left"/>
              <w:rPr/>
            </w:pPr>
            <w:r>
              <w:rPr>
                <w:rFonts w:ascii="helvetica" w:hAnsi="helvetica"/>
                <w:sz w:val="20"/>
              </w:rPr>
              <w:t>Weighted-average fair value of options granted</w:t>
            </w:r>
            <w:r>
              <w:rPr/>
              <w:t xml:space="preserve"> </w:t>
            </w:r>
          </w:p>
        </w:tc>
        <w:tc>
          <w:tcPr>
            <w:tcW w:w="126" w:type="dxa"/>
            <w:tcBorders/>
            <w:shd w:fill="CCEEFF" w:val="clear"/>
            <w:vAlign w:val="bottom"/>
          </w:tcPr>
          <w:p>
            <w:pPr>
              <w:pStyle w:val="TableContents"/>
              <w:spacing w:before="0" w:after="283"/>
              <w:rPr/>
            </w:pPr>
            <w:r>
              <w:rPr/>
              <w:t xml:space="preserve">  </w:t>
            </w:r>
          </w:p>
        </w:tc>
        <w:tc>
          <w:tcPr>
            <w:tcW w:w="172"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160" w:type="dxa"/>
            <w:tcBorders/>
            <w:shd w:fill="CCEEFF" w:val="clear"/>
            <w:vAlign w:val="bottom"/>
          </w:tcPr>
          <w:p>
            <w:pPr>
              <w:pStyle w:val="TableContents"/>
              <w:spacing w:before="0" w:after="283"/>
              <w:jc w:val="right"/>
              <w:rPr/>
            </w:pPr>
            <w:r>
              <w:rPr>
                <w:rFonts w:ascii="helvetica" w:hAnsi="helvetica"/>
                <w:sz w:val="20"/>
              </w:rPr>
              <w:t>0.68</w:t>
            </w:r>
            <w:r>
              <w:rPr/>
              <w:t xml:space="preserve"> </w:t>
            </w:r>
          </w:p>
        </w:tc>
        <w:tc>
          <w:tcPr>
            <w:tcW w:w="282" w:type="dxa"/>
            <w:tcBorders/>
            <w:shd w:fill="CCEEFF" w:val="clear"/>
            <w:vAlign w:val="bottom"/>
          </w:tcPr>
          <w:p>
            <w:pPr>
              <w:pStyle w:val="TableContents"/>
              <w:spacing w:before="0" w:after="283"/>
              <w:jc w:val="left"/>
              <w:rPr/>
            </w:pPr>
            <w:r>
              <w:rPr/>
              <w:t xml:space="preserve">  </w:t>
            </w:r>
          </w:p>
        </w:tc>
      </w:tr>
      <w:tr>
        <w:trPr/>
        <w:tc>
          <w:tcPr>
            <w:tcW w:w="8465" w:type="dxa"/>
            <w:tcBorders/>
            <w:shd w:fill="FFFFFF" w:val="clear"/>
            <w:vAlign w:val="bottom"/>
          </w:tcPr>
          <w:p>
            <w:pPr>
              <w:pStyle w:val="TableContents"/>
              <w:spacing w:before="0" w:after="0"/>
              <w:ind w:left="0" w:right="0" w:hanging="0"/>
              <w:jc w:val="left"/>
              <w:rPr/>
            </w:pPr>
            <w:r>
              <w:rPr>
                <w:rFonts w:ascii="helvetica" w:hAnsi="helvetica"/>
                <w:sz w:val="20"/>
              </w:rPr>
              <w:t>Expected terms (in years)</w:t>
            </w:r>
            <w:r>
              <w:rPr/>
              <w:t xml:space="preserve"> </w:t>
            </w:r>
          </w:p>
        </w:tc>
        <w:tc>
          <w:tcPr>
            <w:tcW w:w="126" w:type="dxa"/>
            <w:tcBorders/>
            <w:shd w:fill="FFFFFF" w:val="cle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rFonts w:ascii="helvetica" w:hAnsi="helvetica"/>
                <w:sz w:val="20"/>
              </w:rPr>
              <w:t>4.83-5.00</w:t>
            </w:r>
            <w:r>
              <w:rPr/>
              <w:t xml:space="preserve"> </w:t>
            </w:r>
          </w:p>
        </w:tc>
        <w:tc>
          <w:tcPr>
            <w:tcW w:w="282" w:type="dxa"/>
            <w:tcBorders/>
            <w:shd w:fill="FFFFFF" w:val="clear"/>
            <w:vAlign w:val="bottom"/>
          </w:tcPr>
          <w:p>
            <w:pPr>
              <w:pStyle w:val="TableContents"/>
              <w:spacing w:before="0" w:after="283"/>
              <w:jc w:val="left"/>
              <w:rPr/>
            </w:pPr>
            <w:r>
              <w:rPr/>
              <w:t xml:space="preserve">  </w:t>
            </w:r>
          </w:p>
        </w:tc>
      </w:tr>
      <w:tr>
        <w:trPr/>
        <w:tc>
          <w:tcPr>
            <w:tcW w:w="8465" w:type="dxa"/>
            <w:tcBorders/>
            <w:shd w:fill="CCEEFF" w:val="clear"/>
            <w:vAlign w:val="bottom"/>
          </w:tcPr>
          <w:p>
            <w:pPr>
              <w:pStyle w:val="TableContents"/>
              <w:spacing w:before="0" w:after="0"/>
              <w:ind w:left="0" w:right="0" w:hanging="0"/>
              <w:jc w:val="left"/>
              <w:rPr/>
            </w:pPr>
            <w:r>
              <w:rPr>
                <w:rFonts w:ascii="helvetica" w:hAnsi="helvetica"/>
                <w:sz w:val="20"/>
              </w:rPr>
              <w:t>Expected volatility</w:t>
            </w:r>
            <w:r>
              <w:rPr/>
              <w:t xml:space="preserve"> </w:t>
            </w:r>
          </w:p>
        </w:tc>
        <w:tc>
          <w:tcPr>
            <w:tcW w:w="126" w:type="dxa"/>
            <w:tcBorders/>
            <w:shd w:fill="CCEEFF" w:val="clear"/>
            <w:vAlign w:val="bottom"/>
          </w:tcPr>
          <w:p>
            <w:pPr>
              <w:pStyle w:val="TableContents"/>
              <w:spacing w:before="0" w:after="283"/>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rFonts w:ascii="helvetica" w:hAnsi="helvetica"/>
                <w:sz w:val="20"/>
              </w:rPr>
              <w:t>306% - 361</w:t>
            </w:r>
            <w:r>
              <w:rPr/>
              <w:t xml:space="preserve"> </w:t>
            </w:r>
          </w:p>
        </w:tc>
        <w:tc>
          <w:tcPr>
            <w:tcW w:w="282" w:type="dxa"/>
            <w:tcBorders/>
            <w:shd w:fill="CCEEFF" w:val="clear"/>
            <w:vAlign w:val="bottom"/>
          </w:tcPr>
          <w:p>
            <w:pPr>
              <w:pStyle w:val="TableContents"/>
              <w:spacing w:before="0" w:after="283"/>
              <w:jc w:val="left"/>
              <w:rPr/>
            </w:pPr>
            <w:r>
              <w:rPr>
                <w:rFonts w:ascii="helvetica" w:hAnsi="helvetica"/>
                <w:sz w:val="20"/>
              </w:rPr>
              <w:t>%</w:t>
            </w:r>
            <w:r>
              <w:rPr/>
              <w:t xml:space="preserve"> </w:t>
            </w:r>
          </w:p>
        </w:tc>
      </w:tr>
      <w:tr>
        <w:trPr/>
        <w:tc>
          <w:tcPr>
            <w:tcW w:w="8465" w:type="dxa"/>
            <w:tcBorders/>
            <w:shd w:fill="FFFFFF" w:val="clear"/>
            <w:vAlign w:val="bottom"/>
          </w:tcPr>
          <w:p>
            <w:pPr>
              <w:pStyle w:val="TableContents"/>
              <w:spacing w:before="0" w:after="0"/>
              <w:ind w:left="0" w:right="0" w:hanging="0"/>
              <w:jc w:val="left"/>
              <w:rPr/>
            </w:pPr>
            <w:r>
              <w:rPr>
                <w:rFonts w:ascii="helvetica" w:hAnsi="helvetica"/>
                <w:sz w:val="20"/>
              </w:rPr>
              <w:t>Risk-free interest rate</w:t>
            </w:r>
            <w:r>
              <w:rPr/>
              <w:t xml:space="preserve"> </w:t>
            </w:r>
          </w:p>
        </w:tc>
        <w:tc>
          <w:tcPr>
            <w:tcW w:w="126" w:type="dxa"/>
            <w:tcBorders/>
            <w:shd w:fill="FFFFFF" w:val="clear"/>
            <w:vAlign w:val="bottom"/>
          </w:tcPr>
          <w:p>
            <w:pPr>
              <w:pStyle w:val="TableContents"/>
              <w:spacing w:before="0" w:after="283"/>
              <w:rPr/>
            </w:pPr>
            <w:r>
              <w:rPr/>
              <w:t xml:space="preserve">  </w:t>
            </w:r>
          </w:p>
        </w:tc>
        <w:tc>
          <w:tcPr>
            <w:tcW w:w="172" w:type="dxa"/>
            <w:tcBorders/>
            <w:shd w:fill="FFFFFF" w:val="clear"/>
            <w:vAlign w:val="bottom"/>
          </w:tcPr>
          <w:p>
            <w:pPr>
              <w:pStyle w:val="TableContents"/>
              <w:spacing w:before="0" w:after="283"/>
              <w:jc w:val="left"/>
              <w:rPr/>
            </w:pPr>
            <w:r>
              <w:rPr/>
              <w:t xml:space="preserve">  </w:t>
            </w:r>
          </w:p>
        </w:tc>
        <w:tc>
          <w:tcPr>
            <w:tcW w:w="1160" w:type="dxa"/>
            <w:tcBorders/>
            <w:shd w:fill="FFFFFF" w:val="clear"/>
            <w:vAlign w:val="bottom"/>
          </w:tcPr>
          <w:p>
            <w:pPr>
              <w:pStyle w:val="TableContents"/>
              <w:spacing w:before="0" w:after="283"/>
              <w:jc w:val="right"/>
              <w:rPr/>
            </w:pPr>
            <w:r>
              <w:rPr>
                <w:rFonts w:ascii="helvetica" w:hAnsi="helvetica"/>
                <w:sz w:val="20"/>
              </w:rPr>
              <w:t>0.62%-1.03</w:t>
            </w:r>
            <w:r>
              <w:rPr/>
              <w:t xml:space="preserve"> </w:t>
            </w:r>
          </w:p>
        </w:tc>
        <w:tc>
          <w:tcPr>
            <w:tcW w:w="282" w:type="dxa"/>
            <w:tcBorders/>
            <w:shd w:fill="FFFFFF" w:val="clear"/>
            <w:vAlign w:val="bottom"/>
          </w:tcPr>
          <w:p>
            <w:pPr>
              <w:pStyle w:val="TableContents"/>
              <w:spacing w:before="0" w:after="283"/>
              <w:jc w:val="left"/>
              <w:rPr/>
            </w:pPr>
            <w:r>
              <w:rPr>
                <w:rFonts w:ascii="helvetica" w:hAnsi="helvetica"/>
                <w:sz w:val="20"/>
              </w:rPr>
              <w:t>%</w:t>
            </w:r>
            <w:r>
              <w:rPr/>
              <w:t xml:space="preserve"> </w:t>
            </w:r>
          </w:p>
        </w:tc>
      </w:tr>
      <w:tr>
        <w:trPr/>
        <w:tc>
          <w:tcPr>
            <w:tcW w:w="8465" w:type="dxa"/>
            <w:tcBorders/>
            <w:shd w:fill="CCEEFF" w:val="clear"/>
            <w:vAlign w:val="bottom"/>
          </w:tcPr>
          <w:p>
            <w:pPr>
              <w:pStyle w:val="TableContents"/>
              <w:spacing w:before="0" w:after="0"/>
              <w:ind w:left="0" w:right="0" w:hanging="0"/>
              <w:jc w:val="left"/>
              <w:rPr/>
            </w:pPr>
            <w:r>
              <w:rPr>
                <w:rFonts w:ascii="helvetica" w:hAnsi="helvetica"/>
                <w:sz w:val="20"/>
              </w:rPr>
              <w:t>Dividend yield</w:t>
            </w:r>
            <w:r>
              <w:rPr/>
              <w:t xml:space="preserve"> </w:t>
            </w:r>
          </w:p>
        </w:tc>
        <w:tc>
          <w:tcPr>
            <w:tcW w:w="126" w:type="dxa"/>
            <w:tcBorders/>
            <w:shd w:fill="CCEEFF" w:val="clear"/>
            <w:vAlign w:val="bottom"/>
          </w:tcPr>
          <w:p>
            <w:pPr>
              <w:pStyle w:val="TableContents"/>
              <w:spacing w:before="0" w:after="283"/>
              <w:rPr/>
            </w:pPr>
            <w:r>
              <w:rPr/>
              <w:t xml:space="preserve">  </w:t>
            </w:r>
          </w:p>
        </w:tc>
        <w:tc>
          <w:tcPr>
            <w:tcW w:w="172" w:type="dxa"/>
            <w:tcBorders/>
            <w:shd w:fill="CCEEFF" w:val="clear"/>
            <w:vAlign w:val="bottom"/>
          </w:tcPr>
          <w:p>
            <w:pPr>
              <w:pStyle w:val="TableContents"/>
              <w:spacing w:before="0" w:after="283"/>
              <w:jc w:val="left"/>
              <w:rPr/>
            </w:pPr>
            <w:r>
              <w:rPr/>
              <w:t xml:space="preserve">  </w:t>
            </w:r>
          </w:p>
        </w:tc>
        <w:tc>
          <w:tcPr>
            <w:tcW w:w="1160"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282" w:type="dxa"/>
            <w:tcBorders/>
            <w:shd w:fill="CCEEFF" w:val="clear"/>
            <w:vAlign w:val="bottom"/>
          </w:tcPr>
          <w:p>
            <w:pPr>
              <w:pStyle w:val="TableContents"/>
              <w:spacing w:before="0" w:after="283"/>
              <w:jc w:val="left"/>
              <w:rPr/>
            </w:pPr>
            <w:r>
              <w:rPr/>
              <w:t xml:space="preserve">  </w:t>
            </w:r>
          </w:p>
        </w:tc>
      </w:tr>
    </w:tbl>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25" w:name="PGBRK86"/>
      <w:bookmarkStart w:id="1026" w:name="PGBRK86"/>
      <w:bookmarkEnd w:id="10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7" w:name="FTR86"/>
      <w:bookmarkStart w:id="1028" w:name="FTR86"/>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9" w:name="GLFTR85"/>
      <w:bookmarkEnd w:id="10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30" w:name="PN85"/>
      <w:bookmarkEnd w:id="1030"/>
      <w:r>
        <w:rPr>
          <w:rFonts w:ascii="Helvetica" w:hAnsi="Helvetica"/>
          <w:sz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1" w:name="HDR85"/>
      <w:bookmarkStart w:id="1032" w:name="HDR85"/>
      <w:bookmarkEnd w:id="10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3" w:name="GLHDR85"/>
      <w:bookmarkEnd w:id="10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both"/>
        <w:rPr>
          <w:rFonts w:ascii="Helvetica" w:hAnsi="Helvetica"/>
          <w:b/>
          <w:sz w:val="20"/>
        </w:rPr>
      </w:pPr>
      <w:r>
        <w:rPr>
          <w:rFonts w:ascii="helvetica" w:hAnsi="helvetica"/>
          <w:b w:val="false"/>
          <w:sz w:val="20"/>
        </w:rPr>
        <w:t>The Company’s outstanding options have been granted to the employees, directors and consultants at exercise prices that range from $0.48 to $16.00, the estimated fair market value of the common stock on the dates of issuance.  These options have expiration dates that range from 4 – 10 years of their grant date and were vested immediately, monthly, quarterly, or on an annual basis for a period of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r>
        <w:rPr>
          <w:rFonts w:ascii="Helvetica" w:hAnsi="Helvetica"/>
          <w:b/>
          <w:sz w:val="20"/>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Helvetica" w:hAnsi="Helvetica"/>
          <w:b/>
          <w:sz w:val="20"/>
        </w:rPr>
      </w:pPr>
      <w:r>
        <w:rPr>
          <w:rFonts w:ascii="helvetica" w:hAnsi="helvetica"/>
          <w:b w:val="false"/>
          <w:sz w:val="20"/>
        </w:rPr>
        <w:t>The Company issued options to purchase up to 4,975,000 shares of the Company’s common stock during the six months ended June 30, 2012.  The weighted average fair value per share of grants issued during the six months ended June 30, 2012 was $0.64.</w:t>
      </w:r>
      <w:r>
        <w:rPr>
          <w:rFonts w:ascii="Helvetica" w:hAnsi="Helvetica"/>
          <w:b/>
          <w:sz w:val="20"/>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Helvetica" w:hAnsi="Helvetica"/>
          <w:b/>
          <w:sz w:val="20"/>
        </w:rPr>
      </w:pPr>
      <w:r>
        <w:rPr>
          <w:rFonts w:ascii="helvetica" w:hAnsi="helvetica"/>
          <w:b w:val="false"/>
          <w:sz w:val="20"/>
        </w:rPr>
        <w:t>As of June 30, 2012, there was approximately $2,044,000 of total unrecognized compensation expense related to unvested stock options under the Plan. That expense is expected to be recognized over the weighted-average period of 1.61 years.</w:t>
      </w:r>
      <w:r>
        <w:rPr>
          <w:rFonts w:ascii="Helvetica" w:hAnsi="Helvetica"/>
          <w:b/>
          <w:sz w:val="20"/>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NOTE 7.  WARRANTS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On April 25, 2012, at the closing of the April Private Placement (see Note 5), the Company issued warrants to the Investors to purchase up to an aggregate amount of 2,514,642 shares of common stock with an exercise price of $1.185. The warrants have an initial exercise date of April 25, 2012 and a three-year term.  Also on April 25, 2012, in connection with the Conversion Agreement (see Note 4) between the Company and DermaStar, a related party, the Company issued to DermaStar a warrant to purchase up to 241,308 shares of the Company’s common stock with an exercise price of $1.185 per share.  The warrant has an initial exercise date of April 25, 2012 and a three-year term.</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warrants issued as part of the April Private Placement and to DermaStar have mandatory exercise provisions providing that the Company may require the holders of the warrants to exercise the warrants in full but not in part within twenty (20) business days after the date of the Mandatory Exercise Notice (as defined below), by delivering a written notice to each holder of a warrant (the “Mandatory Exercise Notice”); provided that (i) 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r>
        <w:rPr>
          <w:rFonts w:ascii="Helvetica" w:hAnsi="Helvetica"/>
          <w:sz w:val="20"/>
        </w:rPr>
        <w:t xml:space="preserve">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 summary of the activity of the warrants for the six months ended June 30, 2012 is as follows:</w:t>
      </w:r>
      <w:r>
        <w:rPr>
          <w:rFonts w:ascii="Helvetica" w:hAnsi="Helvetica"/>
          <w:sz w:val="20"/>
        </w:rPr>
        <w:t xml:space="preserve">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19"/>
        <w:gridCol w:w="114"/>
        <w:gridCol w:w="141"/>
        <w:gridCol w:w="1198"/>
        <w:gridCol w:w="141"/>
        <w:gridCol w:w="114"/>
        <w:gridCol w:w="157"/>
        <w:gridCol w:w="1067"/>
        <w:gridCol w:w="154"/>
      </w:tblGrid>
      <w:tr>
        <w:trPr/>
        <w:tc>
          <w:tcPr>
            <w:tcW w:w="7119"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3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Number of Shares Subject to Warrants Outstanding</w:t>
            </w:r>
            <w:r>
              <w:rPr/>
              <w:t xml:space="preserve"> </w:t>
            </w:r>
          </w:p>
        </w:tc>
        <w:tc>
          <w:tcPr>
            <w:tcW w:w="141" w:type="dxa"/>
            <w:tcBorders/>
            <w:shd w:fill="auto" w:val="clear"/>
            <w:vAlign w:val="bottom"/>
          </w:tcPr>
          <w:p>
            <w:pPr>
              <w:pStyle w:val="TableContents"/>
              <w:spacing w:before="0" w:after="283"/>
              <w:jc w:val="left"/>
              <w:rPr/>
            </w:pPr>
            <w:r>
              <w:rPr/>
              <w:t xml:space="preserve">  </w:t>
            </w:r>
          </w:p>
        </w:tc>
        <w:tc>
          <w:tcPr>
            <w:tcW w:w="114" w:type="dxa"/>
            <w:tcBorders/>
            <w:shd w:fill="auto" w:val="clear"/>
            <w:vAlign w:val="bottom"/>
          </w:tcPr>
          <w:p>
            <w:pPr>
              <w:pStyle w:val="TableContents"/>
              <w:spacing w:before="0" w:after="283"/>
              <w:rPr/>
            </w:pPr>
            <w:r>
              <w:rPr/>
              <w:t xml:space="preserve">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rFonts w:ascii="helvetica" w:hAnsi="helvetica"/>
                <w:b/>
                <w:sz w:val="16"/>
              </w:rPr>
              <w:t>Weighted Avg. Exercise Price</w:t>
            </w:r>
            <w:r>
              <w:rPr/>
              <w:t xml:space="preserve"> </w:t>
            </w:r>
          </w:p>
        </w:tc>
        <w:tc>
          <w:tcPr>
            <w:tcW w:w="154" w:type="dxa"/>
            <w:tcBorders/>
            <w:shd w:fill="auto" w:val="clear"/>
            <w:vAlign w:val="bottom"/>
          </w:tcPr>
          <w:p>
            <w:pPr>
              <w:pStyle w:val="TableContents"/>
              <w:spacing w:before="0" w:after="283"/>
              <w:jc w:val="left"/>
              <w:rPr/>
            </w:pPr>
            <w:r>
              <w:rPr/>
              <w:t xml:space="preserve">  </w:t>
            </w:r>
          </w:p>
        </w:tc>
      </w:tr>
      <w:tr>
        <w:trPr/>
        <w:tc>
          <w:tcPr>
            <w:tcW w:w="7119"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xml:space="preserve">  </w:t>
            </w:r>
          </w:p>
        </w:tc>
        <w:tc>
          <w:tcPr>
            <w:tcW w:w="1339" w:type="dxa"/>
            <w:gridSpan w:val="2"/>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jc w:val="left"/>
              <w:rPr/>
            </w:pPr>
            <w:r>
              <w:rPr/>
              <w:t xml:space="preserve">  </w:t>
            </w:r>
          </w:p>
        </w:tc>
        <w:tc>
          <w:tcPr>
            <w:tcW w:w="114" w:type="dxa"/>
            <w:tcBorders/>
            <w:shd w:fill="auto" w:val="clear"/>
            <w:vAlign w:val="bottom"/>
          </w:tcPr>
          <w:p>
            <w:pPr>
              <w:pStyle w:val="TableContents"/>
              <w:spacing w:before="0" w:after="283"/>
              <w:rPr/>
            </w:pPr>
            <w:r>
              <w:rPr/>
              <w:t xml:space="preserve">  </w:t>
            </w:r>
          </w:p>
        </w:tc>
        <w:tc>
          <w:tcPr>
            <w:tcW w:w="1224" w:type="dxa"/>
            <w:gridSpan w:val="2"/>
            <w:tcBorders/>
            <w:shd w:fill="auto" w:val="clear"/>
            <w:vAlign w:val="bottom"/>
          </w:tcPr>
          <w:p>
            <w:pPr>
              <w:pStyle w:val="TableContents"/>
              <w:spacing w:before="0" w:after="283"/>
              <w:rPr/>
            </w:pPr>
            <w:r>
              <w:rPr/>
              <w:t xml:space="preserve">  </w:t>
            </w:r>
          </w:p>
        </w:tc>
        <w:tc>
          <w:tcPr>
            <w:tcW w:w="154" w:type="dxa"/>
            <w:tcBorders/>
            <w:shd w:fill="auto" w:val="clear"/>
            <w:vAlign w:val="bottom"/>
          </w:tcPr>
          <w:p>
            <w:pPr>
              <w:pStyle w:val="TableContents"/>
              <w:spacing w:before="0" w:after="283"/>
              <w:jc w:val="left"/>
              <w:rPr/>
            </w:pPr>
            <w:r>
              <w:rPr/>
              <w:t xml:space="preserve">  </w:t>
            </w:r>
          </w:p>
        </w:tc>
      </w:tr>
      <w:tr>
        <w:trPr/>
        <w:tc>
          <w:tcPr>
            <w:tcW w:w="7119" w:type="dxa"/>
            <w:tcBorders/>
            <w:shd w:fill="CCEEFF" w:val="clear"/>
            <w:vAlign w:val="bottom"/>
          </w:tcPr>
          <w:p>
            <w:pPr>
              <w:pStyle w:val="TableContents"/>
              <w:spacing w:before="0" w:after="0"/>
              <w:ind w:left="0" w:right="0" w:hanging="0"/>
              <w:jc w:val="left"/>
              <w:rPr/>
            </w:pPr>
            <w:r>
              <w:rPr>
                <w:rFonts w:ascii="helvetica" w:hAnsi="helvetica"/>
                <w:sz w:val="20"/>
              </w:rPr>
              <w:t>Warrants outstanding - January 1, 2012</w:t>
            </w:r>
            <w:r>
              <w:rPr/>
              <w:t xml:space="preserve"> </w:t>
            </w:r>
          </w:p>
        </w:tc>
        <w:tc>
          <w:tcPr>
            <w:tcW w:w="114" w:type="dxa"/>
            <w:tcBorders/>
            <w:shd w:fill="CCEEFF" w:val="clear"/>
            <w:vAlign w:val="bottom"/>
          </w:tcPr>
          <w:p>
            <w:pPr>
              <w:pStyle w:val="TableContents"/>
              <w:spacing w:before="0" w:after="283"/>
              <w:rPr/>
            </w:pPr>
            <w:r>
              <w:rPr/>
              <w:t xml:space="preserve">  </w:t>
            </w:r>
          </w:p>
        </w:tc>
        <w:tc>
          <w:tcPr>
            <w:tcW w:w="141" w:type="dxa"/>
            <w:tcBorders/>
            <w:shd w:fill="CCEEFF" w:val="clear"/>
            <w:vAlign w:val="bottom"/>
          </w:tcPr>
          <w:p>
            <w:pPr>
              <w:pStyle w:val="TableContents"/>
              <w:spacing w:before="0" w:after="283"/>
              <w:jc w:val="left"/>
              <w:rPr/>
            </w:pPr>
            <w:r>
              <w:rPr/>
              <w:t xml:space="preserve">  </w:t>
            </w:r>
          </w:p>
        </w:tc>
        <w:tc>
          <w:tcPr>
            <w:tcW w:w="1198" w:type="dxa"/>
            <w:tcBorders/>
            <w:shd w:fill="CCEEFF" w:val="clear"/>
            <w:vAlign w:val="bottom"/>
          </w:tcPr>
          <w:p>
            <w:pPr>
              <w:pStyle w:val="TableContents"/>
              <w:spacing w:before="0" w:after="283"/>
              <w:jc w:val="right"/>
              <w:rPr/>
            </w:pPr>
            <w:r>
              <w:rPr>
                <w:rFonts w:ascii="helvetica" w:hAnsi="helvetica"/>
                <w:sz w:val="20"/>
              </w:rPr>
              <w:t>95,498</w:t>
            </w:r>
            <w:r>
              <w:rPr/>
              <w:t xml:space="preserve"> </w:t>
            </w:r>
          </w:p>
        </w:tc>
        <w:tc>
          <w:tcPr>
            <w:tcW w:w="141" w:type="dxa"/>
            <w:tcBorders/>
            <w:shd w:fill="CCEEFF" w:val="clear"/>
            <w:vAlign w:val="bottom"/>
          </w:tcPr>
          <w:p>
            <w:pPr>
              <w:pStyle w:val="TableContents"/>
              <w:spacing w:before="0" w:after="283"/>
              <w:jc w:val="left"/>
              <w:rPr/>
            </w:pPr>
            <w:r>
              <w:rPr/>
              <w:t xml:space="preserve">  </w:t>
            </w:r>
          </w:p>
        </w:tc>
        <w:tc>
          <w:tcPr>
            <w:tcW w:w="114" w:type="dxa"/>
            <w:tcBorders/>
            <w:shd w:fill="CCEEFF" w:val="clear"/>
            <w:vAlign w:val="bottom"/>
          </w:tcPr>
          <w:p>
            <w:pPr>
              <w:pStyle w:val="TableContents"/>
              <w:spacing w:before="0" w:after="283"/>
              <w:rPr/>
            </w:pPr>
            <w:r>
              <w:rPr/>
              <w:t xml:space="preserve">  </w:t>
            </w:r>
          </w:p>
        </w:tc>
        <w:tc>
          <w:tcPr>
            <w:tcW w:w="157" w:type="dxa"/>
            <w:tcBorders/>
            <w:shd w:fill="CCEEFF" w:val="clear"/>
            <w:vAlign w:val="bottom"/>
          </w:tcPr>
          <w:p>
            <w:pPr>
              <w:pStyle w:val="TableContents"/>
              <w:spacing w:before="0" w:after="283"/>
              <w:jc w:val="left"/>
              <w:rPr/>
            </w:pPr>
            <w:r>
              <w:rPr>
                <w:rFonts w:ascii="helvetica" w:hAnsi="helvetica"/>
                <w:sz w:val="20"/>
              </w:rPr>
              <w:t>$</w:t>
            </w:r>
            <w:r>
              <w:rPr/>
              <w:t xml:space="preserve"> </w:t>
            </w:r>
          </w:p>
        </w:tc>
        <w:tc>
          <w:tcPr>
            <w:tcW w:w="1067" w:type="dxa"/>
            <w:tcBorders/>
            <w:shd w:fill="CCEEFF" w:val="clear"/>
            <w:vAlign w:val="bottom"/>
          </w:tcPr>
          <w:p>
            <w:pPr>
              <w:pStyle w:val="TableContents"/>
              <w:spacing w:before="0" w:after="283"/>
              <w:jc w:val="right"/>
              <w:rPr/>
            </w:pPr>
            <w:r>
              <w:rPr>
                <w:rFonts w:ascii="helvetica" w:hAnsi="helvetica"/>
                <w:sz w:val="20"/>
              </w:rPr>
              <w:t>33.16</w:t>
            </w:r>
            <w:r>
              <w:rPr/>
              <w:t xml:space="preserve"> </w:t>
            </w:r>
          </w:p>
        </w:tc>
        <w:tc>
          <w:tcPr>
            <w:tcW w:w="154" w:type="dxa"/>
            <w:tcBorders/>
            <w:shd w:fill="CCEEFF" w:val="clear"/>
            <w:vAlign w:val="bottom"/>
          </w:tcPr>
          <w:p>
            <w:pPr>
              <w:pStyle w:val="TableContents"/>
              <w:spacing w:before="0" w:after="283"/>
              <w:jc w:val="left"/>
              <w:rPr/>
            </w:pPr>
            <w:r>
              <w:rPr/>
              <w:t xml:space="preserve">  </w:t>
            </w:r>
          </w:p>
        </w:tc>
      </w:tr>
      <w:tr>
        <w:trPr/>
        <w:tc>
          <w:tcPr>
            <w:tcW w:w="7119" w:type="dxa"/>
            <w:tcBorders/>
            <w:shd w:fill="FFFFFF" w:val="clear"/>
            <w:vAlign w:val="bottom"/>
          </w:tcPr>
          <w:p>
            <w:pPr>
              <w:pStyle w:val="TableContents"/>
              <w:spacing w:before="0" w:after="0"/>
              <w:ind w:left="0" w:right="0" w:hanging="0"/>
              <w:jc w:val="left"/>
              <w:rPr/>
            </w:pPr>
            <w:r>
              <w:rPr>
                <w:rFonts w:ascii="helvetica" w:hAnsi="helvetica"/>
                <w:sz w:val="20"/>
              </w:rPr>
              <w:t>Granted</w:t>
            </w:r>
            <w:r>
              <w:rPr/>
              <w:t xml:space="preserve"> </w:t>
            </w:r>
          </w:p>
        </w:tc>
        <w:tc>
          <w:tcPr>
            <w:tcW w:w="114" w:type="dxa"/>
            <w:tcBorders/>
            <w:shd w:fill="FFFFFF" w:val="clear"/>
            <w:vAlign w:val="bottom"/>
          </w:tcPr>
          <w:p>
            <w:pPr>
              <w:pStyle w:val="TableContents"/>
              <w:spacing w:before="0" w:after="283"/>
              <w:rPr/>
            </w:pPr>
            <w:r>
              <w:rPr/>
              <w:t xml:space="preserve">  </w:t>
            </w:r>
          </w:p>
        </w:tc>
        <w:tc>
          <w:tcPr>
            <w:tcW w:w="141" w:type="dxa"/>
            <w:tcBorders/>
            <w:shd w:fill="FFFFFF" w:val="clear"/>
            <w:vAlign w:val="bottom"/>
          </w:tcPr>
          <w:p>
            <w:pPr>
              <w:pStyle w:val="TableContents"/>
              <w:spacing w:before="0" w:after="283"/>
              <w:jc w:val="left"/>
              <w:rPr/>
            </w:pPr>
            <w:r>
              <w:rPr/>
              <w:t xml:space="preserve">  </w:t>
            </w:r>
          </w:p>
        </w:tc>
        <w:tc>
          <w:tcPr>
            <w:tcW w:w="1198" w:type="dxa"/>
            <w:tcBorders/>
            <w:shd w:fill="FFFFFF" w:val="clear"/>
            <w:vAlign w:val="bottom"/>
          </w:tcPr>
          <w:p>
            <w:pPr>
              <w:pStyle w:val="TableContents"/>
              <w:spacing w:before="0" w:after="283"/>
              <w:jc w:val="right"/>
              <w:rPr/>
            </w:pPr>
            <w:r>
              <w:rPr>
                <w:rFonts w:ascii="helvetica" w:hAnsi="helvetica"/>
                <w:sz w:val="20"/>
              </w:rPr>
              <w:t>2,755,950</w:t>
            </w:r>
            <w:r>
              <w:rPr/>
              <w:t xml:space="preserve"> </w:t>
            </w:r>
          </w:p>
        </w:tc>
        <w:tc>
          <w:tcPr>
            <w:tcW w:w="141" w:type="dxa"/>
            <w:tcBorders/>
            <w:shd w:fill="FFFFFF" w:val="clear"/>
            <w:vAlign w:val="bottom"/>
          </w:tcPr>
          <w:p>
            <w:pPr>
              <w:pStyle w:val="TableContents"/>
              <w:spacing w:before="0" w:after="283"/>
              <w:jc w:val="left"/>
              <w:rPr/>
            </w:pPr>
            <w:r>
              <w:rPr/>
              <w:t xml:space="preserve">  </w:t>
            </w:r>
          </w:p>
        </w:tc>
        <w:tc>
          <w:tcPr>
            <w:tcW w:w="114"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1067" w:type="dxa"/>
            <w:tcBorders/>
            <w:shd w:fill="FFFFFF" w:val="clear"/>
            <w:vAlign w:val="bottom"/>
          </w:tcPr>
          <w:p>
            <w:pPr>
              <w:pStyle w:val="TableContents"/>
              <w:spacing w:before="0" w:after="283"/>
              <w:jc w:val="right"/>
              <w:rPr/>
            </w:pPr>
            <w:r>
              <w:rPr>
                <w:rFonts w:ascii="helvetica" w:hAnsi="helvetica"/>
                <w:sz w:val="20"/>
              </w:rPr>
              <w:t>1.19</w:t>
            </w:r>
            <w:r>
              <w:rPr/>
              <w:t xml:space="preserve"> </w:t>
            </w:r>
          </w:p>
        </w:tc>
        <w:tc>
          <w:tcPr>
            <w:tcW w:w="154" w:type="dxa"/>
            <w:tcBorders/>
            <w:shd w:fill="FFFFFF" w:val="clear"/>
            <w:vAlign w:val="bottom"/>
          </w:tcPr>
          <w:p>
            <w:pPr>
              <w:pStyle w:val="TableContents"/>
              <w:spacing w:before="0" w:after="283"/>
              <w:jc w:val="left"/>
              <w:rPr/>
            </w:pPr>
            <w:r>
              <w:rPr/>
              <w:t xml:space="preserve">  </w:t>
            </w:r>
          </w:p>
        </w:tc>
      </w:tr>
      <w:tr>
        <w:trPr/>
        <w:tc>
          <w:tcPr>
            <w:tcW w:w="7119" w:type="dxa"/>
            <w:tcBorders/>
            <w:shd w:fill="CCEEFF" w:val="clear"/>
            <w:vAlign w:val="bottom"/>
          </w:tcPr>
          <w:p>
            <w:pPr>
              <w:pStyle w:val="TableContents"/>
              <w:spacing w:before="0" w:after="0"/>
              <w:ind w:left="0" w:right="0" w:hanging="0"/>
              <w:jc w:val="left"/>
              <w:rPr/>
            </w:pPr>
            <w:r>
              <w:rPr>
                <w:rFonts w:ascii="helvetica" w:hAnsi="helvetica"/>
                <w:sz w:val="20"/>
              </w:rPr>
              <w:t>Exercised</w:t>
            </w:r>
            <w:r>
              <w:rPr/>
              <w:t xml:space="preserve"> </w:t>
            </w:r>
          </w:p>
        </w:tc>
        <w:tc>
          <w:tcPr>
            <w:tcW w:w="114" w:type="dxa"/>
            <w:tcBorders/>
            <w:shd w:fill="CCEEFF" w:val="clear"/>
            <w:vAlign w:val="bottom"/>
          </w:tcPr>
          <w:p>
            <w:pPr>
              <w:pStyle w:val="TableContents"/>
              <w:spacing w:before="0" w:after="283"/>
              <w:rPr/>
            </w:pPr>
            <w:r>
              <w:rPr/>
              <w:t xml:space="preserve">  </w:t>
            </w:r>
          </w:p>
        </w:tc>
        <w:tc>
          <w:tcPr>
            <w:tcW w:w="141" w:type="dxa"/>
            <w:tcBorders/>
            <w:shd w:fill="CCEEFF" w:val="clear"/>
            <w:vAlign w:val="bottom"/>
          </w:tcPr>
          <w:p>
            <w:pPr>
              <w:pStyle w:val="TableContents"/>
              <w:spacing w:before="0" w:after="283"/>
              <w:jc w:val="left"/>
              <w:rPr/>
            </w:pPr>
            <w:r>
              <w:rPr/>
              <w:t xml:space="preserve">  </w:t>
            </w:r>
          </w:p>
        </w:tc>
        <w:tc>
          <w:tcPr>
            <w:tcW w:w="1198" w:type="dxa"/>
            <w:tcBorders/>
            <w:shd w:fill="CCEEFF" w:val="clear"/>
            <w:vAlign w:val="bottom"/>
          </w:tcPr>
          <w:p>
            <w:pPr>
              <w:pStyle w:val="TableContents"/>
              <w:spacing w:before="0" w:after="283"/>
              <w:jc w:val="right"/>
              <w:rPr/>
            </w:pPr>
            <w:r>
              <w:rPr>
                <w:rFonts w:ascii="helvetica" w:hAnsi="helvetica"/>
                <w:sz w:val="20"/>
              </w:rPr>
              <w:t>-</w:t>
            </w:r>
            <w:r>
              <w:rPr/>
              <w:t xml:space="preserve"> </w:t>
            </w:r>
          </w:p>
        </w:tc>
        <w:tc>
          <w:tcPr>
            <w:tcW w:w="141" w:type="dxa"/>
            <w:tcBorders/>
            <w:shd w:fill="CCEEFF" w:val="clear"/>
            <w:vAlign w:val="bottom"/>
          </w:tcPr>
          <w:p>
            <w:pPr>
              <w:pStyle w:val="TableContents"/>
              <w:spacing w:before="0" w:after="283"/>
              <w:jc w:val="left"/>
              <w:rPr/>
            </w:pPr>
            <w:r>
              <w:rPr/>
              <w:t xml:space="preserve">  </w:t>
            </w:r>
          </w:p>
        </w:tc>
        <w:tc>
          <w:tcPr>
            <w:tcW w:w="114" w:type="dxa"/>
            <w:tcBorders/>
            <w:shd w:fill="CCEEFF" w:val="clear"/>
            <w:vAlign w:val="bottom"/>
          </w:tcPr>
          <w:p>
            <w:pPr>
              <w:pStyle w:val="TableContents"/>
              <w:spacing w:before="0" w:after="283"/>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1067" w:type="dxa"/>
            <w:tcBorders/>
            <w:shd w:fill="CCEEFF" w:val="clear"/>
            <w:vAlign w:val="bottom"/>
          </w:tcPr>
          <w:p>
            <w:pPr>
              <w:pStyle w:val="TableContents"/>
              <w:spacing w:before="0" w:after="283"/>
              <w:jc w:val="right"/>
              <w:rPr/>
            </w:pPr>
            <w:r>
              <w:rPr/>
              <w:t xml:space="preserve">  </w:t>
            </w:r>
          </w:p>
        </w:tc>
        <w:tc>
          <w:tcPr>
            <w:tcW w:w="154" w:type="dxa"/>
            <w:tcBorders/>
            <w:shd w:fill="CCEEFF" w:val="clear"/>
            <w:vAlign w:val="bottom"/>
          </w:tcPr>
          <w:p>
            <w:pPr>
              <w:pStyle w:val="TableContents"/>
              <w:spacing w:before="0" w:after="283"/>
              <w:jc w:val="left"/>
              <w:rPr/>
            </w:pPr>
            <w:r>
              <w:rPr/>
              <w:t xml:space="preserve">  </w:t>
            </w:r>
          </w:p>
        </w:tc>
      </w:tr>
      <w:tr>
        <w:trPr/>
        <w:tc>
          <w:tcPr>
            <w:tcW w:w="7119" w:type="dxa"/>
            <w:tcBorders/>
            <w:shd w:fill="FFFFFF" w:val="clear"/>
            <w:vAlign w:val="bottom"/>
          </w:tcPr>
          <w:p>
            <w:pPr>
              <w:pStyle w:val="TableContents"/>
              <w:spacing w:before="0" w:after="0"/>
              <w:ind w:left="0" w:right="0" w:hanging="0"/>
              <w:jc w:val="left"/>
              <w:rPr/>
            </w:pPr>
            <w:r>
              <w:rPr>
                <w:rFonts w:ascii="helvetica" w:hAnsi="helvetica"/>
                <w:sz w:val="20"/>
              </w:rPr>
              <w:t>Expired</w:t>
            </w:r>
            <w:r>
              <w:rPr/>
              <w:t xml:space="preserve"> </w:t>
            </w:r>
          </w:p>
        </w:tc>
        <w:tc>
          <w:tcPr>
            <w:tcW w:w="114" w:type="dxa"/>
            <w:tcBorders/>
            <w:shd w:fill="FFFFFF" w:val="clear"/>
            <w:vAlign w:val="bottom"/>
          </w:tcPr>
          <w:p>
            <w:pPr>
              <w:pStyle w:val="TableContents"/>
              <w:spacing w:before="0" w:after="283"/>
              <w:rPr/>
            </w:pPr>
            <w:r>
              <w:rPr/>
              <w:t xml:space="preserve">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198"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41" w:type="dxa"/>
            <w:tcBorders/>
            <w:shd w:fill="FFFFFF" w:val="clear"/>
            <w:vAlign w:val="bottom"/>
          </w:tcPr>
          <w:p>
            <w:pPr>
              <w:pStyle w:val="TableContents"/>
              <w:spacing w:before="0" w:after="283"/>
              <w:jc w:val="left"/>
              <w:rPr/>
            </w:pPr>
            <w:r>
              <w:rPr/>
              <w:t xml:space="preserve">  </w:t>
            </w:r>
          </w:p>
        </w:tc>
        <w:tc>
          <w:tcPr>
            <w:tcW w:w="114" w:type="dxa"/>
            <w:tcBorders/>
            <w:shd w:fill="FFFFFF" w:val="clear"/>
            <w:vAlign w:val="bottom"/>
          </w:tcPr>
          <w:p>
            <w:pPr>
              <w:pStyle w:val="TableContents"/>
              <w:spacing w:before="0" w:after="283"/>
              <w:rPr/>
            </w:pPr>
            <w:r>
              <w:rPr/>
              <w:t xml:space="preserve">  </w:t>
            </w:r>
          </w:p>
        </w:tc>
        <w:tc>
          <w:tcPr>
            <w:tcW w:w="157"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067" w:type="dxa"/>
            <w:tcBorders>
              <w:bottom w:val="single" w:sz="12" w:space="0" w:color="000000"/>
            </w:tcBorders>
            <w:shd w:fill="FFFFFF" w:val="clear"/>
            <w:tcMar>
              <w:bottom w:w="28" w:type="dxa"/>
            </w:tcMar>
            <w:vAlign w:val="bottom"/>
          </w:tcPr>
          <w:p>
            <w:pPr>
              <w:pStyle w:val="TableContents"/>
              <w:spacing w:before="0" w:after="283"/>
              <w:jc w:val="right"/>
              <w:rPr/>
            </w:pPr>
            <w:r>
              <w:rPr>
                <w:rFonts w:ascii="helvetica" w:hAnsi="helvetica"/>
                <w:sz w:val="20"/>
              </w:rPr>
              <w:t>-</w:t>
            </w:r>
            <w:r>
              <w:rPr/>
              <w:t xml:space="preserve"> </w:t>
            </w:r>
          </w:p>
        </w:tc>
        <w:tc>
          <w:tcPr>
            <w:tcW w:w="154" w:type="dxa"/>
            <w:tcBorders/>
            <w:shd w:fill="FFFFFF" w:val="clear"/>
            <w:vAlign w:val="bottom"/>
          </w:tcPr>
          <w:p>
            <w:pPr>
              <w:pStyle w:val="TableContents"/>
              <w:spacing w:before="0" w:after="283"/>
              <w:jc w:val="left"/>
              <w:rPr/>
            </w:pPr>
            <w:r>
              <w:rPr/>
              <w:t xml:space="preserve">  </w:t>
            </w:r>
          </w:p>
        </w:tc>
      </w:tr>
      <w:tr>
        <w:trPr/>
        <w:tc>
          <w:tcPr>
            <w:tcW w:w="7119" w:type="dxa"/>
            <w:tcBorders/>
            <w:shd w:fill="CCEEFF" w:val="clear"/>
            <w:vAlign w:val="bottom"/>
          </w:tcPr>
          <w:p>
            <w:pPr>
              <w:pStyle w:val="TableContents"/>
              <w:spacing w:before="0" w:after="0"/>
              <w:ind w:left="0" w:right="0" w:hanging="0"/>
              <w:jc w:val="left"/>
              <w:rPr/>
            </w:pPr>
            <w:r>
              <w:rPr>
                <w:rFonts w:ascii="helvetica" w:hAnsi="helvetica"/>
                <w:sz w:val="20"/>
              </w:rPr>
              <w:t>Warrants outstanding and exercisable - June 30, 2012</w:t>
            </w:r>
            <w:r>
              <w:rPr/>
              <w:t xml:space="preserve"> </w:t>
            </w:r>
          </w:p>
        </w:tc>
        <w:tc>
          <w:tcPr>
            <w:tcW w:w="114" w:type="dxa"/>
            <w:tcBorders/>
            <w:shd w:fill="CCEEFF" w:val="clear"/>
            <w:vAlign w:val="bottom"/>
          </w:tcPr>
          <w:p>
            <w:pPr>
              <w:pStyle w:val="TableContents"/>
              <w:spacing w:before="0" w:after="283"/>
              <w:rPr/>
            </w:pPr>
            <w:r>
              <w:rPr/>
              <w:t xml:space="preserve">  </w:t>
            </w:r>
          </w:p>
        </w:tc>
        <w:tc>
          <w:tcPr>
            <w:tcW w:w="141" w:type="dxa"/>
            <w:tcBorders>
              <w:bottom w:val="double" w:sz="8" w:space="0" w:color="000000"/>
            </w:tcBorders>
            <w:shd w:fill="CCEEFF" w:val="clear"/>
            <w:tcMar>
              <w:bottom w:w="28" w:type="dxa"/>
            </w:tcMar>
            <w:vAlign w:val="bottom"/>
          </w:tcPr>
          <w:p>
            <w:pPr>
              <w:pStyle w:val="TableContents"/>
              <w:spacing w:before="0" w:after="283"/>
              <w:jc w:val="left"/>
              <w:rPr/>
            </w:pPr>
            <w:r>
              <w:rPr/>
              <w:t xml:space="preserve">  </w:t>
            </w:r>
          </w:p>
        </w:tc>
        <w:tc>
          <w:tcPr>
            <w:tcW w:w="1198"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2,851,448</w:t>
            </w:r>
            <w:r>
              <w:rPr/>
              <w:t xml:space="preserve"> </w:t>
            </w:r>
          </w:p>
        </w:tc>
        <w:tc>
          <w:tcPr>
            <w:tcW w:w="141" w:type="dxa"/>
            <w:tcBorders/>
            <w:shd w:fill="CCEEFF" w:val="clear"/>
            <w:vAlign w:val="bottom"/>
          </w:tcPr>
          <w:p>
            <w:pPr>
              <w:pStyle w:val="TableContents"/>
              <w:spacing w:before="0" w:after="283"/>
              <w:jc w:val="left"/>
              <w:rPr/>
            </w:pPr>
            <w:r>
              <w:rPr/>
              <w:t xml:space="preserve">  </w:t>
            </w:r>
          </w:p>
        </w:tc>
        <w:tc>
          <w:tcPr>
            <w:tcW w:w="114" w:type="dxa"/>
            <w:tcBorders/>
            <w:shd w:fill="CCEEFF" w:val="clear"/>
            <w:vAlign w:val="bottom"/>
          </w:tcPr>
          <w:p>
            <w:pPr>
              <w:pStyle w:val="TableContents"/>
              <w:spacing w:before="0" w:after="283"/>
              <w:rPr/>
            </w:pPr>
            <w:r>
              <w:rPr/>
              <w:t xml:space="preserve">  </w:t>
            </w:r>
          </w:p>
        </w:tc>
        <w:tc>
          <w:tcPr>
            <w:tcW w:w="157" w:type="dxa"/>
            <w:tcBorders>
              <w:bottom w:val="double" w:sz="8" w:space="0" w:color="000000"/>
            </w:tcBorders>
            <w:shd w:fill="CCEEFF" w:val="clear"/>
            <w:tcMar>
              <w:bottom w:w="28" w:type="dxa"/>
            </w:tcMar>
            <w:vAlign w:val="bottom"/>
          </w:tcPr>
          <w:p>
            <w:pPr>
              <w:pStyle w:val="TableContents"/>
              <w:spacing w:before="0" w:after="283"/>
              <w:jc w:val="left"/>
              <w:rPr/>
            </w:pPr>
            <w:r>
              <w:rPr>
                <w:rFonts w:ascii="helvetica" w:hAnsi="helvetica"/>
                <w:sz w:val="20"/>
              </w:rPr>
              <w:t>$</w:t>
            </w:r>
            <w:r>
              <w:rPr/>
              <w:t xml:space="preserve"> </w:t>
            </w:r>
          </w:p>
        </w:tc>
        <w:tc>
          <w:tcPr>
            <w:tcW w:w="1067" w:type="dxa"/>
            <w:tcBorders>
              <w:bottom w:val="double" w:sz="8" w:space="0" w:color="000000"/>
            </w:tcBorders>
            <w:shd w:fill="CCEEFF" w:val="clear"/>
            <w:tcMar>
              <w:bottom w:w="28" w:type="dxa"/>
            </w:tcMar>
            <w:vAlign w:val="bottom"/>
          </w:tcPr>
          <w:p>
            <w:pPr>
              <w:pStyle w:val="TableContents"/>
              <w:spacing w:before="0" w:after="283"/>
              <w:jc w:val="right"/>
              <w:rPr/>
            </w:pPr>
            <w:r>
              <w:rPr>
                <w:rFonts w:ascii="helvetica" w:hAnsi="helvetica"/>
                <w:sz w:val="20"/>
              </w:rPr>
              <w:t>2.25</w:t>
            </w:r>
            <w:r>
              <w:rPr/>
              <w:t xml:space="preserve"> </w:t>
            </w:r>
          </w:p>
        </w:tc>
        <w:tc>
          <w:tcPr>
            <w:tcW w:w="154" w:type="dxa"/>
            <w:tcBorders/>
            <w:shd w:fill="CCEEFF" w:val="clear"/>
            <w:vAlign w:val="bottom"/>
          </w:tcPr>
          <w:p>
            <w:pPr>
              <w:pStyle w:val="TableContents"/>
              <w:spacing w:before="0" w:after="283"/>
              <w:jc w:val="left"/>
              <w:rPr/>
            </w:pPr>
            <w:r>
              <w:rPr/>
              <w:t xml:space="preserve">  </w:t>
            </w:r>
          </w:p>
        </w:tc>
      </w:tr>
      <w:tr>
        <w:trPr/>
        <w:tc>
          <w:tcPr>
            <w:tcW w:w="7119" w:type="dxa"/>
            <w:tcBorders/>
            <w:shd w:fill="FFFFFF" w:val="clear"/>
            <w:vAlign w:val="bottom"/>
          </w:tcPr>
          <w:p>
            <w:pPr>
              <w:pStyle w:val="TableContents"/>
              <w:spacing w:before="0" w:after="0"/>
              <w:ind w:left="0" w:right="0" w:hanging="0"/>
              <w:jc w:val="left"/>
              <w:rPr/>
            </w:pPr>
            <w:r>
              <w:rPr>
                <w:rFonts w:ascii="helvetica" w:hAnsi="helvetica"/>
                <w:sz w:val="20"/>
              </w:rPr>
              <w:t>Weighted average remaining contractual life of the outstanding warrants in years - June 30, 2012</w:t>
            </w:r>
            <w:r>
              <w:rPr/>
              <w:t xml:space="preserve"> </w:t>
            </w:r>
          </w:p>
        </w:tc>
        <w:tc>
          <w:tcPr>
            <w:tcW w:w="114" w:type="dxa"/>
            <w:tcBorders/>
            <w:shd w:fill="FFFFFF" w:val="clear"/>
            <w:vAlign w:val="bottom"/>
          </w:tcPr>
          <w:p>
            <w:pPr>
              <w:pStyle w:val="TableContents"/>
              <w:spacing w:before="0" w:after="283"/>
              <w:rPr/>
            </w:pPr>
            <w:r>
              <w:rPr/>
              <w:t xml:space="preserve">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pPr>
            <w:r>
              <w:rPr/>
              <w:t xml:space="preserve">  </w:t>
            </w:r>
          </w:p>
        </w:tc>
        <w:tc>
          <w:tcPr>
            <w:tcW w:w="1198" w:type="dxa"/>
            <w:tcBorders>
              <w:bottom w:val="double" w:sz="8" w:space="0" w:color="000000"/>
            </w:tcBorders>
            <w:shd w:fill="FFFFFF" w:val="clear"/>
            <w:tcMar>
              <w:bottom w:w="28" w:type="dxa"/>
            </w:tcMar>
            <w:vAlign w:val="bottom"/>
          </w:tcPr>
          <w:p>
            <w:pPr>
              <w:pStyle w:val="TableContents"/>
              <w:spacing w:before="0" w:after="283"/>
              <w:jc w:val="right"/>
              <w:rPr/>
            </w:pPr>
            <w:r>
              <w:rPr>
                <w:rFonts w:ascii="helvetica" w:hAnsi="helvetica"/>
                <w:sz w:val="20"/>
              </w:rPr>
              <w:t>2.74</w:t>
            </w:r>
            <w:r>
              <w:rPr/>
              <w:t xml:space="preserve"> </w:t>
            </w:r>
          </w:p>
        </w:tc>
        <w:tc>
          <w:tcPr>
            <w:tcW w:w="141" w:type="dxa"/>
            <w:tcBorders/>
            <w:shd w:fill="FFFFFF" w:val="clear"/>
            <w:vAlign w:val="bottom"/>
          </w:tcPr>
          <w:p>
            <w:pPr>
              <w:pStyle w:val="TableContents"/>
              <w:spacing w:before="0" w:after="283"/>
              <w:jc w:val="left"/>
              <w:rPr/>
            </w:pPr>
            <w:r>
              <w:rPr/>
              <w:t xml:space="preserve">  </w:t>
            </w:r>
          </w:p>
        </w:tc>
        <w:tc>
          <w:tcPr>
            <w:tcW w:w="114" w:type="dxa"/>
            <w:tcBorders/>
            <w:shd w:fill="FFFFFF" w:val="cle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1067" w:type="dxa"/>
            <w:tcBorders/>
            <w:shd w:fill="FFFFFF" w:val="clear"/>
            <w:vAlign w:val="bottom"/>
          </w:tcPr>
          <w:p>
            <w:pPr>
              <w:pStyle w:val="TableContents"/>
              <w:spacing w:before="0" w:after="283"/>
              <w:jc w:val="right"/>
              <w:rPr/>
            </w:pPr>
            <w:r>
              <w:rPr/>
              <w:t xml:space="preserve">  </w:t>
            </w:r>
          </w:p>
        </w:tc>
        <w:tc>
          <w:tcPr>
            <w:tcW w:w="154"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8.  COMMITMENTS AND CONTINGENCIES</w:t>
      </w:r>
    </w:p>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Commitments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 leases its office facilities under a noncancelable operating lease, which expires on February 28, 2014, with a monthly amount due of $2,972 for the first 12 months beginning March 1, 2012, and $3,715 due monthly for the next 12 months.   For the remaining fiscal year 2012, the Company’s lease commitment is approximately $17,800.</w:t>
      </w:r>
      <w:r>
        <w:rPr>
          <w:rFonts w:ascii="Helvetica" w:hAnsi="Helvetica"/>
          <w:sz w:val="20"/>
        </w:rPr>
        <w:t xml:space="preserve"> </w:t>
      </w:r>
    </w:p>
    <w:p>
      <w:pPr>
        <w:pStyle w:val="TextBody"/>
        <w:spacing w:before="0" w:after="0"/>
        <w:jc w:val="both"/>
        <w:rPr/>
      </w:pPr>
      <w:r>
        <w:rPr/>
      </w:r>
    </w:p>
    <w:p>
      <w:pPr>
        <w:pStyle w:val="TextBody"/>
        <w:spacing w:before="0" w:after="0"/>
        <w:ind w:left="0" w:right="0" w:hanging="0"/>
        <w:jc w:val="both"/>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r>
        <w:rPr>
          <w:rFonts w:ascii="Helvetica" w:hAnsi="Helvetica"/>
          <w:sz w:val="20"/>
        </w:rPr>
        <w:t xml:space="preserve">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34" w:name="PGBRK87"/>
      <w:bookmarkStart w:id="1035" w:name="PGBRK87"/>
      <w:bookmarkEnd w:id="10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6" w:name="FTR87"/>
      <w:bookmarkStart w:id="1037" w:name="FTR87"/>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8" w:name="GLFTR86"/>
      <w:bookmarkEnd w:id="10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39" w:name="PN86"/>
      <w:bookmarkEnd w:id="1039"/>
      <w:r>
        <w:rPr>
          <w:rFonts w:ascii="Helvetica" w:hAnsi="Helvetica"/>
          <w:sz w:val="20"/>
        </w:rPr>
        <w:t>F-16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0" w:name="HDR86"/>
      <w:bookmarkStart w:id="1041" w:name="HDR86"/>
      <w:bookmarkEnd w:id="10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2" w:name="GLHDR86"/>
      <w:bookmarkEnd w:id="10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Cosmetic License Agreements - Terminated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val="false"/>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six months ended June 30,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r>
        <w:rPr>
          <w:rFonts w:ascii="Helvetica" w:hAnsi="Helvetica"/>
          <w:b/>
          <w:sz w:val="20"/>
        </w:rPr>
        <w:t xml:space="preserve"> </w:t>
      </w:r>
    </w:p>
    <w:p>
      <w:pPr>
        <w:pStyle w:val="TextBody"/>
        <w:spacing w:before="0" w:after="0"/>
        <w:jc w:val="both"/>
        <w:rPr/>
      </w:pPr>
      <w:r>
        <w:rPr/>
      </w:r>
    </w:p>
    <w:p>
      <w:pPr>
        <w:pStyle w:val="TextBody"/>
        <w:spacing w:before="0" w:after="0"/>
        <w:ind w:left="0" w:right="0" w:hanging="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43" w:name="PGBRK88"/>
      <w:bookmarkStart w:id="1044" w:name="PGBRK88"/>
      <w:bookmarkEnd w:id="10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5" w:name="FTR88"/>
      <w:bookmarkStart w:id="1046" w:name="FTR88"/>
      <w:bookmarkEnd w:id="10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7" w:name="GLFTR87"/>
      <w:bookmarkEnd w:id="10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48" w:name="PN87"/>
      <w:bookmarkEnd w:id="1048"/>
      <w:r>
        <w:rPr>
          <w:rFonts w:ascii="Helvetica" w:hAnsi="Helvetica"/>
          <w:sz w:val="20"/>
        </w:rPr>
        <w:t>F-17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9" w:name="HDR87"/>
      <w:bookmarkStart w:id="1050" w:name="HDR87"/>
      <w:bookmarkEnd w:id="10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1" w:name="GLHDR87"/>
      <w:bookmarkEnd w:id="10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9. SUBSEQUENT EVENTS</w:t>
      </w: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sz w:val="20"/>
        </w:rPr>
        <w:t>On July 18, 2012, the Company granted to Mr. Mark L. Baum, in connection with his services as the Chief Executive Officer, 800,000 restricted stock units “(RSUs”) outside of the Plan, pursuant to a Stand-alone Restricted Stock Unit Agreement.  The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On July 18, 2012, the Company granted to Dr. Robert J. Kammer, in connection with his services as a consultant and advisor to the Company, 200,000 RSUs outside of the Plan, pursuant to a Stand-alone Restricted Stock Unit Agreement.  The RSUs are subject to certain performance-based vesting criteria, such that all 200,000 RSUs will vest when the Company meets the primary endpoints of its Phase 3 clinical studies for its drug candidate, Impracor.  The RSUs vest in full upon a change in control of the Company.</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Effective as of July 18, 2012, our Board of Directors and stockholders approved an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  Stockholder approval of the amendment will become effective when the Company has complied with certain notice requirements under the Exchange Act.</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On July 24, 2012, the Company entered an Amended and Restated Employment Agreement with Mr. Mark L. Baum, its Chief Executive Officer (the “Amended Baum Employment Agreement”), which amends and restates in its entirety the employment agreement entered into with Mr. Baum on April 1, 2012 concurrently with his appointment as the Company’s Chief Executive Officer. Under the terms of the Amended Baum Employment Agreement, Mr. Baum will become eligible to receive certain severance benefits as set forth in such agreement, which include severance pay equal to the sum of Mr. Baum’s annual base salary and annual bonus, upon the Company’s completion of a financing resulting in aggregate cash proceeds to the Company of at least $5,000,000. Once Mr. Baum becomes eligible to receive such severance benefits, Mr. Baum would be entitled to such benefits in the event of a termination of Mr. Baum by the Company without cause (as defined in such agreement) or due to Mr. Baum’s death or disability. Mr. Baum’s base annual salary and annual bonus were not modified.</w:t>
      </w:r>
      <w:r>
        <w:rPr/>
        <w:t xml:space="preserve"> </w:t>
      </w:r>
    </w:p>
    <w:p>
      <w:pPr>
        <w:pStyle w:val="TextBody"/>
        <w:spacing w:before="0" w:after="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52" w:name="PGBRK89"/>
      <w:bookmarkStart w:id="1053" w:name="PGBRK89"/>
      <w:bookmarkEnd w:id="10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4" w:name="FTR89"/>
      <w:bookmarkStart w:id="1055" w:name="FTR89"/>
      <w:bookmarkEnd w:id="10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6" w:name="GLFTR88"/>
      <w:bookmarkEnd w:id="10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57" w:name="PN88"/>
      <w:bookmarkEnd w:id="1057"/>
      <w:r>
        <w:rPr>
          <w:rFonts w:ascii="Helvetica" w:hAnsi="Helvetica"/>
          <w:sz w:val="20"/>
        </w:rPr>
        <w:t>F-18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8" w:name="HDR88"/>
      <w:bookmarkStart w:id="1059" w:name="HDR88"/>
      <w:bookmarkEnd w:id="10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0" w:name="GLHDR88"/>
      <w:bookmarkEnd w:id="10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rFonts w:ascii="helvetica" w:hAnsi="helvetica"/>
          <w:sz w:val="20"/>
        </w:rPr>
        <w:t>On July 24, 2012, the Company entered an Amendment to Advisory Agreement with Dr. Kammer (the “Advisory Agreement Amendment”), in order to amend certain provisions of the Advisory Agreement entered with Dr. Kammer on April 1, 2012. Pursuant to the Advisory Agreement Amendment, Dr. Kammer has agreed to not sell more than 5% of the shares of the Company’s common stock acquired as compensation under the Advisory Agreement, through the exercise of stock options or otherwise, in any monthly period without the approval of the Company’s Board of Directors.</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Effective as of the close of business on July 25, 2012, Dr. Balbir Brar submitted his resignation as a director on the Board of Directors of the Company.  Dr. Brar will continue in his capacity as the President of the Company.</w:t>
      </w:r>
      <w:r>
        <w:rPr/>
        <w:t xml:space="preserve"> </w:t>
      </w:r>
    </w:p>
    <w:p>
      <w:pPr>
        <w:pStyle w:val="TextBody"/>
        <w:spacing w:before="0" w:after="0"/>
        <w:ind w:left="0" w:right="0" w:hanging="0"/>
        <w:rPr/>
      </w:pPr>
      <w:r>
        <w:rPr/>
        <w:t> </w:t>
      </w:r>
    </w:p>
    <w:p>
      <w:pPr>
        <w:pStyle w:val="TextBody"/>
        <w:spacing w:before="0" w:after="0"/>
        <w:ind w:left="0" w:right="0" w:hanging="0"/>
        <w:jc w:val="both"/>
        <w:rPr/>
      </w:pPr>
      <w:r>
        <w:rPr>
          <w:rFonts w:ascii="helvetica" w:hAnsi="helvetica"/>
          <w:sz w:val="20"/>
        </w:rPr>
        <w:t>Effective on July 26, 2012, the Board of Directors of the Company appointed Stephen G. Austin, CPA, as a new director on the Board of the Company.  Mr. Austin currently serves as the Chairman of the Audit Committee of the Board and as a member of the Compensation Committee and the Nomination and Corporate Governance Committee of the Board.  In connection with his appointment as a director, the Board approved the issuance to Mr. Austin of an option to purchase up to 85,616 shares of the Company’s common stock under the Plan.  Such option has an exercise price of $0.90 per share, has a term of five years, and vests monthly over a period of one year commencing on January 1, 2013.  As additional compensation for his services as a director, the Company has agreed to pay Mr. Austin a quarterly cash payment of $5,000 and, as compensation for his services as the Chairman of the Audit Committee of the Board, the Company has agreed to pay Mr. Austin a quarterly cash payment of $1,250.</w:t>
      </w:r>
      <w:r>
        <w:rPr/>
        <w:t xml:space="preserve"> </w:t>
      </w:r>
    </w:p>
    <w:p>
      <w:pPr>
        <w:pStyle w:val="TextBody"/>
        <w:spacing w:before="0" w:after="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61" w:name="PGBRK90"/>
      <w:bookmarkStart w:id="1062" w:name="PGBRK90"/>
      <w:bookmarkEnd w:id="10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3" w:name="FTR90"/>
      <w:bookmarkStart w:id="1064" w:name="FTR90"/>
      <w:bookmarkEnd w:id="10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5" w:name="GLFTR89"/>
      <w:bookmarkEnd w:id="10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66" w:name="PN89"/>
      <w:bookmarkEnd w:id="1066"/>
      <w:r>
        <w:rPr>
          <w:rFonts w:ascii="Helvetica" w:hAnsi="Helvetica"/>
          <w:sz w:val="20"/>
        </w:rPr>
        <w:t>F-19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7" w:name="HDR89"/>
      <w:bookmarkStart w:id="1068" w:name="HDR89"/>
      <w:bookmarkEnd w:id="10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9" w:name="GLHDR89"/>
      <w:bookmarkEnd w:id="10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center"/>
        <w:rPr>
          <w:rFonts w:ascii="Helvetica" w:hAnsi="Helvetica"/>
          <w:b/>
          <w:sz w:val="20"/>
        </w:rPr>
      </w:pPr>
      <w:r>
        <w:rPr>
          <w:rFonts w:ascii="Helvetica" w:hAnsi="Helvetica"/>
          <w:b/>
          <w:sz w:val="20"/>
        </w:rPr>
        <w:t>REPORT OF INDEPENDENT REGISTERED PUBLIC ACCOUNTING FIRM</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To the Board of Directors and Stockholders of Imprimis Pharmaceuticals, Inc.</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We have audited the accompanying consolidated balance sheets of Imprimis Pharmaceuticals, Inc. (formerly Transdel Pharmaceuticals, Inc.) and subsidiary (a development stage company) (the “Company”) as of December 31, 2011 and 2010, and the related consolidated statements of operations, stockholders’ deficit and cash flows for each of the two years in the period ended December 31, 2011 and for the period from July 24, 1998 (date of inception) through December 31, 2011. These consolidated financial statements are the responsibility of the Company’s management. Our responsibility is to express an opinion on these consolidated financial statements based on our audits.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our opinion, the consolidated financial statements referred to above present fairly, in all material respects, the consolidated financial position of Imprimis Pharmaceuticals, Inc. (formerly Transdel Pharmaceuticals, Inc.) and subsidiary as of December 31, 2011 and 2010, and the consolidated results of their operations and their cash flows for each of the two years in the period ended December 31, 2011 and for the period from July 24, 1998 (date of inception) through December 31, 2011 in conformity with accounting principles generally accepted in the United States of America.</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pStyle w:val="TextBody"/>
        <w:spacing w:before="0" w:after="0"/>
        <w:ind w:left="0" w:right="0" w:hanging="0"/>
        <w:rPr/>
      </w:pPr>
      <w:r>
        <w:rPr/>
      </w:r>
    </w:p>
    <w:p>
      <w:pPr>
        <w:pStyle w:val="TextBody"/>
        <w:spacing w:before="0" w:after="0"/>
        <w:ind w:left="0" w:right="0" w:hanging="0"/>
        <w:jc w:val="left"/>
        <w:rPr>
          <w:rFonts w:ascii="Helvetica" w:hAnsi="Helvetica"/>
          <w:sz w:val="20"/>
        </w:rPr>
      </w:pPr>
      <w:r>
        <w:rPr>
          <w:rFonts w:ascii="Helvetica" w:hAnsi="Helvetica"/>
          <w:sz w:val="20"/>
        </w:rPr>
        <w:t>/s/ KMJ Corbin &amp; Company LLP</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Costa Mesa, California</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February 23, 2012</w:t>
      </w:r>
    </w:p>
    <w:p>
      <w:pPr>
        <w:pStyle w:val="TextBody"/>
        <w:spacing w:before="0" w:after="0"/>
        <w:ind w:left="0" w:right="0" w:hanging="0"/>
        <w:jc w:val="left"/>
        <w:rPr>
          <w:rFonts w:ascii="Helvetica" w:hAnsi="Helvetica"/>
          <w:sz w:val="20"/>
        </w:rPr>
      </w:pPr>
      <w:r>
        <w:rPr>
          <w:rFonts w:ascii="Helvetica" w:hAnsi="Helvetica"/>
          <w:sz w:val="20"/>
        </w:rPr>
        <w:t>Except for Note 3 and the effects of</w:t>
      </w:r>
    </w:p>
    <w:p>
      <w:pPr>
        <w:pStyle w:val="TextBody"/>
        <w:spacing w:before="0" w:after="0"/>
        <w:ind w:left="0" w:right="0" w:hanging="0"/>
        <w:jc w:val="left"/>
        <w:rPr>
          <w:rFonts w:ascii="Helvetica" w:hAnsi="Helvetica"/>
          <w:sz w:val="20"/>
        </w:rPr>
      </w:pPr>
      <w:r>
        <w:rPr>
          <w:rFonts w:ascii="Helvetica" w:hAnsi="Helvetica"/>
          <w:sz w:val="20"/>
        </w:rPr>
        <w:t>the retrospective application of the</w:t>
      </w:r>
    </w:p>
    <w:p>
      <w:pPr>
        <w:pStyle w:val="TextBody"/>
        <w:spacing w:before="0" w:after="0"/>
        <w:ind w:left="0" w:right="0" w:hanging="0"/>
        <w:jc w:val="left"/>
        <w:rPr>
          <w:rFonts w:ascii="Helvetica" w:hAnsi="Helvetica"/>
          <w:sz w:val="20"/>
        </w:rPr>
      </w:pPr>
      <w:r>
        <w:rPr>
          <w:rFonts w:ascii="Helvetica" w:hAnsi="Helvetica"/>
          <w:sz w:val="20"/>
        </w:rPr>
        <w:t>reverse stock split as described in</w:t>
      </w:r>
    </w:p>
    <w:p>
      <w:pPr>
        <w:pStyle w:val="TextBody"/>
        <w:spacing w:before="0" w:after="0"/>
        <w:ind w:left="0" w:right="0" w:hanging="0"/>
        <w:jc w:val="left"/>
        <w:rPr>
          <w:rFonts w:ascii="Helvetica" w:hAnsi="Helvetica"/>
          <w:sz w:val="20"/>
        </w:rPr>
      </w:pPr>
      <w:r>
        <w:rPr>
          <w:rFonts w:ascii="Helvetica" w:hAnsi="Helvetica"/>
          <w:sz w:val="20"/>
        </w:rPr>
        <w:t>Note 3, as to which the date is</w:t>
      </w:r>
    </w:p>
    <w:p>
      <w:pPr>
        <w:pStyle w:val="TextBody"/>
        <w:spacing w:before="0" w:after="0"/>
        <w:ind w:left="0" w:right="0" w:hanging="0"/>
        <w:jc w:val="left"/>
        <w:rPr>
          <w:rFonts w:ascii="Helvetica" w:hAnsi="Helvetica"/>
          <w:sz w:val="20"/>
        </w:rPr>
      </w:pPr>
      <w:r>
        <w:rPr>
          <w:rFonts w:ascii="Helvetica" w:hAnsi="Helvetica"/>
          <w:sz w:val="20"/>
        </w:rPr>
        <w:t>February 28, 2012</w:t>
      </w: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70" w:name="PGBRK91"/>
      <w:bookmarkStart w:id="1071" w:name="PGBRK91"/>
      <w:bookmarkEnd w:id="1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2" w:name="FTR91"/>
      <w:bookmarkStart w:id="1073" w:name="FTR91"/>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4" w:name="GLFTR90"/>
      <w:bookmarkEnd w:id="1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75" w:name="PN90"/>
      <w:bookmarkEnd w:id="1075"/>
      <w:r>
        <w:rPr>
          <w:rFonts w:ascii="Helvetica" w:hAnsi="Helvetica"/>
          <w:sz w:val="20"/>
        </w:rPr>
        <w:t>F-20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6" w:name="HDR90"/>
      <w:bookmarkStart w:id="1077" w:name="HDR90"/>
      <w:bookmarkEnd w:id="10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8" w:name="GLHDR90"/>
      <w:bookmarkEnd w:id="10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bookmarkStart w:id="1079" w:name="range!a1%3Ag49"/>
            <w:bookmarkEnd w:id="1079"/>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BALANCE SHEETS</w:t>
            </w:r>
          </w:p>
        </w:tc>
      </w:tr>
      <w:tr>
        <w:trPr/>
        <w:tc>
          <w:tcPr>
            <w:tcW w:w="10205" w:type="dxa"/>
            <w:tcBorders/>
            <w:shd w:fill="auto" w:val="clear"/>
            <w:vAlign w:val="bottom"/>
          </w:tcPr>
          <w:p>
            <w:pPr>
              <w:pStyle w:val="TableContents"/>
              <w:spacing w:before="0" w:after="283"/>
              <w:rPr/>
            </w:pP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281"/>
        <w:gridCol w:w="106"/>
        <w:gridCol w:w="126"/>
        <w:gridCol w:w="1112"/>
        <w:gridCol w:w="112"/>
        <w:gridCol w:w="106"/>
        <w:gridCol w:w="126"/>
        <w:gridCol w:w="1112"/>
        <w:gridCol w:w="124"/>
      </w:tblGrid>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b/>
                <w:sz w:val="20"/>
              </w:rPr>
            </w:pPr>
            <w:r>
              <w:rPr>
                <w:rFonts w:ascii="helvetica" w:hAnsi="helvetica"/>
                <w:b/>
                <w:sz w:val="20"/>
              </w:rPr>
              <w:t>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Current 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291,462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14,797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60,492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assets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351,954</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Computer equipment, net</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ASSETS</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LIABILITIES AND 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218,612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73,632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Phase 3 expenses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expenses and payroll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69,532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revenue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80,000</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1,130,479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335,035</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1,055,479</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1,390,514</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Commitments and contingencies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8625" w:type="dxa"/>
            <w:gridSpan w:val="4"/>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Series A Convertible preferred stock, $0.001 par value, 10 shares authorized,</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10 and 0 shares issued and outstanding</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50,000,000 shares authorized,</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1,987,601 and  1,991,508 issued and outstanding</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 in capital</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16,818,740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1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(17,466,797</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DEFICIT)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1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(1,038,222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 AND STOCKHOLDERS' DEFICIT</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80" w:name="PGBRK92"/>
      <w:bookmarkStart w:id="1081" w:name="PGBRK92"/>
      <w:bookmarkEnd w:id="10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2" w:name="FTR92"/>
      <w:bookmarkStart w:id="1083" w:name="FTR92"/>
      <w:bookmarkEnd w:id="10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84" w:name="GLFTR91"/>
      <w:bookmarkEnd w:id="10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85" w:name="PN91"/>
      <w:bookmarkEnd w:id="1085"/>
      <w:r>
        <w:rPr>
          <w:rFonts w:ascii="Helvetica" w:hAnsi="Helvetica"/>
          <w:sz w:val="20"/>
        </w:rPr>
        <w:t>F-21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6" w:name="HDR91"/>
      <w:bookmarkStart w:id="1087" w:name="HDR91"/>
      <w:bookmarkEnd w:id="10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88" w:name="GLHDR91"/>
      <w:bookmarkEnd w:id="10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OPERATIONS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03"/>
        <w:gridCol w:w="105"/>
        <w:gridCol w:w="126"/>
        <w:gridCol w:w="1077"/>
        <w:gridCol w:w="111"/>
        <w:gridCol w:w="105"/>
        <w:gridCol w:w="126"/>
        <w:gridCol w:w="1077"/>
        <w:gridCol w:w="111"/>
        <w:gridCol w:w="105"/>
        <w:gridCol w:w="126"/>
        <w:gridCol w:w="1111"/>
        <w:gridCol w:w="122"/>
      </w:tblGrid>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Expenses:</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Selling, general and administrative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827,674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2,307,972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9,573,327</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Research and development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7,820,258</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Loss from operations</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(939,228</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(2,502,560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(17,393,585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Other income (expense)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expense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income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512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127,581</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settlement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375,000</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forgiveness of liabilities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60,292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26,299</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176,505</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other expense, net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(14,708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(28,668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(1,027,148</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per common share, basic and diluted:</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common shares outstanding, basic and diluted</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1,989,014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1,973,155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89" w:name="PGBRK93"/>
      <w:bookmarkStart w:id="1090" w:name="PGBRK93"/>
      <w:bookmarkEnd w:id="10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1" w:name="FTR93"/>
      <w:bookmarkStart w:id="1092" w:name="FTR93"/>
      <w:bookmarkEnd w:id="10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3" w:name="GLFTR92"/>
      <w:bookmarkEnd w:id="10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94" w:name="PN92"/>
      <w:bookmarkEnd w:id="1094"/>
      <w:r>
        <w:rPr>
          <w:rFonts w:ascii="Helvetica" w:hAnsi="Helvetica"/>
          <w:sz w:val="20"/>
        </w:rPr>
        <w:t>F-22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5" w:name="HDR92"/>
      <w:bookmarkStart w:id="1096" w:name="HDR92"/>
      <w:bookmarkEnd w:id="1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7" w:name="GLHDR92"/>
      <w:bookmarkEnd w:id="10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STOCKHOLDERS' EQUITY (DEFICIT)</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For the years ended December 31, 2011 and 2010 and for the period from June 24, 1998 (Inception) through December 31, 2011</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70"/>
        <w:gridCol w:w="81"/>
        <w:gridCol w:w="135"/>
        <w:gridCol w:w="586"/>
        <w:gridCol w:w="92"/>
        <w:gridCol w:w="92"/>
        <w:gridCol w:w="292"/>
        <w:gridCol w:w="334"/>
        <w:gridCol w:w="81"/>
        <w:gridCol w:w="81"/>
        <w:gridCol w:w="81"/>
        <w:gridCol w:w="982"/>
        <w:gridCol w:w="99"/>
        <w:gridCol w:w="81"/>
        <w:gridCol w:w="139"/>
        <w:gridCol w:w="641"/>
        <w:gridCol w:w="99"/>
        <w:gridCol w:w="81"/>
        <w:gridCol w:w="140"/>
        <w:gridCol w:w="1077"/>
        <w:gridCol w:w="99"/>
        <w:gridCol w:w="81"/>
        <w:gridCol w:w="140"/>
        <w:gridCol w:w="1132"/>
        <w:gridCol w:w="99"/>
        <w:gridCol w:w="81"/>
        <w:gridCol w:w="141"/>
        <w:gridCol w:w="1045"/>
        <w:gridCol w:w="123"/>
      </w:tblGrid>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15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Preferred Stock</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202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Common Stock</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Additional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Deficit accumulated</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Paid-in</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during the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Stockholders'</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Capital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development stage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Equity (Deficit)</w:t>
            </w:r>
          </w:p>
        </w:tc>
        <w:tc>
          <w:tcPr>
            <w:tcW w:w="123" w:type="dxa"/>
            <w:tcBorders/>
            <w:shd w:fill="auto"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Balance at June 24, 1998 (Inception)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1998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1999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(304,000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May and June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(517,092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(11,092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2001</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(725,512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(19,512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(953,729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(47,729</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2003</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(1,160,925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(54,925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2004</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(1,669,151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(163,151</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306,641</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15,393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15,700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425,782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1,935,574</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(2,208,773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(272,773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 June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and July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46,875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472,657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2,386,527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(2,793,005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(406,005</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at $0.0512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during January and March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498,047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Exercise of stock options and warrants at $0.0512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per share in April and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Forgiveness of notes payable and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common stock at $16.00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24,414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in connection with merger</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on September 17,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231,249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$100,000 per unit in September and October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258,979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3,837,532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3,837,791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related to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 and accrued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191,272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1,529,986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Beneficial conversion feature upon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warrants for consulting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services in September 2007 at a value of $16.00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for stock transaction and $100,000 per unit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 stock and warrant transaction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34,375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549,966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2007</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1,715,876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10,566,309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(7,077,545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3,490,480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$110,000 per unit in May 2008 and final costs of</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2007  private placement offering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227,273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3,941,073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3,941,301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Adjustment and issuance of common stock, warrant and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 options related to consulting services agreement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restricted stock at $5.60 per share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in November 2008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3,125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2008</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1,944,535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14,951,830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(10,381,933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4,571,842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agreements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121,449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121,455</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$7.92 per share August 2009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49,494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2009</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1,956,508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15,510,823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(14,935,569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577,211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to consulting agreements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28,750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367,871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367,900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stock at $6.40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October 2010</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12,083</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2010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1,991,508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(17,466,797</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(1,038,222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Forfeiture of unvested restricted stock in May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(3,906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Series A Preferred Stock at $10,000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in December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Preferred stock beneficial conversion feature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stock options granted to former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employees in forgiveness of liabilities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2011</w:t>
            </w:r>
          </w:p>
        </w:tc>
        <w:tc>
          <w:tcPr>
            <w:tcW w:w="81" w:type="dxa"/>
            <w:tcBorders/>
            <w:shd w:fill="FFFFFF" w:val="clear"/>
            <w:vAlign w:val="bottom"/>
          </w:tcPr>
          <w:p>
            <w:pPr>
              <w:pStyle w:val="TableContents"/>
              <w:spacing w:before="0" w:after="283"/>
              <w:rPr/>
            </w:pPr>
            <w:r>
              <w:rPr/>
              <w:t>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1,987,601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16,818,740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98" w:name="PGBRK94"/>
      <w:bookmarkStart w:id="1099" w:name="PGBRK94"/>
      <w:bookmarkEnd w:id="10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0" w:name="FTR94"/>
      <w:bookmarkStart w:id="1101" w:name="FTR94"/>
      <w:bookmarkEnd w:id="1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2" w:name="GLFTR93"/>
      <w:bookmarkEnd w:id="1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03" w:name="PN93"/>
      <w:bookmarkEnd w:id="1103"/>
      <w:r>
        <w:rPr>
          <w:rFonts w:ascii="Helvetica" w:hAnsi="Helvetica"/>
          <w:sz w:val="20"/>
        </w:rPr>
        <w:t>F-23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4" w:name="HDR93"/>
      <w:bookmarkStart w:id="1105" w:name="HDR93"/>
      <w:bookmarkEnd w:id="1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6" w:name="GLHDR93"/>
      <w:bookmarkEnd w:id="1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90"/>
        <w:gridCol w:w="104"/>
        <w:gridCol w:w="125"/>
        <w:gridCol w:w="1016"/>
        <w:gridCol w:w="110"/>
        <w:gridCol w:w="104"/>
        <w:gridCol w:w="125"/>
        <w:gridCol w:w="1069"/>
        <w:gridCol w:w="110"/>
        <w:gridCol w:w="103"/>
        <w:gridCol w:w="125"/>
        <w:gridCol w:w="1103"/>
        <w:gridCol w:w="121"/>
      </w:tblGrid>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OPERATING ACTIVITIES</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2,475,000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(60,292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(26,299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(176,505</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235,600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807,608</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1,056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Non-cash interest on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192,153</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680,195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2,128,816</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Changes in assets and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Prepaid consulting costs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(140,000</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45,695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20,425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(14,797</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Accounts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144,980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(607,382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308,526</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Accrued Phase 3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(231,762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Accrued expenses and payroll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(9,240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25,605</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86,591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Deferred revenue</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(291,160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(10,770,093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Purchases of fixed assets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526,300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advances from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168,707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 exercise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of warrants and stock options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99,450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common stock for cash, net of offering costs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7,779,092</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145,858</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10,919,407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(145,302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CASH AND CASH EQUIVALENTS,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1,589,773</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SUPPLEMENTAL DISCLOSURE OF CASH FLOW INFORMATION: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432,007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notes payable and accrued interest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Forgiveness of notes payable and accrued interest to shareholders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advances to notes payable to shareholders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Payment of Phase 3 Liabilities by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jc w:val="center"/>
        <w:rPr>
          <w:rFonts w:ascii="Helvetica" w:hAnsi="Helvetica"/>
          <w:b w:val="false"/>
          <w:sz w:val="20"/>
        </w:rPr>
      </w:pPr>
      <w:r>
        <w:rPr>
          <w:rFonts w:ascii="Helvetica" w:hAnsi="Helvetica"/>
          <w:b w:val="false"/>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07" w:name="PGBRK95"/>
      <w:bookmarkStart w:id="1108" w:name="PGBRK95"/>
      <w:bookmarkEnd w:id="1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9" w:name="FTR95"/>
      <w:bookmarkStart w:id="1110" w:name="FTR95"/>
      <w:bookmarkEnd w:id="1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1" w:name="GLFTR94"/>
      <w:bookmarkEnd w:id="11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12" w:name="PN94"/>
      <w:bookmarkEnd w:id="1112"/>
      <w:r>
        <w:rPr>
          <w:rFonts w:ascii="Helvetica" w:hAnsi="Helvetica"/>
          <w:sz w:val="20"/>
        </w:rPr>
        <w:t>F-24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3" w:name="HDR94"/>
      <w:bookmarkStart w:id="1114" w:name="HDR94"/>
      <w:bookmarkEnd w:id="1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5" w:name="GLHDR94"/>
      <w:bookmarkEnd w:id="11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NOTES TO THE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years ended December 31, 2011 and 2010 and the period from July 24, 1998 (Inception) through December 31, 2011</w:t>
      </w:r>
    </w:p>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NOTE 1.   ORGANIZATION</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On February 28, 2012, the Company changed its name from Transdel Pharmaceuticals, Inc. to Imprimis Pharmaceuticals, Inc. All prior references to Transdel Pharmaceuticals, Inc. have been changed to Imprimis Pharmaceuticals, Inc. to reflect the change.</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Imprimis Pharmaceuticals, Inc. (“Imprimis” or “Company”) is a specialty pharmaceutical company developing non-invasive, topically delivered products. The Company’s innovative patented Accudel cream formulation technology is designed to facilitate the effective penetration of a variety of products through the skin barrier. Impracor , the Company’s lead pain product, utilizes the Accudel platform technology to deliver the active drug, ketoprofen, a non-steroidal anti-inflammatory drug (“NSAID”), through the skin directly into the underlying musculoskeletal and soft tissues where the drug exerts its anti-inflammatory and analgesic effects. The Company intends to leverage its Accudel platform technology to expand and create a portfolio of topical products for a variety of indications.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As described in Note 4, the Company, on June 26, 2011,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throughout these notes to the consolidated financial statements, the Company requested that the Bankruptcy Court dismiss the Chapter 11 Case, and on December 8, 2011, the Bankruptcy Court entered an order dismissing the Chapter 11 Case.  </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NOTE 2.   GOING CONCERN</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$18.5 million at December 31, 2011. These factors raise substantial doubt about the Company’s ability to continue as a going concern.</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 which are required by the U.S. Food and Drug Administration (“FDA”) to obtain final regulatory approval for Impracor ,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16" w:name="PGBRK96"/>
      <w:bookmarkStart w:id="1117" w:name="PGBRK96"/>
      <w:bookmarkEnd w:id="1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8" w:name="FTR96"/>
      <w:bookmarkStart w:id="1119" w:name="FTR96"/>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0" w:name="GLFTR95"/>
      <w:bookmarkEnd w:id="1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21" w:name="PN95"/>
      <w:bookmarkEnd w:id="1121"/>
      <w:r>
        <w:rPr>
          <w:rFonts w:ascii="Helvetica" w:hAnsi="Helvetica"/>
          <w:sz w:val="20"/>
        </w:rPr>
        <w:t>F-25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2" w:name="HDR95"/>
      <w:bookmarkStart w:id="1123" w:name="HDR95"/>
      <w:bookmarkEnd w:id="1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4" w:name="GLHDR95"/>
      <w:bookmarkEnd w:id="1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NOTE 3.    SUMMARY OF SIGNIFICANT ACCOUNTING POLICIES</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Basis of Presentation</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Imprimis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Principles of Consolidation</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connection with the merger, 231,242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Development Stage Enterprise</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25" w:name="PGBRK97"/>
      <w:bookmarkStart w:id="1126" w:name="PGBRK97"/>
      <w:bookmarkEnd w:id="1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7" w:name="FTR97"/>
      <w:bookmarkStart w:id="1128" w:name="FTR97"/>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9" w:name="GLFTR96"/>
      <w:bookmarkEnd w:id="1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30" w:name="PN96"/>
      <w:bookmarkEnd w:id="1130"/>
      <w:r>
        <w:rPr>
          <w:rFonts w:ascii="Helvetica" w:hAnsi="Helvetica"/>
          <w:sz w:val="20"/>
        </w:rPr>
        <w:t>F-26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1" w:name="HDR96"/>
      <w:bookmarkStart w:id="1132" w:name="HDR96"/>
      <w:bookmarkEnd w:id="1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3" w:name="GLHDR96"/>
      <w:bookmarkEnd w:id="1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Research and Development</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Company expenses all costs related to research and development as they are incurred.</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Revenue Recognition and Deferred Revenue</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As of December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Cash and Cash Equivalents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Cash equivalents include short-term, highly liquid investments with maturities of three months or less at the time of acquisition.</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Concentrations of Credit Risk</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2011, there were no uninsured deposits.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Computer Equipment</w:t>
      </w:r>
    </w:p>
    <w:p>
      <w:pPr>
        <w:pStyle w:val="TextBody"/>
        <w:spacing w:before="0" w:after="0"/>
        <w:ind w:left="0" w:right="0" w:hanging="0"/>
        <w:jc w:val="both"/>
        <w:rPr>
          <w:rFonts w:ascii="Helvetica" w:hAnsi="Helvetica"/>
          <w:sz w:val="20"/>
        </w:rPr>
      </w:pPr>
      <w:r>
        <w:rPr>
          <w:rFonts w:ascii="Helvetica" w:hAnsi="Helvetica"/>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years ended December 31, 2011 and 2010, the Company recorded $338 and $1,056, respectively, in depreciation expense.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34" w:name="PGBRK98"/>
      <w:bookmarkStart w:id="1135" w:name="PGBRK98"/>
      <w:bookmarkEnd w:id="1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6" w:name="FTR98"/>
      <w:bookmarkStart w:id="1137" w:name="FTR98"/>
      <w:bookmarkEnd w:id="1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8" w:name="GLFTR97"/>
      <w:bookmarkEnd w:id="1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39" w:name="PN97"/>
      <w:bookmarkEnd w:id="1139"/>
      <w:r>
        <w:rPr>
          <w:rFonts w:ascii="Helvetica" w:hAnsi="Helvetica"/>
          <w:sz w:val="20"/>
        </w:rPr>
        <w:t>F-27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0" w:name="HDR97"/>
      <w:bookmarkStart w:id="1141" w:name="HDR97"/>
      <w:bookmarkEnd w:id="1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2" w:name="GLHDR97"/>
      <w:bookmarkEnd w:id="1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Fair Value Measurements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fair values of the Company’s cash and cash equivalents, accounts payable, accounts payable due to related parties, accrued expenses and notes payable approximate carrying values due to their short term maturities.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Stock-Based Compensation</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All share-based payments to employees, including grants of stock options to employees, directors and consultants and restricted stock grants, are recognized in the consolidated financial statements based upon their fair values.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Income Taxes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We account for income taxes under the provision of Accounting Standards Codification 740, “Income Taxes”, or ASC 740. As of December 31, 2011 and 2010, there was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2011 and 2010, respectively and have not recognized interest and/or penalties in the consolidated statement of operations for the years ended December 31, 2011 and 2010. We are subject to taxation in the United States and California.</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43" w:name="PGBRK99"/>
      <w:bookmarkStart w:id="1144" w:name="PGBRK99"/>
      <w:bookmarkEnd w:id="1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5" w:name="FTR99"/>
      <w:bookmarkStart w:id="1146" w:name="FTR99"/>
      <w:bookmarkEnd w:id="1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7" w:name="GLFTR98"/>
      <w:bookmarkEnd w:id="1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48" w:name="PN98"/>
      <w:bookmarkEnd w:id="1148"/>
      <w:r>
        <w:rPr>
          <w:rFonts w:ascii="Helvetica" w:hAnsi="Helvetica"/>
          <w:sz w:val="20"/>
        </w:rPr>
        <w:t>F-28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9" w:name="HDR98"/>
      <w:bookmarkStart w:id="1150" w:name="HDR98"/>
      <w:bookmarkEnd w:id="1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1" w:name="GLHDR98"/>
      <w:bookmarkEnd w:id="11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4,136,10 and 541,335 for the years ended December 31, 2011 and 2010, respectively, are excluded from the calculation of diluted net loss per share for all periods presented because the effect is anti-dilutive.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27"/>
        <w:gridCol w:w="108"/>
        <w:gridCol w:w="126"/>
        <w:gridCol w:w="1086"/>
        <w:gridCol w:w="114"/>
        <w:gridCol w:w="108"/>
        <w:gridCol w:w="126"/>
        <w:gridCol w:w="1086"/>
        <w:gridCol w:w="124"/>
      </w:tblGrid>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2010</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loss</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Deemed dividend to preferred stockholders</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Numerator – loss attributable to common stockholders</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Denominator – weighted average</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pPr>
            <w:r>
              <w:rPr/>
              <w:t>   </w:t>
            </w:r>
            <w:r>
              <w:rPr>
                <w:rFonts w:ascii="helvetica" w:hAnsi="helvetica"/>
                <w:sz w:val="20"/>
              </w:rPr>
              <w:t>number of shares outstanding, basic and diluted</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1,989,014</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1,973,155</w:t>
            </w:r>
          </w:p>
        </w:tc>
        <w:tc>
          <w:tcPr>
            <w:tcW w:w="124" w:type="dxa"/>
            <w:tcBorders/>
            <w:shd w:fill="CCEEFF" w:val="clear"/>
            <w:vAlign w:val="bottom"/>
          </w:tcPr>
          <w:p>
            <w:pPr>
              <w:pStyle w:val="TableContents"/>
              <w:spacing w:before="0" w:after="283"/>
              <w:jc w:val="left"/>
              <w:rPr/>
            </w:pPr>
            <w:r>
              <w:rPr/>
              <w:t> </w:t>
            </w:r>
          </w:p>
        </w:tc>
      </w:tr>
      <w:tr>
        <w:trPr/>
        <w:tc>
          <w:tcPr>
            <w:tcW w:w="7327" w:type="dxa"/>
            <w:tcBorders/>
            <w:shd w:fill="FFFF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Loss per share, basic and diluted</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Use of Estimates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Recent Accounting Pronouncements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 xml:space="preserve">In May 2011, the FASB issued ASU 2011-04, </w:t>
      </w:r>
      <w:r>
        <w:rPr>
          <w:rFonts w:ascii="Helvetica" w:hAnsi="Helvetica"/>
          <w:i/>
          <w:sz w:val="20"/>
        </w:rPr>
        <w:t>Fair Value Measurement (Topic 820): Amendments to Achieve Common  Fair Value Measurement and Disclosure Requirements</w:t>
      </w:r>
      <w:r>
        <w:rPr>
          <w:rFonts w:ascii="Helvetica" w:hAnsi="Helvetica"/>
          <w:sz w:val="20"/>
        </w:rPr>
        <w:t xml:space="preserve"> in U.S. GAAP and  IFRSs.  The update contains the results of the work of the FASB and the International Accounting Standards Board to develop common requirements for measuring fair value and for disclosing fair value measurements in accordance with U.S. GAAP and IFRSs. The amendments in this update are effective for periods beginning after December 15, 2011 and as a result are not yet applicable to the Company. The Company is evaluating the impact of the update on its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52" w:name="PGBRK100"/>
      <w:bookmarkStart w:id="1153" w:name="PGBRK100"/>
      <w:bookmarkEnd w:id="1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4" w:name="FTR100"/>
      <w:bookmarkStart w:id="1155" w:name="FTR100"/>
      <w:bookmarkEnd w:id="1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56" w:name="GLFTR99"/>
      <w:bookmarkEnd w:id="1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57" w:name="PN99"/>
      <w:bookmarkEnd w:id="1157"/>
      <w:r>
        <w:rPr>
          <w:rFonts w:ascii="Helvetica" w:hAnsi="Helvetica"/>
          <w:sz w:val="20"/>
        </w:rPr>
        <w:t>F-29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8" w:name="HDR99"/>
      <w:bookmarkStart w:id="1159" w:name="HDR99"/>
      <w:bookmarkEnd w:id="1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60" w:name="GLHDR99"/>
      <w:bookmarkEnd w:id="1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February 28, 2012, the Company effected a one-for-8 reverse stock split of its common stock. The reverse stock split did not affect the Company’s Series A convertible preferred stock. The accompanying consolidated financial statements and footnotes have been retroactively adjusted to reflect the effects of the reverse stock split. The reverse stock split did not affect the amount of the Company’s equity or its market capitalization.</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NOTE 4.   BANKRUPTCY PETITION AND ASSET PURCHASE AGREEMENT</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NOTE 5.   NOTES PAYABLE</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Convertible Notes – August 2005</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4,443 shares of the Company’s common stock. The warrants were determined to have an insignificant fair value at the time of the grant.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61" w:name="PGBRK101"/>
      <w:bookmarkStart w:id="1162" w:name="PGBRK101"/>
      <w:bookmarkEnd w:id="1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3" w:name="FTR101"/>
      <w:bookmarkStart w:id="1164" w:name="FTR101"/>
      <w:bookmarkEnd w:id="1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5" w:name="GLFTR100"/>
      <w:bookmarkEnd w:id="1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66" w:name="PN100"/>
      <w:bookmarkEnd w:id="1166"/>
      <w:r>
        <w:rPr>
          <w:rFonts w:ascii="Helvetica" w:hAnsi="Helvetica"/>
          <w:sz w:val="20"/>
        </w:rPr>
        <w:t>F-30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7" w:name="HDR100"/>
      <w:bookmarkStart w:id="1168" w:name="HDR100"/>
      <w:bookmarkEnd w:id="1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69" w:name="GLHDR100"/>
      <w:bookmarkEnd w:id="11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Convertible Notes – May and June 2007</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In May and June 2007, the Company issued convertible notes payable to various lenders for an aggregate amount of $1,500,000 (collectively, the “2007 Notes”).</w:t>
      </w:r>
      <w:bookmarkStart w:id="1170" w:name="eolPage36"/>
      <w:bookmarkEnd w:id="1170"/>
      <w:r>
        <w:rPr>
          <w:rFonts w:ascii="Helvetica" w:hAnsi="Helvetica"/>
          <w:sz w:val="20"/>
        </w:rPr>
        <w:t>  Each of the 2007 Notes included interest at 7% per annum and was to mature on December 16, 2007 (“Maturity Date”). However, as a result of the Merger and Private Placement (see Note 6), the entire outstanding principal amount and accrued interest was converted into the Company’s common stock at a conversion price equal to $8.00 per share, which resulted in the issuance of 191,272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Imprimis’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$130,479 and $55,479 at December 31, 2011 and 2010, respectively, and interest expense on the Note was $75,000 and $55,479 for the years ended December 31, 2011 and 2010, respectively.  Following the Company’s bankruptcy petition filed on June 26, 2011, and the change in ownership control following the issuance of preferred stock, the entire unpaid principal sum of this Note, together with its accrued and unpaid interest became immediately due and payable.  Subsequent to the year ended December 31, 2011, the Company, the noteholder and its assignee entered into a waiver and settlement agreement described in Note 14.</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Secured Line of Credit – Related Party</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 of the respective advance.</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DermaStar, and its members individually, are control persons of the Company, as they have the ability to direct or cause direction of management and policies of the Company through their ownership.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71" w:name="PGBRK102"/>
      <w:bookmarkStart w:id="1172" w:name="PGBRK102"/>
      <w:bookmarkEnd w:id="1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3" w:name="FTR102"/>
      <w:bookmarkStart w:id="1174" w:name="FTR102"/>
      <w:bookmarkEnd w:id="1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5" w:name="GLFTR101"/>
      <w:bookmarkEnd w:id="1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76" w:name="PN101"/>
      <w:bookmarkEnd w:id="1176"/>
      <w:r>
        <w:rPr>
          <w:rFonts w:ascii="Helvetica" w:hAnsi="Helvetica"/>
          <w:sz w:val="20"/>
        </w:rPr>
        <w:t>F-31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7" w:name="HDR101"/>
      <w:bookmarkStart w:id="1178" w:name="HDR101"/>
      <w:bookmarkEnd w:id="1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9" w:name="GLHDR101"/>
      <w:bookmarkEnd w:id="1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Notes Payable consists of the following</w:t>
      </w:r>
    </w:p>
    <w:p>
      <w:pPr>
        <w:pStyle w:val="TextBody"/>
        <w:spacing w:before="0" w:after="0"/>
        <w:ind w:left="0" w:right="0" w:hanging="0"/>
        <w:rPr/>
      </w:pPr>
      <w:r>
        <w:rPr/>
      </w:r>
    </w:p>
    <w:tbl>
      <w:tblPr>
        <w:tblW w:w="4250" w:type="pct"/>
        <w:jc w:val="left"/>
        <w:tblInd w:w="0" w:type="dxa"/>
        <w:tblCellMar>
          <w:top w:w="0" w:type="dxa"/>
          <w:left w:w="0" w:type="dxa"/>
          <w:bottom w:w="0" w:type="dxa"/>
          <w:right w:w="0" w:type="dxa"/>
        </w:tblCellMar>
      </w:tblPr>
      <w:tblGrid>
        <w:gridCol w:w="5942"/>
        <w:gridCol w:w="97"/>
        <w:gridCol w:w="125"/>
        <w:gridCol w:w="1049"/>
        <w:gridCol w:w="106"/>
        <w:gridCol w:w="97"/>
        <w:gridCol w:w="125"/>
        <w:gridCol w:w="1023"/>
        <w:gridCol w:w="110"/>
      </w:tblGrid>
      <w:tr>
        <w:trPr/>
        <w:tc>
          <w:tcPr>
            <w:tcW w:w="5942"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r>
      <w:tr>
        <w:trPr/>
        <w:tc>
          <w:tcPr>
            <w:tcW w:w="5942" w:type="dxa"/>
            <w:tcBorders/>
            <w:shd w:fill="auto" w:val="clear"/>
            <w:vAlign w:val="bottom"/>
          </w:tcPr>
          <w:p>
            <w:pPr>
              <w:pStyle w:val="TableContents"/>
              <w:spacing w:before="0" w:after="283"/>
              <w:jc w:val="center"/>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10%  note payable due December 2012</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7.5% convertible note</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Total convertible notes payable</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Current portion</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(1,300,000</w:t>
            </w:r>
          </w:p>
        </w:tc>
        <w:tc>
          <w:tcPr>
            <w:tcW w:w="10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Long-term portion</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NOTE 6.   STOCKHOLDERS’ EQUITY</w:t>
      </w: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Preferred Stock</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At December 31, 2011, the Company had 5,000,000 shares of preferred stock, $0.001 par value, authorized and 10 shares issued and outstanding.</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10 shares of the Company’s preferred stock to be designated as “Series A Convertible Preferred Stock” (“Series A Preferred Stock”); (ii) grants the holders of the Series A Preferred Stock the right to convert into the Company’s Common Stock at a conversion price of approximately $0.013336,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partial consideration for and in connection with the Line of Credit Agreement described in Note 5, on November 21, 2011, the Company entered into a Securities Purchase Agreement (the “Purchase Agreement”) with DermaStar, pursuant to which the Company agreed to issue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Helvetica" w:hAnsi="Helvetica"/>
          <w:sz w:val="20"/>
          <w:u w:val="single"/>
        </w:rPr>
        <w:t>Amendment</w:t>
      </w:r>
      <w:r>
        <w:rPr>
          <w:rFonts w:ascii="Helvetica" w:hAnsi="Helvetica"/>
          <w:sz w:val="20"/>
        </w:rPr>
        <w:t>”). Pursuant to the terms of the Amendment, DermaStar agreed not to convert more than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7,498,500 shares of common stock, which represents approximately 65% of the capital stock of the Company on an as-converted basis.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 recorded a beneficial conversion feature of $100,000 to the preferred share purchase and recorded a preferred stock discount.  As the preferred shares do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Upon issuance of the Series A Preferred Stock, DermaStar, and its members individually, became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80" w:name="PGBRK103"/>
      <w:bookmarkStart w:id="1181" w:name="PGBRK103"/>
      <w:bookmarkEnd w:id="1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2" w:name="FTR103"/>
      <w:bookmarkStart w:id="1183" w:name="FTR103"/>
      <w:bookmarkEnd w:id="1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4" w:name="GLFTR102"/>
      <w:bookmarkEnd w:id="1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85" w:name="PN102"/>
      <w:bookmarkEnd w:id="1185"/>
      <w:r>
        <w:rPr>
          <w:rFonts w:ascii="Helvetica" w:hAnsi="Helvetica"/>
          <w:sz w:val="20"/>
        </w:rPr>
        <w:t>F-32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6" w:name="HDR102"/>
      <w:bookmarkStart w:id="1187" w:name="HDR102"/>
      <w:bookmarkEnd w:id="1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8" w:name="GLHDR102"/>
      <w:bookmarkEnd w:id="1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Common Stock</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following is a summary of common stock and capital contribution transactions from inception through December 31,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89" w:name="TAB218"/>
            <w:bookmarkEnd w:id="1189"/>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0" w:name="TAB219"/>
            <w:bookmarkEnd w:id="1190"/>
            <w:r>
              <w:rPr>
                <w:color w:val="000000"/>
                <w:spacing w:val="180"/>
              </w:rPr>
              <w:t> </w:t>
            </w:r>
          </w:p>
        </w:tc>
        <w:tc>
          <w:tcPr>
            <w:tcW w:w="92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1" w:name="TAB220"/>
            <w:bookmarkEnd w:id="1191"/>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2000, the Company issued 117,188 shares of common stock at a price of $0.0512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2" w:name="TAB221"/>
            <w:bookmarkEnd w:id="1192"/>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3" w:name="TAB222"/>
            <w:bookmarkEnd w:id="1193"/>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4" w:name="TAB223"/>
            <w:bookmarkEnd w:id="1194"/>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5" w:name="TAB224"/>
            <w:bookmarkEnd w:id="1195"/>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6" w:name="TAB225"/>
            <w:bookmarkEnd w:id="1196"/>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2005, the Company issued 308,594 shares of common stock at a price of $0.0512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97" w:name="TAB226"/>
            <w:bookmarkEnd w:id="1197"/>
            <w:r>
              <w:rPr>
                <w:color w:val="000000"/>
                <w:spacing w:val="180"/>
              </w:rPr>
              <w:t> </w:t>
            </w:r>
            <w:r>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2006, the Company issued 46,875 shares of common stock at a price of $0.0512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bl>
    <w:p>
      <w:pPr>
        <w:pStyle w:val="Normal"/>
        <w:spacing w:before="0" w:after="0"/>
        <w:rPr>
          <w:sz w:val="4"/>
          <w:szCs w:val="4"/>
        </w:rPr>
      </w:pPr>
      <w:r>
        <w:rPr>
          <w:sz w:val="4"/>
          <w:szCs w:val="4"/>
        </w:rPr>
      </w:r>
      <w:bookmarkStart w:id="1198" w:name="list108"/>
      <w:bookmarkStart w:id="1199" w:name="list108"/>
      <w:bookmarkEnd w:id="119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issued 498,047 shares of its common stock at a price of $0.0512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00" w:name="PGBRK104"/>
      <w:bookmarkStart w:id="1201" w:name="PGBRK104"/>
      <w:bookmarkEnd w:id="1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2" w:name="FTR104"/>
      <w:bookmarkStart w:id="1203" w:name="FTR104"/>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4" w:name="GLFTR103"/>
      <w:bookmarkEnd w:id="1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05" w:name="PN103"/>
      <w:bookmarkEnd w:id="1205"/>
      <w:r>
        <w:rPr>
          <w:rFonts w:ascii="Helvetica" w:hAnsi="Helvetica"/>
          <w:sz w:val="20"/>
        </w:rPr>
        <w:t>F-33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6" w:name="HDR103"/>
      <w:bookmarkStart w:id="1207" w:name="HDR103"/>
      <w:bookmarkEnd w:id="1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8" w:name="GLHDR103"/>
      <w:bookmarkEnd w:id="1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209" w:name="list109"/>
      <w:bookmarkStart w:id="1210" w:name="list109"/>
      <w:bookmarkEnd w:id="1210"/>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recorded additional paid-in capital of $241,701 related to the forgiveness of Stockholders’ Notes (see Note 5).</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1" w:name="list110"/>
      <w:bookmarkStart w:id="1212" w:name="list110"/>
      <w:bookmarkEnd w:id="121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2007, the Company issued a restricted stock grant to an executive of the Company for 195,313 shares of the Company’s common stock.</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3" w:name="list111"/>
      <w:bookmarkStart w:id="1214" w:name="list111"/>
      <w:bookmarkEnd w:id="121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connection with the Merger in 2007, 231,249 of Imprimis common shares remained outstanding (see Note 3).</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5" w:name="list112"/>
      <w:bookmarkStart w:id="1216" w:name="list112"/>
      <w:bookmarkEnd w:id="1216"/>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sold 258,979 shares of common stock for net proceeds of $3,837,791 ($4,143,667 gross) through a private placement (the “Private Placement”). In addition, the investors received warrants to purchase 64,745 shares of common stock for a period of five years at a cash and cashless exercise price of $32.00 and $40.00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$32.00 and $40.00 per share, respectively.</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7" w:name="list113"/>
      <w:bookmarkStart w:id="1218" w:name="list113"/>
      <w:bookmarkEnd w:id="1218"/>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issued 191,272 shares of common stock related to the conversion of the 2007 Notes and accrued interest of $1,530,177 (see Note 5). Also, the Company recorded a debt discount of $1,530,177 related to the 2007 Notes (see Note 5).</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9" w:name="list114"/>
      <w:bookmarkStart w:id="1220" w:name="list114"/>
      <w:bookmarkEnd w:id="1220"/>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September 2007, the Company entered into three, one-year consulting agreements with three separate firms to provide services related to investor communications. In the aggregate, 34,375 shares of common stock were issued in accordance with the terms of the agreements along with a warrant to purchase 2,344 shares of common stock for a period of five years at a cash and cashless exercise price of $32.00 and $40.00, respectively. The fair value of the stock and warrants were valued at $550,000. The estimated costs of the consulting agreements, including the stock, warrants and non-refundable fee were amortized over the one-year terms.</w:t>
            </w:r>
          </w:p>
        </w:tc>
      </w:tr>
    </w:tbl>
    <w:p>
      <w:pPr>
        <w:pStyle w:val="TextBody"/>
        <w:spacing w:before="0" w:after="0"/>
        <w:ind w:left="0" w:right="0" w:hanging="0"/>
        <w:rPr/>
      </w:pPr>
      <w:r>
        <w:rPr/>
      </w:r>
    </w:p>
    <w:p>
      <w:pPr>
        <w:pStyle w:val="Normal"/>
        <w:spacing w:before="0" w:after="0"/>
        <w:rPr>
          <w:sz w:val="4"/>
          <w:szCs w:val="4"/>
        </w:rPr>
      </w:pPr>
      <w:r>
        <w:rPr>
          <w:sz w:val="4"/>
          <w:szCs w:val="4"/>
        </w:rPr>
      </w:r>
      <w:bookmarkStart w:id="1221" w:name="list115"/>
      <w:bookmarkStart w:id="1222" w:name="list115"/>
      <w:bookmarkEnd w:id="122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12, 2008, the Company sold 227,273 shares of common stock for net proceeds of $3,941,301 ($4,000,000 gross) through a follow-on private placement (the “Follow-on Private Placement”) to accredited investors. In addition, the investors received warrants to purchase 28,409 shares of common stock for a period of five years at a cash and cashless exercise price of $35.20 and $44.00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tc>
      </w:tr>
    </w:tbl>
    <w:p>
      <w:pPr>
        <w:pStyle w:val="TextBody"/>
        <w:spacing w:before="0" w:after="0"/>
        <w:ind w:left="0" w:right="0" w:hanging="0"/>
        <w:rPr/>
      </w:pPr>
      <w:r>
        <w:rPr/>
      </w:r>
    </w:p>
    <w:p>
      <w:pPr>
        <w:pStyle w:val="Normal"/>
        <w:spacing w:before="0" w:after="0"/>
        <w:rPr>
          <w:sz w:val="4"/>
          <w:szCs w:val="4"/>
        </w:rPr>
      </w:pPr>
      <w:r>
        <w:rPr>
          <w:sz w:val="4"/>
          <w:szCs w:val="4"/>
        </w:rPr>
      </w:r>
      <w:bookmarkStart w:id="1223" w:name="list116"/>
      <w:bookmarkStart w:id="1224" w:name="list116"/>
      <w:bookmarkEnd w:id="122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2008, in connection with the termination of certain consulting agreements entered into in 2007 and 2008, 10,321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8,583 shares of common stock during 2008 at a value of $85,833. In a separate agreement, the Company entered into a consulting agreement in which the Company issued a three-year warrant to purchase 625 shares of the Company’s common stock at a cash and cashless price of $16.00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tc>
      </w:tr>
    </w:tbl>
    <w:p>
      <w:pPr>
        <w:pStyle w:val="TextBody"/>
        <w:spacing w:before="0" w:after="0"/>
        <w:ind w:left="0" w:right="0" w:hanging="0"/>
        <w:rPr/>
      </w:pPr>
      <w:r>
        <w:rPr/>
      </w:r>
    </w:p>
    <w:p>
      <w:pPr>
        <w:pStyle w:val="Normal"/>
        <w:spacing w:before="0" w:after="0"/>
        <w:rPr>
          <w:sz w:val="4"/>
          <w:szCs w:val="4"/>
        </w:rPr>
      </w:pPr>
      <w:r>
        <w:rPr>
          <w:sz w:val="4"/>
          <w:szCs w:val="4"/>
        </w:rPr>
      </w:r>
      <w:bookmarkStart w:id="1225" w:name="list117"/>
      <w:bookmarkStart w:id="1226" w:name="list117"/>
      <w:bookmarkEnd w:id="1226"/>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November 21, 2008, the Company issued a restricted stock grant to a director of the Company for 3,125 shares of the Company’s common stock. The restricted stock grant vested over a one-year period.</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27" w:name="PGBRK105"/>
      <w:bookmarkStart w:id="1228" w:name="PGBRK105"/>
      <w:bookmarkEnd w:id="1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9" w:name="FTR105"/>
      <w:bookmarkStart w:id="1230" w:name="FTR105"/>
      <w:bookmarkEnd w:id="1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31" w:name="GLFTR104"/>
      <w:bookmarkEnd w:id="12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32" w:name="PN104"/>
      <w:bookmarkEnd w:id="1232"/>
      <w:r>
        <w:rPr>
          <w:rFonts w:ascii="Helvetica" w:hAnsi="Helvetica"/>
          <w:sz w:val="20"/>
        </w:rPr>
        <w:t>F-34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3" w:name="HDR104"/>
      <w:bookmarkStart w:id="1234" w:name="HDR104"/>
      <w:bookmarkEnd w:id="1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5" w:name="GLHDR104"/>
      <w:bookmarkEnd w:id="1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236" w:name="list118"/>
      <w:bookmarkStart w:id="1237" w:name="list118"/>
      <w:bookmarkEnd w:id="1237"/>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During 2009, in connection with the agreement with the IR Firm, the Company issued 5,722 shares of common stock valued at $50,356. In a separate agreement, the Company entered into a consulting agreement in which the Company issued a stock option to purchase 6,250 shares of the Company’s common stock at an exercise price of $7.92 per share. The fair value of the option, determined based on the Black-Scholes pricing model, was recorded as $14,434.  In another agreement, the Company entered into a consulting agreement in which the Company issued stock options to purchase 5,938 shares of the Company’s common stock at an exercise price of $12.80 per share. The fair value of the options, determined based on the Black-Scholes pricing model, was recorded at $56,665. The total value of common stock, warrants and options recorded during 2009 was $121,455.</w:t>
            </w:r>
          </w:p>
        </w:tc>
      </w:tr>
    </w:tbl>
    <w:p>
      <w:pPr>
        <w:pStyle w:val="TextBody"/>
        <w:spacing w:before="0" w:after="0"/>
        <w:ind w:left="0" w:right="0" w:hanging="0"/>
        <w:rPr/>
      </w:pPr>
      <w:r>
        <w:rPr/>
      </w:r>
    </w:p>
    <w:p>
      <w:pPr>
        <w:pStyle w:val="Normal"/>
        <w:spacing w:before="0" w:after="0"/>
        <w:rPr>
          <w:sz w:val="4"/>
          <w:szCs w:val="4"/>
        </w:rPr>
      </w:pPr>
      <w:r>
        <w:rPr>
          <w:sz w:val="4"/>
          <w:szCs w:val="4"/>
        </w:rPr>
      </w:r>
      <w:bookmarkStart w:id="1238" w:name="list119"/>
      <w:bookmarkStart w:id="1239" w:name="list119"/>
      <w:bookmarkEnd w:id="123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2009, the Company issued 6,250 shares of common stock at a price of $7.92 per share for gross proceeds of $49,500 for stock option exercises.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240" w:name="list120"/>
      <w:bookmarkStart w:id="1241" w:name="list120"/>
      <w:bookmarkEnd w:id="1241"/>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$8.56 per share (see Note 7).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tc>
      </w:tr>
    </w:tbl>
    <w:p>
      <w:pPr>
        <w:pStyle w:val="TextBody"/>
        <w:spacing w:before="0" w:after="0"/>
        <w:ind w:left="0" w:right="0" w:hanging="0"/>
        <w:rPr/>
      </w:pPr>
      <w:r>
        <w:rPr/>
      </w:r>
    </w:p>
    <w:p>
      <w:pPr>
        <w:pStyle w:val="Normal"/>
        <w:spacing w:before="0" w:after="0"/>
        <w:rPr>
          <w:sz w:val="4"/>
          <w:szCs w:val="4"/>
        </w:rPr>
      </w:pPr>
      <w:r>
        <w:rPr>
          <w:sz w:val="4"/>
          <w:szCs w:val="4"/>
        </w:rPr>
      </w:r>
      <w:bookmarkStart w:id="1242" w:name="list121"/>
      <w:bookmarkStart w:id="1243" w:name="list121"/>
      <w:bookmarkEnd w:id="1243"/>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$6.40 per share, the reported closing price of the Company’s common stock on October 20, 2010. For the year ended December 31, 2010, the Company recorded stock-based compensation expense related to the issuance and partial vesting of the restricted stock award of $12,083.</w:t>
            </w:r>
          </w:p>
        </w:tc>
      </w:tr>
    </w:tbl>
    <w:p>
      <w:pPr>
        <w:pStyle w:val="TextBody"/>
        <w:spacing w:before="0" w:after="0"/>
        <w:ind w:left="0" w:right="0" w:hanging="0"/>
        <w:rPr/>
      </w:pPr>
      <w:r>
        <w:rPr/>
      </w:r>
    </w:p>
    <w:p>
      <w:pPr>
        <w:pStyle w:val="Normal"/>
        <w:spacing w:before="0" w:after="0"/>
        <w:rPr>
          <w:sz w:val="4"/>
          <w:szCs w:val="4"/>
        </w:rPr>
      </w:pPr>
      <w:r>
        <w:rPr>
          <w:sz w:val="4"/>
          <w:szCs w:val="4"/>
        </w:rPr>
      </w:r>
      <w:bookmarkStart w:id="1244" w:name="list122"/>
      <w:bookmarkStart w:id="1245" w:name="list122"/>
      <w:bookmarkEnd w:id="1245"/>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13, 2011, the Board accepted the resignation of Dr. Bonfiglio, Ph.D. as Chief Executive Officer and President of the Company and as a director on the Board.  As a result of Dr. Bonfiglio’s resignation, of the 6,250 shares of restricted stock awarded to him, 2,344 shares had vested and 3,906 shares were returned to treasury and cancelled effective his date of resignation.   For the year ended December 31, 2011, the Company recorded stock-based compensation expense related to the issuance and partial vesting of the restricted stock award of $3,332.</w:t>
            </w:r>
          </w:p>
        </w:tc>
      </w:tr>
    </w:tbl>
    <w:p>
      <w:pPr>
        <w:pStyle w:val="TextBody"/>
        <w:spacing w:before="0" w:after="0"/>
        <w:ind w:left="0" w:right="0" w:hanging="0"/>
        <w:rPr/>
      </w:pPr>
      <w:r>
        <w:rPr/>
      </w:r>
    </w:p>
    <w:p>
      <w:pPr>
        <w:pStyle w:val="Normal"/>
        <w:spacing w:before="0" w:after="0"/>
        <w:rPr>
          <w:sz w:val="4"/>
          <w:szCs w:val="4"/>
        </w:rPr>
      </w:pPr>
      <w:r>
        <w:rPr>
          <w:sz w:val="4"/>
          <w:szCs w:val="4"/>
        </w:rPr>
      </w:r>
      <w:bookmarkStart w:id="1246" w:name="list123"/>
      <w:bookmarkStart w:id="1247" w:name="list123"/>
      <w:bookmarkEnd w:id="1247"/>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5, 2011, the Company issued 37,500 stock options to former employees, valued at $11,400 (see Note 7).</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48" w:name="PGBRK106"/>
      <w:bookmarkStart w:id="1249" w:name="PGBRK106"/>
      <w:bookmarkEnd w:id="1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0" w:name="FTR106"/>
      <w:bookmarkStart w:id="1251" w:name="FTR106"/>
      <w:bookmarkEnd w:id="1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2" w:name="GLFTR105"/>
      <w:bookmarkEnd w:id="1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53" w:name="PN105"/>
      <w:bookmarkEnd w:id="1253"/>
      <w:r>
        <w:rPr>
          <w:rFonts w:ascii="Helvetica" w:hAnsi="Helvetica"/>
          <w:sz w:val="20"/>
        </w:rPr>
        <w:t>F-35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4" w:name="HDR105"/>
      <w:bookmarkStart w:id="1255" w:name="HDR105"/>
      <w:bookmarkEnd w:id="1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6" w:name="GLHDR105"/>
      <w:bookmarkEnd w:id="1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For the year ended December 31, 2011, the Company recorded $177,421 of stock-based compensation expense for employee options, $11,400 of compensation expense to employees paid in stock options in lieu of cash and $3,332 of stock-based compensation expense related to the vesting of restricted stock (total expense of $192,153).  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period from Inception through December 31, 2011, the Company recorded stock-based compensation expense for employees, directors and consultants of $2,128,816, respectively, for options and restricted stock granted and vested. The expense for options and restricted stock issued to employees and consultants included in selling, general and administrative expenses and research and development expenses for the years ended December 31, 2011 and 2010 and the period from inception through December 31, 2011 is $154,399 and $37,754, $579,592 and $100,603, and $1,514,145, and $614,671, respectively.  For the years ended December 31, 2011 and 2010 and for the period from Inception through December 31, 2011, the Company amortized $0, $235,600 and $807,608, respectively, of prepaid consulting fees which is included as part of selling, general and administrative expenses.</w:t>
      </w:r>
    </w:p>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NOTE 7.   STOCK OPTION PLAN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A summary of the Plan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438"/>
        <w:gridCol w:w="107"/>
        <w:gridCol w:w="107"/>
        <w:gridCol w:w="1102"/>
        <w:gridCol w:w="119"/>
        <w:gridCol w:w="107"/>
        <w:gridCol w:w="161"/>
        <w:gridCol w:w="1014"/>
        <w:gridCol w:w="107"/>
        <w:gridCol w:w="107"/>
        <w:gridCol w:w="145"/>
        <w:gridCol w:w="1133"/>
        <w:gridCol w:w="107"/>
        <w:gridCol w:w="107"/>
        <w:gridCol w:w="170"/>
        <w:gridCol w:w="1048"/>
        <w:gridCol w:w="126"/>
      </w:tblGrid>
      <w:tr>
        <w:trPr/>
        <w:tc>
          <w:tcPr>
            <w:tcW w:w="443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Remaining Contractual Life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Aggregate Intrinsic Value</w:t>
            </w:r>
          </w:p>
        </w:tc>
        <w:tc>
          <w:tcPr>
            <w:tcW w:w="126" w:type="dxa"/>
            <w:tcBorders/>
            <w:shd w:fill="auto"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January 1, 2011</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313,277</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07"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37,500</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0.80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Cancelled/Forfeited</w:t>
            </w:r>
          </w:p>
        </w:tc>
        <w:tc>
          <w:tcPr>
            <w:tcW w:w="107" w:type="dxa"/>
            <w:tcBorders/>
            <w:shd w:fill="FFFFFF" w:val="clear"/>
            <w:vAlign w:val="bottom"/>
          </w:tcPr>
          <w:p>
            <w:pPr>
              <w:pStyle w:val="TableContents"/>
              <w:spacing w:before="0" w:after="283"/>
              <w:rPr/>
            </w:pPr>
            <w:r>
              <w:rPr/>
              <w:t> </w:t>
            </w:r>
          </w:p>
        </w:tc>
        <w:tc>
          <w:tcPr>
            <w:tcW w:w="10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(200,625</w:t>
            </w:r>
          </w:p>
        </w:tc>
        <w:tc>
          <w:tcPr>
            <w:tcW w:w="1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 w:type="dxa"/>
            <w:tcBorders/>
            <w:shd w:fill="FFFFFF" w:val="clear"/>
            <w:vAlign w:val="bottom"/>
          </w:tcPr>
          <w:p>
            <w:pPr>
              <w:pStyle w:val="TableContents"/>
              <w:spacing w:before="0" w:after="283"/>
              <w:rPr/>
            </w:pPr>
            <w:r>
              <w:rPr/>
              <w:t>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150,152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Exercisable - December 31, 2011</w:t>
            </w:r>
          </w:p>
        </w:tc>
        <w:tc>
          <w:tcPr>
            <w:tcW w:w="107" w:type="dxa"/>
            <w:tcBorders/>
            <w:shd w:fill="FFFFFF" w:val="clear"/>
            <w:vAlign w:val="bottom"/>
          </w:tcPr>
          <w:p>
            <w:pPr>
              <w:pStyle w:val="TableContents"/>
              <w:spacing w:before="0" w:after="283"/>
              <w:rPr/>
            </w:pPr>
            <w:r>
              <w:rPr/>
              <w:t> </w:t>
            </w:r>
          </w:p>
        </w:tc>
        <w:tc>
          <w:tcPr>
            <w:tcW w:w="10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146,152</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9.76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4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Vested and expected to vest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149,752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2011, based on the closing price of the Company’s common stock of $0.96 on that date.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57" w:name="PGBRK107"/>
      <w:bookmarkStart w:id="1258" w:name="PGBRK107"/>
      <w:bookmarkEnd w:id="1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9" w:name="FTR107"/>
      <w:bookmarkStart w:id="1260" w:name="FTR107"/>
      <w:bookmarkEnd w:id="1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61" w:name="GLFTR106"/>
      <w:bookmarkEnd w:id="1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62" w:name="PN106"/>
      <w:bookmarkEnd w:id="1262"/>
      <w:r>
        <w:rPr>
          <w:rFonts w:ascii="Helvetica" w:hAnsi="Helvetica"/>
          <w:sz w:val="20"/>
        </w:rPr>
        <w:t>F-36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3" w:name="HDR106"/>
      <w:bookmarkStart w:id="1264" w:name="HDR106"/>
      <w:bookmarkEnd w:id="1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5" w:name="GLHDR106"/>
      <w:bookmarkEnd w:id="1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options were granted to the employees, directors and consultants at exercise prices that ranged from $0.80 to $20.96, the estimated fair market value of the common stock on the dates of issuance. All options granted prior to 2011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2011 is $0.32. For the years ended December 31, 2011 and 2010 and for the period from inception through December 31, 2011, the Company recorded stock-based compensation related to stock options and restricted stock for employees and directors of $192,153, $547,895 and $1,461,165, respectively which is included in selling, general and administrative expenses and research and development expenses in the amount of $154,399 and $37,754, $447,292 and $100,603, and $1,024,102 and $437,063, respectively.  The Company cancelled 200,625 stock options during the year ended December 31, 2011.  These options were cancelled due to the resignation of the optionees during the fiscal year.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there was approximately $14,094 of total unrecognized compensation expense related to unvested stock options under the Plan. That expense is expected to be recognized over the weighted-average period of 1.89 years.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37,500 stock options previously granted. In addition, the term in which Dr. Singh may exercise the vested options (which included 76,250 options in total, comprised of 38,750 stock options that were vested as of the separation date as well as the 37,500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stock-based compensation in additional paid-in capital and general and administrative expenses in the accompanying consolidated balance sheets and consolidated statement of operations as of and for the year ended December 31, 2010, respectively.</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February 26, 2010, the Company’s Board of Directors granted 37,500 stock options to an executive officer of the Company under the Company’s 2007 Incentive Stock and Awards Plan. All of the options were granted with an exercise price of $7.20 and have a ten year life.  Also, the options vest one-twelfth per quarter commencing on the first full quarter after the initial grant date of February 26, 2010.</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66" w:name="PGBRK108"/>
      <w:bookmarkStart w:id="1267" w:name="PGBRK108"/>
      <w:bookmarkEnd w:id="1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8" w:name="FTR108"/>
      <w:bookmarkStart w:id="1269" w:name="FTR108"/>
      <w:bookmarkEnd w:id="1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0" w:name="GLFTR107"/>
      <w:bookmarkEnd w:id="1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71" w:name="PN107"/>
      <w:bookmarkEnd w:id="1271"/>
      <w:r>
        <w:rPr>
          <w:rFonts w:ascii="Helvetica" w:hAnsi="Helvetica"/>
          <w:sz w:val="20"/>
        </w:rPr>
        <w:t>F-37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2" w:name="HDR107"/>
      <w:bookmarkStart w:id="1273" w:name="HDR107"/>
      <w:bookmarkEnd w:id="1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74" w:name="GLHDR107"/>
      <w:bookmarkEnd w:id="12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August 13, 2010, the Company entered into a consulting agreement (previously approved by the Board of Directors) with a retained search firm to provide the Company with executive recruitment services. In accordance with the agreement, the Company had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$5.26 based on the Black-Scholes pricing model using an exercise price of $8.56. Using an estimated first year salary (including bonus) of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Plan, to purchase up to 10,000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(see below). The total first year compensation for the executive was estimated to be $441,000, therefore, the final fee due to the retained search firm was $132,300. The Company opted to pay the remainder of the fee due with a non-qualified stock option. Considering the option issued in August 2010 for the purchase of up to 10,000 shares of common stock, the final stock option issued in October 2010 was to purchase an additional 15,152 shares of common stock. The value of this stock option representing the remainder of the fee, $79,800, was recognized in October 2010.  For the years ended December 31, 2011 and 2010 and the period from Inception through December 31, 2011, the Company recorded stock-based compensation related to these stock options of $0, $132,300 and $132,300, respectively.</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Effective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$6.40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Effective May 13, 2011, this individual resigned and all options granted to the employee have been cancelled.</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37,500 stock options valued at $11,400 and the difference of $60,292 was recognized as a gain on forgiveness of liabilities during the year ended December 31, 2011. These options have an exercise price of $0.80, vested immediately upon issuance, and have a three year life from the date of issuance.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75" w:name="PGBRK109"/>
      <w:bookmarkStart w:id="1276" w:name="PGBRK109"/>
      <w:bookmarkEnd w:id="1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7" w:name="FTR109"/>
      <w:bookmarkStart w:id="1278" w:name="FTR109"/>
      <w:bookmarkEnd w:id="1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9" w:name="GLFTR108"/>
      <w:bookmarkEnd w:id="1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80" w:name="PN108"/>
      <w:bookmarkEnd w:id="1280"/>
      <w:r>
        <w:rPr>
          <w:rFonts w:ascii="Helvetica" w:hAnsi="Helvetica"/>
          <w:sz w:val="20"/>
        </w:rPr>
        <w:t>F-38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1" w:name="HDR108"/>
      <w:bookmarkStart w:id="1282" w:name="HDR108"/>
      <w:bookmarkEnd w:id="1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3" w:name="GLHDR108"/>
      <w:bookmarkEnd w:id="12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employees and directors during the years ended December 31, 2011 and 2010</w:t>
      </w:r>
    </w:p>
    <w:p>
      <w:pPr>
        <w:pStyle w:val="TextBody"/>
        <w:spacing w:before="0" w:after="0"/>
        <w:rPr/>
      </w:pPr>
      <w:r>
        <w:rPr/>
        <w:t> </w:t>
      </w:r>
    </w:p>
    <w:tbl>
      <w:tblPr>
        <w:tblW w:w="4250" w:type="pct"/>
        <w:jc w:val="left"/>
        <w:tblInd w:w="0" w:type="dxa"/>
        <w:tblCellMar>
          <w:top w:w="0" w:type="dxa"/>
          <w:left w:w="0" w:type="dxa"/>
          <w:bottom w:w="0" w:type="dxa"/>
          <w:right w:w="0" w:type="dxa"/>
        </w:tblCellMar>
      </w:tblPr>
      <w:tblGrid>
        <w:gridCol w:w="6008"/>
        <w:gridCol w:w="106"/>
        <w:gridCol w:w="153"/>
        <w:gridCol w:w="859"/>
        <w:gridCol w:w="207"/>
        <w:gridCol w:w="106"/>
        <w:gridCol w:w="153"/>
        <w:gridCol w:w="859"/>
        <w:gridCol w:w="223"/>
      </w:tblGrid>
      <w:tr>
        <w:trPr/>
        <w:tc>
          <w:tcPr>
            <w:tcW w:w="600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2011</w:t>
            </w:r>
          </w:p>
        </w:tc>
        <w:tc>
          <w:tcPr>
            <w:tcW w:w="207"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2010</w:t>
            </w:r>
          </w:p>
        </w:tc>
        <w:tc>
          <w:tcPr>
            <w:tcW w:w="223" w:type="dxa"/>
            <w:tcBorders/>
            <w:shd w:fill="auto"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0.32</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4.48</w:t>
            </w:r>
          </w:p>
        </w:tc>
        <w:tc>
          <w:tcPr>
            <w:tcW w:w="223" w:type="dxa"/>
            <w:tcBorders/>
            <w:shd w:fill="CCEEFF" w:val="clear"/>
            <w:vAlign w:val="bottom"/>
          </w:tcPr>
          <w:p>
            <w:pPr>
              <w:pStyle w:val="TableContents"/>
              <w:spacing w:before="0" w:after="283"/>
              <w:jc w:val="left"/>
              <w:rPr/>
            </w:pPr>
            <w:r>
              <w:rPr/>
              <w:t> </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w:t>
            </w:r>
          </w:p>
        </w:tc>
        <w:tc>
          <w:tcPr>
            <w:tcW w:w="2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w:t>
            </w:r>
          </w:p>
        </w:tc>
        <w:tc>
          <w:tcPr>
            <w:tcW w:w="223" w:type="dxa"/>
            <w:tcBorders/>
            <w:shd w:fill="FFFFFF"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w:t>
            </w:r>
          </w:p>
        </w:tc>
        <w:tc>
          <w:tcPr>
            <w:tcW w:w="20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0.46</w:t>
            </w:r>
          </w:p>
        </w:tc>
        <w:tc>
          <w:tcPr>
            <w:tcW w:w="20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2.02</w:t>
            </w:r>
          </w:p>
        </w:tc>
        <w:tc>
          <w:tcPr>
            <w:tcW w:w="2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No options were issued to consultants during the year ended December 31, 2011.</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consultants during the year ended December 31, 2010:</w:t>
      </w:r>
    </w:p>
    <w:p>
      <w:pPr>
        <w:pStyle w:val="TextBody"/>
        <w:spacing w:before="0" w:after="0"/>
        <w:ind w:left="0" w:right="0" w:hanging="0"/>
        <w:rPr/>
      </w:pPr>
      <w:r>
        <w:rPr/>
      </w:r>
    </w:p>
    <w:tbl>
      <w:tblPr>
        <w:tblW w:w="4250" w:type="pct"/>
        <w:jc w:val="left"/>
        <w:tblInd w:w="0" w:type="dxa"/>
        <w:tblCellMar>
          <w:top w:w="0" w:type="dxa"/>
          <w:left w:w="0" w:type="dxa"/>
          <w:bottom w:w="0" w:type="dxa"/>
          <w:right w:w="0" w:type="dxa"/>
        </w:tblCellMar>
      </w:tblPr>
      <w:tblGrid>
        <w:gridCol w:w="7289"/>
        <w:gridCol w:w="111"/>
        <w:gridCol w:w="154"/>
        <w:gridCol w:w="901"/>
        <w:gridCol w:w="219"/>
      </w:tblGrid>
      <w:tr>
        <w:trPr/>
        <w:tc>
          <w:tcPr>
            <w:tcW w:w="728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jc w:val="center"/>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19" w:type="dxa"/>
            <w:tcBorders/>
            <w:shd w:fill="auto"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5.28</w:t>
            </w:r>
          </w:p>
        </w:tc>
        <w:tc>
          <w:tcPr>
            <w:tcW w:w="219" w:type="dxa"/>
            <w:tcBorders/>
            <w:shd w:fill="CCEEFF" w:val="clear"/>
            <w:vAlign w:val="bottom"/>
          </w:tcPr>
          <w:p>
            <w:pPr>
              <w:pStyle w:val="TableContents"/>
              <w:spacing w:before="0" w:after="283"/>
              <w:jc w:val="left"/>
              <w:rPr/>
            </w:pPr>
            <w:r>
              <w:rPr/>
              <w:t> </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w:t>
            </w:r>
          </w:p>
        </w:tc>
        <w:tc>
          <w:tcPr>
            <w:tcW w:w="219" w:type="dxa"/>
            <w:tcBorders/>
            <w:shd w:fill="FFFFFF"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1.63</w:t>
            </w:r>
          </w:p>
        </w:tc>
        <w:tc>
          <w:tcPr>
            <w:tcW w:w="2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NOTE 8.   WARRANTS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A summary of the status of the warrants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88"/>
        <w:gridCol w:w="114"/>
        <w:gridCol w:w="127"/>
        <w:gridCol w:w="1198"/>
        <w:gridCol w:w="122"/>
        <w:gridCol w:w="114"/>
        <w:gridCol w:w="154"/>
        <w:gridCol w:w="1062"/>
        <w:gridCol w:w="126"/>
      </w:tblGrid>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 Subject to Warrants Outstanding</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26" w:type="dxa"/>
            <w:tcBorders/>
            <w:shd w:fill="auto" w:val="clear"/>
            <w:vAlign w:val="bottom"/>
          </w:tcPr>
          <w:p>
            <w:pPr>
              <w:pStyle w:val="TableContents"/>
              <w:spacing w:before="0" w:after="283"/>
              <w:jc w:val="left"/>
              <w:rPr/>
            </w:pPr>
            <w:r>
              <w:rPr/>
              <w:t> </w:t>
            </w:r>
          </w:p>
        </w:tc>
      </w:tr>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 January 1, 2011</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96,123</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32.80</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Expired</w:t>
            </w:r>
          </w:p>
        </w:tc>
        <w:tc>
          <w:tcPr>
            <w:tcW w:w="114"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(625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16.00</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and exercisable - December 31, 2011</w:t>
            </w:r>
          </w:p>
        </w:tc>
        <w:tc>
          <w:tcPr>
            <w:tcW w:w="114"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95,498</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33.16</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 average remaining contractual life of the outstanding warrants in years - December 31, 2011</w:t>
            </w:r>
          </w:p>
        </w:tc>
        <w:tc>
          <w:tcPr>
            <w:tcW w:w="114"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0.91</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84" w:name="PGBRK110"/>
      <w:bookmarkStart w:id="1285" w:name="PGBRK110"/>
      <w:bookmarkEnd w:id="1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6" w:name="FTR110"/>
      <w:bookmarkStart w:id="1287" w:name="FTR110"/>
      <w:bookmarkEnd w:id="1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8" w:name="GLFTR109"/>
      <w:bookmarkEnd w:id="1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89" w:name="PN109"/>
      <w:bookmarkEnd w:id="1289"/>
      <w:r>
        <w:rPr>
          <w:rFonts w:ascii="Helvetica" w:hAnsi="Helvetica"/>
          <w:sz w:val="20"/>
        </w:rPr>
        <w:t>F-39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0" w:name="HDR109"/>
      <w:bookmarkStart w:id="1291" w:name="HDR109"/>
      <w:bookmarkEnd w:id="1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2" w:name="GLHDR109"/>
      <w:bookmarkEnd w:id="1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expiration of the outstanding warrants at December 31, 2011 occurs through May 2013 at various dates.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April 24, 2008, the Company entered into a one-year consulting agreement with a firm to provide the Company with financial advisory services. As compensation for the services, the Company issued a three-year warrant to purchase 625 shares of the Company’s common stock at a cash and cashless price of $16.00 per share. The fair value of the warrant, determined based on the Black-Scholes pricing model, this warrant expired during the year ended December 31, 2011.</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NOTE 9.   INCOME TAXES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 is subject to taxation in the United States and California. The Company does not have any income tax provision for the years ended December 31, 2011 and 2010 due to current and historical losses.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provision for income taxes using the statutory federal income tax rate of 34% as compared to the company’s effective tax rate is summarized as follows: </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5784"/>
        <w:gridCol w:w="99"/>
        <w:gridCol w:w="145"/>
        <w:gridCol w:w="1085"/>
        <w:gridCol w:w="110"/>
        <w:gridCol w:w="99"/>
        <w:gridCol w:w="136"/>
        <w:gridCol w:w="1093"/>
        <w:gridCol w:w="123"/>
      </w:tblGrid>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3" w:type="dxa"/>
            <w:tcBorders/>
            <w:shd w:fill="auto" w:val="clear"/>
            <w:vAlign w:val="bottom"/>
          </w:tcPr>
          <w:p>
            <w:pPr>
              <w:pStyle w:val="TableContents"/>
              <w:spacing w:before="0" w:after="283"/>
              <w:jc w:val="center"/>
              <w:rPr/>
            </w:pPr>
            <w:r>
              <w:rPr/>
              <w:t> </w:t>
            </w:r>
          </w:p>
        </w:tc>
      </w:tr>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3" w:type="dxa"/>
            <w:tcBorders/>
            <w:shd w:fill="auto"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Federal tax benefit at statutory rate</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(319,489</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(842,257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State tax benefit, net</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(58,881</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(161,372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Research and development credits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(10,123</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(39,517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Employee stock-based compensation</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Other differences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w:t>
            </w:r>
          </w:p>
        </w:tc>
        <w:tc>
          <w:tcPr>
            <w:tcW w:w="123" w:type="dxa"/>
            <w:tcBorders/>
            <w:shd w:fill="CCEEFF" w:val="clear"/>
            <w:vAlign w:val="bottom"/>
          </w:tcPr>
          <w:p>
            <w:pPr>
              <w:pStyle w:val="TableContents"/>
              <w:spacing w:before="0" w:after="283"/>
              <w:jc w:val="left"/>
              <w:rPr/>
            </w:pPr>
            <w:r>
              <w:rPr/>
              <w:t> </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Change in valuation allowance</w:t>
            </w:r>
          </w:p>
        </w:tc>
        <w:tc>
          <w:tcPr>
            <w:tcW w:w="99" w:type="dxa"/>
            <w:tcBorders/>
            <w:shd w:fill="FFFFFF" w:val="clear"/>
            <w:vAlign w:val="bottom"/>
          </w:tcPr>
          <w:p>
            <w:pPr>
              <w:pStyle w:val="TableContents"/>
              <w:spacing w:before="0" w:after="283"/>
              <w:rPr/>
            </w:pPr>
            <w:r>
              <w:rPr/>
              <w:t> </w:t>
            </w:r>
          </w:p>
        </w:tc>
        <w:tc>
          <w:tcPr>
            <w:tcW w:w="14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388,493</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1,043,100</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Provision for income taxes</w:t>
            </w:r>
          </w:p>
        </w:tc>
        <w:tc>
          <w:tcPr>
            <w:tcW w:w="99"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At December 31, 2011 and 2010, the Company had deferred tax assets of $6,167,481 and $5,778,988,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Significant components of the company’s deferred tax assets are as follows:</w:t>
      </w:r>
    </w:p>
    <w:p>
      <w:pPr>
        <w:pStyle w:val="TextBody"/>
        <w:spacing w:before="0" w:after="0"/>
        <w:ind w:left="0" w:right="0" w:hanging="0"/>
        <w:rPr/>
      </w:pPr>
      <w:r>
        <w:rPr/>
      </w:r>
    </w:p>
    <w:tbl>
      <w:tblPr>
        <w:tblW w:w="4250" w:type="pct"/>
        <w:jc w:val="left"/>
        <w:tblInd w:w="0" w:type="dxa"/>
        <w:tblCellMar>
          <w:top w:w="0" w:type="dxa"/>
          <w:left w:w="0" w:type="dxa"/>
          <w:bottom w:w="0" w:type="dxa"/>
          <w:right w:w="0" w:type="dxa"/>
        </w:tblCellMar>
      </w:tblPr>
      <w:tblGrid>
        <w:gridCol w:w="5309"/>
        <w:gridCol w:w="102"/>
        <w:gridCol w:w="154"/>
        <w:gridCol w:w="1237"/>
        <w:gridCol w:w="118"/>
        <w:gridCol w:w="102"/>
        <w:gridCol w:w="154"/>
        <w:gridCol w:w="1237"/>
        <w:gridCol w:w="261"/>
      </w:tblGrid>
      <w:tr>
        <w:trPr/>
        <w:tc>
          <w:tcPr>
            <w:tcW w:w="530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261" w:type="dxa"/>
            <w:tcBorders/>
            <w:shd w:fill="auto" w:val="clear"/>
            <w:vAlign w:val="bottom"/>
          </w:tcPr>
          <w:p>
            <w:pPr>
              <w:pStyle w:val="TableContents"/>
              <w:spacing w:before="0" w:after="283"/>
              <w:jc w:val="center"/>
              <w:rPr/>
            </w:pPr>
            <w:r>
              <w:rPr/>
              <w:t> </w:t>
            </w:r>
          </w:p>
        </w:tc>
      </w:tr>
      <w:tr>
        <w:trPr/>
        <w:tc>
          <w:tcPr>
            <w:tcW w:w="5309" w:type="dxa"/>
            <w:tcBorders/>
            <w:shd w:fill="auto" w:val="clear"/>
            <w:vAlign w:val="bottom"/>
          </w:tcPr>
          <w:p>
            <w:pPr>
              <w:pStyle w:val="TableContents"/>
              <w:spacing w:before="0" w:after="283"/>
              <w:jc w:val="center"/>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61" w:type="dxa"/>
            <w:tcBorders/>
            <w:shd w:fill="auto" w:val="clear"/>
            <w:vAlign w:val="bottom"/>
          </w:tcPr>
          <w:p>
            <w:pPr>
              <w:pStyle w:val="TableContents"/>
              <w:spacing w:before="0" w:after="283"/>
              <w:jc w:val="left"/>
              <w:rPr/>
            </w:pPr>
            <w:r>
              <w:rPr/>
              <w:t> </w:t>
            </w:r>
          </w:p>
        </w:tc>
      </w:tr>
      <w:tr>
        <w:trPr/>
        <w:tc>
          <w:tcPr>
            <w:tcW w:w="5309" w:type="dxa"/>
            <w:tcBorders/>
            <w:shd w:fill="auto" w:val="clear"/>
            <w:vAlign w:val="bottom"/>
          </w:tcPr>
          <w:p>
            <w:pPr>
              <w:pStyle w:val="TableContents"/>
              <w:spacing w:before="0" w:after="0"/>
              <w:ind w:left="0" w:right="0" w:hanging="0"/>
              <w:jc w:val="both"/>
              <w:rPr>
                <w:rFonts w:ascii="helvetica" w:hAnsi="helvetica"/>
                <w:sz w:val="20"/>
              </w:rPr>
            </w:pPr>
            <w:r>
              <w:rPr>
                <w:rFonts w:ascii="helvetica" w:hAnsi="helvetica"/>
                <w:sz w:val="20"/>
              </w:rPr>
              <w:t>Deferred tax assets</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Federal and state net operating loss carryforwards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4,886,429</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4,565,466</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Stock-based compensation</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743,789</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671,940</w:t>
            </w:r>
          </w:p>
        </w:tc>
        <w:tc>
          <w:tcPr>
            <w:tcW w:w="261" w:type="dxa"/>
            <w:tcBorders/>
            <w:shd w:fill="FFFFFF"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Tax credits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532,278</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522,155</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Other</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4,985</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19,427</w:t>
            </w:r>
          </w:p>
        </w:tc>
        <w:tc>
          <w:tcPr>
            <w:tcW w:w="261" w:type="dxa"/>
            <w:tcBorders/>
            <w:shd w:fill="FFFFFF" w:val="clear"/>
            <w:vAlign w:val="bottom"/>
          </w:tcPr>
          <w:p>
            <w:pPr>
              <w:pStyle w:val="TableContents"/>
              <w:spacing w:before="0" w:after="283"/>
              <w:jc w:val="left"/>
              <w:rPr/>
            </w:pPr>
            <w:r>
              <w:rPr/>
              <w:t> </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Total deferred tax assets</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CCEEFF" w:val="clear"/>
            <w:vAlign w:val="bottom"/>
          </w:tcPr>
          <w:p>
            <w:pPr>
              <w:pStyle w:val="TableContents"/>
              <w:spacing w:before="0" w:after="283"/>
              <w:jc w:val="left"/>
              <w:rPr/>
            </w:pPr>
            <w:r>
              <w:rPr/>
              <w:t> </w:t>
            </w:r>
          </w:p>
        </w:tc>
      </w:tr>
      <w:tr>
        <w:trPr/>
        <w:tc>
          <w:tcPr>
            <w:tcW w:w="530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Valuation allowance</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deferred income tax asset</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93" w:name="PGBRK111"/>
      <w:bookmarkStart w:id="1294" w:name="PGBRK111"/>
      <w:bookmarkEnd w:id="1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5" w:name="FTR111"/>
      <w:bookmarkStart w:id="1296" w:name="FTR111"/>
      <w:bookmarkEnd w:id="1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7" w:name="GLFTR110"/>
      <w:bookmarkEnd w:id="1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98" w:name="PN110"/>
      <w:bookmarkEnd w:id="1298"/>
      <w:r>
        <w:rPr>
          <w:rFonts w:ascii="Helvetica" w:hAnsi="Helvetica"/>
          <w:sz w:val="20"/>
        </w:rPr>
        <w:t>F-40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9" w:name="HDR110"/>
      <w:bookmarkStart w:id="1300" w:name="HDR110"/>
      <w:bookmarkEnd w:id="1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01" w:name="GLHDR110"/>
      <w:bookmarkEnd w:id="13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Helvetica" w:hAnsi="Helvetica"/>
          <w:sz w:val="20"/>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$388,000 and $1.0 million in 2011 and 2010, respectively.</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As of December 31, 2011, the Company had federal and California net operating loss carryforwards of approximately $12.3 million and $12.2 million, respectively. The federal and California tax loss carry forwards will begin to expire in 2020 and 2015, respectively, unless previously utilized.  The Company estimates its federal and California research and development tax credit carryforwards of approximately $315,000 and $330,000, respectively, which begin to expire in 2027 unless previously utilized.</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 portion of the net operating loss carry forwards as of December 31, 2011 and 2010 include amounts related to stock option deductions.  Excess tax benefits, if any, from share-based compensation are only realized when income taxes payable is reduced, with the corresponding credit posted to Additional Paid-in Capital.</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Company’s practice is to recognize interest and/or penalties related to income tax matters in income tax expense. The Company had no accrual for interest or penalties at December 31, 2011 and 2010, and has not recognized interest and/or penalties in the consolidated statements of operations for the years ended December 31, 2011 and 2010. The Company’s tax years for 2000 and forward are subject to examination by the United States and state tax authorities due to the carry forward of unutilized net operating losses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NOTE 10.  COMMITMENTS AND CONTINGENCIES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Commitments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The Company leased its office facilities under a noncancelable operating lease, which expired December 31, 2010. The Company renewed the lease from January 1, 2011 to June 30, 2011, with a monthly amount due of $3,835.  Rent expense for the years ended December 31, 2011, 2010 and the period from Inception through December 31, 2011 was $18,299, $54,821 and $243,955, respectively.  The Company entered into a new lease agreement for office facilities from February 15, 2012 to February 28, 2014. Monthly rent begins on March 1, 2012 in the amount of $2,972 for the first 12 months, and $3,715 is due monthly for the next 12 months.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02" w:name="PGBRK112"/>
      <w:bookmarkStart w:id="1303" w:name="PGBRK112"/>
      <w:bookmarkEnd w:id="1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4" w:name="FTR112"/>
      <w:bookmarkStart w:id="1305" w:name="FTR112"/>
      <w:bookmarkEnd w:id="1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6" w:name="GLFTR111"/>
      <w:bookmarkEnd w:id="1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07" w:name="PN111"/>
      <w:bookmarkEnd w:id="1307"/>
      <w:r>
        <w:rPr>
          <w:rFonts w:ascii="Helvetica" w:hAnsi="Helvetica"/>
          <w:sz w:val="20"/>
        </w:rPr>
        <w:t>F-41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8" w:name="HDR111"/>
      <w:bookmarkStart w:id="1309" w:name="HDR111"/>
      <w:bookmarkEnd w:id="1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0" w:name="GLHDR111"/>
      <w:bookmarkEnd w:id="13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Helvetica" w:hAnsi="Helvetica"/>
          <w:b/>
          <w:sz w:val="20"/>
        </w:rPr>
      </w:pPr>
      <w:r>
        <w:rPr>
          <w:rFonts w:ascii="Helvetica" w:hAnsi="Helvetica"/>
          <w:b/>
          <w:sz w:val="20"/>
        </w:rPr>
        <w:t>Cato Research Ltd. Agreement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Impracor .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Cosmetic Products Consulting Agreement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August 25, 2008, the Company entered into an agreement with RIL-NA, LLC (“RIL-NA”) in order to enter into business relationships with third parties for certain of the Company’s cosmetic product formulations.  RIL-NA was to be paid a commission equal to approximately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This agreement automatically terminated on August 12, 2011, and no revenues or amounts were paid to or on behalf of the Company.</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Cosmetic Product License Agreements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As of December 31,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June 2010, the Company and Jan Marini Skin Research, Inc. (“JMSR”) entered into a licensing agreement providing JMSR with the exclusive U.S. rights to Imprimis’ transdermal delivery technology for use in an anti-cellulite cosmetic product for the dermatological market. Under the terms of the agreement, JMSR will pay Imprimis a licensing royalty on the U.S. and worldwide sales of an anti-cellulite product using Imprimis’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Separation Agreement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37,500 stock options previously granted. The separation agreement also includes a mutual release of claims. In accordance with this agreement, the Company recorded a one-time accrual, in the year ended December 31, 2010, of $242,000 for the one year of continued salary (including the related employer payroll taxes) and medical benefits. Also, the Company recorded a total expense of approximately $174,000 for the value of the modifications to the stock options. As of December 31, 2011, no amounts are due under the separation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11" w:name="PGBRK113"/>
      <w:bookmarkStart w:id="1312" w:name="PGBRK113"/>
      <w:bookmarkEnd w:id="1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3" w:name="FTR113"/>
      <w:bookmarkStart w:id="1314" w:name="FTR113"/>
      <w:bookmarkEnd w:id="1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5" w:name="GLFTR112"/>
      <w:bookmarkEnd w:id="1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16" w:name="PN112"/>
      <w:bookmarkEnd w:id="1316"/>
      <w:r>
        <w:rPr>
          <w:rFonts w:ascii="Helvetica" w:hAnsi="Helvetica"/>
          <w:sz w:val="20"/>
        </w:rPr>
        <w:t>F-42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7" w:name="HDR112"/>
      <w:bookmarkStart w:id="1318" w:name="HDR112"/>
      <w:bookmarkEnd w:id="1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9" w:name="GLHDR112"/>
      <w:bookmarkEnd w:id="1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Helvetica" w:hAnsi="Helvetica"/>
          <w:b/>
          <w:sz w:val="20"/>
        </w:rPr>
      </w:pPr>
      <w:r>
        <w:rPr>
          <w:rFonts w:ascii="Helvetica" w:hAnsi="Helvetica"/>
          <w:b/>
          <w:sz w:val="20"/>
        </w:rPr>
        <w:t>NOTE 11.  OTHER RELATED PARTY TRANSACTIONS</w:t>
      </w:r>
    </w:p>
    <w:p>
      <w:pPr>
        <w:pStyle w:val="TextBody"/>
        <w:spacing w:before="0" w:after="0"/>
        <w:ind w:left="0" w:right="0" w:hanging="0"/>
        <w:rPr/>
      </w:pPr>
      <w:r>
        <w:rPr/>
      </w:r>
    </w:p>
    <w:p>
      <w:pPr>
        <w:pStyle w:val="TextBody"/>
        <w:spacing w:before="0" w:after="0"/>
        <w:ind w:left="0" w:right="0" w:hanging="0"/>
        <w:jc w:val="both"/>
        <w:rPr>
          <w:rFonts w:ascii="Helvetica" w:hAnsi="Helvetica"/>
          <w:sz w:val="20"/>
        </w:rPr>
      </w:pPr>
      <w:r>
        <w:rPr>
          <w:rFonts w:ascii="Helvetica" w:hAnsi="Helvetica"/>
          <w:sz w:val="20"/>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8, 2011, $27,537 was paid back by the Company in cash to Mr. Thornley and Mr. Abrams.  There are currently no amounts due to Mr. Thornley and/or Dr. Abrams related to this or any other transaction.</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During the year ended December 31, 2011, DermaStar purchased trade debt from third party vendors totaling $56,087.   The amount owed to DermaStar related to this debt is included in the accounts payable – related party line item on the consolidated balance sheet.  No amounts were paid to DermaStar related to this debt.  DermaStar also made cash payments on behalf of the Company during the year ended December 31, 2011 in the amount of $254,142.  On December 31, 2011, the Company made a payment to DermaStar totaling $254,142, as reimbursement for DermaStar’s cash payments made on behalf of the Company.  DermaStar, and its members individually, are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NOTE 12.  RESEARCH AND DEVELOPMENT CREDIT</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In November 2010, the Company received a Federal grant amount of $244,479 under the Qualifying Therapeutic Discovery Project that is part of the Patient Protection and Affordable Care Act.  The funds were awarded in support of Impracor, the Company’s late-stage topical NSAID product candidate for the treatment of acute soft tissue injuries. The proceeds from this grant were recorded as a reduction in research and development expenses in the accompanying consolidated statement of operations.</w:t>
      </w:r>
    </w:p>
    <w:p>
      <w:pPr>
        <w:pStyle w:val="TextBody"/>
        <w:spacing w:before="0" w:after="0"/>
        <w:ind w:left="0" w:right="0" w:hanging="0"/>
        <w:jc w:val="both"/>
        <w:rPr/>
      </w:pPr>
      <w:r>
        <w:rPr/>
      </w:r>
    </w:p>
    <w:p>
      <w:pPr>
        <w:pStyle w:val="TextBody"/>
        <w:spacing w:before="0" w:after="0"/>
        <w:ind w:left="0" w:right="0" w:hanging="0"/>
        <w:jc w:val="both"/>
        <w:rPr>
          <w:rFonts w:ascii="Helvetica" w:hAnsi="Helvetica"/>
          <w:b/>
          <w:sz w:val="20"/>
        </w:rPr>
      </w:pPr>
      <w:r>
        <w:rPr>
          <w:rFonts w:ascii="Helvetica" w:hAnsi="Helvetica"/>
          <w:b/>
          <w:sz w:val="20"/>
        </w:rPr>
        <w:t>NOTE 13.  GAIN ON FORGIVENESS OF LIABILITIES</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pStyle w:val="TextBody"/>
        <w:spacing w:before="0" w:after="0"/>
        <w:ind w:left="0" w:right="0" w:hanging="0"/>
        <w:jc w:val="both"/>
        <w:rPr/>
      </w:pPr>
      <w:r>
        <w:rPr/>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20" w:name="PGBRK114"/>
      <w:bookmarkStart w:id="1321" w:name="PGBRK114"/>
      <w:bookmarkEnd w:id="1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2" w:name="FTR114"/>
      <w:bookmarkStart w:id="1323" w:name="FTR114"/>
      <w:bookmarkEnd w:id="1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4" w:name="GLFTR113"/>
      <w:bookmarkEnd w:id="1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25" w:name="PN113"/>
      <w:bookmarkEnd w:id="1325"/>
      <w:r>
        <w:rPr>
          <w:rFonts w:ascii="Helvetica" w:hAnsi="Helvetica"/>
          <w:sz w:val="20"/>
        </w:rPr>
        <w:t>F-43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6" w:name="HDR113"/>
      <w:bookmarkStart w:id="1327" w:name="HDR113"/>
      <w:bookmarkEnd w:id="1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8" w:name="GLHDR113"/>
      <w:bookmarkEnd w:id="1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Up to      Shares of Common Stock</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 dated        , 2012</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29" w:name="PGBRK115"/>
      <w:bookmarkStart w:id="1330" w:name="PGBRK115"/>
      <w:bookmarkEnd w:id="1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1" w:name="FTR115"/>
      <w:bookmarkStart w:id="1332" w:name="FTR115"/>
      <w:bookmarkEnd w:id="1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3" w:name="GLFTR114"/>
      <w:bookmarkEnd w:id="1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4" w:name="PN114"/>
      <w:bookmarkEnd w:id="1334"/>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5" w:name="HDR114"/>
      <w:bookmarkStart w:id="1336" w:name="HDR114"/>
      <w:bookmarkEnd w:id="1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7" w:name="GLHDR114"/>
      <w:bookmarkEnd w:id="13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Helvetica" w:hAnsi="Helvetica"/>
          <w:b/>
          <w:sz w:val="20"/>
        </w:rPr>
      </w:pPr>
      <w:r>
        <w:rPr>
          <w:rFonts w:ascii="Helvetica" w:hAnsi="Helvetica"/>
          <w:b/>
          <w:sz w:val="20"/>
        </w:rPr>
        <w:t>PART II</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INFORMATION NOT REQUIRED IN PROSPECTUS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13. OTHER EXPENSES OF ISSUANCE AND DISTRIBUTION.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costs and expenses, other than the underwriting discount, payable by the registrant in connection with the sale and distribution of the securities being registered. All amounts are estimated except the SEC registration fee and the FINRA filing fee.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487"/>
        <w:gridCol w:w="127"/>
        <w:gridCol w:w="178"/>
        <w:gridCol w:w="1146"/>
        <w:gridCol w:w="267"/>
      </w:tblGrid>
      <w:tr>
        <w:trPr/>
        <w:tc>
          <w:tcPr>
            <w:tcW w:w="8487" w:type="dxa"/>
            <w:tcBorders/>
            <w:shd w:fill="auto" w:val="clear"/>
            <w:vAlign w:val="bottom"/>
          </w:tcPr>
          <w:p>
            <w:pPr>
              <w:pStyle w:val="TableContents"/>
              <w:spacing w:before="0" w:after="283"/>
              <w:rPr/>
            </w:pPr>
            <w:r>
              <w:rPr/>
              <w:t xml:space="preserve">  </w:t>
            </w:r>
          </w:p>
        </w:tc>
        <w:tc>
          <w:tcPr>
            <w:tcW w:w="127" w:type="dxa"/>
            <w:tcBorders/>
            <w:shd w:fill="auto" w:val="clear"/>
            <w:vAlign w:val="bottom"/>
          </w:tcPr>
          <w:p>
            <w:pPr>
              <w:pStyle w:val="TableContents"/>
              <w:spacing w:before="0" w:after="283"/>
              <w:jc w:val="left"/>
              <w:rPr/>
            </w:pPr>
            <w:r>
              <w:rPr/>
              <w:t> </w:t>
            </w:r>
          </w:p>
        </w:tc>
        <w:tc>
          <w:tcPr>
            <w:tcW w:w="13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Amount to be paid</w:t>
            </w:r>
          </w:p>
        </w:tc>
        <w:tc>
          <w:tcPr>
            <w:tcW w:w="267" w:type="dxa"/>
            <w:tcBorders/>
            <w:shd w:fill="auto" w:val="clear"/>
            <w:vAlign w:val="bottom"/>
          </w:tcPr>
          <w:p>
            <w:pPr>
              <w:pStyle w:val="TableContents"/>
              <w:spacing w:before="0" w:after="283"/>
              <w:jc w:val="left"/>
              <w:rPr/>
            </w:pPr>
            <w:r>
              <w:rPr/>
              <w:t> </w:t>
            </w:r>
          </w:p>
        </w:tc>
      </w:tr>
      <w:tr>
        <w:trPr/>
        <w:tc>
          <w:tcPr>
            <w:tcW w:w="84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SEC Registration Fee</w:t>
            </w:r>
          </w:p>
        </w:tc>
        <w:tc>
          <w:tcPr>
            <w:tcW w:w="127" w:type="dxa"/>
            <w:tcBorders/>
            <w:shd w:fill="CCEEFF" w:val="clear"/>
            <w:vAlign w:val="bottom"/>
          </w:tcPr>
          <w:p>
            <w:pPr>
              <w:pStyle w:val="TableContents"/>
              <w:spacing w:before="0" w:after="283"/>
              <w:jc w:val="left"/>
              <w:rPr/>
            </w:pPr>
            <w:r>
              <w:rPr/>
              <w:t> </w:t>
            </w:r>
          </w:p>
        </w:tc>
        <w:tc>
          <w:tcPr>
            <w:tcW w:w="178"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4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1,719</w:t>
            </w:r>
          </w:p>
        </w:tc>
        <w:tc>
          <w:tcPr>
            <w:tcW w:w="267" w:type="dxa"/>
            <w:tcBorders/>
            <w:shd w:fill="CCEEFF" w:val="clear"/>
            <w:vAlign w:val="bottom"/>
          </w:tcPr>
          <w:p>
            <w:pPr>
              <w:pStyle w:val="TableContents"/>
              <w:spacing w:before="0" w:after="283"/>
              <w:jc w:val="left"/>
              <w:rPr/>
            </w:pPr>
            <w:r>
              <w:rPr/>
              <w:t> </w:t>
            </w:r>
          </w:p>
        </w:tc>
      </w:tr>
      <w:tr>
        <w:trPr/>
        <w:tc>
          <w:tcPr>
            <w:tcW w:w="84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FINRA Filing Fee</w:t>
            </w:r>
          </w:p>
        </w:tc>
        <w:tc>
          <w:tcPr>
            <w:tcW w:w="127" w:type="dxa"/>
            <w:tcBorders/>
            <w:shd w:fill="FFFFFF" w:val="clear"/>
            <w:vAlign w:val="bottom"/>
          </w:tcPr>
          <w:p>
            <w:pPr>
              <w:pStyle w:val="TableContents"/>
              <w:spacing w:before="0" w:after="283"/>
              <w:jc w:val="left"/>
              <w:rPr/>
            </w:pPr>
            <w:r>
              <w:rPr/>
              <w:t> </w:t>
            </w:r>
          </w:p>
        </w:tc>
        <w:tc>
          <w:tcPr>
            <w:tcW w:w="178" w:type="dxa"/>
            <w:tcBorders/>
            <w:shd w:fill="FFFFFF" w:val="clear"/>
            <w:vAlign w:val="bottom"/>
          </w:tcPr>
          <w:p>
            <w:pPr>
              <w:pStyle w:val="TableContents"/>
              <w:spacing w:before="0" w:after="283"/>
              <w:jc w:val="left"/>
              <w:rPr/>
            </w:pPr>
            <w:r>
              <w:rPr/>
              <w:t> </w:t>
            </w:r>
          </w:p>
        </w:tc>
        <w:tc>
          <w:tcPr>
            <w:tcW w:w="114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2,750</w:t>
            </w:r>
          </w:p>
        </w:tc>
        <w:tc>
          <w:tcPr>
            <w:tcW w:w="267" w:type="dxa"/>
            <w:tcBorders/>
            <w:shd w:fill="FFFFFF" w:val="clear"/>
            <w:vAlign w:val="bottom"/>
          </w:tcPr>
          <w:p>
            <w:pPr>
              <w:pStyle w:val="TableContents"/>
              <w:spacing w:before="0" w:after="283"/>
              <w:jc w:val="left"/>
              <w:rPr/>
            </w:pPr>
            <w:r>
              <w:rPr/>
              <w:t> </w:t>
            </w:r>
          </w:p>
        </w:tc>
      </w:tr>
      <w:tr>
        <w:trPr/>
        <w:tc>
          <w:tcPr>
            <w:tcW w:w="84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Legal Fees and Expenses</w:t>
            </w:r>
          </w:p>
        </w:tc>
        <w:tc>
          <w:tcPr>
            <w:tcW w:w="12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14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67" w:type="dxa"/>
            <w:tcBorders/>
            <w:shd w:fill="CCEEFF" w:val="clear"/>
            <w:vAlign w:val="bottom"/>
          </w:tcPr>
          <w:p>
            <w:pPr>
              <w:pStyle w:val="TableContents"/>
              <w:spacing w:before="0" w:after="283"/>
              <w:jc w:val="left"/>
              <w:rPr/>
            </w:pPr>
            <w:r>
              <w:rPr/>
              <w:t> </w:t>
            </w:r>
          </w:p>
        </w:tc>
      </w:tr>
      <w:tr>
        <w:trPr/>
        <w:tc>
          <w:tcPr>
            <w:tcW w:w="84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Accounting Fees and Expenses</w:t>
            </w:r>
          </w:p>
        </w:tc>
        <w:tc>
          <w:tcPr>
            <w:tcW w:w="12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pPr>
            <w:r>
              <w:rPr/>
              <w:t> </w:t>
            </w:r>
          </w:p>
        </w:tc>
        <w:tc>
          <w:tcPr>
            <w:tcW w:w="114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67" w:type="dxa"/>
            <w:tcBorders/>
            <w:shd w:fill="FFFFFF" w:val="clear"/>
            <w:vAlign w:val="bottom"/>
          </w:tcPr>
          <w:p>
            <w:pPr>
              <w:pStyle w:val="TableContents"/>
              <w:spacing w:before="0" w:after="283"/>
              <w:jc w:val="left"/>
              <w:rPr/>
            </w:pPr>
            <w:r>
              <w:rPr/>
              <w:t> </w:t>
            </w:r>
          </w:p>
        </w:tc>
      </w:tr>
      <w:tr>
        <w:trPr/>
        <w:tc>
          <w:tcPr>
            <w:tcW w:w="84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Printing and Engraving Expenses</w:t>
            </w:r>
          </w:p>
        </w:tc>
        <w:tc>
          <w:tcPr>
            <w:tcW w:w="12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14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67" w:type="dxa"/>
            <w:tcBorders/>
            <w:shd w:fill="CCEEFF" w:val="clear"/>
            <w:vAlign w:val="bottom"/>
          </w:tcPr>
          <w:p>
            <w:pPr>
              <w:pStyle w:val="TableContents"/>
              <w:spacing w:before="0" w:after="283"/>
              <w:jc w:val="left"/>
              <w:rPr/>
            </w:pPr>
            <w:r>
              <w:rPr/>
              <w:t> </w:t>
            </w:r>
          </w:p>
        </w:tc>
      </w:tr>
      <w:tr>
        <w:trPr/>
        <w:tc>
          <w:tcPr>
            <w:tcW w:w="84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Blue Sky Fees and Expenses</w:t>
            </w:r>
          </w:p>
        </w:tc>
        <w:tc>
          <w:tcPr>
            <w:tcW w:w="12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pPr>
            <w:r>
              <w:rPr/>
              <w:t> </w:t>
            </w:r>
          </w:p>
        </w:tc>
        <w:tc>
          <w:tcPr>
            <w:tcW w:w="114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67" w:type="dxa"/>
            <w:tcBorders/>
            <w:shd w:fill="FFFFFF" w:val="clear"/>
            <w:vAlign w:val="bottom"/>
          </w:tcPr>
          <w:p>
            <w:pPr>
              <w:pStyle w:val="TableContents"/>
              <w:spacing w:before="0" w:after="283"/>
              <w:jc w:val="left"/>
              <w:rPr/>
            </w:pPr>
            <w:r>
              <w:rPr/>
              <w:t> </w:t>
            </w:r>
          </w:p>
        </w:tc>
      </w:tr>
      <w:tr>
        <w:trPr/>
        <w:tc>
          <w:tcPr>
            <w:tcW w:w="84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Transfer Agent and Registrar Fees</w:t>
            </w:r>
          </w:p>
        </w:tc>
        <w:tc>
          <w:tcPr>
            <w:tcW w:w="12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114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67" w:type="dxa"/>
            <w:tcBorders/>
            <w:shd w:fill="CCEEFF" w:val="clear"/>
            <w:vAlign w:val="bottom"/>
          </w:tcPr>
          <w:p>
            <w:pPr>
              <w:pStyle w:val="TableContents"/>
              <w:spacing w:before="0" w:after="283"/>
              <w:jc w:val="left"/>
              <w:rPr/>
            </w:pPr>
            <w:r>
              <w:rPr/>
              <w:t> </w:t>
            </w:r>
          </w:p>
        </w:tc>
      </w:tr>
      <w:tr>
        <w:trPr/>
        <w:tc>
          <w:tcPr>
            <w:tcW w:w="848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Miscellaneous Expenses</w:t>
            </w:r>
          </w:p>
        </w:tc>
        <w:tc>
          <w:tcPr>
            <w:tcW w:w="12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pPr>
            <w:r>
              <w:rPr/>
              <w:t> </w:t>
            </w:r>
          </w:p>
        </w:tc>
        <w:tc>
          <w:tcPr>
            <w:tcW w:w="114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67" w:type="dxa"/>
            <w:tcBorders/>
            <w:shd w:fill="FFFFFF" w:val="clear"/>
            <w:vAlign w:val="bottom"/>
          </w:tcPr>
          <w:p>
            <w:pPr>
              <w:pStyle w:val="TableContents"/>
              <w:spacing w:before="0" w:after="283"/>
              <w:jc w:val="left"/>
              <w:rPr/>
            </w:pPr>
            <w:r>
              <w:rPr/>
              <w:t> </w:t>
            </w:r>
          </w:p>
        </w:tc>
      </w:tr>
      <w:tr>
        <w:trPr/>
        <w:tc>
          <w:tcPr>
            <w:tcW w:w="848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w:t>
            </w:r>
          </w:p>
        </w:tc>
        <w:tc>
          <w:tcPr>
            <w:tcW w:w="12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4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67" w:type="dxa"/>
            <w:tcBorders/>
            <w:shd w:fill="CCEEFF" w:val="clear"/>
            <w:vAlign w:val="bottom"/>
          </w:tcPr>
          <w:p>
            <w:pPr>
              <w:pStyle w:val="TableContents"/>
              <w:spacing w:before="0" w:after="283"/>
              <w:ind w:left="0" w:right="0" w:firstLine="180"/>
              <w:jc w:val="left"/>
              <w:rPr/>
            </w:pPr>
            <w:r>
              <w:rPr/>
              <w:t> </w:t>
            </w:r>
          </w:p>
        </w:tc>
      </w:tr>
      <w:tr>
        <w:trPr/>
        <w:tc>
          <w:tcPr>
            <w:tcW w:w="10205" w:type="dxa"/>
            <w:gridSpan w:val="5"/>
            <w:tcBorders/>
            <w:shd w:fill="FFFFFF" w:val="clear"/>
            <w:vAlign w:val="bottom"/>
          </w:tcPr>
          <w:p>
            <w:pPr>
              <w:pStyle w:val="TableContents"/>
              <w:spacing w:before="0" w:after="283"/>
              <w:jc w:val="left"/>
              <w:rPr/>
            </w:pPr>
            <w:r>
              <w:rPr/>
              <w:t> </w:t>
            </w:r>
            <w:r>
              <w:rPr>
                <w:rFonts w:ascii="helvetica" w:hAnsi="helvetica"/>
                <w:sz w:val="20"/>
              </w:rPr>
              <w:t>*To be provided by amendment.</w:t>
            </w:r>
          </w:p>
        </w:tc>
      </w:tr>
    </w:tbl>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ITEM 14. INDEMNIFICATION OF DIRECTORS AND OFFICERS.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  Our Amended and Restated Certificate of Incorporation provides for the indemnification of directors and officers to the fullest extent permissible under Delaware law.  Our Bylaws provide for the indemnification of officers and directors to the fullest extent permissible under Delaware law, except that we are only obligated to indemnify such officer or director in connection with a proceeding initiated by such person if the proceeding was authorized by our Board of Directors.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have entered into indemnification agreements with our directors and certain executive officers, in addition to indemnification provided for in our charter documents, and we intend to enter into indemnification agreements with any new directors and our other executive officers in the future.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underwriting agreement (Exhibit 1.1 hereto) provides for the underwriter’s indemnification of us for certain liabilities, including liabilities arising under the Securities Act, in connection with matters specifically provided in writing by the underwriters for inclusion in the registration statement, and our indemnification of the underwriters for certain liabilities as set forth in the underwriting agreement.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38" w:name="PGBRK116"/>
      <w:bookmarkStart w:id="1339" w:name="PGBRK116"/>
      <w:bookmarkEnd w:id="1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0" w:name="FTR116"/>
      <w:bookmarkStart w:id="1341" w:name="FTR116"/>
      <w:bookmarkEnd w:id="1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42" w:name="GLFTR115"/>
      <w:bookmarkEnd w:id="1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43" w:name="PN115"/>
      <w:bookmarkEnd w:id="1343"/>
      <w:r>
        <w:rPr>
          <w:rFonts w:ascii="Helvetica" w:hAnsi="Helvetica"/>
          <w:sz w:val="20"/>
        </w:rPr>
        <w:t>II-1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4" w:name="HDR115"/>
      <w:bookmarkStart w:id="1345" w:name="HDR115"/>
      <w:bookmarkEnd w:id="1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6" w:name="GLHDR115"/>
      <w:bookmarkEnd w:id="13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15. RECENT SALES OF UNREGISTERED SECURITIES.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below assumes the consummation of the one-for-five reverse stock split to be effected following effectiveness of the registration statement of which this prospectus forms a part and prior to the closing of this offering.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Issuance to Consultants and Executive Officers</w:t>
      </w:r>
    </w:p>
    <w:p>
      <w:pPr>
        <w:pStyle w:val="TextBody"/>
        <w:spacing w:before="0" w:after="0"/>
        <w:ind w:left="0" w:right="0" w:hanging="0"/>
        <w:jc w:val="both"/>
        <w:rPr/>
      </w:pPr>
      <w:r>
        <w:rPr/>
        <w:t> </w:t>
      </w:r>
    </w:p>
    <w:p>
      <w:pPr>
        <w:pStyle w:val="TextBody"/>
        <w:spacing w:before="0" w:after="0"/>
        <w:ind w:left="0" w:right="0" w:firstLine="720"/>
        <w:jc w:val="left"/>
        <w:rPr/>
      </w:pPr>
      <w:bookmarkStart w:id="1347" w:name="TAB227"/>
      <w:bookmarkEnd w:id="1347"/>
      <w:r>
        <w:rPr>
          <w:color w:val="000000"/>
          <w:spacing w:val="180"/>
        </w:rPr>
        <w:t> </w:t>
      </w:r>
      <w:r>
        <w:rPr>
          <w:rFonts w:ascii="Helvetica" w:hAnsi="Helvetica"/>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5,000 shares, in the aggregate, of its unregistered common stock, of which all shares were nonforfeitable (valued at $208,000 and recorded as prepaid consulting fees upon issuance) to the firms as a prepayment of services to be received over a three-month period.</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Mr. Baum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Dr. Kammer 40,000 RSUs outside of the 2007 Plan in connection with his services as a consultant and advisor to the Company.  The RSU is subject to certain performance-based vesting criteria, such that all 40,000 RSUs will vest at such time as the Company meets the primary endpoints of its Phase III clinical studies for Impracor.</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offers, sales and issuances of these securities were deemed to be exempt from registration under the Securities Act in reliance on Section 4(2) of the Securities Act, and/or Regulation D and the other rules and regulations promulgated thereunder. The recipient of securities in each such transaction represented their intention to acquire the securities for investment only and not with a view to or for sale in connection with any distribution thereof and appropriate legends were affixed to the share certificates and options issued in such transactions.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Convertible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Senior Convertible Promissory Note (the “Convertible Note”) to an existing stockholder, Alexej Ladonnikov, in a private placement.  The Convertible Note had a two-year term and an annual interest rate of 7.5% percent. We had a right to prepay the Convertible Note at any time upon providing written notice to the holder. At the time of issuance, the Convertible Note provided that at any time prior to the Company’s repayment of the Convertible Note, the holder may convert all or any part of the outstanding principal and accrued interest on the Convertible Note into shares of our common stock at a conversion rate of $40.00 per share. We received gross proceeds from the issuance of the Convertible Note in the aggregate amount of $1,000,000.</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48" w:name="PGBRK117"/>
      <w:bookmarkStart w:id="1349" w:name="PGBRK117"/>
      <w:bookmarkEnd w:id="1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0" w:name="FTR117"/>
      <w:bookmarkStart w:id="1351" w:name="FTR117"/>
      <w:bookmarkEnd w:id="1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2" w:name="GLFTR116"/>
      <w:bookmarkEnd w:id="13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53" w:name="PN116"/>
      <w:bookmarkEnd w:id="1353"/>
      <w:r>
        <w:rPr>
          <w:rFonts w:ascii="Helvetica" w:hAnsi="Helvetica"/>
          <w:sz w:val="20"/>
        </w:rPr>
        <w:t>II-2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4" w:name="HDR116"/>
      <w:bookmarkStart w:id="1355" w:name="HDR116"/>
      <w:bookmarkEnd w:id="1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56" w:name="GLHDR116"/>
      <w:bookmarkEnd w:id="1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were no discounts or commissions paid in connection with this private placement. The proceeds were used for working capital purposes.  The private placement was made solely to a single “accredited investor,” as that term is defined in Regulation D under the Securities Act. The securities issuable upon conversion of all or a portion of the Convertible Note were not registered under the Securities Act or the securities laws of any state, and were offered and sold in reliance on the exemption from registration afforded by Section 4(2) and corresponding provisions of state securities laws, which exempt transactions by an issuer not involving any public offering.</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highlight w:val="white"/>
        </w:rPr>
        <w:t xml:space="preserve">The securities issued upon conversion of the outstanding principal and interest owing under the line of credit pursuant to the Conversion Agreement were issued </w:t>
      </w:r>
      <w:r>
        <w:rPr>
          <w:rFonts w:ascii="Helvetica" w:hAnsi="Helvetica"/>
          <w:sz w:val="20"/>
        </w:rPr>
        <w:t>in reliance on the exemption from the registration requirements of Section 4(2) of the Securities Act. In determining that the issuance of the securities pursuant to the Conversion Agreement qualified for an exemption under Section 4(2), we relied on the following facts: DermaStar is an accredited investor and the Company’s major stockholder; the Company did not use general solicitation or advertising to market the securities; DermaStar represented that it was purchasing the securities for its own account and not with a view to distribute them; and the securities issued were restricted securities.</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57" w:name="PGBRK118"/>
      <w:bookmarkStart w:id="1358" w:name="PGBRK118"/>
      <w:bookmarkEnd w:id="1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9" w:name="FTR118"/>
      <w:bookmarkStart w:id="1360" w:name="FTR118"/>
      <w:bookmarkEnd w:id="1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1" w:name="GLFTR117"/>
      <w:bookmarkEnd w:id="13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62" w:name="PN117"/>
      <w:bookmarkEnd w:id="1362"/>
      <w:r>
        <w:rPr>
          <w:rFonts w:ascii="Helvetica" w:hAnsi="Helvetica"/>
          <w:sz w:val="20"/>
        </w:rPr>
        <w:t>II-3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3" w:name="HDR117"/>
      <w:bookmarkStart w:id="1364" w:name="HDR117"/>
      <w:bookmarkEnd w:id="1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5" w:name="GLHDR117"/>
      <w:bookmarkEnd w:id="13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Series A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(the “Series A Purchase Agreement”) with DermaStar, pursuant to which we agreed to issue ten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are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highlight w:val="white"/>
        </w:rPr>
        <w:t xml:space="preserve">The Series A Preferred Stock issued to DermaStar in the offering were issued </w:t>
      </w:r>
      <w:r>
        <w:rPr>
          <w:rFonts w:ascii="Helvetica" w:hAnsi="Helvetica"/>
          <w:sz w:val="20"/>
        </w:rPr>
        <w:t>in reliance on the exemption from the registration requirements of Section 4(2) of the Securities Act. In determining that the issuance of the securities pursuant to the Series A Purchase Agreement qualified for an exemption under Section 4(2), we relied on the following facts: DermaStar is an accredited investor; the Company did not use general solicitation or advertising to market the securities; DermaStar represented that it was purchasing the securities for its own account and not with a view to distribute them; and the securities issued were restricted securities.</w:t>
      </w:r>
    </w:p>
    <w:p>
      <w:pPr>
        <w:pStyle w:val="TextBody"/>
        <w:spacing w:before="0" w:after="0"/>
        <w:ind w:left="0" w:right="0" w:firstLine="720"/>
        <w:jc w:val="left"/>
        <w:rPr/>
      </w:pPr>
      <w:r>
        <w:rPr/>
      </w:r>
    </w:p>
    <w:p>
      <w:pPr>
        <w:pStyle w:val="TextBody"/>
        <w:spacing w:before="0" w:after="0"/>
        <w:ind w:left="0" w:right="0" w:firstLine="720"/>
        <w:jc w:val="left"/>
        <w:rPr>
          <w:rFonts w:ascii="Helvetica" w:hAnsi="Helvetica"/>
          <w:sz w:val="20"/>
        </w:rPr>
      </w:pPr>
      <w:r>
        <w:rPr>
          <w:rFonts w:ascii="Helvetica" w:hAnsi="Helvetica"/>
          <w:sz w:val="20"/>
        </w:rPr>
        <w:t>On December 9, 2011, we filed a Certificate of Designation to our Amended and Restated Certificate of Incorporation with the Secretary of State of the State of Delaware setting forth the rights and preferences of the Series A Preferred Stock.  Among other things, the Certificate of Designation (i) authorizes 10 shares of the Company’s preferred stock to be designated as “Series A Convertible Preferred Stock”; (ii) grants the holders of the Series A Preferred Stock the right to convert into the Company’s Common Stock at a conversion price of $0.06668,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Certificate of Incorporation or Bylaws, issuance of priority or parity securities, issuance of debt securities, entry into certain fundamental transactions and increase or decrease the size of the Board of Directors of the Company.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securities sold in the April Private Placement were sold in reliance on the exemption from the registration requirements of Section 4(2) of the Securities Act and Rule 506 of Regulation D promulgated thereunder. In determining that the issuance of the securities in the April Private Placement qualified for an exemption under Section 4(2) and Rule 506 of Regulation D, we relied on the following facts: the Company did not use general solicitation or advertising to market the securities; each investor in the April Private Placement represented to the Company that it was an accredited investor (as that term is defined in Rule 501 of Regulation D) and that it was purchasing the securities for its own account and not with a view to distribute them; and the securities issued are restricted securities.</w:t>
      </w:r>
    </w:p>
    <w:p>
      <w:pPr>
        <w:pStyle w:val="TextBody"/>
        <w:spacing w:before="0" w:after="0"/>
        <w:ind w:left="0" w:right="0" w:firstLine="72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66" w:name="PGBRK119"/>
      <w:bookmarkStart w:id="1367" w:name="PGBRK119"/>
      <w:bookmarkEnd w:id="1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8" w:name="FTR119"/>
      <w:bookmarkStart w:id="1369" w:name="FTR119"/>
      <w:bookmarkEnd w:id="1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0" w:name="GLFTR118"/>
      <w:bookmarkEnd w:id="13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71" w:name="PN118"/>
      <w:bookmarkEnd w:id="1371"/>
      <w:r>
        <w:rPr>
          <w:rFonts w:ascii="Helvetica" w:hAnsi="Helvetica"/>
          <w:sz w:val="20"/>
        </w:rPr>
        <w:t>II-4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2" w:name="HDR118"/>
      <w:bookmarkStart w:id="1373" w:name="HDR118"/>
      <w:bookmarkEnd w:id="1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4" w:name="GLHDR118"/>
      <w:bookmarkEnd w:id="1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ITEM 16. EXHIBITS AND FINANCIAL STATEMENT SCHEDULES</w:t>
      </w:r>
    </w:p>
    <w:p>
      <w:pPr>
        <w:pStyle w:val="TextBody"/>
        <w:spacing w:before="0" w:after="0"/>
        <w:ind w:left="0" w:right="0" w:hanging="0"/>
        <w:jc w:val="both"/>
        <w:rPr/>
      </w:pPr>
      <w:r>
        <w:rPr/>
        <w:t> </w:t>
      </w:r>
    </w:p>
    <w:p>
      <w:pPr>
        <w:pStyle w:val="TextBody"/>
        <w:spacing w:before="0" w:after="0"/>
        <w:ind w:left="0" w:right="0" w:hanging="0"/>
        <w:rPr/>
      </w:pPr>
      <w:bookmarkStart w:id="1375" w:name="TAB228"/>
      <w:bookmarkEnd w:id="1375"/>
      <w:r>
        <w:rPr>
          <w:color w:val="000000"/>
          <w:spacing w:val="180"/>
        </w:rPr>
        <w:t> </w:t>
      </w:r>
      <w:r>
        <w:rPr>
          <w:rFonts w:ascii="Helvetica" w:hAnsi="Helvetica"/>
          <w:sz w:val="20"/>
          <w:u w:val="single"/>
        </w:rPr>
        <w:t>Financial Statement Schedules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financial statement schedules are omitted because they are not applicable or the required information is shown in the financial statements or notes thereto.</w:t>
      </w:r>
    </w:p>
    <w:p>
      <w:pPr>
        <w:pStyle w:val="TextBody"/>
        <w:spacing w:before="0" w:after="0"/>
        <w:ind w:left="0" w:right="0" w:hanging="0"/>
        <w:jc w:val="both"/>
        <w:rPr/>
      </w:pPr>
      <w:r>
        <w:rPr/>
        <w:t> </w:t>
      </w:r>
    </w:p>
    <w:p>
      <w:pPr>
        <w:pStyle w:val="TextBody"/>
        <w:spacing w:before="0" w:after="0"/>
        <w:ind w:left="0" w:right="0" w:hanging="0"/>
        <w:rPr/>
      </w:pPr>
      <w:bookmarkStart w:id="1376" w:name="TAB229"/>
      <w:bookmarkEnd w:id="1376"/>
      <w:r>
        <w:rPr>
          <w:color w:val="000000"/>
          <w:spacing w:val="180"/>
        </w:rPr>
        <w:t> </w:t>
      </w:r>
      <w:r>
        <w:rPr>
          <w:rFonts w:ascii="Helvetica" w:hAnsi="Helvetica"/>
          <w:sz w:val="20"/>
          <w:u w:val="single"/>
        </w:rPr>
        <w:t>Exhibits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exhibits are being filed with this registration statement on Form S-1.</w:t>
      </w:r>
    </w:p>
    <w:p>
      <w:pPr>
        <w:pStyle w:val="TextBody"/>
        <w:spacing w:before="0" w:after="0"/>
        <w:ind w:left="0" w:right="0" w:hanging="0"/>
        <w:jc w:val="both"/>
        <w:rPr/>
      </w:pPr>
      <w:r>
        <w:rPr/>
        <w:t> </w:t>
      </w:r>
    </w:p>
    <w:tbl>
      <w:tblPr>
        <w:tblW w:w="5000" w:type="pct"/>
        <w:jc w:val="center"/>
        <w:tblInd w:w="0" w:type="dxa"/>
        <w:tblCellMar>
          <w:top w:w="0" w:type="dxa"/>
          <w:left w:w="0" w:type="dxa"/>
          <w:bottom w:w="28" w:type="dxa"/>
          <w:right w:w="0" w:type="dxa"/>
        </w:tblCellMar>
      </w:tblPr>
      <w:tblGrid>
        <w:gridCol w:w="1095"/>
        <w:gridCol w:w="205"/>
        <w:gridCol w:w="8905"/>
      </w:tblGrid>
      <w:tr>
        <w:trPr/>
        <w:tc>
          <w:tcPr>
            <w:tcW w:w="1095" w:type="dxa"/>
            <w:tcBorders>
              <w:bottom w:val="single" w:sz="12" w:space="0" w:color="000000"/>
            </w:tcBorders>
            <w:shd w:fill="auto" w:val="clear"/>
          </w:tcPr>
          <w:p>
            <w:pPr>
              <w:pStyle w:val="TableContents"/>
              <w:spacing w:before="0" w:after="0"/>
              <w:ind w:left="0" w:right="16" w:hanging="0"/>
              <w:jc w:val="left"/>
              <w:rPr>
                <w:rFonts w:ascii="helvetica" w:hAnsi="helvetica"/>
                <w:b/>
                <w:sz w:val="20"/>
              </w:rPr>
            </w:pPr>
            <w:r>
              <w:rPr>
                <w:rFonts w:ascii="helvetica" w:hAnsi="helvetica"/>
                <w:b/>
                <w:sz w:val="20"/>
              </w:rPr>
              <w:t>Exhibit No.</w:t>
            </w:r>
          </w:p>
        </w:tc>
        <w:tc>
          <w:tcPr>
            <w:tcW w:w="205" w:type="dxa"/>
            <w:tcBorders/>
            <w:shd w:fill="auto" w:val="clear"/>
            <w:tcMar>
              <w:bottom w:w="0" w:type="dxa"/>
            </w:tcMar>
          </w:tcPr>
          <w:p>
            <w:pPr>
              <w:pStyle w:val="TableContents"/>
              <w:spacing w:before="0" w:after="283"/>
              <w:jc w:val="left"/>
              <w:rPr/>
            </w:pPr>
            <w:r>
              <w:rPr/>
              <w:t xml:space="preserve">  </w:t>
            </w:r>
          </w:p>
        </w:tc>
        <w:tc>
          <w:tcPr>
            <w:tcW w:w="8905" w:type="dxa"/>
            <w:tcBorders>
              <w:bottom w:val="single" w:sz="12" w:space="0" w:color="000000"/>
            </w:tcBorders>
            <w:shd w:fill="auto" w:val="clear"/>
          </w:tcPr>
          <w:p>
            <w:pPr>
              <w:pStyle w:val="TableContents"/>
              <w:spacing w:before="0" w:after="0"/>
              <w:ind w:left="0" w:right="16" w:hanging="0"/>
              <w:jc w:val="left"/>
              <w:rPr>
                <w:rFonts w:ascii="helvetica" w:hAnsi="helvetica"/>
                <w:b/>
                <w:sz w:val="20"/>
              </w:rPr>
            </w:pPr>
            <w:r>
              <w:rPr>
                <w:rFonts w:ascii="helvetica" w:hAnsi="helvetica"/>
                <w:b/>
                <w:sz w:val="20"/>
              </w:rPr>
              <w:t>Description</w:t>
            </w:r>
          </w:p>
        </w:tc>
      </w:tr>
      <w:tr>
        <w:trPr/>
        <w:tc>
          <w:tcPr>
            <w:tcW w:w="1095"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left"/>
              <w:rPr>
                <w:rFonts w:ascii="helvetica" w:hAnsi="helvetica"/>
                <w:sz w:val="20"/>
              </w:rPr>
            </w:pPr>
            <w:r>
              <w:rPr>
                <w:rFonts w:ascii="helvetica" w:hAnsi="helvetica"/>
                <w:sz w:val="20"/>
              </w:rPr>
              <w:t>1.1†</w:t>
            </w:r>
          </w:p>
        </w:tc>
        <w:tc>
          <w:tcPr>
            <w:tcW w:w="205" w:type="dxa"/>
            <w:tcBorders/>
            <w:shd w:fill="CCEEFF" w:val="clear"/>
            <w:tcMar>
              <w:bottom w:w="0" w:type="dxa"/>
            </w:tcMar>
          </w:tcPr>
          <w:p>
            <w:pPr>
              <w:pStyle w:val="TableContents"/>
              <w:spacing w:before="0" w:after="283"/>
              <w:rPr/>
            </w:pPr>
            <w:r>
              <w:rPr/>
              <w:t xml:space="preserve">  </w:t>
            </w:r>
          </w:p>
        </w:tc>
        <w:tc>
          <w:tcPr>
            <w:tcW w:w="8905" w:type="dxa"/>
            <w:tcBorders/>
            <w:shd w:fill="CCEEFF" w:val="clear"/>
            <w:tcMar>
              <w:bottom w:w="0" w:type="dxa"/>
            </w:tcMar>
          </w:tcPr>
          <w:p>
            <w:pPr>
              <w:pStyle w:val="TableContents"/>
              <w:spacing w:before="0" w:after="0"/>
              <w:ind w:left="0" w:right="14" w:hanging="0"/>
              <w:jc w:val="both"/>
              <w:rPr>
                <w:rFonts w:ascii="helvetica" w:hAnsi="helvetica"/>
                <w:sz w:val="20"/>
              </w:rPr>
            </w:pPr>
            <w:r>
              <w:rPr>
                <w:rFonts w:ascii="helvetica" w:hAnsi="helvetica"/>
                <w:sz w:val="20"/>
              </w:rPr>
              <w:t>Form of Underwriting Agreement</w:t>
            </w:r>
          </w:p>
        </w:tc>
      </w:tr>
      <w:tr>
        <w:trPr/>
        <w:tc>
          <w:tcPr>
            <w:tcW w:w="1095"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2.1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and Plan of Merger, dated as of September 17, 2007, by and among Transdel Pharmaceuticals, Inc., Transdel Pharmaceuticals Holdings, Inc. and Trans-Pharma Acquisition Corp. Incorporation (incorporated herein by reference to Exhibit 2.1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herein by reference to Exhibit 3.1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Bylaws (incorporated herein by reference to Exhibit 3.2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Designation of Series A Convertible Preferred Stock of Transdel Pharmaceuticals, Inc. (incorporated herein by reference to Exhibit 3.1 to the Current Report on Form 8-K of Transdel Pharmaceuticals, Inc. filed with the Securities and Exchange Commission on December 20, 2011)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by reference to Exhibit 3.1 to the Company’s Quarterly Report on 10-Q filed with the Securities and Exchange Commission on May 10,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5.1†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Opinion of Morrison &amp; Foerster LLP</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Directors and Officers Indemnification Agreement (incorporated herein by reference to Exhibit 10.8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(incorporated herein by reference to Exhibit 10.11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 Amendment No. 1 (incorporated herein by reference to Exhibit A to the Definitive Proxy Statement on Schedule 14A of Transdel Pharmaceuticals, Inc. filed with the Securities and Exchange Commission on October 1, 2008)</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10.5#</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2 to Transdel Pharmaceuticals, Inc. 2007 Incentive Stock and Awards Plan (incorporated herein by reference to Annex B to the Information Statement on Schedule 14C of Transdel Pharmaceuticals, Inc. filed with the Securities and Exchange Commission on February 6,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10.6#**</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3 to Imprimis Pharmaceuticals, Inc. 2007 Incentive Stock and Awards Plan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10.7#</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Incentive Stock Option Agreement (incorporated herein by reference to Exhibit 10.12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10.8#</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Non-Qualified Stock Option Agreement (incorporated herein by reference to Exhibit 10.13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10.9</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10.10 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Research and Development Services Agreement, dated as of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Project Scope Document, effective as of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the Current Report on Form 8-K of Transdel Pharmaceuticals, Inc. filed with the Securities and Exchange Commission on May 15, 2008).</w:t>
            </w:r>
          </w:p>
        </w:tc>
      </w:tr>
    </w:tbl>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1377" w:name="PGBRK120"/>
      <w:bookmarkStart w:id="1378" w:name="PGBRK120"/>
      <w:bookmarkEnd w:id="1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79" w:name="FTR120"/>
      <w:bookmarkStart w:id="1380" w:name="FTR120"/>
      <w:bookmarkEnd w:id="1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1" w:name="GLFTR119"/>
      <w:bookmarkEnd w:id="13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82" w:name="PN119"/>
      <w:bookmarkEnd w:id="1382"/>
      <w:r>
        <w:rPr>
          <w:rFonts w:ascii="Helvetica" w:hAnsi="Helvetica"/>
          <w:sz w:val="20"/>
        </w:rPr>
        <w:t>II-5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83" w:name="HDR119"/>
      <w:bookmarkStart w:id="1384" w:name="HDR119"/>
      <w:bookmarkEnd w:id="1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85" w:name="GLHDR119"/>
      <w:bookmarkEnd w:id="13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540" w:right="0" w:hanging="540"/>
              <w:jc w:val="left"/>
              <w:rPr>
                <w:rFonts w:ascii="helvetica" w:hAnsi="helvetica"/>
                <w:sz w:val="20"/>
              </w:rPr>
            </w:pPr>
            <w:r>
              <w:rPr>
                <w:rFonts w:ascii="helvetica" w:hAnsi="helvetica"/>
                <w:sz w:val="20"/>
              </w:rPr>
              <w:t>10.13#</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Employment Agreement, dated as of October 18, 2010, between Transdel Pharmaceuticals, Inc. and John Bonfiglio, Ph.D.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Nonqualified Stock Option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Restricted Stock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Note Purchase Agreement (incorporated herein by reference to Exhibit 10.1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Promissory Note (incorporated herein by reference to Exhibit 10.2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Asset Purchase Agreement, dated as of June 23, 2011, by and among Transdel Pharmaceuticals, Inc. and Cardium Healthcare, Inc. (incorporated herein by reference to Exhibit 2.1 to the Current Report on Form 8-K of Transdel Pharmaceuticals, Inc. filed with the Securities and Exchange Commission on June 26,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Secured Line of Credit Letter Agreement, dated November 21, 2011 and effective as of December 9, 2011, by and between Transdel Pharmaceuticals, Inc. and DermaStar International, LLC. (incorporated herein by reference to Exhibit 10.1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Security Agreement, dated as of December 9, 2011, by and between Transdel Pharmaceuticals, Inc. and DermaStar International, LLC. (incorporated herein by reference to Exhibit 10.2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Intellectual Property Security Agreement, dated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November 21, 2011 and effective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First Amendment to Securities Purchase Agreement, effective as of December 31, 2011, by and between Transdel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Mutual General Release Agreement, dated as of December 13, 2011, by and between Transdel Pharmaceuticals, Inc. and the other signatories thereto. (incorporated herein by reference to Exhibit 10.4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DermaStar International, LLC (incorporated by reference to Exhibit 10.11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Alexej Ladonnikov (incorporated by reference to Exhibit 10.1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January as of 1, 2012, by and between Transdel Pharmaceuticals, Inc. and Balbir Brar, D.V.M., Ph.D. (incorporated by reference to Exhibit 10.3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 2012, by and between Transdel Pharmaceuticals, Inc. and Andrew Boll (incorporated by reference to Exhibit 10.4 to the Company’s Quarterly Report on 10-Q filed with the Securities and Exchange Commission on May 10, 2012)</w:t>
            </w:r>
          </w:p>
        </w:tc>
      </w:tr>
    </w:tbl>
    <w:p>
      <w:pPr>
        <w:pStyle w:val="TextBody"/>
        <w:spacing w:before="0" w:after="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1386" w:name="PGBRK121"/>
      <w:bookmarkStart w:id="1387" w:name="PGBRK121"/>
      <w:bookmarkEnd w:id="1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88" w:name="FTR121"/>
      <w:bookmarkStart w:id="1389" w:name="FTR121"/>
      <w:bookmarkEnd w:id="1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90" w:name="GLFTR120"/>
      <w:bookmarkEnd w:id="1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91" w:name="PN120"/>
      <w:bookmarkEnd w:id="1391"/>
      <w:r>
        <w:rPr>
          <w:rFonts w:ascii="Helvetica" w:hAnsi="Helvetica"/>
          <w:sz w:val="20"/>
        </w:rPr>
        <w:t>II-6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392" w:name="HDR120"/>
      <w:bookmarkStart w:id="1393" w:name="HDR120"/>
      <w:bookmarkEnd w:id="1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4" w:name="GLHDR120"/>
      <w:bookmarkEnd w:id="13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15, 2012, by and between Transdel Pharmaceuticals, Inc. and Joachim Schupp, M.D. (incorporated by reference to Exhibit 10.5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Amended and Restated Employment Agreement, dated July 24, 2012, by and between Imprimis Pharmaceuticals, Inc. and Mark L. Baum, Esq.</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Advisory Agreement, effective as of April 1, 2012, by and between Imprimis Pharmaceuticals, Inc. and Dr. Robert Kammer (incorporated by reference to Exhibit 10.4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 xml:space="preserve">Amendment to Advisory Agreement, dated July 24, 2012, by and between Imprimis Pharmaceuticals, Inc. and Dr. Robert Kammer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Senior Advisory Agreement, effective as of January 17, 2012, by and between Transdel Pharmaceuticals, Inc. and Paul Finnegan, M.D. (incorporated by reference to Exhibit 10.2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Termination Agreement, effective as of May 9, 2012, by and between Imprimis Pharmaceuticals, Inc. and Paul Finnegan, M.D.</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Promissory Note Conversion Agreement, dated as of April 20, 2012, by and between Imprimis Pharmaceuticals, Inc. and DermaStar International, LLC (incorporated herein by reference to the Current Report on Form 8-K of Imprimis Pharmaceuticals, Inc.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as of April 20, 2012, by and between Imprimis Pharmaceuticals, Inc. and the investors signatory thereto (incorporated by reference to Exhibit 10.1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Form of Warrant dated as of April 25, 2012 (incorporated by reference to Exhibit 10.2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Conversion Agreement, dated June 29, 2012, by and between Imprimis Pharmaceuticals, Inc. and DermaStar,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10.40#**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Stand-alone Restricted Stock Unit Agreement, dated July 18, 2012, granted by Imprimis Pharmaceuticals, Inc. to Mark L. Baum</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283"/>
              <w:jc w:val="both"/>
              <w:rPr>
                <w:rFonts w:ascii="helvetica" w:hAnsi="helvetica"/>
                <w:sz w:val="20"/>
              </w:rPr>
            </w:pPr>
            <w:r>
              <w:rPr>
                <w:rFonts w:ascii="helvetica" w:hAnsi="helvetica"/>
                <w:sz w:val="20"/>
              </w:rPr>
              <w:t>10.41#**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Stand-alone Restricted Stock Unit Agreement, dated July 18, 2012, granted by Imprimis Pharmaceuticals, Inc. to Robert J. Kammer</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helvetica" w:hAnsi="helvetica"/>
                <w:sz w:val="20"/>
              </w:rPr>
            </w:pPr>
            <w:r>
              <w:rPr>
                <w:rFonts w:ascii="helvetica" w:hAnsi="helvetica"/>
                <w:sz w:val="20"/>
              </w:rPr>
              <w:t>23.1*</w:t>
            </w:r>
          </w:p>
        </w:tc>
        <w:tc>
          <w:tcPr>
            <w:tcW w:w="203" w:type="dxa"/>
            <w:tcBorders/>
            <w:shd w:fill="CCEEFF" w:val="clear"/>
          </w:tcPr>
          <w:p>
            <w:pPr>
              <w:pStyle w:val="TableContents"/>
              <w:spacing w:before="0" w:after="283"/>
              <w:jc w:val="left"/>
              <w:rPr/>
            </w:pPr>
            <w:r>
              <w:rPr/>
              <w:t> </w:t>
            </w:r>
          </w:p>
        </w:tc>
        <w:tc>
          <w:tcPr>
            <w:tcW w:w="9186" w:type="dxa"/>
            <w:tcBorders/>
            <w:shd w:fill="CCEEFF" w:val="clear"/>
          </w:tcPr>
          <w:p>
            <w:pPr>
              <w:pStyle w:val="TableContents"/>
              <w:spacing w:before="0" w:after="0"/>
              <w:ind w:left="0" w:right="16" w:hanging="0"/>
              <w:jc w:val="left"/>
              <w:rPr>
                <w:rFonts w:ascii="helvetica" w:hAnsi="helvetica"/>
                <w:sz w:val="20"/>
              </w:rPr>
            </w:pPr>
            <w:r>
              <w:rPr>
                <w:rFonts w:ascii="helvetica" w:hAnsi="helvetica"/>
                <w:sz w:val="20"/>
              </w:rPr>
              <w:t>Consent of KMJ Corbin &amp; Company LLP</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720" w:right="0" w:hanging="720"/>
              <w:jc w:val="left"/>
              <w:rPr>
                <w:rFonts w:ascii="helvetica" w:hAnsi="helvetica"/>
                <w:sz w:val="20"/>
              </w:rPr>
            </w:pPr>
            <w:r>
              <w:rPr>
                <w:rFonts w:ascii="helvetica" w:hAnsi="helvetica"/>
                <w:sz w:val="20"/>
              </w:rPr>
              <w:t>23.2†</w:t>
            </w:r>
          </w:p>
        </w:tc>
        <w:tc>
          <w:tcPr>
            <w:tcW w:w="203" w:type="dxa"/>
            <w:tcBorders/>
            <w:shd w:fill="CCEEFF" w:val="clear"/>
          </w:tcPr>
          <w:p>
            <w:pPr>
              <w:pStyle w:val="TableContents"/>
              <w:spacing w:before="0" w:after="283"/>
              <w:ind w:left="0" w:right="0" w:hanging="0"/>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Consent of Morrison &amp; Foerster LLP (contained in Exhibit 5.1)</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ind w:left="0" w:right="0" w:hanging="0"/>
              <w:jc w:val="left"/>
              <w:rPr/>
            </w:pPr>
            <w:r>
              <w:rPr/>
              <w:t> </w:t>
            </w:r>
          </w:p>
        </w:tc>
        <w:tc>
          <w:tcPr>
            <w:tcW w:w="9186" w:type="dxa"/>
            <w:tcBorders/>
            <w:shd w:fill="FFFFFF" w:val="clear"/>
          </w:tcPr>
          <w:p>
            <w:pPr>
              <w:pStyle w:val="TableContents"/>
              <w:spacing w:before="0" w:after="283"/>
              <w:ind w:left="0" w:right="0" w:hanging="0"/>
              <w:jc w:val="left"/>
              <w:rPr/>
            </w:pPr>
            <w:r>
              <w:rPr/>
              <w:t> </w:t>
            </w:r>
          </w:p>
        </w:tc>
      </w:tr>
      <w:tr>
        <w:trPr/>
        <w:tc>
          <w:tcPr>
            <w:tcW w:w="81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24.1**</w:t>
            </w:r>
          </w:p>
        </w:tc>
        <w:tc>
          <w:tcPr>
            <w:tcW w:w="203" w:type="dxa"/>
            <w:tcBorders/>
            <w:shd w:fill="CCEEFF" w:val="clear"/>
          </w:tcPr>
          <w:p>
            <w:pPr>
              <w:pStyle w:val="TableContents"/>
              <w:spacing w:before="0" w:after="283"/>
              <w:ind w:left="0" w:right="0" w:hanging="0"/>
              <w:jc w:val="left"/>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Power of Attorney (contained on the signature page)</w:t>
            </w:r>
          </w:p>
        </w:tc>
      </w:tr>
    </w:tbl>
    <w:p>
      <w:pPr>
        <w:pStyle w:val="TextBody"/>
        <w:spacing w:before="0" w:after="0"/>
        <w:jc w:val="both"/>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101.INS++*</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Instant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101.SCH++*</w:t>
            </w:r>
          </w:p>
        </w:tc>
        <w:tc>
          <w:tcPr>
            <w:tcW w:w="203" w:type="dxa"/>
            <w:tcBorders/>
            <w:shd w:fill="CCEEFF" w:val="clear"/>
            <w:vAlign w:val="bottom"/>
          </w:tcPr>
          <w:p>
            <w:pPr>
              <w:pStyle w:val="TableContents"/>
              <w:spacing w:before="0" w:after="283"/>
              <w:ind w:left="0" w:right="0" w:hanging="0"/>
              <w:jc w:val="left"/>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Schema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101.CAL++*</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Calculation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101.DEF++*</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Definition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101.LAB++*</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Label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101.PRE++*</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Presentation Linkbase Document</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10"/>
        <w:gridCol w:w="9574"/>
        <w:gridCol w:w="421"/>
      </w:tblGrid>
      <w:tr>
        <w:trPr/>
        <w:tc>
          <w:tcPr>
            <w:tcW w:w="210" w:type="dxa"/>
            <w:tcBorders/>
            <w:shd w:fill="auto" w:val="clear"/>
          </w:tcPr>
          <w:p>
            <w:pPr>
              <w:pStyle w:val="TableContents"/>
              <w:spacing w:before="0" w:after="0"/>
              <w:ind w:left="720" w:right="0" w:hanging="720"/>
              <w:jc w:val="left"/>
              <w:rPr/>
            </w:pPr>
            <w:r>
              <w:rPr/>
              <w:t>†</w:t>
            </w:r>
          </w:p>
        </w:tc>
        <w:tc>
          <w:tcPr>
            <w:tcW w:w="9574"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To be file by amendment.</w:t>
            </w:r>
          </w:p>
        </w:tc>
        <w:tc>
          <w:tcPr>
            <w:tcW w:w="421" w:type="dxa"/>
            <w:tcBorders/>
            <w:shd w:fill="auto" w:val="clear"/>
          </w:tcPr>
          <w:p>
            <w:pPr>
              <w:pStyle w:val="TableContents"/>
              <w:spacing w:before="0" w:after="283"/>
              <w:rPr/>
            </w:pPr>
            <w:r>
              <w:rPr/>
              <w:t xml:space="preserve">  </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Filed herewith</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Management contract or compensatory plan or arrangement.</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both"/>
              <w:rPr>
                <w:rFonts w:ascii="helvetica" w:hAnsi="helvetica"/>
                <w:sz w:val="20"/>
              </w:rPr>
            </w:pPr>
            <w:r>
              <w:rPr>
                <w:rFonts w:ascii="helvetica" w:hAnsi="helvetica"/>
                <w:sz w:val="20"/>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tc>
      </w:tr>
      <w:tr>
        <w:trPr/>
        <w:tc>
          <w:tcPr>
            <w:tcW w:w="210" w:type="dxa"/>
            <w:tcBorders/>
            <w:shd w:fill="auto" w:val="clear"/>
          </w:tcPr>
          <w:p>
            <w:pPr>
              <w:pStyle w:val="TableContents"/>
              <w:spacing w:before="0" w:after="283"/>
              <w:jc w:val="left"/>
              <w:rPr>
                <w:rFonts w:ascii="helvetica" w:hAnsi="helvetica"/>
                <w:sz w:val="20"/>
              </w:rPr>
            </w:pPr>
            <w:r>
              <w:rPr>
                <w:rFonts w:ascii="helvetica" w:hAnsi="helvetica"/>
                <w:sz w:val="20"/>
              </w:rPr>
              <w:t xml:space="preserve">** </w:t>
            </w:r>
          </w:p>
        </w:tc>
        <w:tc>
          <w:tcPr>
            <w:tcW w:w="9995" w:type="dxa"/>
            <w:gridSpan w:val="2"/>
            <w:tcBorders/>
            <w:shd w:fill="auto" w:val="clear"/>
          </w:tcPr>
          <w:p>
            <w:pPr>
              <w:pStyle w:val="TableContents"/>
              <w:spacing w:before="0" w:after="283"/>
              <w:jc w:val="both"/>
              <w:rPr/>
            </w:pPr>
            <w:r>
              <w:rPr/>
              <w:t>   </w:t>
            </w:r>
            <w:r>
              <w:rPr>
                <w:rFonts w:ascii="helvetica" w:hAnsi="helvetica"/>
                <w:sz w:val="20"/>
              </w:rPr>
              <w:t>Previously Filed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95" w:name="PGBRK122"/>
      <w:bookmarkStart w:id="1396" w:name="PGBRK122"/>
      <w:bookmarkEnd w:id="1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7" w:name="FTR122"/>
      <w:bookmarkStart w:id="1398" w:name="FTR122"/>
      <w:bookmarkEnd w:id="1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99" w:name="GLFTR121"/>
      <w:bookmarkEnd w:id="1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00" w:name="PN121"/>
      <w:bookmarkEnd w:id="1400"/>
      <w:r>
        <w:rPr>
          <w:rFonts w:ascii="Helvetica" w:hAnsi="Helvetica"/>
          <w:sz w:val="20"/>
        </w:rPr>
        <w:t>II-7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1" w:name="HDR121"/>
      <w:bookmarkStart w:id="1402" w:name="HDR121"/>
      <w:bookmarkEnd w:id="1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3" w:name="GLHDR121"/>
      <w:bookmarkEnd w:id="14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olor w:val="000000"/>
          <w:spacing w:val="180"/>
        </w:rPr>
      </w:pPr>
      <w:bookmarkStart w:id="1404" w:name="TAB230"/>
      <w:bookmarkEnd w:id="1404"/>
      <w:r>
        <w:rPr>
          <w:color w:val="000000"/>
          <w:spacing w:val="180"/>
        </w:rPr>
        <w:t> </w:t>
      </w:r>
    </w:p>
    <w:p>
      <w:pPr>
        <w:pStyle w:val="TextBody"/>
        <w:spacing w:before="0" w:after="0"/>
        <w:ind w:left="0" w:right="0" w:hanging="0"/>
        <w:rPr>
          <w:rFonts w:ascii="Helvetica" w:hAnsi="Helvetica"/>
          <w:b/>
          <w:sz w:val="20"/>
        </w:rPr>
      </w:pPr>
      <w:r>
        <w:rPr>
          <w:rFonts w:ascii="Helvetica" w:hAnsi="Helvetica"/>
          <w:b/>
          <w:sz w:val="20"/>
        </w:rPr>
        <w:t>ITEM 17. UNDERTAKINGS.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The undersigned registrant hereby undertakes that:</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(1)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 xml:space="preserve">(2)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Helvetica" w:hAnsi="Helvetica"/>
          <w:i/>
          <w:sz w:val="20"/>
        </w:rPr>
        <w:t>bona fide</w:t>
      </w:r>
      <w:r>
        <w:rPr>
          <w:rFonts w:ascii="Helvetica" w:hAnsi="Helvetica"/>
          <w:sz w:val="20"/>
        </w:rPr>
        <w:t xml:space="preserve"> offering thereof.</w:t>
      </w:r>
    </w:p>
    <w:p>
      <w:pPr>
        <w:pStyle w:val="TextBody"/>
        <w:spacing w:before="0" w:after="0"/>
        <w:ind w:left="0" w:right="0" w:firstLine="72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05" w:name="PGBRK123"/>
      <w:bookmarkStart w:id="1406" w:name="PGBRK123"/>
      <w:bookmarkEnd w:id="1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7" w:name="FTR123"/>
      <w:bookmarkStart w:id="1408" w:name="FTR123"/>
      <w:bookmarkEnd w:id="1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9" w:name="GLFTR122"/>
      <w:bookmarkEnd w:id="14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10" w:name="PN122"/>
      <w:bookmarkEnd w:id="1410"/>
      <w:r>
        <w:rPr>
          <w:rFonts w:ascii="Helvetica" w:hAnsi="Helvetica"/>
          <w:sz w:val="20"/>
        </w:rPr>
        <w:t>II-8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1" w:name="HDR122"/>
      <w:bookmarkStart w:id="1412" w:name="HDR122"/>
      <w:bookmarkEnd w:id="14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3" w:name="GLHDR122"/>
      <w:bookmarkEnd w:id="14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Helvetica" w:hAnsi="Helvetica"/>
          <w:b/>
          <w:sz w:val="20"/>
        </w:rPr>
      </w:pPr>
      <w:r>
        <w:rPr>
          <w:rFonts w:ascii="Helvetica" w:hAnsi="Helvetica"/>
          <w:b/>
          <w:sz w:val="20"/>
        </w:rPr>
        <w:t>SIGNATURES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requirements of the Securities Act of 1933, the registrant has duly caused this registration statement to be signed on its behalf by the undersigned, thereunto duly authorized in the City of Solana Beach, State of California, on August 16, 2012.</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039"/>
        <w:gridCol w:w="324"/>
        <w:gridCol w:w="3634"/>
        <w:gridCol w:w="1208"/>
      </w:tblGrid>
      <w:tr>
        <w:trPr/>
        <w:tc>
          <w:tcPr>
            <w:tcW w:w="5039" w:type="dxa"/>
            <w:tcBorders/>
            <w:shd w:fill="auto" w:val="clear"/>
          </w:tcPr>
          <w:p>
            <w:pPr>
              <w:pStyle w:val="TableContents"/>
              <w:spacing w:before="0" w:after="283"/>
              <w:rPr/>
            </w:pPr>
            <w:r>
              <w:rPr/>
              <w:t xml:space="preserve">  </w:t>
            </w:r>
          </w:p>
        </w:tc>
        <w:tc>
          <w:tcPr>
            <w:tcW w:w="3958" w:type="dxa"/>
            <w:gridSpan w:val="2"/>
            <w:tcBorders/>
            <w:shd w:fill="auto" w:val="clear"/>
          </w:tcPr>
          <w:p>
            <w:pPr>
              <w:pStyle w:val="TableContents"/>
              <w:spacing w:before="0" w:after="283"/>
              <w:rPr>
                <w:rFonts w:ascii="helvetica" w:hAnsi="helvetica"/>
                <w:b/>
                <w:sz w:val="20"/>
              </w:rPr>
            </w:pPr>
            <w:r>
              <w:rPr>
                <w:rFonts w:ascii="helvetica" w:hAnsi="helvetica"/>
                <w:b/>
                <w:sz w:val="20"/>
              </w:rPr>
              <w:t>IMPRIMIS PHARMACEUTICALS, INC.</w:t>
            </w:r>
          </w:p>
        </w:tc>
        <w:tc>
          <w:tcPr>
            <w:tcW w:w="1208" w:type="dxa"/>
            <w:tcBorders/>
            <w:shd w:fill="auto" w:val="clear"/>
          </w:tcPr>
          <w:p>
            <w:pPr>
              <w:pStyle w:val="TableContents"/>
              <w:spacing w:before="0" w:after="283"/>
              <w:jc w:val="left"/>
              <w:rPr/>
            </w:pPr>
            <w:r>
              <w:rPr/>
              <w:t> </w:t>
            </w:r>
          </w:p>
        </w:tc>
      </w:tr>
      <w:tr>
        <w:trPr/>
        <w:tc>
          <w:tcPr>
            <w:tcW w:w="5039" w:type="dxa"/>
            <w:tcBorders/>
            <w:shd w:fill="auto" w:val="clear"/>
          </w:tcPr>
          <w:p>
            <w:pPr>
              <w:pStyle w:val="TableContents"/>
              <w:spacing w:before="0" w:after="283"/>
              <w:rPr/>
            </w:pPr>
            <w:r>
              <w:rPr/>
              <w:t xml:space="preserve">  </w:t>
            </w:r>
          </w:p>
        </w:tc>
        <w:tc>
          <w:tcPr>
            <w:tcW w:w="324" w:type="dxa"/>
            <w:tcBorders/>
            <w:shd w:fill="auto" w:val="clear"/>
          </w:tcPr>
          <w:p>
            <w:pPr>
              <w:pStyle w:val="TableContents"/>
              <w:spacing w:before="0" w:after="283"/>
              <w:rPr/>
            </w:pPr>
            <w:r>
              <w:rPr/>
              <w:t xml:space="preserve">  </w:t>
            </w:r>
          </w:p>
        </w:tc>
        <w:tc>
          <w:tcPr>
            <w:tcW w:w="3634" w:type="dxa"/>
            <w:tcBorders/>
            <w:shd w:fill="auto" w:val="clear"/>
          </w:tcPr>
          <w:p>
            <w:pPr>
              <w:pStyle w:val="TableContents"/>
              <w:spacing w:before="0" w:after="283"/>
              <w:rPr/>
            </w:pPr>
            <w:r>
              <w:rPr/>
              <w:t xml:space="preserve">  </w:t>
            </w:r>
          </w:p>
        </w:tc>
        <w:tc>
          <w:tcPr>
            <w:tcW w:w="1208" w:type="dxa"/>
            <w:tcBorders/>
            <w:shd w:fill="auto" w:val="clear"/>
          </w:tcPr>
          <w:p>
            <w:pPr>
              <w:pStyle w:val="TableContents"/>
              <w:spacing w:before="0" w:after="283"/>
              <w:rPr/>
            </w:pPr>
            <w:r>
              <w:rPr/>
              <w:t> </w:t>
            </w:r>
          </w:p>
        </w:tc>
      </w:tr>
      <w:tr>
        <w:trPr/>
        <w:tc>
          <w:tcPr>
            <w:tcW w:w="5039" w:type="dxa"/>
            <w:tcBorders/>
            <w:shd w:fill="auto" w:val="clear"/>
          </w:tcPr>
          <w:p>
            <w:pPr>
              <w:pStyle w:val="TableContents"/>
              <w:spacing w:before="0" w:after="283"/>
              <w:rPr/>
            </w:pPr>
            <w:r>
              <w:rPr/>
              <w:t xml:space="preserve">  </w:t>
            </w:r>
          </w:p>
        </w:tc>
        <w:tc>
          <w:tcPr>
            <w:tcW w:w="32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By:</w:t>
            </w:r>
          </w:p>
        </w:tc>
        <w:tc>
          <w:tcPr>
            <w:tcW w:w="3634" w:type="dxa"/>
            <w:tcBorders>
              <w:bottom w:val="single" w:sz="12" w:space="0" w:color="000000"/>
            </w:tcBorders>
            <w:shd w:fill="auto" w:val="clear"/>
            <w:tcMar>
              <w:bottom w:w="28" w:type="dxa"/>
            </w:tcMar>
          </w:tcPr>
          <w:p>
            <w:pPr>
              <w:pStyle w:val="TableContents"/>
              <w:spacing w:before="0" w:after="0"/>
              <w:ind w:left="0" w:right="0" w:hanging="0"/>
              <w:jc w:val="left"/>
              <w:rPr>
                <w:rFonts w:ascii="helvetica" w:hAnsi="helvetica"/>
                <w:sz w:val="20"/>
              </w:rPr>
            </w:pPr>
            <w:r>
              <w:rPr>
                <w:rFonts w:ascii="helvetica" w:hAnsi="helvetica"/>
                <w:sz w:val="20"/>
              </w:rPr>
              <w:t>/s/ Mark L. Baum</w:t>
            </w:r>
          </w:p>
        </w:tc>
        <w:tc>
          <w:tcPr>
            <w:tcW w:w="1208" w:type="dxa"/>
            <w:tcBorders/>
            <w:shd w:fill="auto" w:val="clear"/>
          </w:tcPr>
          <w:p>
            <w:pPr>
              <w:pStyle w:val="TableContents"/>
              <w:spacing w:before="0" w:after="283"/>
              <w:jc w:val="left"/>
              <w:rPr/>
            </w:pPr>
            <w:r>
              <w:rPr/>
              <w:t> </w:t>
            </w:r>
          </w:p>
        </w:tc>
      </w:tr>
      <w:tr>
        <w:trPr/>
        <w:tc>
          <w:tcPr>
            <w:tcW w:w="5039"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Date: August 16, 2012</w:t>
            </w:r>
          </w:p>
        </w:tc>
        <w:tc>
          <w:tcPr>
            <w:tcW w:w="324" w:type="dxa"/>
            <w:tcBorders/>
            <w:shd w:fill="auto" w:val="clear"/>
          </w:tcPr>
          <w:p>
            <w:pPr>
              <w:pStyle w:val="TableContents"/>
              <w:spacing w:before="0" w:after="283"/>
              <w:rPr/>
            </w:pPr>
            <w:r>
              <w:rPr/>
              <w:t xml:space="preserve">  </w:t>
            </w:r>
          </w:p>
        </w:tc>
        <w:tc>
          <w:tcPr>
            <w:tcW w:w="363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Mark L. Baum, Chief Executive Officer</w:t>
            </w:r>
          </w:p>
          <w:p>
            <w:pPr>
              <w:pStyle w:val="TableContents"/>
              <w:spacing w:before="0" w:after="0"/>
              <w:ind w:left="0" w:right="0" w:hanging="0"/>
              <w:jc w:val="left"/>
              <w:rPr>
                <w:rFonts w:ascii="helvetica" w:hAnsi="helvetica"/>
                <w:i/>
                <w:sz w:val="20"/>
              </w:rPr>
            </w:pPr>
            <w:r>
              <w:rPr>
                <w:rFonts w:ascii="helvetica" w:hAnsi="helvetica"/>
                <w:i/>
                <w:sz w:val="20"/>
              </w:rPr>
              <w:t>(Principal Executive Officer)</w:t>
            </w:r>
          </w:p>
        </w:tc>
        <w:tc>
          <w:tcPr>
            <w:tcW w:w="1208" w:type="dxa"/>
            <w:tcBorders/>
            <w:shd w:fill="auto" w:val="clear"/>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requirements of the Securities Act of 1933, this registration statement has been signed by the following persons in the capacities and on the dates indicated.</w:t>
      </w:r>
    </w:p>
    <w:p>
      <w:pPr>
        <w:pStyle w:val="TextBody"/>
        <w:spacing w:before="0" w:after="0"/>
        <w:ind w:left="0" w:right="0" w:firstLine="720"/>
        <w:jc w:val="left"/>
        <w:rPr/>
      </w:pPr>
      <w:r>
        <w:rPr/>
        <w:t> </w:t>
      </w:r>
    </w:p>
    <w:tbl>
      <w:tblPr>
        <w:tblW w:w="5000" w:type="pct"/>
        <w:jc w:val="center"/>
        <w:tblInd w:w="0" w:type="dxa"/>
        <w:tblCellMar>
          <w:top w:w="0" w:type="dxa"/>
          <w:left w:w="0" w:type="dxa"/>
          <w:bottom w:w="28" w:type="dxa"/>
          <w:right w:w="0" w:type="dxa"/>
        </w:tblCellMar>
      </w:tblPr>
      <w:tblGrid>
        <w:gridCol w:w="614"/>
        <w:gridCol w:w="2971"/>
        <w:gridCol w:w="431"/>
        <w:gridCol w:w="3851"/>
        <w:gridCol w:w="352"/>
        <w:gridCol w:w="1986"/>
      </w:tblGrid>
      <w:tr>
        <w:trPr/>
        <w:tc>
          <w:tcPr>
            <w:tcW w:w="3585" w:type="dxa"/>
            <w:gridSpan w:val="2"/>
            <w:tcBorders>
              <w:bottom w:val="single" w:sz="12" w:space="0" w:color="000000"/>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SIGNATURE</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TITLE</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bottom w:val="single" w:sz="12" w:space="0" w:color="000000"/>
            </w:tcBorders>
            <w:shd w:fill="auto" w:val="clear"/>
          </w:tcPr>
          <w:p>
            <w:pPr>
              <w:pStyle w:val="TableContents"/>
              <w:spacing w:before="0" w:after="0"/>
              <w:ind w:left="0" w:right="0" w:hanging="0"/>
              <w:jc w:val="center"/>
              <w:rPr>
                <w:rFonts w:ascii="helvetica" w:hAnsi="helvetica"/>
                <w:b/>
                <w:sz w:val="20"/>
              </w:rPr>
            </w:pPr>
            <w:r>
              <w:rPr>
                <w:rFonts w:ascii="helvetica" w:hAnsi="helvetica"/>
                <w:b/>
                <w:sz w:val="20"/>
              </w:rPr>
              <w:t>DATE</w:t>
            </w:r>
          </w:p>
        </w:tc>
      </w:tr>
      <w:tr>
        <w:trPr/>
        <w:tc>
          <w:tcPr>
            <w:tcW w:w="3585" w:type="dxa"/>
            <w:gridSpan w:val="2"/>
            <w:tcBorders/>
            <w:shd w:fill="auto" w:val="clear"/>
            <w:tcMar>
              <w:bottom w:w="0" w:type="dxa"/>
            </w:tcMar>
          </w:tcPr>
          <w:p>
            <w:pPr>
              <w:pStyle w:val="TableContents"/>
              <w:spacing w:before="0" w:after="283"/>
              <w:rPr/>
            </w:pPr>
            <w:r>
              <w:rPr/>
              <w:t xml:space="preserve">  </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tcPr>
          <w:p>
            <w:pPr>
              <w:pStyle w:val="TableContents"/>
              <w:spacing w:before="0" w:after="283"/>
              <w:ind w:left="0" w:right="0" w:hanging="0"/>
              <w:rPr/>
            </w:pPr>
            <w:r>
              <w:rPr/>
              <w:t xml:space="preserve">  </w:t>
            </w:r>
          </w:p>
        </w:tc>
      </w:tr>
      <w:tr>
        <w:trPr/>
        <w:tc>
          <w:tcPr>
            <w:tcW w:w="3585" w:type="dxa"/>
            <w:gridSpan w:val="2"/>
            <w:tcBorders>
              <w:bottom w:val="single" w:sz="12" w:space="0" w:color="000000"/>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/s/ Mark L. Baum</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Chief Executive Officer and Director</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August 16, 2012</w:t>
            </w:r>
          </w:p>
        </w:tc>
      </w:tr>
      <w:tr>
        <w:trPr/>
        <w:tc>
          <w:tcPr>
            <w:tcW w:w="3585"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jc w:val="center"/>
              <w:rPr>
                <w:rFonts w:ascii="helvetica" w:hAnsi="helvetica"/>
                <w:sz w:val="20"/>
              </w:rPr>
            </w:pPr>
            <w:r>
              <w:rPr>
                <w:rFonts w:ascii="helvetica" w:hAnsi="helvetica"/>
                <w:sz w:val="20"/>
              </w:rPr>
              <w:t>(</w:t>
            </w:r>
            <w:r>
              <w:rPr>
                <w:rFonts w:ascii="helvetica" w:hAnsi="helvetica"/>
                <w:i/>
                <w:sz w:val="20"/>
              </w:rPr>
              <w:t>Principal Executive Officer</w:t>
            </w:r>
            <w:r>
              <w:rPr>
                <w:rFonts w:ascii="helvetica" w:hAnsi="helvetica"/>
                <w:sz w:val="20"/>
              </w:rPr>
              <w:t>)</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tcPr>
          <w:p>
            <w:pPr>
              <w:pStyle w:val="TableContents"/>
              <w:spacing w:before="0" w:after="283"/>
              <w:ind w:left="0" w:right="0" w:hanging="0"/>
              <w:rPr/>
            </w:pPr>
            <w:r>
              <w:rPr/>
              <w:t xml:space="preserve">  </w:t>
            </w:r>
          </w:p>
        </w:tc>
      </w:tr>
      <w:tr>
        <w:trPr/>
        <w:tc>
          <w:tcPr>
            <w:tcW w:w="3585" w:type="dxa"/>
            <w:gridSpan w:val="2"/>
            <w:tcBorders/>
            <w:shd w:fill="auto" w:val="clear"/>
            <w:tcMar>
              <w:bottom w:w="0" w:type="dxa"/>
            </w:tcMar>
          </w:tcPr>
          <w:p>
            <w:pPr>
              <w:pStyle w:val="TableContents"/>
              <w:spacing w:before="0" w:after="283"/>
              <w:jc w:val="left"/>
              <w:rPr/>
            </w:pPr>
            <w:r>
              <w:rPr/>
              <w:t xml:space="preserve">  </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tcPr>
          <w:p>
            <w:pPr>
              <w:pStyle w:val="TableContents"/>
              <w:spacing w:before="0" w:after="283"/>
              <w:ind w:left="0" w:right="0" w:hanging="0"/>
              <w:rPr/>
            </w:pPr>
            <w:r>
              <w:rPr/>
              <w:t xml:space="preserve">  </w:t>
            </w:r>
          </w:p>
        </w:tc>
      </w:tr>
      <w:tr>
        <w:trPr/>
        <w:tc>
          <w:tcPr>
            <w:tcW w:w="3585" w:type="dxa"/>
            <w:gridSpan w:val="2"/>
            <w:tcBorders>
              <w:bottom w:val="single" w:sz="12" w:space="0" w:color="000000"/>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/s/ Andrew R. Boll</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 xml:space="preserve">Vice President of Accounting and Public Reporting </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August 16, 2012</w:t>
            </w:r>
          </w:p>
        </w:tc>
      </w:tr>
      <w:tr>
        <w:trPr/>
        <w:tc>
          <w:tcPr>
            <w:tcW w:w="3585"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jc w:val="center"/>
              <w:rPr>
                <w:rFonts w:ascii="helvetica" w:hAnsi="helvetica"/>
                <w:sz w:val="20"/>
              </w:rPr>
            </w:pPr>
            <w:r>
              <w:rPr>
                <w:rFonts w:ascii="helvetica" w:hAnsi="helvetica"/>
                <w:sz w:val="20"/>
              </w:rPr>
              <w:t>(</w:t>
            </w:r>
            <w:r>
              <w:rPr>
                <w:rFonts w:ascii="helvetica" w:hAnsi="helvetica"/>
                <w:i/>
                <w:sz w:val="20"/>
              </w:rPr>
              <w:t>Principal Accounting &amp; Financial Officer</w:t>
            </w:r>
            <w:r>
              <w:rPr>
                <w:rFonts w:ascii="helvetica" w:hAnsi="helvetica"/>
                <w:sz w:val="20"/>
              </w:rPr>
              <w:t>)</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tcPr>
          <w:p>
            <w:pPr>
              <w:pStyle w:val="TableContents"/>
              <w:spacing w:before="0" w:after="283"/>
              <w:rPr/>
            </w:pPr>
            <w:r>
              <w:rPr/>
              <w:t xml:space="preserve">  </w:t>
            </w:r>
          </w:p>
        </w:tc>
      </w:tr>
      <w:tr>
        <w:trPr/>
        <w:tc>
          <w:tcPr>
            <w:tcW w:w="3585" w:type="dxa"/>
            <w:gridSpan w:val="2"/>
            <w:tcBorders/>
            <w:shd w:fill="auto" w:val="clear"/>
            <w:tcMar>
              <w:bottom w:w="0" w:type="dxa"/>
            </w:tcMar>
          </w:tcPr>
          <w:p>
            <w:pPr>
              <w:pStyle w:val="TableContents"/>
              <w:spacing w:before="0" w:after="283"/>
              <w:rPr/>
            </w:pPr>
            <w:r>
              <w:rPr/>
              <w:t xml:space="preserve">  </w:t>
            </w:r>
          </w:p>
        </w:tc>
        <w:tc>
          <w:tcPr>
            <w:tcW w:w="431" w:type="dxa"/>
            <w:tcBorders/>
            <w:shd w:fill="auto" w:val="clear"/>
            <w:tcMar>
              <w:bottom w:w="0" w:type="dxa"/>
            </w:tcMar>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tcPr>
          <w:p>
            <w:pPr>
              <w:pStyle w:val="TableContents"/>
              <w:spacing w:before="0" w:after="283"/>
              <w:rPr/>
            </w:pPr>
            <w:r>
              <w:rPr/>
              <w:t xml:space="preserve">  </w:t>
            </w:r>
          </w:p>
        </w:tc>
        <w:tc>
          <w:tcPr>
            <w:tcW w:w="1986" w:type="dxa"/>
            <w:tcBorders/>
            <w:shd w:fill="auto" w:val="clear"/>
            <w:tcMar>
              <w:bottom w:w="0" w:type="dxa"/>
            </w:tcMar>
          </w:tcPr>
          <w:p>
            <w:pPr>
              <w:pStyle w:val="TableContents"/>
              <w:spacing w:before="0" w:after="283"/>
              <w:ind w:left="0" w:right="0" w:hanging="0"/>
              <w:rPr/>
            </w:pPr>
            <w:r>
              <w:rPr/>
              <w:t xml:space="preserve">  </w:t>
            </w:r>
          </w:p>
        </w:tc>
      </w:tr>
      <w:tr>
        <w:trPr/>
        <w:tc>
          <w:tcPr>
            <w:tcW w:w="3585"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/s/  Jeffrey J. Abrams*</w:t>
            </w:r>
          </w:p>
        </w:tc>
        <w:tc>
          <w:tcPr>
            <w:tcW w:w="431" w:type="dxa"/>
            <w:tcBorders/>
            <w:shd w:fill="auto" w:val="clear"/>
            <w:tcMar>
              <w:bottom w:w="0" w:type="dxa"/>
            </w:tcMar>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Director</w:t>
            </w:r>
          </w:p>
        </w:tc>
        <w:tc>
          <w:tcPr>
            <w:tcW w:w="352" w:type="dxa"/>
            <w:tcBorders/>
            <w:shd w:fill="auto" w:val="clear"/>
            <w:tcMar>
              <w:bottom w:w="0" w:type="dxa"/>
            </w:tcMar>
          </w:tcPr>
          <w:p>
            <w:pPr>
              <w:pStyle w:val="TableContents"/>
              <w:spacing w:before="0" w:after="283"/>
              <w:rPr/>
            </w:pPr>
            <w:r>
              <w:rPr/>
              <w:t xml:space="preserve">  </w:t>
            </w:r>
          </w:p>
        </w:tc>
        <w:tc>
          <w:tcPr>
            <w:tcW w:w="1986"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August 16, 2012</w:t>
            </w:r>
          </w:p>
        </w:tc>
      </w:tr>
      <w:tr>
        <w:trPr/>
        <w:tc>
          <w:tcPr>
            <w:tcW w:w="3585"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tcPr>
          <w:p>
            <w:pPr>
              <w:pStyle w:val="TableContents"/>
              <w:spacing w:before="0" w:after="283"/>
              <w:rPr/>
            </w:pPr>
            <w:r>
              <w:rPr/>
              <w:t xml:space="preserve">  </w:t>
            </w:r>
          </w:p>
        </w:tc>
      </w:tr>
      <w:tr>
        <w:trPr/>
        <w:tc>
          <w:tcPr>
            <w:tcW w:w="3585" w:type="dxa"/>
            <w:gridSpan w:val="2"/>
            <w:tcBorders/>
            <w:shd w:fill="auto" w:val="clear"/>
            <w:tcMar>
              <w:bottom w:w="0" w:type="dxa"/>
            </w:tcMar>
          </w:tcPr>
          <w:p>
            <w:pPr>
              <w:pStyle w:val="TableContents"/>
              <w:spacing w:before="0" w:after="283"/>
              <w:rPr/>
            </w:pPr>
            <w:r>
              <w:rPr/>
              <w:t xml:space="preserve">  </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vAlign w:val="bottom"/>
          </w:tcPr>
          <w:p>
            <w:pPr>
              <w:pStyle w:val="TableContents"/>
              <w:spacing w:before="0" w:after="283"/>
              <w:rPr/>
            </w:pPr>
            <w:r>
              <w:rPr/>
              <w:t xml:space="preserve">  </w:t>
            </w:r>
          </w:p>
        </w:tc>
        <w:tc>
          <w:tcPr>
            <w:tcW w:w="1986" w:type="dxa"/>
            <w:tcBorders/>
            <w:shd w:fill="auto" w:val="clear"/>
            <w:tcMar>
              <w:bottom w:w="0" w:type="dxa"/>
            </w:tcMar>
          </w:tcPr>
          <w:p>
            <w:pPr>
              <w:pStyle w:val="TableContents"/>
              <w:spacing w:before="0" w:after="283"/>
              <w:ind w:left="0" w:right="0" w:hanging="0"/>
              <w:rPr/>
            </w:pPr>
            <w:r>
              <w:rPr/>
              <w:t xml:space="preserve">  </w:t>
            </w:r>
          </w:p>
        </w:tc>
      </w:tr>
      <w:tr>
        <w:trPr/>
        <w:tc>
          <w:tcPr>
            <w:tcW w:w="3585"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 xml:space="preserve">/s/ Paul Finnegan * </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Director</w:t>
            </w:r>
          </w:p>
        </w:tc>
        <w:tc>
          <w:tcPr>
            <w:tcW w:w="352" w:type="dxa"/>
            <w:tcBorders/>
            <w:shd w:fill="auto" w:val="clear"/>
            <w:tcMar>
              <w:bottom w:w="0" w:type="dxa"/>
            </w:tcMar>
            <w:vAlign w:val="center"/>
          </w:tcPr>
          <w:p>
            <w:pPr>
              <w:pStyle w:val="TableContents"/>
              <w:spacing w:before="0" w:after="283"/>
              <w:rPr/>
            </w:pPr>
            <w:r>
              <w:rPr/>
              <w:t xml:space="preserve">  </w:t>
            </w:r>
          </w:p>
        </w:tc>
        <w:tc>
          <w:tcPr>
            <w:tcW w:w="1986"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August 16, 2012</w:t>
            </w:r>
          </w:p>
        </w:tc>
      </w:tr>
      <w:tr>
        <w:trPr/>
        <w:tc>
          <w:tcPr>
            <w:tcW w:w="3585"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 xml:space="preserve">Paul Finnegan, M.D., M.B.A. </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vAlign w:val="center"/>
          </w:tcPr>
          <w:p>
            <w:pPr>
              <w:pStyle w:val="TableContents"/>
              <w:spacing w:before="0" w:after="283"/>
              <w:rPr/>
            </w:pPr>
            <w:r>
              <w:rPr/>
              <w:t xml:space="preserve">  </w:t>
            </w:r>
          </w:p>
        </w:tc>
        <w:tc>
          <w:tcPr>
            <w:tcW w:w="1986" w:type="dxa"/>
            <w:tcBorders/>
            <w:shd w:fill="auto" w:val="clear"/>
            <w:tcMar>
              <w:bottom w:w="0" w:type="dxa"/>
            </w:tcMar>
            <w:vAlign w:val="center"/>
          </w:tcPr>
          <w:p>
            <w:pPr>
              <w:pStyle w:val="TableContents"/>
              <w:spacing w:before="0" w:after="283"/>
              <w:rPr/>
            </w:pPr>
            <w:r>
              <w:rPr/>
              <w:t xml:space="preserve">  </w:t>
            </w:r>
          </w:p>
        </w:tc>
      </w:tr>
      <w:tr>
        <w:trPr/>
        <w:tc>
          <w:tcPr>
            <w:tcW w:w="3585" w:type="dxa"/>
            <w:gridSpan w:val="2"/>
            <w:tcBorders/>
            <w:shd w:fill="auto" w:val="clear"/>
            <w:tcMar>
              <w:bottom w:w="0" w:type="dxa"/>
            </w:tcMar>
          </w:tcPr>
          <w:p>
            <w:pPr>
              <w:pStyle w:val="TableContents"/>
              <w:spacing w:before="0" w:after="283"/>
              <w:rPr/>
            </w:pPr>
            <w:r>
              <w:rPr/>
              <w:t xml:space="preserve">  </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vAlign w:val="center"/>
          </w:tcPr>
          <w:p>
            <w:pPr>
              <w:pStyle w:val="TableContents"/>
              <w:spacing w:before="0" w:after="283"/>
              <w:rPr/>
            </w:pPr>
            <w:r>
              <w:rPr/>
              <w:t xml:space="preserve">  </w:t>
            </w:r>
          </w:p>
        </w:tc>
        <w:tc>
          <w:tcPr>
            <w:tcW w:w="1986" w:type="dxa"/>
            <w:tcBorders/>
            <w:shd w:fill="auto" w:val="clear"/>
            <w:tcMar>
              <w:bottom w:w="0" w:type="dxa"/>
            </w:tcMar>
            <w:vAlign w:val="center"/>
          </w:tcPr>
          <w:p>
            <w:pPr>
              <w:pStyle w:val="TableContents"/>
              <w:spacing w:before="0" w:after="283"/>
              <w:ind w:left="0" w:right="0" w:hanging="0"/>
              <w:rPr/>
            </w:pPr>
            <w:r>
              <w:rPr/>
              <w:t xml:space="preserve">  </w:t>
            </w:r>
          </w:p>
        </w:tc>
      </w:tr>
      <w:tr>
        <w:trPr/>
        <w:tc>
          <w:tcPr>
            <w:tcW w:w="3585" w:type="dxa"/>
            <w:gridSpan w:val="2"/>
            <w:tcBorders>
              <w:bottom w:val="single" w:sz="12" w:space="0" w:color="000000"/>
            </w:tcBorders>
            <w:shd w:fill="auto" w:val="clear"/>
          </w:tcPr>
          <w:p>
            <w:pPr>
              <w:pStyle w:val="TableContents"/>
              <w:spacing w:before="0" w:after="0"/>
              <w:ind w:left="0" w:right="0" w:hanging="0"/>
              <w:jc w:val="left"/>
              <w:rPr>
                <w:rFonts w:ascii="helvetica" w:hAnsi="helvetica"/>
                <w:sz w:val="20"/>
              </w:rPr>
            </w:pPr>
            <w:r>
              <w:rPr>
                <w:rFonts w:ascii="helvetica" w:hAnsi="helvetica"/>
                <w:sz w:val="20"/>
              </w:rPr>
              <w:t xml:space="preserve">/s/ Robert J. Kammer * </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Chairman of the Board of Directors</w:t>
            </w:r>
          </w:p>
        </w:tc>
        <w:tc>
          <w:tcPr>
            <w:tcW w:w="352" w:type="dxa"/>
            <w:tcBorders/>
            <w:shd w:fill="auto" w:val="clear"/>
            <w:tcMar>
              <w:bottom w:w="0" w:type="dxa"/>
            </w:tcMar>
            <w:vAlign w:val="center"/>
          </w:tcPr>
          <w:p>
            <w:pPr>
              <w:pStyle w:val="TableContents"/>
              <w:spacing w:before="0" w:after="283"/>
              <w:rPr/>
            </w:pPr>
            <w:r>
              <w:rPr/>
              <w:t xml:space="preserve">  </w:t>
            </w:r>
          </w:p>
        </w:tc>
        <w:tc>
          <w:tcPr>
            <w:tcW w:w="1986" w:type="dxa"/>
            <w:tcBorders/>
            <w:shd w:fill="auto"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August 16, 2012</w:t>
            </w:r>
          </w:p>
        </w:tc>
      </w:tr>
      <w:tr>
        <w:trPr/>
        <w:tc>
          <w:tcPr>
            <w:tcW w:w="3585" w:type="dxa"/>
            <w:gridSpan w:val="2"/>
            <w:tcBorders/>
            <w:shd w:fill="auto"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Robert J. Kammer, D.D.S.</w:t>
            </w:r>
          </w:p>
        </w:tc>
        <w:tc>
          <w:tcPr>
            <w:tcW w:w="431" w:type="dxa"/>
            <w:tcBorders/>
            <w:shd w:fill="auto" w:val="clear"/>
            <w:tcMar>
              <w:bottom w:w="0" w:type="dxa"/>
            </w:tcMar>
            <w:vAlign w:val="bottom"/>
          </w:tcPr>
          <w:p>
            <w:pPr>
              <w:pStyle w:val="TableContents"/>
              <w:spacing w:before="0" w:after="283"/>
              <w:rPr/>
            </w:pPr>
            <w:r>
              <w:rPr/>
              <w:t xml:space="preserve">  </w:t>
            </w:r>
          </w:p>
        </w:tc>
        <w:tc>
          <w:tcPr>
            <w:tcW w:w="3851" w:type="dxa"/>
            <w:tcBorders/>
            <w:shd w:fill="auto" w:val="clear"/>
            <w:tcMar>
              <w:bottom w:w="0" w:type="dxa"/>
            </w:tcMar>
          </w:tcPr>
          <w:p>
            <w:pPr>
              <w:pStyle w:val="TableContents"/>
              <w:spacing w:before="0" w:after="283"/>
              <w:rPr/>
            </w:pPr>
            <w:r>
              <w:rPr/>
              <w:t xml:space="preserve">  </w:t>
            </w:r>
          </w:p>
        </w:tc>
        <w:tc>
          <w:tcPr>
            <w:tcW w:w="352" w:type="dxa"/>
            <w:tcBorders/>
            <w:shd w:fill="auto" w:val="clear"/>
            <w:tcMar>
              <w:bottom w:w="0" w:type="dxa"/>
            </w:tcMar>
            <w:vAlign w:val="center"/>
          </w:tcPr>
          <w:p>
            <w:pPr>
              <w:pStyle w:val="TableContents"/>
              <w:spacing w:before="0" w:after="283"/>
              <w:rPr/>
            </w:pPr>
            <w:r>
              <w:rPr/>
              <w:t xml:space="preserve">  </w:t>
            </w:r>
          </w:p>
        </w:tc>
        <w:tc>
          <w:tcPr>
            <w:tcW w:w="1986" w:type="dxa"/>
            <w:tcBorders/>
            <w:shd w:fill="auto" w:val="clear"/>
            <w:tcMar>
              <w:bottom w:w="0" w:type="dxa"/>
            </w:tcMar>
            <w:vAlign w:val="center"/>
          </w:tcPr>
          <w:p>
            <w:pPr>
              <w:pStyle w:val="TableContents"/>
              <w:spacing w:before="0" w:after="283"/>
              <w:ind w:left="0" w:right="0" w:hanging="0"/>
              <w:rPr/>
            </w:pPr>
            <w:r>
              <w:rPr/>
              <w:t xml:space="preserve">  </w:t>
            </w:r>
          </w:p>
        </w:tc>
      </w:tr>
      <w:tr>
        <w:trPr/>
        <w:tc>
          <w:tcPr>
            <w:tcW w:w="3585" w:type="dxa"/>
            <w:gridSpan w:val="2"/>
            <w:tcBorders/>
            <w:shd w:fill="auto" w:val="clear"/>
            <w:tcMar>
              <w:bottom w:w="0" w:type="dxa"/>
            </w:tcMar>
          </w:tcPr>
          <w:p>
            <w:pPr>
              <w:pStyle w:val="TableContents"/>
              <w:spacing w:before="0" w:after="283"/>
              <w:jc w:val="left"/>
              <w:rPr/>
            </w:pPr>
            <w:r>
              <w:rPr/>
              <w:t> </w:t>
            </w:r>
          </w:p>
        </w:tc>
        <w:tc>
          <w:tcPr>
            <w:tcW w:w="431" w:type="dxa"/>
            <w:tcBorders/>
            <w:shd w:fill="auto" w:val="clear"/>
            <w:tcMar>
              <w:bottom w:w="0" w:type="dxa"/>
            </w:tcMar>
            <w:vAlign w:val="bottom"/>
          </w:tcPr>
          <w:p>
            <w:pPr>
              <w:pStyle w:val="TableContents"/>
              <w:spacing w:before="0" w:after="283"/>
              <w:rPr/>
            </w:pPr>
            <w:r>
              <w:rPr/>
              <w:t> </w:t>
            </w:r>
          </w:p>
        </w:tc>
        <w:tc>
          <w:tcPr>
            <w:tcW w:w="3851" w:type="dxa"/>
            <w:tcBorders/>
            <w:shd w:fill="auto" w:val="clear"/>
            <w:tcMar>
              <w:bottom w:w="0" w:type="dxa"/>
            </w:tcMar>
          </w:tcPr>
          <w:p>
            <w:pPr>
              <w:pStyle w:val="TableContents"/>
              <w:spacing w:before="0" w:after="283"/>
              <w:rPr/>
            </w:pPr>
            <w:r>
              <w:rPr/>
              <w:t> </w:t>
            </w:r>
          </w:p>
        </w:tc>
        <w:tc>
          <w:tcPr>
            <w:tcW w:w="352" w:type="dxa"/>
            <w:tcBorders/>
            <w:shd w:fill="auto" w:val="clear"/>
            <w:tcMar>
              <w:bottom w:w="0" w:type="dxa"/>
            </w:tcMar>
            <w:vAlign w:val="center"/>
          </w:tcPr>
          <w:p>
            <w:pPr>
              <w:pStyle w:val="TableContents"/>
              <w:spacing w:before="0" w:after="283"/>
              <w:rPr/>
            </w:pPr>
            <w:r>
              <w:rPr/>
              <w:t> </w:t>
            </w:r>
          </w:p>
        </w:tc>
        <w:tc>
          <w:tcPr>
            <w:tcW w:w="1986" w:type="dxa"/>
            <w:tcBorders/>
            <w:shd w:fill="auto" w:val="clear"/>
            <w:tcMar>
              <w:bottom w:w="0" w:type="dxa"/>
            </w:tcMar>
            <w:vAlign w:val="center"/>
          </w:tcPr>
          <w:p>
            <w:pPr>
              <w:pStyle w:val="TableContents"/>
              <w:spacing w:before="0" w:after="283"/>
              <w:ind w:left="0" w:right="0" w:hanging="0"/>
              <w:rPr/>
            </w:pPr>
            <w:r>
              <w:rPr/>
              <w:t> </w:t>
            </w:r>
          </w:p>
        </w:tc>
      </w:tr>
      <w:tr>
        <w:trPr/>
        <w:tc>
          <w:tcPr>
            <w:tcW w:w="614" w:type="dxa"/>
            <w:tcBorders/>
            <w:shd w:fill="auto" w:val="clear"/>
            <w:tcMar>
              <w:bottom w:w="0" w:type="dxa"/>
            </w:tcMar>
          </w:tcPr>
          <w:p>
            <w:pPr>
              <w:pStyle w:val="TableContents"/>
              <w:spacing w:before="0" w:after="283"/>
              <w:ind w:left="0" w:right="0" w:hanging="0"/>
              <w:jc w:val="left"/>
              <w:rPr>
                <w:rFonts w:ascii="helvetica" w:hAnsi="helvetica"/>
                <w:sz w:val="20"/>
              </w:rPr>
            </w:pPr>
            <w:r>
              <w:rPr>
                <w:rFonts w:ascii="helvetica" w:hAnsi="helvetica"/>
                <w:sz w:val="20"/>
              </w:rPr>
              <w:t>* By:</w:t>
            </w:r>
          </w:p>
        </w:tc>
        <w:tc>
          <w:tcPr>
            <w:tcW w:w="2971" w:type="dxa"/>
            <w:tcBorders>
              <w:bottom w:val="single" w:sz="12" w:space="0" w:color="000000"/>
            </w:tcBorders>
            <w:shd w:fill="auto" w:val="clear"/>
          </w:tcPr>
          <w:p>
            <w:pPr>
              <w:pStyle w:val="TableContents"/>
              <w:spacing w:before="0" w:after="283"/>
              <w:jc w:val="left"/>
              <w:rPr>
                <w:rFonts w:ascii="helvetica" w:hAnsi="helvetica"/>
                <w:sz w:val="20"/>
              </w:rPr>
            </w:pPr>
            <w:r>
              <w:rPr>
                <w:rFonts w:ascii="helvetica" w:hAnsi="helvetica"/>
                <w:sz w:val="20"/>
              </w:rPr>
              <w:t>/s/ Mark L. Baum</w:t>
            </w:r>
          </w:p>
        </w:tc>
        <w:tc>
          <w:tcPr>
            <w:tcW w:w="431" w:type="dxa"/>
            <w:tcBorders/>
            <w:shd w:fill="auto" w:val="clear"/>
            <w:tcMar>
              <w:bottom w:w="0" w:type="dxa"/>
            </w:tcMar>
            <w:vAlign w:val="bottom"/>
          </w:tcPr>
          <w:p>
            <w:pPr>
              <w:pStyle w:val="TableContents"/>
              <w:spacing w:before="0" w:after="283"/>
              <w:rPr/>
            </w:pPr>
            <w:r>
              <w:rPr/>
              <w:t> </w:t>
            </w:r>
          </w:p>
        </w:tc>
        <w:tc>
          <w:tcPr>
            <w:tcW w:w="3851" w:type="dxa"/>
            <w:tcBorders/>
            <w:shd w:fill="auto" w:val="clear"/>
            <w:tcMar>
              <w:bottom w:w="0" w:type="dxa"/>
            </w:tcMar>
          </w:tcPr>
          <w:p>
            <w:pPr>
              <w:pStyle w:val="TableContents"/>
              <w:spacing w:before="0" w:after="283"/>
              <w:rPr/>
            </w:pPr>
            <w:r>
              <w:rPr/>
              <w:t> </w:t>
            </w:r>
          </w:p>
        </w:tc>
        <w:tc>
          <w:tcPr>
            <w:tcW w:w="352" w:type="dxa"/>
            <w:tcBorders/>
            <w:shd w:fill="auto" w:val="clear"/>
            <w:tcMar>
              <w:bottom w:w="0" w:type="dxa"/>
            </w:tcMar>
            <w:vAlign w:val="center"/>
          </w:tcPr>
          <w:p>
            <w:pPr>
              <w:pStyle w:val="TableContents"/>
              <w:spacing w:before="0" w:after="283"/>
              <w:rPr/>
            </w:pPr>
            <w:r>
              <w:rPr/>
              <w:t> </w:t>
            </w:r>
          </w:p>
        </w:tc>
        <w:tc>
          <w:tcPr>
            <w:tcW w:w="1986" w:type="dxa"/>
            <w:tcBorders/>
            <w:shd w:fill="auto" w:val="clear"/>
            <w:tcMar>
              <w:bottom w:w="0" w:type="dxa"/>
            </w:tcMar>
            <w:vAlign w:val="center"/>
          </w:tcPr>
          <w:p>
            <w:pPr>
              <w:pStyle w:val="TableContents"/>
              <w:spacing w:before="0" w:after="283"/>
              <w:ind w:left="0" w:right="0" w:hanging="0"/>
              <w:rPr/>
            </w:pPr>
            <w:r>
              <w:rPr/>
              <w:t> </w:t>
            </w:r>
          </w:p>
        </w:tc>
      </w:tr>
      <w:tr>
        <w:trPr/>
        <w:tc>
          <w:tcPr>
            <w:tcW w:w="3585" w:type="dxa"/>
            <w:gridSpan w:val="2"/>
            <w:tcBorders/>
            <w:shd w:fill="auto" w:val="clear"/>
            <w:tcMar>
              <w:bottom w:w="0" w:type="dxa"/>
            </w:tcMar>
          </w:tcPr>
          <w:p>
            <w:pPr>
              <w:pStyle w:val="TableContents"/>
              <w:spacing w:before="0" w:after="283"/>
              <w:jc w:val="left"/>
              <w:rPr/>
            </w:pPr>
            <w:r>
              <w:rPr/>
              <w:t>         </w:t>
            </w:r>
            <w:r>
              <w:rPr>
                <w:rFonts w:ascii="helvetica" w:hAnsi="helvetica"/>
                <w:sz w:val="20"/>
              </w:rPr>
              <w:t>Mark L. Baum</w:t>
            </w:r>
          </w:p>
        </w:tc>
        <w:tc>
          <w:tcPr>
            <w:tcW w:w="431" w:type="dxa"/>
            <w:tcBorders/>
            <w:shd w:fill="auto" w:val="clear"/>
            <w:tcMar>
              <w:bottom w:w="0" w:type="dxa"/>
            </w:tcMar>
            <w:vAlign w:val="bottom"/>
          </w:tcPr>
          <w:p>
            <w:pPr>
              <w:pStyle w:val="TableContents"/>
              <w:spacing w:before="0" w:after="283"/>
              <w:rPr/>
            </w:pPr>
            <w:r>
              <w:rPr/>
              <w:t> </w:t>
            </w:r>
          </w:p>
        </w:tc>
        <w:tc>
          <w:tcPr>
            <w:tcW w:w="3851" w:type="dxa"/>
            <w:tcBorders/>
            <w:shd w:fill="auto" w:val="clear"/>
            <w:tcMar>
              <w:bottom w:w="0" w:type="dxa"/>
            </w:tcMar>
          </w:tcPr>
          <w:p>
            <w:pPr>
              <w:pStyle w:val="TableContents"/>
              <w:spacing w:before="0" w:after="283"/>
              <w:rPr/>
            </w:pPr>
            <w:r>
              <w:rPr/>
              <w:t> </w:t>
            </w:r>
          </w:p>
        </w:tc>
        <w:tc>
          <w:tcPr>
            <w:tcW w:w="352" w:type="dxa"/>
            <w:tcBorders/>
            <w:shd w:fill="auto" w:val="clear"/>
            <w:tcMar>
              <w:bottom w:w="0" w:type="dxa"/>
            </w:tcMar>
            <w:vAlign w:val="center"/>
          </w:tcPr>
          <w:p>
            <w:pPr>
              <w:pStyle w:val="TableContents"/>
              <w:spacing w:before="0" w:after="283"/>
              <w:rPr/>
            </w:pPr>
            <w:r>
              <w:rPr/>
              <w:t> </w:t>
            </w:r>
          </w:p>
        </w:tc>
        <w:tc>
          <w:tcPr>
            <w:tcW w:w="1986" w:type="dxa"/>
            <w:tcBorders/>
            <w:shd w:fill="auto" w:val="clear"/>
            <w:tcMar>
              <w:bottom w:w="0" w:type="dxa"/>
            </w:tcMar>
            <w:vAlign w:val="center"/>
          </w:tcPr>
          <w:p>
            <w:pPr>
              <w:pStyle w:val="TableContents"/>
              <w:spacing w:before="0" w:after="283"/>
              <w:ind w:left="0" w:right="0" w:hanging="0"/>
              <w:rPr/>
            </w:pPr>
            <w:r>
              <w:rPr/>
              <w:t> </w:t>
            </w:r>
          </w:p>
        </w:tc>
      </w:tr>
      <w:tr>
        <w:trPr/>
        <w:tc>
          <w:tcPr>
            <w:tcW w:w="3585" w:type="dxa"/>
            <w:gridSpan w:val="2"/>
            <w:tcBorders/>
            <w:shd w:fill="auto" w:val="clear"/>
            <w:tcMar>
              <w:bottom w:w="0" w:type="dxa"/>
            </w:tcMar>
          </w:tcPr>
          <w:p>
            <w:pPr>
              <w:pStyle w:val="TableContents"/>
              <w:spacing w:before="0" w:after="283"/>
              <w:jc w:val="left"/>
              <w:rPr/>
            </w:pPr>
            <w:r>
              <w:rPr/>
              <w:t>         </w:t>
            </w:r>
            <w:r>
              <w:rPr>
                <w:rFonts w:ascii="helvetica" w:hAnsi="helvetica"/>
                <w:sz w:val="20"/>
              </w:rPr>
              <w:t>Attorney-in-Fact</w:t>
            </w:r>
          </w:p>
        </w:tc>
        <w:tc>
          <w:tcPr>
            <w:tcW w:w="431" w:type="dxa"/>
            <w:tcBorders/>
            <w:shd w:fill="auto" w:val="clear"/>
            <w:tcMar>
              <w:bottom w:w="0" w:type="dxa"/>
            </w:tcMar>
            <w:vAlign w:val="bottom"/>
          </w:tcPr>
          <w:p>
            <w:pPr>
              <w:pStyle w:val="TableContents"/>
              <w:spacing w:before="0" w:after="283"/>
              <w:rPr/>
            </w:pPr>
            <w:r>
              <w:rPr/>
              <w:t> </w:t>
            </w:r>
          </w:p>
        </w:tc>
        <w:tc>
          <w:tcPr>
            <w:tcW w:w="3851" w:type="dxa"/>
            <w:tcBorders/>
            <w:shd w:fill="auto" w:val="clear"/>
            <w:tcMar>
              <w:bottom w:w="0" w:type="dxa"/>
            </w:tcMar>
          </w:tcPr>
          <w:p>
            <w:pPr>
              <w:pStyle w:val="TableContents"/>
              <w:spacing w:before="0" w:after="283"/>
              <w:rPr/>
            </w:pPr>
            <w:r>
              <w:rPr/>
              <w:t> </w:t>
            </w:r>
          </w:p>
        </w:tc>
        <w:tc>
          <w:tcPr>
            <w:tcW w:w="352" w:type="dxa"/>
            <w:tcBorders/>
            <w:shd w:fill="auto" w:val="clear"/>
            <w:tcMar>
              <w:bottom w:w="0" w:type="dxa"/>
            </w:tcMar>
            <w:vAlign w:val="center"/>
          </w:tcPr>
          <w:p>
            <w:pPr>
              <w:pStyle w:val="TableContents"/>
              <w:spacing w:before="0" w:after="283"/>
              <w:rPr/>
            </w:pPr>
            <w:r>
              <w:rPr/>
              <w:t> </w:t>
            </w:r>
          </w:p>
        </w:tc>
        <w:tc>
          <w:tcPr>
            <w:tcW w:w="1986"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14" w:name="PGBRK124"/>
      <w:bookmarkStart w:id="1415" w:name="PGBRK124"/>
      <w:bookmarkEnd w:id="1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6" w:name="FTR124"/>
      <w:bookmarkStart w:id="1417" w:name="FTR124"/>
      <w:bookmarkEnd w:id="1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8" w:name="GLFTR123"/>
      <w:bookmarkEnd w:id="14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19" w:name="PN123"/>
      <w:bookmarkEnd w:id="1419"/>
      <w:r>
        <w:rPr>
          <w:rFonts w:ascii="Helvetica" w:hAnsi="Helvetica"/>
          <w:sz w:val="20"/>
        </w:rPr>
        <w:t>II-9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0" w:name="HDR123"/>
      <w:bookmarkStart w:id="1421" w:name="HDR123"/>
      <w:bookmarkEnd w:id="1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22" w:name="GLHDR123"/>
      <w:bookmarkEnd w:id="14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EXHIBIT INDEX</w:t>
      </w:r>
    </w:p>
    <w:p>
      <w:pPr>
        <w:pStyle w:val="TextBody"/>
        <w:spacing w:before="0" w:after="0"/>
        <w:ind w:left="0" w:right="0" w:hanging="0"/>
        <w:jc w:val="both"/>
        <w:rPr/>
      </w:pPr>
      <w:r>
        <w:rPr/>
        <w:t> </w:t>
      </w:r>
    </w:p>
    <w:tbl>
      <w:tblPr>
        <w:tblW w:w="5000" w:type="pct"/>
        <w:jc w:val="center"/>
        <w:tblInd w:w="0" w:type="dxa"/>
        <w:tblCellMar>
          <w:top w:w="0" w:type="dxa"/>
          <w:left w:w="0" w:type="dxa"/>
          <w:bottom w:w="28" w:type="dxa"/>
          <w:right w:w="0" w:type="dxa"/>
        </w:tblCellMar>
      </w:tblPr>
      <w:tblGrid>
        <w:gridCol w:w="1095"/>
        <w:gridCol w:w="205"/>
        <w:gridCol w:w="8905"/>
      </w:tblGrid>
      <w:tr>
        <w:trPr/>
        <w:tc>
          <w:tcPr>
            <w:tcW w:w="1095" w:type="dxa"/>
            <w:tcBorders>
              <w:bottom w:val="single" w:sz="12" w:space="0" w:color="000000"/>
            </w:tcBorders>
            <w:shd w:fill="auto" w:val="clear"/>
          </w:tcPr>
          <w:p>
            <w:pPr>
              <w:pStyle w:val="TableContents"/>
              <w:spacing w:before="0" w:after="0"/>
              <w:ind w:left="0" w:right="16" w:hanging="0"/>
              <w:jc w:val="both"/>
              <w:rPr>
                <w:rFonts w:ascii="helvetica" w:hAnsi="helvetica"/>
                <w:b/>
                <w:sz w:val="20"/>
              </w:rPr>
            </w:pPr>
            <w:r>
              <w:rPr>
                <w:rFonts w:ascii="helvetica" w:hAnsi="helvetica"/>
                <w:b/>
                <w:sz w:val="20"/>
              </w:rPr>
              <w:t>Exhibit No.</w:t>
            </w:r>
          </w:p>
        </w:tc>
        <w:tc>
          <w:tcPr>
            <w:tcW w:w="205" w:type="dxa"/>
            <w:tcBorders/>
            <w:shd w:fill="auto" w:val="clear"/>
            <w:tcMar>
              <w:bottom w:w="0" w:type="dxa"/>
            </w:tcMar>
          </w:tcPr>
          <w:p>
            <w:pPr>
              <w:pStyle w:val="TableContents"/>
              <w:spacing w:before="0" w:after="283"/>
              <w:jc w:val="both"/>
              <w:rPr/>
            </w:pPr>
            <w:r>
              <w:rPr/>
              <w:t xml:space="preserve">  </w:t>
            </w:r>
          </w:p>
        </w:tc>
        <w:tc>
          <w:tcPr>
            <w:tcW w:w="8905" w:type="dxa"/>
            <w:tcBorders>
              <w:bottom w:val="single" w:sz="12" w:space="0" w:color="000000"/>
            </w:tcBorders>
            <w:shd w:fill="auto" w:val="clear"/>
          </w:tcPr>
          <w:p>
            <w:pPr>
              <w:pStyle w:val="TableContents"/>
              <w:spacing w:before="0" w:after="0"/>
              <w:ind w:left="0" w:right="16" w:hanging="0"/>
              <w:jc w:val="both"/>
              <w:rPr>
                <w:rFonts w:ascii="helvetica" w:hAnsi="helvetica"/>
                <w:b/>
                <w:sz w:val="20"/>
              </w:rPr>
            </w:pPr>
            <w:r>
              <w:rPr>
                <w:rFonts w:ascii="helvetica" w:hAnsi="helvetica"/>
                <w:b/>
                <w:sz w:val="20"/>
              </w:rPr>
              <w:t>Description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4" w:hanging="0"/>
              <w:jc w:val="both"/>
              <w:rPr>
                <w:rFonts w:ascii="helvetica" w:hAnsi="helvetica"/>
                <w:sz w:val="20"/>
              </w:rPr>
            </w:pPr>
            <w:r>
              <w:rPr>
                <w:rFonts w:ascii="helvetica" w:hAnsi="helvetica"/>
                <w:sz w:val="20"/>
              </w:rPr>
              <w:t>Form of Underwriting Agreement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2.1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and Plan of Merger, dated as of September 17, 2007, by and among Transdel Pharmaceuticals, Inc., Transdel Pharmaceuticals Holdings, Inc. and Trans-Pharma Acquisition Corp. Incorporation (incorporated herein by reference to Exhibit 2.1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herein by reference to Exhibit 3.1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Bylaws (incorporated herein by reference to Exhibit 3.2 to the Company’s Current Report on Form 8-K filed with the Securities and Exchange Commission September 13,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Certificate of Designation of Series A Convertible Preferred Stock of Transdel Pharmaceuticals, Inc. (incorporated herein by reference to Exhibit 3.1 to the Current Report on Form 8-K of Transdel Pharmaceuticals, Inc. filed with the Securities and Exchange Commission on December 20, 2011)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3.4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Amended and Restated Certificate of Incorporation (incorporated by reference to Exhibit 3.1 to the Company’s Quarterly Report on 10-Q filed with the Securities and Exchange Commission on May 10,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5.1†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Opinion of Morrison &amp; Foerster LLP</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to the Current Report on Form 8-K of Transdel Pharmaceuticals, Inc. filed with the Securities and Exchange Commission on September 21, 2007)</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Directors and Officers Indemnification Agreement (incorporated herein by reference to Exhibit 10.8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10.3#</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(incorporated herein by reference to Exhibit 10.11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10.4#</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Transdel Pharmaceuticals, Inc. 2007 Incentive Stock and Awards Plan — Amendment No. 1 (incorporated herein by reference to Exhibit A to the Definitive Proxy Statement on Schedule 14A of Transdel Pharmaceuticals, Inc. filed with the Securities and Exchange Commission on October 1, 2008)</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10.5#</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2 to Transdel Pharmaceuticals, Inc. 2007 Incentive Stock and Awards Plan (incorporated herein by reference to Annex B to the Information Statement on Schedule 14C of Transdel Pharmaceuticals, Inc. filed with the Securities and Exchange Commission on February 6, 2012)</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10.6#**</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Amendment No. 3 to Imprimis Pharmaceuticals, Inc. 2007 Incentive Stock and Awards Plan</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10.7#</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Incentive Stock Option Agreement (incorporated herein by reference to Exhibit 10.12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10.8#</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2007 Non-Qualified Stock Option Agreement (incorporated herein by reference to Exhibit 10.13 to the Current Report on Form 8-K of Transdel Pharmaceuticals, Inc. filed with the Securities and Exchange Commission on September 21,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10.9</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10.10 </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Research and Development Services Agreement, dated as of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 </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10.11</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Project Scope Document, effective as of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1095" w:type="dxa"/>
            <w:tcBorders/>
            <w:shd w:fill="FFFFFF" w:val="clear"/>
            <w:tcMar>
              <w:bottom w:w="0" w:type="dxa"/>
            </w:tcMar>
          </w:tcPr>
          <w:p>
            <w:pPr>
              <w:pStyle w:val="TableContents"/>
              <w:spacing w:before="0" w:after="283"/>
              <w:jc w:val="both"/>
              <w:rPr/>
            </w:pPr>
            <w:r>
              <w:rPr/>
              <w:t> </w:t>
            </w:r>
          </w:p>
        </w:tc>
        <w:tc>
          <w:tcPr>
            <w:tcW w:w="205" w:type="dxa"/>
            <w:tcBorders/>
            <w:shd w:fill="FFFFFF" w:val="clear"/>
            <w:tcMar>
              <w:bottom w:w="0" w:type="dxa"/>
            </w:tcMar>
          </w:tcPr>
          <w:p>
            <w:pPr>
              <w:pStyle w:val="TableContents"/>
              <w:spacing w:before="0" w:after="283"/>
              <w:jc w:val="both"/>
              <w:rPr/>
            </w:pPr>
            <w:r>
              <w:rPr/>
              <w:t> </w:t>
            </w:r>
          </w:p>
        </w:tc>
        <w:tc>
          <w:tcPr>
            <w:tcW w:w="8905" w:type="dxa"/>
            <w:tcBorders/>
            <w:shd w:fill="FFFFFF" w:val="clear"/>
            <w:tcMar>
              <w:bottom w:w="0" w:type="dxa"/>
            </w:tcMar>
          </w:tcPr>
          <w:p>
            <w:pPr>
              <w:pStyle w:val="TableContents"/>
              <w:spacing w:before="0" w:after="283"/>
              <w:jc w:val="both"/>
              <w:rPr/>
            </w:pPr>
            <w:r>
              <w:rPr/>
              <w:t> </w:t>
            </w:r>
          </w:p>
        </w:tc>
      </w:tr>
      <w:tr>
        <w:trPr/>
        <w:tc>
          <w:tcPr>
            <w:tcW w:w="109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10.12</w:t>
            </w:r>
          </w:p>
        </w:tc>
        <w:tc>
          <w:tcPr>
            <w:tcW w:w="205" w:type="dxa"/>
            <w:tcBorders/>
            <w:shd w:fill="CCEEFF" w:val="clear"/>
            <w:tcMar>
              <w:bottom w:w="0" w:type="dxa"/>
            </w:tcMar>
          </w:tcPr>
          <w:p>
            <w:pPr>
              <w:pStyle w:val="TableContents"/>
              <w:spacing w:before="0" w:after="283"/>
              <w:jc w:val="both"/>
              <w:rPr/>
            </w:pPr>
            <w:r>
              <w:rPr/>
              <w:t xml:space="preserve">  </w:t>
            </w:r>
          </w:p>
        </w:tc>
        <w:tc>
          <w:tcPr>
            <w:tcW w:w="8905" w:type="dxa"/>
            <w:tcBorders/>
            <w:shd w:fill="CCEEFF" w:val="clear"/>
            <w:tcMar>
              <w:bottom w:w="0" w:type="dxa"/>
            </w:tcMar>
          </w:tcPr>
          <w:p>
            <w:pPr>
              <w:pStyle w:val="TableContents"/>
              <w:spacing w:before="0" w:after="0"/>
              <w:ind w:left="0" w:right="16" w:hanging="0"/>
              <w:jc w:val="both"/>
              <w:rPr>
                <w:rFonts w:ascii="helvetica" w:hAnsi="helvetica"/>
                <w:sz w:val="20"/>
              </w:rPr>
            </w:pPr>
            <w:r>
              <w:rPr>
                <w:rFonts w:ascii="helvetica" w:hAnsi="helvetica"/>
                <w:sz w:val="20"/>
              </w:rPr>
              <w:t>Form of Warrant to purchase Common Stock (incorporated herein by reference to Exhibit 10.2 the Current Report on Form 8-K of Transdel Pharmaceuticals, Inc. filed with the Securities and Exchange Commission on May 15, 2008).</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23" w:name="PGBRK125"/>
      <w:bookmarkStart w:id="1424" w:name="PGBRK125"/>
      <w:bookmarkEnd w:id="1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5" w:name="FTR125"/>
      <w:bookmarkStart w:id="1426" w:name="FTR125"/>
      <w:bookmarkEnd w:id="1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27" w:name="GLFTR124"/>
      <w:bookmarkEnd w:id="14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28" w:name="PN124"/>
      <w:bookmarkEnd w:id="1428"/>
      <w:r>
        <w:rPr>
          <w:rFonts w:ascii="Helvetica" w:hAnsi="Helvetica"/>
          <w:sz w:val="20"/>
        </w:rPr>
        <w:t>II-10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9" w:name="HDR124"/>
      <w:bookmarkStart w:id="1430" w:name="HDR124"/>
      <w:bookmarkEnd w:id="1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31" w:name="GLHDR124"/>
      <w:bookmarkEnd w:id="14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Employment Agreement, dated as of October 18, 2010, between Transdel Pharmaceuticals, Inc. and John Bonfiglio, Ph.D.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Nonqualified Stock Option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540" w:right="0" w:hanging="540"/>
              <w:jc w:val="both"/>
              <w:rPr>
                <w:rFonts w:ascii="helvetica" w:hAnsi="helvetica"/>
                <w:sz w:val="20"/>
              </w:rPr>
            </w:pPr>
            <w:r>
              <w:rPr>
                <w:rFonts w:ascii="helvetica" w:hAnsi="helvetica"/>
                <w:sz w:val="20"/>
              </w:rPr>
              <w:t>10.15#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Restricted Stock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Note Purchase Agreement (incorporated herein by reference to Exhibit 10.1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Form of Senior Convertible Promissory Note (incorporated herein by reference to Exhibit 10.2 to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Asset Purchase Agreement, dated as of June 23, 2011, by and among Transdel Pharmaceuticals, Inc. and Cardium Healthcare, Inc. (incorporated herein by reference to Exhibit 2.1 to the Current Report on Form 8-K of Transdel Pharmaceuticals, Inc. filed with the Securities and Exchange Commission on June 26,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10.19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Secured Line of Credit Letter Agreement, dated November 21, 2011 and effective as of December 9, 2011, by and between Transdel Pharmaceuticals, Inc. and DermaStar International, LLC. (incorporated herein by reference to Exhibit 10.1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Security Agreement, dated as of December 9, 2011, by and between Transdel Pharmaceuticals, Inc. and DermaStar International, LLC. (incorporated herein by reference to Exhibit 10.2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Intellectual Property Security Agreement, dated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November 21, 2011 and effective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First Amendment to Securities Purchase Agreement, effective as of December 31, 2011, by and between Transdel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Mutual General Release Agreement, dated as of December 13, 2011, by and between Transdel Pharmaceuticals, Inc. and the other signatories thereto. (incorporated herein by reference to Exhibit 10.4 to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DermaStar International, LLC (incorporated by reference to Exhibit 10.11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Waiver and Settlement Agreement, effective as of January 25, 2012, by and between Transdel Pharmaceuticals, Inc. and Alexej Ladonnikov (incorporated by reference to Exhibit 10.1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January as of 1, 2012, by and between Transdel Pharmaceuticals, Inc. and Balbir Brar, D.V.M., Ph.D. (incorporated by reference to Exhibit 10.3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10.28#</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 2012, by and between Transdel Pharmaceuticals, Inc. and Andrew Boll (incorporated by reference to Exhibit 10.4 to the Company’s Quarterly Report on 10-Q filed with the Securities and Exchange Commission on May 10, 2012)</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32" w:name="PGBRK126"/>
      <w:bookmarkStart w:id="1433" w:name="PGBRK126"/>
      <w:bookmarkEnd w:id="14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4" w:name="FTR126"/>
      <w:bookmarkStart w:id="1435" w:name="FTR126"/>
      <w:bookmarkEnd w:id="1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6" w:name="GLFTR125"/>
      <w:bookmarkEnd w:id="14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437" w:name="PN125"/>
      <w:bookmarkEnd w:id="1437"/>
      <w:r>
        <w:rPr>
          <w:rFonts w:ascii="Helvetica" w:hAnsi="Helvetica"/>
          <w:sz w:val="20"/>
        </w:rPr>
        <w:t>II-11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8" w:name="HDR125"/>
      <w:bookmarkStart w:id="1439" w:name="HDR125"/>
      <w:bookmarkEnd w:id="1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0" w:name="GLHDR125"/>
      <w:bookmarkEnd w:id="14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10.29#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Employment Agreement, effective as of February 15, 2012, by and between Transdel Pharmaceuticals, Inc. and Joachim Schupp, M.D. (incorporated by reference to Exhibit 10.5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 xml:space="preserve">Amended and Restated Employment Agreement, dated July 24, 2012, by and between Imprimis Pharmaceuticals, Inc. and Mark L. Baum, Esq. </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Advisory Agreement, effective as of April 1, 2012, by and between Imprimis Pharmaceuticals, Inc. and Dr. Robert Kammer (incorporated by reference to Exhibit 10.4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10.32#**</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Amendment to Advisory Agreement, dated July 24, 2012, by and between Imprimis Pharmaceuticals, Inc. and Dr. Robert Kammer (incorporated by reference to Exhibit 10.4 to the Company’s Current Report on 8-K filed with the Securities and Exchange Commission on July 24,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10.33#</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Senior Advisory Agreement, effective as of January 17, 2012, by and between Transdel Pharmaceuticals, Inc. and Paul Finnegan, M.D. (incorporated by reference to Exhibit 10.2 to the Company’s Quarterly Report on 10-Q filed with the Securities and Exchange Commission on May 10,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10.34#**</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Termination Agreement, effective as of May 9, 2012, by and between Imprimis Pharmaceuticals, Inc. and Paul Finnegan, M.D.</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10.35</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Promissory Note Conversion Agreement, dated as of April 20, 2012, by and between Imprimis Pharmaceuticals, Inc. and DermaStar International, LLC (incorporated herein by reference to the Current Report on Form 8-K of Imprimis Pharmaceuticals, Inc.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10.36</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Securities Purchase Agreement, dated as of April 20, 2012, by and between Imprimis Pharmaceuticals, Inc. and the investors signatory thereto (incorporated by reference to Exhibit 10.1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10.37</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Form of Warrant dated as of April 25, 2012 (incorporated by reference to Exhibit 10.2 to the Company’s Current Report on 8-K filed with the Securities and Exchange Commission on April 27, 2012)</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10.39**</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Conversion Agreement, dated June 29, 2012, by and between Imprimis Pharmaceuticals, Inc. and DermaStar International, LLC</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10.40#**</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Stand-alone Restricted Stock Unit Agreement, dated July 18, 2012, granted by Imprimis Pharmaceuticals, Inc. to Mark L. Baum</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283"/>
              <w:jc w:val="both"/>
              <w:rPr>
                <w:rFonts w:ascii="helvetica" w:hAnsi="helvetica"/>
                <w:sz w:val="20"/>
              </w:rPr>
            </w:pPr>
            <w:r>
              <w:rPr>
                <w:rFonts w:ascii="helvetica" w:hAnsi="helvetica"/>
                <w:sz w:val="20"/>
              </w:rPr>
              <w:t>10.41#**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Stand-alone Restricted Stock Unit Agreement, dated July 18, 2012, granted by Imprimis Pharmaceuticals, Inc. to Robert J. Kammer</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23.1*</w:t>
            </w:r>
          </w:p>
        </w:tc>
        <w:tc>
          <w:tcPr>
            <w:tcW w:w="203" w:type="dxa"/>
            <w:tcBorders/>
            <w:shd w:fill="CCEEFF" w:val="clear"/>
          </w:tcPr>
          <w:p>
            <w:pPr>
              <w:pStyle w:val="TableContents"/>
              <w:spacing w:before="0" w:after="283"/>
              <w:jc w:val="both"/>
              <w:rPr/>
            </w:pPr>
            <w:r>
              <w:rPr/>
              <w:t> </w:t>
            </w:r>
          </w:p>
        </w:tc>
        <w:tc>
          <w:tcPr>
            <w:tcW w:w="9186" w:type="dxa"/>
            <w:tcBorders/>
            <w:shd w:fill="CCEEFF" w:val="clear"/>
          </w:tcPr>
          <w:p>
            <w:pPr>
              <w:pStyle w:val="TableContents"/>
              <w:spacing w:before="0" w:after="0"/>
              <w:ind w:left="0" w:right="16" w:hanging="0"/>
              <w:jc w:val="both"/>
              <w:rPr>
                <w:rFonts w:ascii="helvetica" w:hAnsi="helvetica"/>
                <w:sz w:val="20"/>
              </w:rPr>
            </w:pPr>
            <w:r>
              <w:rPr>
                <w:rFonts w:ascii="helvetica" w:hAnsi="helvetica"/>
                <w:sz w:val="20"/>
              </w:rPr>
              <w:t>Consent of KMJ Corbin &amp; Company LLP</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jc w:val="both"/>
              <w:rPr/>
            </w:pPr>
            <w:r>
              <w:rPr/>
              <w:t> </w:t>
            </w:r>
          </w:p>
        </w:tc>
        <w:tc>
          <w:tcPr>
            <w:tcW w:w="9186" w:type="dxa"/>
            <w:tcBorders/>
            <w:shd w:fill="FFFFFF" w:val="clear"/>
          </w:tcPr>
          <w:p>
            <w:pPr>
              <w:pStyle w:val="TableContents"/>
              <w:spacing w:before="0" w:after="283"/>
              <w:jc w:val="both"/>
              <w:rPr/>
            </w:pPr>
            <w:r>
              <w:rPr/>
              <w:t> </w:t>
            </w:r>
          </w:p>
        </w:tc>
      </w:tr>
      <w:tr>
        <w:trPr/>
        <w:tc>
          <w:tcPr>
            <w:tcW w:w="816" w:type="dxa"/>
            <w:tcBorders/>
            <w:shd w:fill="CCEEFF" w:val="clear"/>
          </w:tcPr>
          <w:p>
            <w:pPr>
              <w:pStyle w:val="TableContents"/>
              <w:spacing w:before="0" w:after="0"/>
              <w:ind w:left="720" w:right="0" w:hanging="720"/>
              <w:jc w:val="both"/>
              <w:rPr>
                <w:rFonts w:ascii="helvetica" w:hAnsi="helvetica"/>
                <w:sz w:val="20"/>
              </w:rPr>
            </w:pPr>
            <w:r>
              <w:rPr>
                <w:rFonts w:ascii="helvetica" w:hAnsi="helvetica"/>
                <w:sz w:val="20"/>
              </w:rPr>
              <w:t>23.2†</w:t>
            </w:r>
          </w:p>
        </w:tc>
        <w:tc>
          <w:tcPr>
            <w:tcW w:w="203" w:type="dxa"/>
            <w:tcBorders/>
            <w:shd w:fill="CCEEFF" w:val="clear"/>
          </w:tcPr>
          <w:p>
            <w:pPr>
              <w:pStyle w:val="TableContents"/>
              <w:spacing w:before="0" w:after="283"/>
              <w:ind w:left="0" w:right="0" w:hanging="0"/>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Consent of Morrison &amp; Foerster LLP (contained in Exhibit 5.1)</w:t>
            </w:r>
          </w:p>
        </w:tc>
      </w:tr>
      <w:tr>
        <w:trPr/>
        <w:tc>
          <w:tcPr>
            <w:tcW w:w="816" w:type="dxa"/>
            <w:tcBorders/>
            <w:shd w:fill="FFFFFF" w:val="clear"/>
          </w:tcPr>
          <w:p>
            <w:pPr>
              <w:pStyle w:val="TableContents"/>
              <w:spacing w:before="0" w:after="283"/>
              <w:jc w:val="both"/>
              <w:rPr/>
            </w:pPr>
            <w:r>
              <w:rPr/>
              <w:t> </w:t>
            </w:r>
          </w:p>
        </w:tc>
        <w:tc>
          <w:tcPr>
            <w:tcW w:w="203" w:type="dxa"/>
            <w:tcBorders/>
            <w:shd w:fill="FFFFFF" w:val="clear"/>
          </w:tcPr>
          <w:p>
            <w:pPr>
              <w:pStyle w:val="TableContents"/>
              <w:spacing w:before="0" w:after="283"/>
              <w:ind w:left="0" w:right="0" w:hanging="0"/>
              <w:jc w:val="both"/>
              <w:rPr/>
            </w:pPr>
            <w:r>
              <w:rPr/>
              <w:t> </w:t>
            </w:r>
          </w:p>
        </w:tc>
        <w:tc>
          <w:tcPr>
            <w:tcW w:w="9186" w:type="dxa"/>
            <w:tcBorders/>
            <w:shd w:fill="FFFFFF" w:val="clear"/>
          </w:tcPr>
          <w:p>
            <w:pPr>
              <w:pStyle w:val="TableContents"/>
              <w:spacing w:before="0" w:after="283"/>
              <w:ind w:left="0" w:right="0" w:hanging="0"/>
              <w:jc w:val="both"/>
              <w:rPr/>
            </w:pPr>
            <w:r>
              <w:rPr/>
              <w:t> </w:t>
            </w:r>
          </w:p>
        </w:tc>
      </w:tr>
      <w:tr>
        <w:trPr/>
        <w:tc>
          <w:tcPr>
            <w:tcW w:w="81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24.1**</w:t>
            </w:r>
          </w:p>
        </w:tc>
        <w:tc>
          <w:tcPr>
            <w:tcW w:w="203" w:type="dxa"/>
            <w:tcBorders/>
            <w:shd w:fill="CCEEFF" w:val="clear"/>
          </w:tcPr>
          <w:p>
            <w:pPr>
              <w:pStyle w:val="TableContents"/>
              <w:spacing w:before="0" w:after="283"/>
              <w:ind w:left="0" w:right="0" w:hanging="0"/>
              <w:jc w:val="both"/>
              <w:rPr/>
            </w:pPr>
            <w:r>
              <w:rPr/>
              <w:t> </w:t>
            </w:r>
          </w:p>
        </w:tc>
        <w:tc>
          <w:tcPr>
            <w:tcW w:w="9186" w:type="dxa"/>
            <w:tcBorders/>
            <w:shd w:fill="CCEEFF" w:val="clear"/>
          </w:tcPr>
          <w:p>
            <w:pPr>
              <w:pStyle w:val="TableContents"/>
              <w:spacing w:before="0" w:after="0"/>
              <w:ind w:left="0" w:right="0" w:hanging="0"/>
              <w:jc w:val="both"/>
              <w:rPr>
                <w:rFonts w:ascii="helvetica" w:hAnsi="helvetica"/>
                <w:sz w:val="20"/>
              </w:rPr>
            </w:pPr>
            <w:r>
              <w:rPr>
                <w:rFonts w:ascii="helvetica" w:hAnsi="helvetica"/>
                <w:sz w:val="20"/>
              </w:rPr>
              <w:t>Power of Attorney (contained on the signature page)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101.INS++*</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Instant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101.SCH++*</w:t>
            </w:r>
          </w:p>
        </w:tc>
        <w:tc>
          <w:tcPr>
            <w:tcW w:w="203" w:type="dxa"/>
            <w:tcBorders/>
            <w:shd w:fill="CCEEFF" w:val="clear"/>
            <w:vAlign w:val="bottom"/>
          </w:tcPr>
          <w:p>
            <w:pPr>
              <w:pStyle w:val="TableContents"/>
              <w:spacing w:before="0" w:after="283"/>
              <w:ind w:left="0" w:right="0" w:hanging="0"/>
              <w:jc w:val="left"/>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Schema Document</w:t>
            </w:r>
          </w:p>
        </w:tc>
      </w:tr>
      <w:tr>
        <w:trPr/>
        <w:tc>
          <w:tcPr>
            <w:tcW w:w="815" w:type="dxa"/>
            <w:tcBorders/>
            <w:shd w:fill="FFFFFF" w:val="clear"/>
          </w:tcPr>
          <w:p>
            <w:pPr>
              <w:pStyle w:val="TableContents"/>
              <w:spacing w:before="0" w:after="283"/>
              <w:ind w:left="0" w:right="0" w:hanging="0"/>
              <w:jc w:val="left"/>
              <w:rPr/>
            </w:pPr>
            <w:r>
              <w:rPr/>
              <w:t> </w:t>
            </w:r>
          </w:p>
        </w:tc>
        <w:tc>
          <w:tcPr>
            <w:tcW w:w="203" w:type="dxa"/>
            <w:tcBorders/>
            <w:shd w:fill="FFFFFF" w:val="clear"/>
            <w:vAlign w:val="bottom"/>
          </w:tcPr>
          <w:p>
            <w:pPr>
              <w:pStyle w:val="TableContents"/>
              <w:spacing w:before="0" w:after="283"/>
              <w:jc w:val="left"/>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101.CAL++*</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Calculation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101.DEF++*</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Definition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101.LAB++*</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Label Linkbase Document</w:t>
            </w:r>
          </w:p>
        </w:tc>
      </w:tr>
      <w:tr>
        <w:trPr/>
        <w:tc>
          <w:tcPr>
            <w:tcW w:w="815" w:type="dxa"/>
            <w:tcBorders/>
            <w:shd w:fill="FFFFFF" w:val="clear"/>
          </w:tcPr>
          <w:p>
            <w:pPr>
              <w:pStyle w:val="TableContents"/>
              <w:spacing w:before="0" w:after="283"/>
              <w:jc w:val="left"/>
              <w:rPr/>
            </w:pPr>
            <w:r>
              <w:rPr/>
              <w:t> </w:t>
            </w:r>
          </w:p>
        </w:tc>
        <w:tc>
          <w:tcPr>
            <w:tcW w:w="203" w:type="dxa"/>
            <w:tcBorders/>
            <w:shd w:fill="FFFFFF" w:val="clear"/>
            <w:vAlign w:val="bottom"/>
          </w:tcPr>
          <w:p>
            <w:pPr>
              <w:pStyle w:val="TableContents"/>
              <w:spacing w:before="0" w:after="283"/>
              <w:rPr/>
            </w:pPr>
            <w:r>
              <w:rPr/>
              <w:t> </w:t>
            </w:r>
          </w:p>
        </w:tc>
        <w:tc>
          <w:tcPr>
            <w:tcW w:w="9187" w:type="dxa"/>
            <w:tcBorders/>
            <w:shd w:fill="FFFFFF" w:val="clear"/>
          </w:tcPr>
          <w:p>
            <w:pPr>
              <w:pStyle w:val="TableContents"/>
              <w:spacing w:before="0" w:after="283"/>
              <w:jc w:val="left"/>
              <w:rPr/>
            </w:pPr>
            <w:r>
              <w:rPr/>
              <w:t> </w:t>
            </w:r>
          </w:p>
        </w:tc>
      </w:tr>
      <w:tr>
        <w:trPr/>
        <w:tc>
          <w:tcPr>
            <w:tcW w:w="815"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101.PRE++*</w:t>
            </w:r>
          </w:p>
        </w:tc>
        <w:tc>
          <w:tcPr>
            <w:tcW w:w="203" w:type="dxa"/>
            <w:tcBorders/>
            <w:shd w:fill="CCEEFF" w:val="clear"/>
            <w:vAlign w:val="bottom"/>
          </w:tcPr>
          <w:p>
            <w:pPr>
              <w:pStyle w:val="TableContents"/>
              <w:spacing w:before="0" w:after="283"/>
              <w:ind w:left="0" w:right="0" w:hanging="0"/>
              <w:rPr/>
            </w:pPr>
            <w:r>
              <w:rPr/>
              <w:t xml:space="preserve">  </w:t>
            </w:r>
          </w:p>
        </w:tc>
        <w:tc>
          <w:tcPr>
            <w:tcW w:w="9187" w:type="dxa"/>
            <w:tcBorders/>
            <w:shd w:fill="CCEEFF" w:val="clear"/>
          </w:tcPr>
          <w:p>
            <w:pPr>
              <w:pStyle w:val="TableContents"/>
              <w:spacing w:before="0" w:after="0"/>
              <w:ind w:left="0" w:right="0" w:hanging="0"/>
              <w:jc w:val="left"/>
              <w:rPr>
                <w:rFonts w:ascii="helvetica" w:hAnsi="helvetica"/>
                <w:sz w:val="20"/>
              </w:rPr>
            </w:pPr>
            <w:r>
              <w:rPr>
                <w:rFonts w:ascii="helvetica" w:hAnsi="helvetica"/>
                <w:sz w:val="20"/>
              </w:rPr>
              <w:t>XBRL Taxonomy Extension Presentation Linkbase Document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0"/>
        <w:gridCol w:w="9574"/>
        <w:gridCol w:w="421"/>
      </w:tblGrid>
      <w:tr>
        <w:trPr/>
        <w:tc>
          <w:tcPr>
            <w:tcW w:w="210" w:type="dxa"/>
            <w:tcBorders/>
            <w:shd w:fill="auto" w:val="clear"/>
          </w:tcPr>
          <w:p>
            <w:pPr>
              <w:pStyle w:val="TableContents"/>
              <w:spacing w:before="0" w:after="0"/>
              <w:ind w:left="720" w:right="0" w:hanging="720"/>
              <w:jc w:val="left"/>
              <w:rPr/>
            </w:pPr>
            <w:r>
              <w:rPr/>
              <w:t>†</w:t>
            </w:r>
          </w:p>
        </w:tc>
        <w:tc>
          <w:tcPr>
            <w:tcW w:w="9574" w:type="dxa"/>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To be file by amendment.</w:t>
            </w:r>
          </w:p>
        </w:tc>
        <w:tc>
          <w:tcPr>
            <w:tcW w:w="421" w:type="dxa"/>
            <w:tcBorders/>
            <w:shd w:fill="auto" w:val="clear"/>
          </w:tcPr>
          <w:p>
            <w:pPr>
              <w:pStyle w:val="TableContents"/>
              <w:spacing w:before="0" w:after="283"/>
              <w:rPr/>
            </w:pPr>
            <w:r>
              <w:rPr/>
              <w:t xml:space="preserve">  </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Filed herewith</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left"/>
              <w:rPr>
                <w:rFonts w:ascii="helvetica" w:hAnsi="helvetica"/>
                <w:sz w:val="20"/>
              </w:rPr>
            </w:pPr>
            <w:r>
              <w:rPr>
                <w:rFonts w:ascii="helvetica" w:hAnsi="helvetica"/>
                <w:sz w:val="20"/>
              </w:rPr>
              <w:t>Management contract or compensatory plan or arrangement.</w:t>
            </w:r>
          </w:p>
        </w:tc>
      </w:tr>
      <w:tr>
        <w:trPr/>
        <w:tc>
          <w:tcPr>
            <w:tcW w:w="210" w:type="dxa"/>
            <w:tcBorders/>
            <w:shd w:fill="auto" w:val="clear"/>
          </w:tcPr>
          <w:p>
            <w:pPr>
              <w:pStyle w:val="TableContents"/>
              <w:spacing w:before="0" w:after="0"/>
              <w:ind w:left="720" w:right="0" w:hanging="720"/>
              <w:jc w:val="left"/>
              <w:rPr>
                <w:rFonts w:ascii="helvetica" w:hAnsi="helvetica"/>
                <w:sz w:val="20"/>
              </w:rPr>
            </w:pPr>
            <w:r>
              <w:rPr>
                <w:rFonts w:ascii="helvetica" w:hAnsi="helvetica"/>
                <w:sz w:val="20"/>
              </w:rPr>
              <w:t>++</w:t>
            </w:r>
          </w:p>
        </w:tc>
        <w:tc>
          <w:tcPr>
            <w:tcW w:w="9995" w:type="dxa"/>
            <w:gridSpan w:val="2"/>
            <w:tcBorders/>
            <w:shd w:fill="auto" w:val="clear"/>
          </w:tcPr>
          <w:p>
            <w:pPr>
              <w:pStyle w:val="TableContents"/>
              <w:spacing w:before="0" w:after="0"/>
              <w:ind w:left="180" w:right="0" w:hanging="0"/>
              <w:jc w:val="both"/>
              <w:rPr>
                <w:rFonts w:ascii="helvetica" w:hAnsi="helvetica"/>
                <w:sz w:val="20"/>
              </w:rPr>
            </w:pPr>
            <w:r>
              <w:rPr>
                <w:rFonts w:ascii="helvetica" w:hAnsi="helvetica"/>
                <w:sz w:val="20"/>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tc>
      </w:tr>
      <w:tr>
        <w:trPr/>
        <w:tc>
          <w:tcPr>
            <w:tcW w:w="210" w:type="dxa"/>
            <w:tcBorders/>
            <w:shd w:fill="auto" w:val="clear"/>
          </w:tcPr>
          <w:p>
            <w:pPr>
              <w:pStyle w:val="TableContents"/>
              <w:spacing w:before="0" w:after="283"/>
              <w:jc w:val="left"/>
              <w:rPr>
                <w:rFonts w:ascii="helvetica" w:hAnsi="helvetica"/>
                <w:sz w:val="20"/>
              </w:rPr>
            </w:pPr>
            <w:r>
              <w:rPr>
                <w:rFonts w:ascii="helvetica" w:hAnsi="helvetica"/>
                <w:sz w:val="20"/>
              </w:rPr>
              <w:t xml:space="preserve">** </w:t>
            </w:r>
          </w:p>
        </w:tc>
        <w:tc>
          <w:tcPr>
            <w:tcW w:w="9995" w:type="dxa"/>
            <w:gridSpan w:val="2"/>
            <w:tcBorders/>
            <w:shd w:fill="auto" w:val="clear"/>
          </w:tcPr>
          <w:p>
            <w:pPr>
              <w:pStyle w:val="TableContents"/>
              <w:spacing w:before="0" w:after="283"/>
              <w:jc w:val="both"/>
              <w:rPr/>
            </w:pPr>
            <w:r>
              <w:rPr/>
              <w:t>   </w:t>
            </w:r>
            <w:r>
              <w:rPr>
                <w:rFonts w:ascii="helvetica" w:hAnsi="helvetica"/>
                <w:sz w:val="20"/>
              </w:rPr>
              <w:t>Previously filed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bookmarkStart w:id="1441" w:name="PGBRK127"/>
      <w:bookmarkEnd w:id="1441"/>
      <w:r>
        <w:rPr/>
        <w:t xml:space="preserve">  </w:t>
      </w:r>
    </w:p>
    <w:p>
      <w:pPr>
        <w:pStyle w:val="TextBody"/>
        <w:spacing w:before="0" w:after="0"/>
        <w:jc w:val="center"/>
        <w:rPr/>
      </w:pPr>
      <w:r>
        <w:rPr/>
        <w:t xml:space="preserve">II-12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2340" w:right="0" w:hanging="0"/>
        <w:jc w:val="right"/>
        <w:rPr>
          <w:rFonts w:ascii="Times New Roman" w:hAnsi="Times New Roman"/>
          <w:b/>
          <w:sz w:val="20"/>
        </w:rPr>
      </w:pPr>
      <w:bookmarkStart w:id="1442" w:name="tdlp_ex231.htm"/>
      <w:bookmarkStart w:id="1443" w:name="kstdlp_ex231"/>
      <w:bookmarkEnd w:id="1442"/>
      <w:bookmarkEnd w:id="1443"/>
      <w:r>
        <w:rPr>
          <w:rFonts w:ascii="Times New Roman" w:hAnsi="Times New Roman"/>
          <w:b/>
          <w:sz w:val="20"/>
        </w:rPr>
        <w:t>EXHIBIT 23.1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consent to the use in this Amendment No. 1 to Registration Statement (No. 333-182846) on Form S-1 of our report dated February 23, 2012 (except for the effect of the retrospective application of the reverse stock split as described in Note 3, as to which the date is February 28, 2012) relating to the consolidated financial statements of Imprimis Pharmaceuticals, Inc. (formerly Transdel Pharmaceuticals, Inc.) and subsidiary (the “Company”) as of December 31, 2011 and 2010 and for each of the two years in the period ended December 31, 2011 and for the period from July 24, 1998 (date of inception) through December 31, 2011 (which report expresses an unqualified opinion and includes an explanatory paragraph relating to the substantial doubt about the Company’s ability to continue as a going concern) appearing in the Prospectus, which is part of this Registration Statement.</w:t>
      </w:r>
    </w:p>
    <w:p>
      <w:pPr>
        <w:pStyle w:val="TextBody"/>
        <w:spacing w:before="0" w:after="0"/>
        <w:ind w:left="0" w:right="0" w:hanging="0"/>
        <w:jc w:val="both"/>
        <w:rPr/>
      </w:pPr>
      <w:r>
        <w:rPr/>
        <w:t> </w:t>
      </w:r>
    </w:p>
    <w:p>
      <w:pPr>
        <w:pStyle w:val="TextBody"/>
        <w:spacing w:before="0" w:after="0"/>
        <w:ind w:left="180" w:right="1" w:hanging="0"/>
        <w:jc w:val="both"/>
        <w:rPr>
          <w:rFonts w:ascii="Times New Roman" w:hAnsi="Times New Roman"/>
          <w:sz w:val="20"/>
        </w:rPr>
      </w:pPr>
      <w:r>
        <w:rPr>
          <w:rFonts w:ascii="Times New Roman" w:hAnsi="Times New Roman"/>
          <w:sz w:val="20"/>
        </w:rPr>
        <w:t>We also consent to the reference to us under the heading “Experts” in such Prospectus.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KMJ Corbin &amp; Company LLP</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Costa Mesa, California</w:t>
      </w:r>
    </w:p>
    <w:p>
      <w:pPr>
        <w:pStyle w:val="TextBody"/>
        <w:spacing w:before="0" w:after="0"/>
        <w:ind w:left="0" w:right="0" w:hanging="0"/>
        <w:jc w:val="left"/>
        <w:rPr>
          <w:rFonts w:ascii="Times New Roman" w:hAnsi="Times New Roman"/>
          <w:sz w:val="20"/>
        </w:rPr>
      </w:pPr>
      <w:r>
        <w:rPr>
          <w:rFonts w:ascii="Times New Roman" w:hAnsi="Times New Roman"/>
          <w:sz w:val="20"/>
        </w:rPr>
        <w:t>August 16, 2012</w:t>
      </w:r>
    </w:p>
    <w:p>
      <w:pPr>
        <w:pStyle w:val="TextBody"/>
        <w:spacing w:before="0" w:after="0"/>
        <w:rPr/>
      </w:pPr>
      <w:r>
        <w:rPr/>
        <w:t> </w:t>
      </w:r>
    </w:p>
    <w:p>
      <w:pPr>
        <w:pStyle w:val="TextBody"/>
        <w:spacing w:before="0" w:after="283"/>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helvetica">
    <w:altName w:val="Arial"/>
    <w:charset w:val="00"/>
    <w:family w:val="auto"/>
    <w:pitch w:val="default"/>
  </w:font>
  <w:font w:name="Wingdings">
    <w:charset w:val="00"/>
    <w:family w:val="auto"/>
    <w:pitch w:val="default"/>
  </w:font>
  <w:font w:name="wingdings">
    <w:charset w:val="00"/>
    <w:family w:val="auto"/>
    <w:pitch w:val="default"/>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77543</Words>
  <CharactersWithSpaces>504181</CharactersWithSpaces>
  <Paragraphs>12557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