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January 24, 2008.</w:t>
      </w:r>
    </w:p>
    <w:p>
      <w:pPr>
        <w:spacing w:after="0" w:line="240"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SEC File No. 333-147930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7279640"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3302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200660</wp:posOffset>
            </wp:positionV>
            <wp:extent cx="110553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5535" cy="698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SB-2</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3088005</wp:posOffset>
            </wp:positionH>
            <wp:positionV relativeFrom="paragraph">
              <wp:posOffset>209550</wp:posOffset>
            </wp:positionV>
            <wp:extent cx="11055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5535" cy="698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TRANSDEL PHARMACEUTICALS,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small business issuer in its charter)</w:t>
      </w:r>
    </w:p>
    <w:p>
      <w:pPr>
        <w:sectPr>
          <w:pgSz w:w="11900" w:h="16838" w:orient="portrait"/>
          <w:cols w:equalWidth="0" w:num="1">
            <w:col w:w="11460"/>
          </w:cols>
          <w:pgMar w:left="220" w:top="211" w:right="219" w:bottom="1440" w:gutter="0" w:footer="0" w:header="0"/>
        </w:sectPr>
      </w:pPr>
    </w:p>
    <w:p>
      <w:pPr>
        <w:spacing w:after="0" w:line="194" w:lineRule="exact"/>
        <w:rPr>
          <w:sz w:val="24"/>
          <w:szCs w:val="24"/>
          <w:color w:val="auto"/>
        </w:rPr>
      </w:pPr>
    </w:p>
    <w:p>
      <w:pPr>
        <w:ind w:left="1620"/>
        <w:spacing w:after="0"/>
        <w:rPr>
          <w:sz w:val="20"/>
          <w:szCs w:val="20"/>
          <w:color w:val="auto"/>
        </w:rPr>
      </w:pPr>
      <w:r>
        <w:rPr>
          <w:rFonts w:ascii="Arial" w:cs="Arial" w:eastAsia="Arial" w:hAnsi="Arial"/>
          <w:sz w:val="14"/>
          <w:szCs w:val="14"/>
          <w:b w:val="1"/>
          <w:bCs w:val="1"/>
          <w:color w:val="auto"/>
        </w:rPr>
        <w:t>Delaware</w:t>
      </w:r>
    </w:p>
    <w:p>
      <w:pPr>
        <w:spacing w:after="0" w:line="25" w:lineRule="exact"/>
        <w:rPr>
          <w:sz w:val="24"/>
          <w:szCs w:val="24"/>
          <w:color w:val="auto"/>
        </w:rPr>
      </w:pPr>
    </w:p>
    <w:p>
      <w:pPr>
        <w:ind w:left="1240"/>
        <w:spacing w:after="0"/>
        <w:rPr>
          <w:sz w:val="20"/>
          <w:szCs w:val="20"/>
          <w:color w:val="auto"/>
        </w:rPr>
      </w:pPr>
      <w:r>
        <w:rPr>
          <w:rFonts w:ascii="Arial" w:cs="Arial" w:eastAsia="Arial" w:hAnsi="Arial"/>
          <w:sz w:val="14"/>
          <w:szCs w:val="14"/>
          <w:i w:val="1"/>
          <w:iCs w:val="1"/>
          <w:color w:val="auto"/>
        </w:rPr>
        <w:t>(State or jurisdiction of</w:t>
      </w:r>
    </w:p>
    <w:p>
      <w:pPr>
        <w:spacing w:after="0" w:line="12" w:lineRule="exact"/>
        <w:rPr>
          <w:sz w:val="24"/>
          <w:szCs w:val="24"/>
          <w:color w:val="auto"/>
        </w:rPr>
      </w:pPr>
    </w:p>
    <w:p>
      <w:pPr>
        <w:ind w:left="102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1240"/>
        <w:spacing w:after="0"/>
        <w:rPr>
          <w:sz w:val="20"/>
          <w:szCs w:val="20"/>
          <w:color w:val="auto"/>
        </w:rPr>
      </w:pPr>
      <w:r>
        <w:rPr>
          <w:rFonts w:ascii="Arial" w:cs="Arial" w:eastAsia="Arial" w:hAnsi="Arial"/>
          <w:sz w:val="14"/>
          <w:szCs w:val="14"/>
          <w:b w:val="1"/>
          <w:bCs w:val="1"/>
          <w:color w:val="auto"/>
        </w:rPr>
        <w:t>2834</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3"/>
          <w:szCs w:val="13"/>
          <w:i w:val="1"/>
          <w:iCs w:val="1"/>
          <w:color w:val="auto"/>
        </w:rPr>
        <w:t>(primary standard industrial</w:t>
      </w:r>
    </w:p>
    <w:p>
      <w:pPr>
        <w:spacing w:after="0" w:line="24" w:lineRule="exact"/>
        <w:rPr>
          <w:sz w:val="24"/>
          <w:szCs w:val="24"/>
          <w:color w:val="auto"/>
        </w:rPr>
      </w:pPr>
    </w:p>
    <w:p>
      <w:pPr>
        <w:jc w:val="center"/>
        <w:ind w:right="1240"/>
        <w:spacing w:after="0"/>
        <w:rPr>
          <w:sz w:val="20"/>
          <w:szCs w:val="20"/>
          <w:color w:val="auto"/>
        </w:rPr>
      </w:pPr>
      <w:r>
        <w:rPr>
          <w:rFonts w:ascii="Arial" w:cs="Arial" w:eastAsia="Arial" w:hAnsi="Arial"/>
          <w:sz w:val="13"/>
          <w:szCs w:val="13"/>
          <w:i w:val="1"/>
          <w:iCs w:val="1"/>
          <w:color w:val="auto"/>
        </w:rPr>
        <w:t>classification code number)</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880"/>
        <w:spacing w:after="0"/>
        <w:rPr>
          <w:sz w:val="20"/>
          <w:szCs w:val="20"/>
          <w:color w:val="auto"/>
        </w:rPr>
      </w:pPr>
      <w:r>
        <w:rPr>
          <w:rFonts w:ascii="Arial" w:cs="Arial" w:eastAsia="Arial" w:hAnsi="Arial"/>
          <w:sz w:val="14"/>
          <w:szCs w:val="14"/>
          <w:b w:val="1"/>
          <w:bCs w:val="1"/>
          <w:color w:val="auto"/>
        </w:rPr>
        <w:t>45-0567010</w:t>
      </w:r>
    </w:p>
    <w:p>
      <w:pPr>
        <w:spacing w:after="0" w:line="25" w:lineRule="exact"/>
        <w:rPr>
          <w:sz w:val="24"/>
          <w:szCs w:val="24"/>
          <w:color w:val="auto"/>
        </w:rPr>
      </w:pPr>
    </w:p>
    <w:p>
      <w:pPr>
        <w:jc w:val="center"/>
        <w:ind w:right="880"/>
        <w:spacing w:after="0"/>
        <w:rPr>
          <w:sz w:val="20"/>
          <w:szCs w:val="20"/>
          <w:color w:val="auto"/>
        </w:rPr>
      </w:pPr>
      <w:r>
        <w:rPr>
          <w:rFonts w:ascii="Arial" w:cs="Arial" w:eastAsia="Arial" w:hAnsi="Arial"/>
          <w:sz w:val="13"/>
          <w:szCs w:val="13"/>
          <w:i w:val="1"/>
          <w:iCs w:val="1"/>
          <w:color w:val="auto"/>
        </w:rPr>
        <w:t>(I.R.S. Employer Identification No.)</w:t>
      </w:r>
    </w:p>
    <w:p>
      <w:pPr>
        <w:spacing w:after="0" w:line="373" w:lineRule="exact"/>
        <w:rPr>
          <w:sz w:val="24"/>
          <w:szCs w:val="24"/>
          <w:color w:val="auto"/>
        </w:rPr>
      </w:pPr>
    </w:p>
    <w:p>
      <w:pPr>
        <w:sectPr>
          <w:pgSz w:w="11900" w:h="16838" w:orient="portrait"/>
          <w:cols w:equalWidth="0" w:num="3">
            <w:col w:w="4180" w:space="720"/>
            <w:col w:w="2900" w:space="720"/>
            <w:col w:w="2940"/>
          </w:cols>
          <w:pgMar w:left="220" w:top="211" w:right="219" w:bottom="1440" w:gutter="0" w:footer="0" w:header="0"/>
          <w:type w:val="continuous"/>
        </w:sectPr>
      </w:pPr>
    </w:p>
    <w:p>
      <w:pPr>
        <w:spacing w:after="0" w:line="27"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4225 Executive Square, Suite 460</w:t>
      </w:r>
    </w:p>
    <w:p>
      <w:pPr>
        <w:spacing w:after="0" w:line="25" w:lineRule="exact"/>
        <w:rPr>
          <w:sz w:val="24"/>
          <w:szCs w:val="24"/>
          <w:color w:val="auto"/>
        </w:rPr>
      </w:pPr>
    </w:p>
    <w:p>
      <w:pPr>
        <w:ind w:left="5140"/>
        <w:spacing w:after="0"/>
        <w:rPr>
          <w:sz w:val="20"/>
          <w:szCs w:val="20"/>
          <w:color w:val="auto"/>
        </w:rPr>
      </w:pPr>
      <w:r>
        <w:rPr>
          <w:rFonts w:ascii="Arial" w:cs="Arial" w:eastAsia="Arial" w:hAnsi="Arial"/>
          <w:sz w:val="14"/>
          <w:szCs w:val="14"/>
          <w:b w:val="1"/>
          <w:bCs w:val="1"/>
          <w:color w:val="auto"/>
        </w:rPr>
        <w:t>La Jolla, CA 92037</w:t>
      </w:r>
    </w:p>
    <w:p>
      <w:pPr>
        <w:spacing w:after="0" w:line="12" w:lineRule="exact"/>
        <w:rPr>
          <w:sz w:val="24"/>
          <w:szCs w:val="24"/>
          <w:color w:val="auto"/>
        </w:rPr>
      </w:pPr>
    </w:p>
    <w:p>
      <w:pPr>
        <w:ind w:left="5280"/>
        <w:spacing w:after="0"/>
        <w:rPr>
          <w:sz w:val="20"/>
          <w:szCs w:val="20"/>
          <w:color w:val="auto"/>
        </w:rPr>
      </w:pPr>
      <w:r>
        <w:rPr>
          <w:rFonts w:ascii="Arial" w:cs="Arial" w:eastAsia="Arial" w:hAnsi="Arial"/>
          <w:sz w:val="14"/>
          <w:szCs w:val="14"/>
          <w:b w:val="1"/>
          <w:bCs w:val="1"/>
          <w:color w:val="auto"/>
        </w:rPr>
        <w:t>(858) 457-5300</w:t>
      </w:r>
    </w:p>
    <w:p>
      <w:pPr>
        <w:spacing w:after="0" w:line="12" w:lineRule="exact"/>
        <w:rPr>
          <w:sz w:val="24"/>
          <w:szCs w:val="24"/>
          <w:color w:val="auto"/>
        </w:rPr>
      </w:pPr>
    </w:p>
    <w:p>
      <w:pPr>
        <w:ind w:left="3940"/>
        <w:spacing w:after="0"/>
        <w:rPr>
          <w:sz w:val="20"/>
          <w:szCs w:val="20"/>
          <w:color w:val="auto"/>
        </w:rPr>
      </w:pPr>
      <w:r>
        <w:rPr>
          <w:rFonts w:ascii="Arial" w:cs="Arial" w:eastAsia="Arial" w:hAnsi="Arial"/>
          <w:sz w:val="14"/>
          <w:szCs w:val="14"/>
          <w:i w:val="1"/>
          <w:iCs w:val="1"/>
          <w:color w:val="auto"/>
        </w:rPr>
        <w:t>(Address and telephone number of principal executive offices)</w:t>
      </w:r>
    </w:p>
    <w:p>
      <w:pPr>
        <w:spacing w:after="0" w:line="12" w:lineRule="exact"/>
        <w:rPr>
          <w:sz w:val="24"/>
          <w:szCs w:val="24"/>
          <w:color w:val="auto"/>
        </w:rPr>
      </w:pPr>
    </w:p>
    <w:p>
      <w:pPr>
        <w:ind w:left="3440"/>
        <w:spacing w:after="0"/>
        <w:rPr>
          <w:sz w:val="20"/>
          <w:szCs w:val="20"/>
          <w:color w:val="auto"/>
        </w:rPr>
      </w:pPr>
      <w:r>
        <w:rPr>
          <w:rFonts w:ascii="Arial" w:cs="Arial" w:eastAsia="Arial" w:hAnsi="Arial"/>
          <w:sz w:val="13"/>
          <w:szCs w:val="13"/>
          <w:i w:val="1"/>
          <w:iCs w:val="1"/>
          <w:color w:val="auto"/>
        </w:rPr>
        <w:t>(Address of principal place of business or intended principal place of business)</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Juliet Singh, Ph.D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Chief Executive Officer</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4225 Executive Square</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Suite 460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 Jolla, CA 92037</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(858) 457-5300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and telephone number of agent for service)</w:t>
      </w:r>
    </w:p>
    <w:p>
      <w:pPr>
        <w:sectPr>
          <w:pgSz w:w="11900" w:h="16838" w:orient="portrait"/>
          <w:cols w:equalWidth="0" w:num="1">
            <w:col w:w="11460"/>
          </w:cols>
          <w:pgMar w:left="220" w:top="211" w:right="219" w:bottom="1440" w:gutter="0" w:footer="0" w:header="0"/>
          <w:type w:val="continuous"/>
        </w:sectPr>
      </w:pP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including communications sent to agent for service, should be sent to:</w:t>
      </w:r>
    </w:p>
    <w:p>
      <w:pPr>
        <w:spacing w:after="0" w:line="224" w:lineRule="exact"/>
        <w:rPr>
          <w:sz w:val="24"/>
          <w:szCs w:val="24"/>
          <w:color w:val="auto"/>
        </w:rPr>
      </w:pPr>
    </w:p>
    <w:p>
      <w:pPr>
        <w:ind w:left="5040"/>
        <w:spacing w:after="0"/>
        <w:rPr>
          <w:sz w:val="20"/>
          <w:szCs w:val="20"/>
          <w:color w:val="auto"/>
        </w:rPr>
      </w:pPr>
      <w:r>
        <w:rPr>
          <w:rFonts w:ascii="Arial" w:cs="Arial" w:eastAsia="Arial" w:hAnsi="Arial"/>
          <w:sz w:val="14"/>
          <w:szCs w:val="14"/>
          <w:b w:val="1"/>
          <w:bCs w:val="1"/>
          <w:color w:val="auto"/>
        </w:rPr>
        <w:t>Harvey J. Kesner, Esq.</w:t>
      </w:r>
    </w:p>
    <w:p>
      <w:pPr>
        <w:spacing w:after="0" w:line="25" w:lineRule="exact"/>
        <w:rPr>
          <w:sz w:val="24"/>
          <w:szCs w:val="24"/>
          <w:color w:val="auto"/>
        </w:rPr>
      </w:pPr>
    </w:p>
    <w:p>
      <w:pPr>
        <w:ind w:left="4980"/>
        <w:spacing w:after="0"/>
        <w:rPr>
          <w:sz w:val="20"/>
          <w:szCs w:val="20"/>
          <w:color w:val="auto"/>
        </w:rPr>
      </w:pPr>
      <w:r>
        <w:rPr>
          <w:rFonts w:ascii="Arial" w:cs="Arial" w:eastAsia="Arial" w:hAnsi="Arial"/>
          <w:sz w:val="14"/>
          <w:szCs w:val="14"/>
          <w:b w:val="1"/>
          <w:bCs w:val="1"/>
          <w:color w:val="auto"/>
        </w:rPr>
        <w:t>Haynes and Boone, LLP</w:t>
      </w:r>
    </w:p>
    <w:p>
      <w:pPr>
        <w:jc w:val="center"/>
        <w:spacing w:after="0" w:line="191" w:lineRule="auto"/>
        <w:rPr>
          <w:sz w:val="20"/>
          <w:szCs w:val="20"/>
          <w:color w:val="auto"/>
        </w:rPr>
      </w:pPr>
      <w:r>
        <w:rPr>
          <w:rFonts w:ascii="Arial" w:cs="Arial" w:eastAsia="Arial" w:hAnsi="Arial"/>
          <w:sz w:val="14"/>
          <w:szCs w:val="14"/>
          <w:b w:val="1"/>
          <w:bCs w:val="1"/>
          <w:color w:val="auto"/>
        </w:rPr>
        <w:t>153 East 53</w:t>
      </w:r>
      <w:r>
        <w:rPr>
          <w:rFonts w:ascii="Arial" w:cs="Arial" w:eastAsia="Arial" w:hAnsi="Arial"/>
          <w:sz w:val="24"/>
          <w:szCs w:val="24"/>
          <w:b w:val="1"/>
          <w:bCs w:val="1"/>
          <w:color w:val="auto"/>
          <w:vertAlign w:val="superscript"/>
        </w:rPr>
        <w:t>rd</w:t>
      </w:r>
      <w:r>
        <w:rPr>
          <w:rFonts w:ascii="Arial" w:cs="Arial" w:eastAsia="Arial" w:hAnsi="Arial"/>
          <w:sz w:val="14"/>
          <w:szCs w:val="14"/>
          <w:b w:val="1"/>
          <w:bCs w:val="1"/>
          <w:color w:val="auto"/>
        </w:rPr>
        <w:t xml:space="preserve"> Street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Suite 4900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New York, New York 10022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 (212) 659-7300</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Fax (212) 918-8989</w:t>
      </w:r>
    </w:p>
    <w:p>
      <w:pPr>
        <w:spacing w:after="0" w:line="215" w:lineRule="exact"/>
        <w:rPr>
          <w:sz w:val="24"/>
          <w:szCs w:val="24"/>
          <w:color w:val="auto"/>
        </w:rPr>
      </w:pPr>
    </w:p>
    <w:p>
      <w:pPr>
        <w:ind w:left="5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32" w:lineRule="exact"/>
        <w:rPr>
          <w:sz w:val="24"/>
          <w:szCs w:val="24"/>
          <w:color w:val="auto"/>
        </w:rPr>
      </w:pPr>
    </w:p>
    <w:p>
      <w:pPr>
        <w:ind w:right="220" w:firstLine="519"/>
        <w:spacing w:after="0" w:line="290"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3" w:lineRule="exact"/>
        <w:rPr>
          <w:sz w:val="24"/>
          <w:szCs w:val="24"/>
          <w:color w:val="auto"/>
        </w:rPr>
      </w:pPr>
    </w:p>
    <w:p>
      <w:pPr>
        <w:ind w:right="240" w:firstLine="519"/>
        <w:spacing w:after="0" w:line="290"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168910</wp:posOffset>
            </wp:positionV>
            <wp:extent cx="7279640"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211" w:right="219" w:bottom="1440" w:gutter="0" w:footer="0" w:header="0"/>
          <w:type w:val="continuous"/>
        </w:sectPr>
      </w:pPr>
    </w:p>
    <w:bookmarkStart w:id="1" w:name="page2"/>
    <w:bookmarkEnd w:id="1"/>
    <w:p>
      <w:pPr>
        <w:ind w:right="60" w:firstLine="519"/>
        <w:spacing w:after="0" w:line="290"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3" w:lineRule="exact"/>
        <w:rPr>
          <w:sz w:val="20"/>
          <w:szCs w:val="20"/>
          <w:color w:val="auto"/>
        </w:rPr>
      </w:pPr>
    </w:p>
    <w:p>
      <w:pPr>
        <w:jc w:val="both"/>
        <w:ind w:firstLine="519"/>
        <w:spacing w:after="0" w:line="290"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delivery of the prospectus is expected to be made pursuant to Rule 434, check the following box. o</w:t>
      </w:r>
    </w:p>
    <w:p>
      <w:pPr>
        <w:spacing w:after="0" w:line="224" w:lineRule="exact"/>
        <w:rPr>
          <w:sz w:val="20"/>
          <w:szCs w:val="20"/>
          <w:color w:val="auto"/>
        </w:rPr>
      </w:pPr>
    </w:p>
    <w:p>
      <w:pPr>
        <w:jc w:val="both"/>
        <w:ind w:firstLine="519"/>
        <w:spacing w:after="0" w:line="27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7279640" cy="3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640" cy="3746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334010</wp:posOffset>
            </wp:positionV>
            <wp:extent cx="7279640"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280"/>
          </w:cols>
          <w:pgMar w:left="220" w:top="345" w:right="399" w:bottom="1440" w:gutter="0" w:footer="0" w:header="0"/>
        </w:sectPr>
      </w:pPr>
    </w:p>
    <w:bookmarkStart w:id="2" w:name="page3"/>
    <w:bookmarkEnd w:id="2"/>
    <w:p>
      <w:pPr>
        <w:ind w:right="100"/>
        <w:spacing w:after="0" w:line="385" w:lineRule="auto"/>
        <w:rPr>
          <w:sz w:val="20"/>
          <w:szCs w:val="20"/>
          <w:color w:val="auto"/>
        </w:rPr>
      </w:pPr>
      <w:r>
        <w:rPr>
          <w:rFonts w:ascii="Arial" w:cs="Arial" w:eastAsia="Arial" w:hAnsi="Arial"/>
          <w:sz w:val="12"/>
          <w:szCs w:val="12"/>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0000"/>
        </w:rPr>
        <w:t>SUBJECT TO COMPLETION, DATED JANUARY 24, 2008</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PRELIMINARY PROSPECTUS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Transdel Pharmaceuticals, Inc.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4,438,719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209550</wp:posOffset>
            </wp:positionV>
            <wp:extent cx="11055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5535" cy="698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This prospectus relates to the sale by the selling stockholders identified in this prospectus of up to 4,438,719 shares of our common stock, which includes:</w:t>
      </w:r>
    </w:p>
    <w:p>
      <w:pPr>
        <w:spacing w:after="0" w:line="228" w:lineRule="exact"/>
        <w:rPr>
          <w:sz w:val="20"/>
          <w:szCs w:val="20"/>
          <w:color w:val="auto"/>
        </w:rPr>
      </w:pPr>
    </w:p>
    <w:p>
      <w:pPr>
        <w:ind w:left="520" w:hanging="513"/>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2,064,834 shares of common stock issued in a private placement;</w:t>
      </w:r>
    </w:p>
    <w:p>
      <w:pPr>
        <w:spacing w:after="0" w:line="228" w:lineRule="exact"/>
        <w:rPr>
          <w:rFonts w:ascii="Arial" w:cs="Arial" w:eastAsia="Arial" w:hAnsi="Arial"/>
          <w:sz w:val="14"/>
          <w:szCs w:val="14"/>
          <w:color w:val="auto"/>
        </w:rPr>
      </w:pPr>
    </w:p>
    <w:p>
      <w:pPr>
        <w:ind w:left="520" w:hanging="513"/>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516,208 shares of common stock issuable upon the exercise of warrants issued in a private placement;</w:t>
      </w:r>
    </w:p>
    <w:p>
      <w:pPr>
        <w:spacing w:after="0" w:line="228" w:lineRule="exact"/>
        <w:rPr>
          <w:rFonts w:ascii="Arial" w:cs="Arial" w:eastAsia="Arial" w:hAnsi="Arial"/>
          <w:sz w:val="14"/>
          <w:szCs w:val="14"/>
          <w:color w:val="auto"/>
        </w:rPr>
      </w:pPr>
    </w:p>
    <w:p>
      <w:pPr>
        <w:ind w:left="520" w:hanging="513"/>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33,750 shares of common stock issuable upon the exercise of warrants issued to various placement agents in connection with our private placements;</w:t>
      </w:r>
    </w:p>
    <w:p>
      <w:pPr>
        <w:spacing w:after="0" w:line="228" w:lineRule="exact"/>
        <w:rPr>
          <w:rFonts w:ascii="Arial" w:cs="Arial" w:eastAsia="Arial" w:hAnsi="Arial"/>
          <w:sz w:val="14"/>
          <w:szCs w:val="14"/>
          <w:color w:val="auto"/>
        </w:rPr>
      </w:pPr>
    </w:p>
    <w:p>
      <w:pPr>
        <w:ind w:left="520" w:hanging="513"/>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1,530,177 shares of common stock that were issued upon the conversion of certain promissory notes;</w:t>
      </w:r>
    </w:p>
    <w:p>
      <w:pPr>
        <w:spacing w:after="0" w:line="228" w:lineRule="exact"/>
        <w:rPr>
          <w:rFonts w:ascii="Arial" w:cs="Arial" w:eastAsia="Arial" w:hAnsi="Arial"/>
          <w:sz w:val="14"/>
          <w:szCs w:val="14"/>
          <w:color w:val="auto"/>
        </w:rPr>
      </w:pPr>
    </w:p>
    <w:p>
      <w:pPr>
        <w:ind w:left="520" w:hanging="513"/>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275,000 shares of common stock issued to certain consultants; and</w:t>
      </w:r>
    </w:p>
    <w:p>
      <w:pPr>
        <w:spacing w:after="0" w:line="228" w:lineRule="exact"/>
        <w:rPr>
          <w:rFonts w:ascii="Arial" w:cs="Arial" w:eastAsia="Arial" w:hAnsi="Arial"/>
          <w:sz w:val="14"/>
          <w:szCs w:val="14"/>
          <w:color w:val="auto"/>
        </w:rPr>
      </w:pPr>
    </w:p>
    <w:p>
      <w:pPr>
        <w:ind w:left="520" w:hanging="513"/>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18,750 shares of common stock issuable upon exercise of warrants issued to certain consultants.</w:t>
      </w:r>
    </w:p>
    <w:p>
      <w:pPr>
        <w:spacing w:after="0" w:line="228"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color w:val="auto"/>
        </w:rPr>
        <w:t>The prices at which the selling stockholders may sell shares will be determined by the prevailing market price for the shares or in negotiated transactions. We will not receive any proceeds from the sale of these shares by the selling stockholders. However, we will receive the exercise price of the warrants if the warrants are exercised for cash.</w:t>
      </w:r>
    </w:p>
    <w:p>
      <w:pPr>
        <w:spacing w:after="0" w:line="173"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All expenses of registration incurred in connection with this offering are being borne by us, but all selling and other expenses incurred by the selling stockholders will be borne by the selling stockholders.</w:t>
      </w:r>
    </w:p>
    <w:p>
      <w:pPr>
        <w:spacing w:after="0" w:line="173"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color w:val="auto"/>
        </w:rPr>
        <w:t>Our common stock is quoted on the regulated quotation service of the OTC Bulletin Board under the symbol “TDLP.OB”. On January 18, 2008, the last reported sale price of our common stock as reported on the OTC Bulletin Board was $2.25 per share.</w:t>
      </w:r>
    </w:p>
    <w:p>
      <w:pPr>
        <w:spacing w:after="0" w:line="169" w:lineRule="exact"/>
        <w:rPr>
          <w:sz w:val="20"/>
          <w:szCs w:val="20"/>
          <w:color w:val="auto"/>
        </w:rPr>
      </w:pPr>
    </w:p>
    <w:p>
      <w:pPr>
        <w:ind w:right="400" w:firstLine="519"/>
        <w:spacing w:after="0" w:line="276" w:lineRule="auto"/>
        <w:rPr>
          <w:sz w:val="20"/>
          <w:szCs w:val="20"/>
          <w:color w:val="auto"/>
        </w:rPr>
      </w:pPr>
      <w:r>
        <w:rPr>
          <w:rFonts w:ascii="Arial" w:cs="Arial" w:eastAsia="Arial" w:hAnsi="Arial"/>
          <w:sz w:val="14"/>
          <w:szCs w:val="14"/>
          <w:b w:val="1"/>
          <w:bCs w:val="1"/>
          <w:color w:val="auto"/>
        </w:rPr>
        <w:t>INVESTING IN OUR COMMON STOCK IS HIGHLY SPECULATIVE AND INVOLVES A HIGH DEGREE OF RISK. YOU SHOULD CAREFULLY CONSIDER THE RISKS AND UNCERTAINTIES IN THE SECTION ENTITLED “RISK FACTORS” BEGINNING ON PAGE 3 OF THIS PROSPECTUS BEFORE MAKING A DECISION TO PURCHASE OUR STOCK.</w:t>
      </w:r>
    </w:p>
    <w:p>
      <w:pPr>
        <w:spacing w:after="0" w:line="180" w:lineRule="exact"/>
        <w:rPr>
          <w:sz w:val="20"/>
          <w:szCs w:val="20"/>
          <w:color w:val="auto"/>
        </w:rPr>
      </w:pPr>
    </w:p>
    <w:p>
      <w:pPr>
        <w:ind w:right="340" w:firstLine="519"/>
        <w:spacing w:after="0" w:line="29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date of this prospectus is January __,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203835</wp:posOffset>
            </wp:positionV>
            <wp:extent cx="727964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10780" w:type="dxa"/>
            <w:vAlign w:val="bottom"/>
          </w:tcPr>
          <w:p>
            <w:pPr>
              <w:ind w:left="4960"/>
              <w:spacing w:after="0"/>
              <w:rPr>
                <w:sz w:val="20"/>
                <w:szCs w:val="20"/>
                <w:color w:val="auto"/>
              </w:rPr>
            </w:pPr>
            <w:r>
              <w:rPr>
                <w:rFonts w:ascii="Arial" w:cs="Arial" w:eastAsia="Arial" w:hAnsi="Arial"/>
                <w:sz w:val="14"/>
                <w:szCs w:val="14"/>
                <w:b w:val="1"/>
                <w:bCs w:val="1"/>
                <w:color w:val="auto"/>
              </w:rPr>
              <w:t>TABLE OF CONTENTS</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10780" w:type="dxa"/>
            <w:vAlign w:val="bottom"/>
          </w:tcPr>
          <w:p>
            <w:pPr>
              <w:spacing w:after="0"/>
              <w:rPr>
                <w:sz w:val="24"/>
                <w:szCs w:val="24"/>
                <w:color w:val="auto"/>
              </w:rPr>
            </w:pPr>
          </w:p>
        </w:tc>
        <w:tc>
          <w:tcPr>
            <w:tcW w:w="700" w:type="dxa"/>
            <w:vAlign w:val="bottom"/>
            <w:gridSpan w:val="2"/>
          </w:tcPr>
          <w:p>
            <w:pPr>
              <w:ind w:left="2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2"/>
        </w:trPr>
        <w:tc>
          <w:tcPr>
            <w:tcW w:w="107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PROSPECTUS SUMMARY</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RISK FACTORS</w:t>
            </w: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USE OF PROCEEDS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MARKET FOR OUR COMMON STOCK AND RELATED STOCKHOLDER MATTERS</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DIVIDEND POLICY</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SPECIAL NOTE REGARDING FORWARD-LOOKING STATEMENTS</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MANAGEMENT’S DISCUSSION AND ANALYSIS OR PLAN OF OPERATION</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BUSINESS</w:t>
            </w: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MANAGEMENT</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EXECUTIVE 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CERTAIN RELATIONSHIPS AND RELATED TRANSACTIONS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SECURITY OWNERSHIP OF CERTAIN BENEFICIAL OWNERS AND MANAGEMENT</w:t>
            </w: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SELLING STOCKHOLDERS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DESCRIPTION OF SECURITIES</w:t>
            </w: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PLAN OF DISTRIBUTION</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DISCLOSURE OF COMMISSION POSITION ON INDEMNIFICATION FOR SECURITIES ACT LIABILITIES</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LEGAL MATTERS</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tcPr>
          <w:p>
            <w:pPr>
              <w:spacing w:after="0"/>
              <w:rPr>
                <w:sz w:val="20"/>
                <w:szCs w:val="20"/>
                <w:color w:val="auto"/>
              </w:rPr>
            </w:pPr>
            <w:r>
              <w:rPr>
                <w:rFonts w:ascii="Arial" w:cs="Arial" w:eastAsia="Arial" w:hAnsi="Arial"/>
                <w:sz w:val="14"/>
                <w:szCs w:val="14"/>
                <w:color w:val="auto"/>
              </w:rPr>
              <w:t>EXPERTS</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780" w:type="dxa"/>
            <w:vAlign w:val="bottom"/>
            <w:shd w:val="clear" w:color="auto" w:fill="CCFFCC"/>
          </w:tcPr>
          <w:p>
            <w:pPr>
              <w:spacing w:after="0"/>
              <w:rPr>
                <w:sz w:val="20"/>
                <w:szCs w:val="20"/>
                <w:color w:val="auto"/>
              </w:rPr>
            </w:pPr>
            <w:r>
              <w:rPr>
                <w:rFonts w:ascii="Arial" w:cs="Arial" w:eastAsia="Arial" w:hAnsi="Arial"/>
                <w:sz w:val="14"/>
                <w:szCs w:val="14"/>
                <w:color w:val="auto"/>
              </w:rPr>
              <w:t>WHERE YOU CAN FIND ADDITIONAL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780" w:type="dxa"/>
            <w:vAlign w:val="bottom"/>
          </w:tcPr>
          <w:p>
            <w:pPr>
              <w:spacing w:after="0"/>
              <w:rPr>
                <w:sz w:val="20"/>
                <w:szCs w:val="20"/>
                <w:color w:val="auto"/>
              </w:rPr>
            </w:pPr>
            <w:r>
              <w:rPr>
                <w:rFonts w:ascii="Arial" w:cs="Arial" w:eastAsia="Arial" w:hAnsi="Arial"/>
                <w:sz w:val="14"/>
                <w:szCs w:val="14"/>
                <w:color w:val="auto"/>
              </w:rPr>
              <w:t>INDEX TO FINANCIAL STATEMENTS</w:t>
            </w:r>
          </w:p>
        </w:tc>
        <w:tc>
          <w:tcPr>
            <w:tcW w:w="700" w:type="dxa"/>
            <w:vAlign w:val="bottom"/>
            <w:gridSpan w:val="2"/>
          </w:tcPr>
          <w:p>
            <w:pPr>
              <w:ind w:left="480"/>
              <w:spacing w:after="0"/>
              <w:rPr>
                <w:sz w:val="20"/>
                <w:szCs w:val="20"/>
                <w:color w:val="auto"/>
              </w:rPr>
            </w:pPr>
            <w:r>
              <w:rPr>
                <w:rFonts w:ascii="Arial" w:cs="Arial" w:eastAsia="Arial" w:hAnsi="Arial"/>
                <w:sz w:val="14"/>
                <w:szCs w:val="14"/>
                <w:color w:val="auto"/>
                <w:w w:val="95"/>
              </w:rPr>
              <w:t>F-1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0" w:firstLine="389"/>
        <w:spacing w:after="0" w:line="270" w:lineRule="auto"/>
        <w:rPr>
          <w:sz w:val="20"/>
          <w:szCs w:val="20"/>
          <w:color w:val="auto"/>
        </w:rPr>
      </w:pPr>
      <w:r>
        <w:rPr>
          <w:rFonts w:ascii="Arial" w:cs="Arial" w:eastAsia="Arial" w:hAnsi="Arial"/>
          <w:sz w:val="14"/>
          <w:szCs w:val="14"/>
          <w:b w:val="1"/>
          <w:bCs w:val="1"/>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4"/>
          <w:szCs w:val="14"/>
          <w:b w:val="1"/>
          <w:bCs w:val="1"/>
          <w:color w:val="auto"/>
        </w:rPr>
        <w:t>PROSPECTUS SUMMARY</w:t>
      </w:r>
    </w:p>
    <w:p>
      <w:pPr>
        <w:spacing w:after="0" w:line="232" w:lineRule="exact"/>
        <w:rPr>
          <w:sz w:val="20"/>
          <w:szCs w:val="20"/>
          <w:color w:val="auto"/>
        </w:rPr>
      </w:pPr>
    </w:p>
    <w:p>
      <w:pPr>
        <w:ind w:right="260" w:firstLine="519"/>
        <w:spacing w:after="0" w:line="304" w:lineRule="auto"/>
        <w:rPr>
          <w:sz w:val="20"/>
          <w:szCs w:val="20"/>
          <w:color w:val="auto"/>
        </w:rPr>
      </w:pPr>
      <w:r>
        <w:rPr>
          <w:rFonts w:ascii="Arial" w:cs="Arial" w:eastAsia="Arial" w:hAnsi="Arial"/>
          <w:sz w:val="13"/>
          <w:szCs w:val="13"/>
          <w:i w:val="1"/>
          <w:iCs w:val="1"/>
          <w:color w:val="auto"/>
        </w:rPr>
        <w:t>The following summary highlights information contained elsewhere in this prospectus. It may not contain all the information that may be important to you. You should read this entire prospectus carefully, including the sections entitled “Risk Factors” and “Management’s Discussion and Analysis or Plan of Operation,” and our historical financial statements and related notes included elsewhere in this prospectus. In this prospectus, unless the context requires otherwise, references to “we,” “our,” or “us” refer to Transdel Pharmaceuticals, Inc.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History</w:t>
      </w:r>
    </w:p>
    <w:p>
      <w:pPr>
        <w:spacing w:after="0" w:line="232" w:lineRule="exact"/>
        <w:rPr>
          <w:sz w:val="20"/>
          <w:szCs w:val="20"/>
          <w:color w:val="auto"/>
        </w:rPr>
      </w:pPr>
    </w:p>
    <w:p>
      <w:pPr>
        <w:ind w:firstLine="519"/>
        <w:spacing w:after="0" w:line="291" w:lineRule="auto"/>
        <w:rPr>
          <w:sz w:val="20"/>
          <w:szCs w:val="20"/>
          <w:color w:val="auto"/>
        </w:rPr>
      </w:pPr>
      <w:r>
        <w:rPr>
          <w:rFonts w:ascii="Arial" w:cs="Arial" w:eastAsia="Arial" w:hAnsi="Arial"/>
          <w:sz w:val="13"/>
          <w:szCs w:val="13"/>
          <w:color w:val="auto"/>
        </w:rPr>
        <w:t>We were incorporated in Delaware in January 2006 as Bywater Resources, Inc. in order to conduct mineral exploration activities. We changed our name to Transdel Pharmaceuticals, Inc. on September 10, 2007. On September 17, 2007, we acquired Trans-Pharma Corporation, a privately held Nevada corporation pursuant to an Agreement of Merger and Plan of Reorganization by and among Trans-Pharma Corporation, Trans-Pharma Acquisition Corp., our wholly owned acquisition subsidiary, and us. Upon the closing of the merger transaction, Trans-Pharma Acquisition merged with and into Trans-Pharma Corporation, and Trans-Pharma Corporation, as the surviving corporation, became our wholly owned subsidiary. After the merger, we succeeded to the business of Trans-Pharma Corporation as our sole line of business. On October 24, 2007, Trans-Pharma Corporation as our wholly owned subsidiary changed its name to Transdel Pharmaceuticals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2" w:lineRule="exact"/>
        <w:rPr>
          <w:sz w:val="20"/>
          <w:szCs w:val="20"/>
          <w:color w:val="auto"/>
        </w:rPr>
      </w:pPr>
    </w:p>
    <w:p>
      <w:pPr>
        <w:ind w:right="80" w:firstLine="519"/>
        <w:spacing w:after="0" w:line="268" w:lineRule="auto"/>
        <w:rPr>
          <w:sz w:val="20"/>
          <w:szCs w:val="20"/>
          <w:color w:val="auto"/>
        </w:rPr>
      </w:pPr>
      <w:r>
        <w:rPr>
          <w:rFonts w:ascii="Arial" w:cs="Arial" w:eastAsia="Arial" w:hAnsi="Arial"/>
          <w:sz w:val="14"/>
          <w:szCs w:val="14"/>
          <w:color w:val="auto"/>
        </w:rPr>
        <w:t>We are a specialty pharmaceutical company focused on the development and commercialization of non-invasive topically delivered medications. Our lead topical drug, Ketotransdel™, utilizes our proprietary Transdel™ cream formulation to facilitate the passage of ketoprofen, a non-steroidal anti-inflammatory drug, or NSAID, through the skin barrier to reach targeted underlying tissue where that drug exerts its prolonged localized anti-inflammatory and analgesic effect. A Phase 1/2 clinical study supported the safety and efficacy of Ketotransdel™ for acute pain and muscle soreness.</w:t>
      </w:r>
    </w:p>
    <w:p>
      <w:pPr>
        <w:spacing w:after="0" w:line="190" w:lineRule="exact"/>
        <w:rPr>
          <w:sz w:val="20"/>
          <w:szCs w:val="20"/>
          <w:color w:val="auto"/>
        </w:rPr>
      </w:pPr>
    </w:p>
    <w:p>
      <w:pPr>
        <w:ind w:right="20" w:firstLine="519"/>
        <w:spacing w:after="0" w:line="264" w:lineRule="auto"/>
        <w:rPr>
          <w:sz w:val="20"/>
          <w:szCs w:val="20"/>
          <w:color w:val="auto"/>
        </w:rPr>
      </w:pPr>
      <w:r>
        <w:rPr>
          <w:rFonts w:ascii="Arial" w:cs="Arial" w:eastAsia="Arial" w:hAnsi="Arial"/>
          <w:sz w:val="14"/>
          <w:szCs w:val="14"/>
          <w:color w:val="auto"/>
        </w:rPr>
        <w:t>We expect to file an Investigational New Drug, or IND, application containing our proposed Phase 3 clinical studies for Ketotransdel™ for the treatment of acute pain, during the first quarter of 2008. Based on the timing of the review of our IND application by the U.S. Food and Drug Administration, or the FDA, we anticipate starting Phase 3 clinical studies for the topical treatment of acute pain during the first six months of 2008. The expected filing date of the Phase 3 submission to the FDA will depend on a variety of factors including but not limited to the completion of the manufacturing process for non clinical/clinical supplies, and potentially the completion of the non-clinical studies and the generation of data. Issues or problems encountered in any of these areas may result in delays in the filing of the IND for the Phase 3 trials. If and when the FDA approves Ketotransdel™ for treatment of acute pain, we intend to pursue FDA approval of Ketotransdel™ for other indications including osteoarthritis.</w:t>
      </w:r>
    </w:p>
    <w:p>
      <w:pPr>
        <w:spacing w:after="0" w:line="192" w:lineRule="exact"/>
        <w:rPr>
          <w:sz w:val="20"/>
          <w:szCs w:val="20"/>
          <w:color w:val="auto"/>
        </w:rPr>
      </w:pPr>
    </w:p>
    <w:p>
      <w:pPr>
        <w:ind w:right="300" w:firstLine="519"/>
        <w:spacing w:after="0" w:line="304" w:lineRule="auto"/>
        <w:rPr>
          <w:sz w:val="20"/>
          <w:szCs w:val="20"/>
          <w:color w:val="auto"/>
        </w:rPr>
      </w:pPr>
      <w:r>
        <w:rPr>
          <w:rFonts w:ascii="Arial" w:cs="Arial" w:eastAsia="Arial" w:hAnsi="Arial"/>
          <w:sz w:val="13"/>
          <w:szCs w:val="13"/>
          <w:color w:val="auto"/>
        </w:rPr>
        <w:t>We believe that the clinical success of Ketotransdel™ will facilitate the use of the Transdel™ delivery technology in other products. We are also investigating other drug candidates and treatments for transdermal delivery using the Transdel™ platform technology for products in pain management and other therapeutic areas. Furthermore, we are in discussions with potential commercial partners for future Ketotransdel™ sales and marketing strategies and with potential Pharma partners for licensing opportunities related to the Transdel™ delivery system.</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principal executive offices are located at 4225 Executive Square, Suite 460, La Jolla, California 92037, and our telephone number is (858) 457-5300.</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232" w:lineRule="exact"/>
        <w:rPr>
          <w:sz w:val="20"/>
          <w:szCs w:val="20"/>
          <w:color w:val="auto"/>
        </w:rPr>
      </w:pPr>
    </w:p>
    <w:p>
      <w:pPr>
        <w:ind w:right="20" w:firstLine="519"/>
        <w:spacing w:after="0" w:line="288" w:lineRule="auto"/>
        <w:rPr>
          <w:sz w:val="20"/>
          <w:szCs w:val="20"/>
          <w:color w:val="auto"/>
        </w:rPr>
      </w:pPr>
      <w:r>
        <w:rPr>
          <w:rFonts w:ascii="Arial" w:cs="Arial" w:eastAsia="Arial" w:hAnsi="Arial"/>
          <w:sz w:val="13"/>
          <w:szCs w:val="13"/>
          <w:color w:val="auto"/>
        </w:rPr>
        <w:t>On each of September 17, 2007, and October 10, 2007, we completed private placements to selected institutional and individual investors of our common stock and warrants. In connection with the private placements, we raised approximately $3.9 million (net of placement fees and other costs aggregating $258,500) from the issuance of 2,071,834 shares of common stock and detachable redeemable five-year warrants to purchase 517,958 shares of our common stock at a cash exercise price of $4.00 per share and a cashless exercise price of $5.00 per share. In addition, we issued redeemable three-year warrants to purchase 33,750 shares of common to placement agents in connection with the September 2007 and October 2007 private placements. We are registering the resale of certain shares of common stock issued in the September 2007 and October 2007, the shares of common stock issuable upon exercise of the investor warrants, and the shares of common stock issuable upon exercise of the placement agent warrants pursuant to the registration statement of which this prospectus forms a part.</w:t>
      </w:r>
    </w:p>
    <w:p>
      <w:pPr>
        <w:spacing w:after="0" w:line="178" w:lineRule="exact"/>
        <w:rPr>
          <w:sz w:val="20"/>
          <w:szCs w:val="20"/>
          <w:color w:val="auto"/>
        </w:rPr>
      </w:pPr>
    </w:p>
    <w:p>
      <w:pPr>
        <w:ind w:right="260" w:firstLine="519"/>
        <w:spacing w:after="0" w:line="304" w:lineRule="auto"/>
        <w:rPr>
          <w:sz w:val="20"/>
          <w:szCs w:val="20"/>
          <w:color w:val="auto"/>
        </w:rPr>
      </w:pPr>
      <w:r>
        <w:rPr>
          <w:rFonts w:ascii="Arial" w:cs="Arial" w:eastAsia="Arial" w:hAnsi="Arial"/>
          <w:sz w:val="13"/>
          <w:szCs w:val="13"/>
          <w:color w:val="auto"/>
        </w:rPr>
        <w:t>In addition, on September 17, 2007, pursuant to the merger with Transdel Pharmaceuticals Holdings, Inc., described above under “Corporate History,” we assumed $1.5 million of convertible notes of Transdel Pharmaceuticals Holdings, Inc., plus unpaid accrued interest of $30,177, and subsequently converted such notes into 1,530,177 shares of our common stock. We are registering the shares of common stock issued upon conversion of such notes pursuant to the registration statement of which this prospectus forms a part.</w:t>
      </w:r>
    </w:p>
    <w:p>
      <w:pPr>
        <w:spacing w:after="0" w:line="167" w:lineRule="exact"/>
        <w:rPr>
          <w:sz w:val="20"/>
          <w:szCs w:val="20"/>
          <w:color w:val="auto"/>
        </w:rPr>
      </w:pPr>
    </w:p>
    <w:p>
      <w:pPr>
        <w:ind w:right="160" w:firstLine="519"/>
        <w:spacing w:after="0" w:line="290" w:lineRule="auto"/>
        <w:rPr>
          <w:sz w:val="20"/>
          <w:szCs w:val="20"/>
          <w:color w:val="auto"/>
        </w:rPr>
      </w:pPr>
      <w:r>
        <w:rPr>
          <w:rFonts w:ascii="Arial" w:cs="Arial" w:eastAsia="Arial" w:hAnsi="Arial"/>
          <w:sz w:val="14"/>
          <w:szCs w:val="14"/>
          <w:color w:val="auto"/>
        </w:rPr>
        <w:t>We are also registering the resale of 275,000 shares of common stock and 18,750 shares of common stock issuable upon exercise of warrants issued to certain consultants as compensation for investor relations and financial advisory services.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Offering</w:t>
      </w:r>
    </w:p>
    <w:p>
      <w:pPr>
        <w:sectPr>
          <w:pgSz w:w="11900" w:h="16838" w:orient="portrait"/>
          <w:cols w:equalWidth="0" w:num="1">
            <w:col w:w="11460"/>
          </w:cols>
          <w:pgMar w:left="220" w:top="320" w:right="21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20"/>
        <w:spacing w:after="0" w:line="274" w:lineRule="auto"/>
        <w:rPr>
          <w:sz w:val="20"/>
          <w:szCs w:val="20"/>
          <w:color w:val="auto"/>
        </w:rPr>
      </w:pPr>
      <w:r>
        <w:rPr>
          <w:rFonts w:ascii="Arial" w:cs="Arial" w:eastAsia="Arial" w:hAnsi="Arial"/>
          <w:sz w:val="14"/>
          <w:szCs w:val="14"/>
          <w:color w:val="auto"/>
        </w:rPr>
        <w:t>4,438,719 shares, consisting of 2,064,834 shares issued to investors in a private placement, 1,530,177 shares issued upon the conversion of promissory notes, 275,000 other shares of common stock and 568,708 shares issuable upon the exercise of outstanding warrants.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66675</wp:posOffset>
            </wp:positionV>
            <wp:extent cx="7279640"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2">
            <w:col w:w="4980" w:space="720"/>
            <w:col w:w="5760"/>
          </w:cols>
          <w:pgMar w:left="220" w:top="320" w:right="2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2"/>
        </w:trPr>
        <w:tc>
          <w:tcPr>
            <w:tcW w:w="4200" w:type="dxa"/>
            <w:vAlign w:val="bottom"/>
          </w:tcPr>
          <w:p>
            <w:pPr>
              <w:spacing w:after="0"/>
              <w:rPr>
                <w:sz w:val="20"/>
                <w:szCs w:val="20"/>
                <w:color w:val="auto"/>
              </w:rPr>
            </w:pPr>
            <w:r>
              <w:rPr>
                <w:rFonts w:ascii="Arial" w:cs="Arial" w:eastAsia="Arial" w:hAnsi="Arial"/>
                <w:sz w:val="14"/>
                <w:szCs w:val="14"/>
                <w:color w:val="auto"/>
              </w:rPr>
              <w:t>Common stock outstanding after this offering:</w:t>
            </w:r>
          </w:p>
        </w:tc>
        <w:tc>
          <w:tcPr>
            <w:tcW w:w="7000" w:type="dxa"/>
            <w:vAlign w:val="bottom"/>
          </w:tcPr>
          <w:p>
            <w:pPr>
              <w:ind w:left="1520"/>
              <w:spacing w:after="0"/>
              <w:rPr>
                <w:sz w:val="20"/>
                <w:szCs w:val="20"/>
                <w:color w:val="auto"/>
              </w:rPr>
            </w:pPr>
            <w:r>
              <w:rPr>
                <w:rFonts w:ascii="Arial" w:cs="Arial" w:eastAsia="Arial" w:hAnsi="Arial"/>
                <w:sz w:val="14"/>
                <w:szCs w:val="14"/>
                <w:color w:val="auto"/>
              </w:rPr>
              <w:t>14,295,712 (1)</w:t>
            </w:r>
          </w:p>
        </w:tc>
        <w:tc>
          <w:tcPr>
            <w:tcW w:w="0" w:type="dxa"/>
            <w:vAlign w:val="bottom"/>
          </w:tcPr>
          <w:p>
            <w:pPr>
              <w:spacing w:after="0"/>
              <w:rPr>
                <w:sz w:val="1"/>
                <w:szCs w:val="1"/>
                <w:color w:val="auto"/>
              </w:rPr>
            </w:pPr>
          </w:p>
        </w:tc>
      </w:tr>
      <w:tr>
        <w:trPr>
          <w:trHeight w:val="358"/>
        </w:trPr>
        <w:tc>
          <w:tcPr>
            <w:tcW w:w="4200" w:type="dxa"/>
            <w:vAlign w:val="bottom"/>
          </w:tcPr>
          <w:p>
            <w:pPr>
              <w:spacing w:after="0"/>
              <w:rPr>
                <w:sz w:val="20"/>
                <w:szCs w:val="20"/>
                <w:color w:val="auto"/>
              </w:rPr>
            </w:pPr>
            <w:r>
              <w:rPr>
                <w:rFonts w:ascii="Arial" w:cs="Arial" w:eastAsia="Arial" w:hAnsi="Arial"/>
                <w:sz w:val="14"/>
                <w:szCs w:val="14"/>
                <w:color w:val="auto"/>
              </w:rPr>
              <w:t>Use of proceeds:</w:t>
            </w:r>
          </w:p>
        </w:tc>
        <w:tc>
          <w:tcPr>
            <w:tcW w:w="7000" w:type="dxa"/>
            <w:vAlign w:val="bottom"/>
          </w:tcPr>
          <w:p>
            <w:pPr>
              <w:ind w:left="1520"/>
              <w:spacing w:after="0"/>
              <w:rPr>
                <w:sz w:val="20"/>
                <w:szCs w:val="20"/>
                <w:color w:val="auto"/>
              </w:rPr>
            </w:pPr>
            <w:r>
              <w:rPr>
                <w:rFonts w:ascii="Arial" w:cs="Arial" w:eastAsia="Arial" w:hAnsi="Arial"/>
                <w:sz w:val="14"/>
                <w:szCs w:val="14"/>
                <w:color w:val="auto"/>
              </w:rPr>
              <w:t>We will not receive any proceeds from the sale of shares in this offering by the selling</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7000" w:type="dxa"/>
            <w:vAlign w:val="bottom"/>
          </w:tcPr>
          <w:p>
            <w:pPr>
              <w:ind w:left="1520"/>
              <w:spacing w:after="0"/>
              <w:rPr>
                <w:sz w:val="20"/>
                <w:szCs w:val="20"/>
                <w:color w:val="auto"/>
              </w:rPr>
            </w:pPr>
            <w:r>
              <w:rPr>
                <w:rFonts w:ascii="Arial" w:cs="Arial" w:eastAsia="Arial" w:hAnsi="Arial"/>
                <w:sz w:val="14"/>
                <w:szCs w:val="14"/>
                <w:color w:val="auto"/>
                <w:w w:val="93"/>
              </w:rPr>
              <w:t>stockholders. However, we may receive proceeds of up to $2,274,832 from the exercise of the</w:t>
            </w: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7000" w:type="dxa"/>
            <w:vAlign w:val="bottom"/>
          </w:tcPr>
          <w:p>
            <w:pPr>
              <w:ind w:left="1520"/>
              <w:spacing w:after="0"/>
              <w:rPr>
                <w:sz w:val="20"/>
                <w:szCs w:val="20"/>
                <w:color w:val="auto"/>
              </w:rPr>
            </w:pPr>
            <w:r>
              <w:rPr>
                <w:rFonts w:ascii="Arial" w:cs="Arial" w:eastAsia="Arial" w:hAnsi="Arial"/>
                <w:sz w:val="14"/>
                <w:szCs w:val="14"/>
                <w:color w:val="auto"/>
              </w:rPr>
              <w:t>warrants if the warrants are exercised for cash.</w:t>
            </w:r>
          </w:p>
        </w:tc>
        <w:tc>
          <w:tcPr>
            <w:tcW w:w="0" w:type="dxa"/>
            <w:vAlign w:val="bottom"/>
          </w:tcPr>
          <w:p>
            <w:pPr>
              <w:spacing w:after="0"/>
              <w:rPr>
                <w:sz w:val="1"/>
                <w:szCs w:val="1"/>
                <w:color w:val="auto"/>
              </w:rPr>
            </w:pPr>
          </w:p>
        </w:tc>
      </w:tr>
      <w:tr>
        <w:trPr>
          <w:trHeight w:val="368"/>
        </w:trPr>
        <w:tc>
          <w:tcPr>
            <w:tcW w:w="4200" w:type="dxa"/>
            <w:vAlign w:val="bottom"/>
          </w:tcPr>
          <w:p>
            <w:pPr>
              <w:spacing w:after="0"/>
              <w:rPr>
                <w:sz w:val="20"/>
                <w:szCs w:val="20"/>
                <w:color w:val="auto"/>
              </w:rPr>
            </w:pPr>
            <w:r>
              <w:rPr>
                <w:rFonts w:ascii="Arial" w:cs="Arial" w:eastAsia="Arial" w:hAnsi="Arial"/>
                <w:sz w:val="14"/>
                <w:szCs w:val="14"/>
                <w:color w:val="auto"/>
              </w:rPr>
              <w:t>OTC Bulletin Board symbol:</w:t>
            </w:r>
          </w:p>
        </w:tc>
        <w:tc>
          <w:tcPr>
            <w:tcW w:w="7000" w:type="dxa"/>
            <w:vAlign w:val="bottom"/>
          </w:tcPr>
          <w:p>
            <w:pPr>
              <w:ind w:left="1520"/>
              <w:spacing w:after="0"/>
              <w:rPr>
                <w:sz w:val="20"/>
                <w:szCs w:val="20"/>
                <w:color w:val="auto"/>
              </w:rPr>
            </w:pPr>
            <w:r>
              <w:rPr>
                <w:rFonts w:ascii="Arial" w:cs="Arial" w:eastAsia="Arial" w:hAnsi="Arial"/>
                <w:sz w:val="14"/>
                <w:szCs w:val="14"/>
                <w:color w:val="auto"/>
              </w:rPr>
              <w:t>TDLP.OB</w:t>
            </w:r>
          </w:p>
        </w:tc>
        <w:tc>
          <w:tcPr>
            <w:tcW w:w="0" w:type="dxa"/>
            <w:vAlign w:val="bottom"/>
          </w:tcPr>
          <w:p>
            <w:pPr>
              <w:spacing w:after="0"/>
              <w:rPr>
                <w:sz w:val="1"/>
                <w:szCs w:val="1"/>
                <w:color w:val="auto"/>
              </w:rPr>
            </w:pPr>
          </w:p>
        </w:tc>
      </w:tr>
      <w:tr>
        <w:trPr>
          <w:trHeight w:val="358"/>
        </w:trPr>
        <w:tc>
          <w:tcPr>
            <w:tcW w:w="4200" w:type="dxa"/>
            <w:vAlign w:val="bottom"/>
          </w:tcPr>
          <w:p>
            <w:pPr>
              <w:spacing w:after="0"/>
              <w:rPr>
                <w:sz w:val="20"/>
                <w:szCs w:val="20"/>
                <w:color w:val="auto"/>
              </w:rPr>
            </w:pPr>
            <w:r>
              <w:rPr>
                <w:rFonts w:ascii="Arial" w:cs="Arial" w:eastAsia="Arial" w:hAnsi="Arial"/>
                <w:sz w:val="14"/>
                <w:szCs w:val="14"/>
                <w:color w:val="auto"/>
              </w:rPr>
              <w:t>Risk Factors:</w:t>
            </w:r>
          </w:p>
        </w:tc>
        <w:tc>
          <w:tcPr>
            <w:tcW w:w="7000" w:type="dxa"/>
            <w:vAlign w:val="bottom"/>
          </w:tcPr>
          <w:p>
            <w:pPr>
              <w:ind w:left="1520"/>
              <w:spacing w:after="0"/>
              <w:rPr>
                <w:sz w:val="20"/>
                <w:szCs w:val="20"/>
                <w:color w:val="auto"/>
              </w:rPr>
            </w:pPr>
            <w:r>
              <w:rPr>
                <w:rFonts w:ascii="Arial" w:cs="Arial" w:eastAsia="Arial" w:hAnsi="Arial"/>
                <w:sz w:val="14"/>
                <w:szCs w:val="14"/>
                <w:color w:val="auto"/>
                <w:w w:val="93"/>
              </w:rPr>
              <w:t>You should carefully consider the information set forth in this prospectus and, in particular, the</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7000" w:type="dxa"/>
            <w:vAlign w:val="bottom"/>
          </w:tcPr>
          <w:p>
            <w:pPr>
              <w:ind w:left="1520"/>
              <w:spacing w:after="0"/>
              <w:rPr>
                <w:sz w:val="20"/>
                <w:szCs w:val="20"/>
                <w:color w:val="auto"/>
              </w:rPr>
            </w:pPr>
            <w:r>
              <w:rPr>
                <w:rFonts w:ascii="Arial" w:cs="Arial" w:eastAsia="Arial" w:hAnsi="Arial"/>
                <w:sz w:val="14"/>
                <w:szCs w:val="14"/>
                <w:color w:val="auto"/>
                <w:w w:val="95"/>
              </w:rPr>
              <w:t>specific factors set forth in the “Risk Factors” section beginning on page 3 of this prospectus</w:t>
            </w:r>
          </w:p>
        </w:tc>
        <w:tc>
          <w:tcPr>
            <w:tcW w:w="0" w:type="dxa"/>
            <w:vAlign w:val="bottom"/>
          </w:tcPr>
          <w:p>
            <w:pPr>
              <w:spacing w:after="0"/>
              <w:rPr>
                <w:sz w:val="1"/>
                <w:szCs w:val="1"/>
                <w:color w:val="auto"/>
              </w:rPr>
            </w:pPr>
          </w:p>
        </w:tc>
      </w:tr>
      <w:tr>
        <w:trPr>
          <w:trHeight w:val="182"/>
        </w:trPr>
        <w:tc>
          <w:tcPr>
            <w:tcW w:w="42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7000" w:type="dxa"/>
            <w:vAlign w:val="bottom"/>
          </w:tcPr>
          <w:p>
            <w:pPr>
              <w:ind w:left="1520"/>
              <w:spacing w:after="0"/>
              <w:rPr>
                <w:sz w:val="20"/>
                <w:szCs w:val="20"/>
                <w:color w:val="auto"/>
              </w:rPr>
            </w:pPr>
            <w:r>
              <w:rPr>
                <w:rFonts w:ascii="Arial" w:cs="Arial" w:eastAsia="Arial" w:hAnsi="Arial"/>
                <w:sz w:val="14"/>
                <w:szCs w:val="14"/>
                <w:color w:val="auto"/>
              </w:rPr>
              <w:t>before deciding whether to invest in shares of our common stock.</w:t>
            </w:r>
          </w:p>
        </w:tc>
        <w:tc>
          <w:tcPr>
            <w:tcW w:w="0" w:type="dxa"/>
            <w:vAlign w:val="bottom"/>
          </w:tcPr>
          <w:p>
            <w:pPr>
              <w:spacing w:after="0"/>
              <w:rPr>
                <w:sz w:val="1"/>
                <w:szCs w:val="1"/>
                <w:color w:val="auto"/>
              </w:rPr>
            </w:pPr>
          </w:p>
        </w:tc>
      </w:tr>
      <w:tr>
        <w:trPr>
          <w:trHeight w:val="173"/>
        </w:trPr>
        <w:tc>
          <w:tcPr>
            <w:tcW w:w="4200" w:type="dxa"/>
            <w:vAlign w:val="bottom"/>
            <w:vMerge w:val="continue"/>
          </w:tcPr>
          <w:p>
            <w:pPr>
              <w:spacing w:after="0"/>
              <w:rPr>
                <w:sz w:val="15"/>
                <w:szCs w:val="15"/>
                <w:color w:val="auto"/>
              </w:rPr>
            </w:pPr>
          </w:p>
        </w:tc>
        <w:tc>
          <w:tcPr>
            <w:tcW w:w="7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60" w:hanging="253"/>
        <w:spacing w:after="0" w:line="306" w:lineRule="auto"/>
        <w:tabs>
          <w:tab w:leader="none" w:pos="601"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number of outstanding shares after the offering is based upon 13,727,004 shares outstanding as of January 18, 2008, and assumes the full exercise of all warrants with respect to which the underlying shares are being registered pursuant to the registration statement of which this prospectus forms a part.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number of shares of common stock outstanding after this offering excludes:</w:t>
      </w:r>
    </w:p>
    <w:p>
      <w:pPr>
        <w:spacing w:after="0" w:line="228" w:lineRule="exact"/>
        <w:rPr>
          <w:sz w:val="20"/>
          <w:szCs w:val="20"/>
          <w:color w:val="auto"/>
        </w:rPr>
      </w:pPr>
    </w:p>
    <w:p>
      <w:pPr>
        <w:ind w:left="1040" w:hanging="255"/>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610,000 shares of common stock issuable upon the exercise of currently outstanding options having a weighted-average exercise price of $2.01 per share;</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3"/>
        </w:numPr>
        <w:rPr>
          <w:rFonts w:ascii="Arial" w:cs="Arial" w:eastAsia="Arial" w:hAnsi="Arial"/>
          <w:sz w:val="14"/>
          <w:szCs w:val="14"/>
          <w:color w:val="auto"/>
        </w:rPr>
      </w:pPr>
      <w:r>
        <w:rPr>
          <w:rFonts w:ascii="Arial" w:cs="Arial" w:eastAsia="Arial" w:hAnsi="Arial"/>
          <w:sz w:val="14"/>
          <w:szCs w:val="14"/>
          <w:color w:val="auto"/>
        </w:rPr>
        <w:t>694,687 shares of common stock available for future issuance under our 2007 Equity Compensation Plan; and</w:t>
      </w:r>
    </w:p>
    <w:p>
      <w:pPr>
        <w:spacing w:after="0" w:line="274" w:lineRule="exact"/>
        <w:rPr>
          <w:rFonts w:ascii="Arial" w:cs="Arial" w:eastAsia="Arial" w:hAnsi="Arial"/>
          <w:sz w:val="14"/>
          <w:szCs w:val="14"/>
          <w:color w:val="auto"/>
        </w:rPr>
      </w:pPr>
    </w:p>
    <w:p>
      <w:pPr>
        <w:jc w:val="center"/>
        <w:ind w:left="5700" w:right="1440" w:hanging="4915"/>
        <w:spacing w:after="0" w:line="672" w:lineRule="auto"/>
        <w:tabs>
          <w:tab w:leader="none" w:pos="1047" w:val="left"/>
        </w:tabs>
        <w:numPr>
          <w:ilvl w:val="0"/>
          <w:numId w:val="3"/>
        </w:numPr>
        <w:rPr>
          <w:rFonts w:ascii="Arial" w:cs="Arial" w:eastAsia="Arial" w:hAnsi="Arial"/>
          <w:sz w:val="14"/>
          <w:szCs w:val="14"/>
          <w:color w:val="auto"/>
        </w:rPr>
      </w:pPr>
      <w:r>
        <w:rPr>
          <w:rFonts w:ascii="Arial" w:cs="Arial" w:eastAsia="Arial" w:hAnsi="Arial"/>
          <w:sz w:val="14"/>
          <w:szCs w:val="14"/>
          <w:color w:val="auto"/>
        </w:rPr>
        <w:t>1,750 shares of comm stock issuable upon exercise of warrants having a cash exercise price of $4.00 per share and a cashless exercise price of $5.00 per share.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279640"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20"/>
          </w:cols>
          <w:pgMar w:left="220" w:top="518"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4"/>
          <w:szCs w:val="14"/>
          <w:b w:val="1"/>
          <w:bCs w:val="1"/>
          <w:color w:val="auto"/>
        </w:rPr>
        <w:t>RISK FACTORS</w:t>
      </w:r>
    </w:p>
    <w:p>
      <w:pPr>
        <w:spacing w:after="0" w:line="232" w:lineRule="exact"/>
        <w:rPr>
          <w:sz w:val="20"/>
          <w:szCs w:val="20"/>
          <w:color w:val="auto"/>
        </w:rPr>
      </w:pPr>
    </w:p>
    <w:p>
      <w:pPr>
        <w:jc w:val="both"/>
        <w:ind w:right="80" w:firstLine="519"/>
        <w:spacing w:after="0" w:line="274" w:lineRule="auto"/>
        <w:rPr>
          <w:sz w:val="20"/>
          <w:szCs w:val="20"/>
          <w:color w:val="auto"/>
        </w:rPr>
      </w:pPr>
      <w:r>
        <w:rPr>
          <w:rFonts w:ascii="Arial" w:cs="Arial" w:eastAsia="Arial" w:hAnsi="Arial"/>
          <w:sz w:val="14"/>
          <w:szCs w:val="14"/>
          <w:i w:val="1"/>
          <w:iCs w:val="1"/>
          <w:color w:val="auto"/>
        </w:rPr>
        <w:t>Investing in our common stock involves a high degree of risk. Before investing in our common stock you should carefully consider the following risks, together with the financial and other information contained in this prospectus. If any of the following risks actually occurs, our business, prospects, financial condition and results of operations could be adversely affected. In that case, the trading price of our common stock would likely decline and you may lose all or a part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w:t>
      </w:r>
    </w:p>
    <w:p>
      <w:pPr>
        <w:spacing w:after="0" w:line="232" w:lineRule="exact"/>
        <w:rPr>
          <w:sz w:val="20"/>
          <w:szCs w:val="20"/>
          <w:color w:val="auto"/>
        </w:rPr>
      </w:pPr>
    </w:p>
    <w:p>
      <w:pPr>
        <w:ind w:right="400" w:firstLine="519"/>
        <w:spacing w:after="0" w:line="290" w:lineRule="auto"/>
        <w:rPr>
          <w:sz w:val="20"/>
          <w:szCs w:val="20"/>
          <w:color w:val="auto"/>
        </w:rPr>
      </w:pPr>
      <w:r>
        <w:rPr>
          <w:rFonts w:ascii="Arial" w:cs="Arial" w:eastAsia="Arial" w:hAnsi="Arial"/>
          <w:sz w:val="14"/>
          <w:szCs w:val="14"/>
          <w:b w:val="1"/>
          <w:bCs w:val="1"/>
          <w:i w:val="1"/>
          <w:iCs w:val="1"/>
          <w:color w:val="auto"/>
        </w:rPr>
        <w:t>We have incurred losses in the research and development of Ketotransdel™ and our Transdel™ technology since inception. No assurance can be given that we will ever generate revenue or become profitable.</w:t>
      </w:r>
    </w:p>
    <w:p>
      <w:pPr>
        <w:spacing w:after="0" w:line="173" w:lineRule="exact"/>
        <w:rPr>
          <w:sz w:val="20"/>
          <w:szCs w:val="20"/>
          <w:color w:val="auto"/>
        </w:rPr>
      </w:pPr>
    </w:p>
    <w:p>
      <w:pPr>
        <w:ind w:right="20" w:firstLine="519"/>
        <w:spacing w:after="0" w:line="291" w:lineRule="auto"/>
        <w:rPr>
          <w:sz w:val="20"/>
          <w:szCs w:val="20"/>
          <w:color w:val="auto"/>
        </w:rPr>
      </w:pPr>
      <w:r>
        <w:rPr>
          <w:rFonts w:ascii="Arial" w:cs="Arial" w:eastAsia="Arial" w:hAnsi="Arial"/>
          <w:sz w:val="13"/>
          <w:szCs w:val="13"/>
          <w:color w:val="auto"/>
        </w:rPr>
        <w:t>Since inception we have recorded operating losses. For the fiscal year ended December 31, 2006, we experienced a net loss of approximately $584,000, and for the nine month period ended September 30, 2007, we experienced a net loss of approximately $2.8 million. In addition, we expect to incur increasing operating losses over the next several years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license rights to particular drugs. The license fees for such drugs may increase our costs.</w:t>
      </w:r>
    </w:p>
    <w:p>
      <w:pPr>
        <w:spacing w:after="0" w:line="175" w:lineRule="exact"/>
        <w:rPr>
          <w:sz w:val="20"/>
          <w:szCs w:val="20"/>
          <w:color w:val="auto"/>
        </w:rPr>
      </w:pPr>
    </w:p>
    <w:p>
      <w:pPr>
        <w:ind w:right="140" w:firstLine="519"/>
        <w:spacing w:after="0" w:line="266" w:lineRule="auto"/>
        <w:rPr>
          <w:sz w:val="20"/>
          <w:szCs w:val="20"/>
          <w:color w:val="auto"/>
        </w:rPr>
      </w:pPr>
      <w:r>
        <w:rPr>
          <w:rFonts w:ascii="Arial" w:cs="Arial" w:eastAsia="Arial" w:hAnsi="Arial"/>
          <w:sz w:val="14"/>
          <w:szCs w:val="14"/>
          <w:color w:val="auto"/>
        </w:rPr>
        <w:t>We expect to continue to incur losses for the foreseeable future as we continue to engage in the development of Ketotransdel™ and develop other products. There can be no assurance that we will ever be able to achieve or sustain market acceptance, profitability or positive cash flow. Our ultimate success will depend on many factors, including whether Ketotransdel™ receives FDA approval. We cannot be certain that we will receive FDA approval for Ketotransdel™, or that we will reach the level of sales and revenues necessary to achieve and sustain profitability. Unless we raise additional capital, we may not be able to execute our business plan or fund business operations long enough to achieve positive cash flow. Furthermore, we may be forced to reduce our expenses and cash expenditures to a material extent, which would impair our ability to execute our business plan.</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As of our last audit at the end of 2006, our independent registered public accounting firm expressed doubt about our ability to continue as a going concern.</w:t>
      </w:r>
    </w:p>
    <w:p>
      <w:pPr>
        <w:spacing w:after="0" w:line="228" w:lineRule="exact"/>
        <w:rPr>
          <w:sz w:val="20"/>
          <w:szCs w:val="20"/>
          <w:color w:val="auto"/>
        </w:rPr>
      </w:pPr>
    </w:p>
    <w:p>
      <w:pPr>
        <w:ind w:firstLine="519"/>
        <w:spacing w:after="0" w:line="274" w:lineRule="auto"/>
        <w:rPr>
          <w:sz w:val="20"/>
          <w:szCs w:val="20"/>
          <w:color w:val="auto"/>
        </w:rPr>
      </w:pPr>
      <w:r>
        <w:rPr>
          <w:rFonts w:ascii="Arial" w:cs="Arial" w:eastAsia="Arial" w:hAnsi="Arial"/>
          <w:sz w:val="14"/>
          <w:szCs w:val="14"/>
          <w:color w:val="auto"/>
        </w:rPr>
        <w:t>There can be no assurance that we will ever be able to achieve or sustain profitability or positive cash flow. Based on our history of losses, our independent registered public accounting firm has stated in their report accompanying their audit of our 2006 year-end financial statements that there was substantial doubt about our ability to continue as a going concern. If we are not able to generate revenue or raise additional capital, we may not be able to continue operating our business.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We will need additional financing to execute our business plan and fund operations, which additional financing may not be available.</w:t>
      </w:r>
    </w:p>
    <w:p>
      <w:pPr>
        <w:spacing w:after="0" w:line="228" w:lineRule="exact"/>
        <w:rPr>
          <w:sz w:val="20"/>
          <w:szCs w:val="20"/>
          <w:color w:val="auto"/>
        </w:rPr>
      </w:pPr>
    </w:p>
    <w:p>
      <w:pPr>
        <w:ind w:right="180" w:firstLine="519"/>
        <w:spacing w:after="0" w:line="274" w:lineRule="auto"/>
        <w:rPr>
          <w:sz w:val="20"/>
          <w:szCs w:val="20"/>
          <w:color w:val="auto"/>
        </w:rPr>
      </w:pPr>
      <w:r>
        <w:rPr>
          <w:rFonts w:ascii="Arial" w:cs="Arial" w:eastAsia="Arial" w:hAnsi="Arial"/>
          <w:sz w:val="14"/>
          <w:szCs w:val="14"/>
          <w:color w:val="auto"/>
        </w:rPr>
        <w:t>We have very limited funds and we will not be able to execute our current business plan and fund business operations long enough to achieve profitability unless we are able to raise additional funds. Our ultimate success will depend upon our ability to raise additional capital. There can be no assurance that additional funds will be available when needed from any source or, if available, will be available on terms that are acceptable to us.</w:t>
      </w:r>
    </w:p>
    <w:p>
      <w:pPr>
        <w:spacing w:after="0" w:line="184" w:lineRule="exact"/>
        <w:rPr>
          <w:sz w:val="20"/>
          <w:szCs w:val="20"/>
          <w:color w:val="auto"/>
        </w:rPr>
      </w:pPr>
    </w:p>
    <w:p>
      <w:pPr>
        <w:ind w:right="260" w:firstLine="519"/>
        <w:spacing w:after="0" w:line="291" w:lineRule="auto"/>
        <w:rPr>
          <w:sz w:val="20"/>
          <w:szCs w:val="20"/>
          <w:color w:val="auto"/>
        </w:rPr>
      </w:pPr>
      <w:r>
        <w:rPr>
          <w:rFonts w:ascii="Arial" w:cs="Arial" w:eastAsia="Arial" w:hAnsi="Arial"/>
          <w:sz w:val="13"/>
          <w:szCs w:val="13"/>
          <w:color w:val="auto"/>
        </w:rPr>
        <w:t>We may be required to pursue sources of additional capital through various means, including joint venture projects and debt or equity financings.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condition.</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20" w:right="239" w:bottom="1440" w:gutter="0" w:footer="0" w:header="0"/>
        </w:sectPr>
      </w:pPr>
    </w:p>
    <w:bookmarkStart w:id="7" w:name="page8"/>
    <w:bookmarkEnd w:id="7"/>
    <w:p>
      <w:pPr>
        <w:ind w:right="180" w:firstLine="519"/>
        <w:spacing w:after="0" w:line="274" w:lineRule="auto"/>
        <w:rPr>
          <w:sz w:val="20"/>
          <w:szCs w:val="20"/>
          <w:color w:val="auto"/>
        </w:rPr>
      </w:pPr>
      <w:r>
        <w:rPr>
          <w:rFonts w:ascii="Arial" w:cs="Arial" w:eastAsia="Arial" w:hAnsi="Arial"/>
          <w:sz w:val="14"/>
          <w:szCs w:val="14"/>
          <w:color w:val="auto"/>
        </w:rPr>
        <w:t>Our ability to obtain needed financing may be impaired by such factors as the capital markets, both generally and specifically in the pharmaceutical industry, and the fact that we are not profitable, which could impact the availability or cost of future financings. If the amount of capital we are able to raise from financing activities, together with our revenues from operations, is not sufficient to satisfy our capital needs, even to the extent that we reduce our operations accordingly, we may be required to cease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Timing and results of clinical trials to demonstrate the safety and efficacy of products as well as FDA approval of products are uncertain.</w:t>
      </w:r>
    </w:p>
    <w:p>
      <w:pPr>
        <w:spacing w:after="0" w:line="228" w:lineRule="exact"/>
        <w:rPr>
          <w:sz w:val="20"/>
          <w:szCs w:val="20"/>
          <w:color w:val="auto"/>
        </w:rPr>
      </w:pPr>
    </w:p>
    <w:p>
      <w:pPr>
        <w:ind w:right="40" w:firstLine="519"/>
        <w:spacing w:after="0" w:line="266" w:lineRule="auto"/>
        <w:rPr>
          <w:sz w:val="20"/>
          <w:szCs w:val="20"/>
          <w:color w:val="auto"/>
        </w:rPr>
      </w:pPr>
      <w:r>
        <w:rPr>
          <w:rFonts w:ascii="Arial" w:cs="Arial" w:eastAsia="Arial" w:hAnsi="Arial"/>
          <w:sz w:val="14"/>
          <w:szCs w:val="14"/>
          <w:color w:val="auto"/>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spacing w:after="0" w:line="190" w:lineRule="exact"/>
        <w:rPr>
          <w:sz w:val="20"/>
          <w:szCs w:val="20"/>
          <w:color w:val="auto"/>
        </w:rPr>
      </w:pPr>
    </w:p>
    <w:p>
      <w:pPr>
        <w:jc w:val="both"/>
        <w:ind w:right="100" w:firstLine="519"/>
        <w:spacing w:after="0" w:line="274" w:lineRule="auto"/>
        <w:rPr>
          <w:sz w:val="20"/>
          <w:szCs w:val="20"/>
          <w:color w:val="auto"/>
        </w:rPr>
      </w:pPr>
      <w:r>
        <w:rPr>
          <w:rFonts w:ascii="Arial" w:cs="Arial" w:eastAsia="Arial" w:hAnsi="Arial"/>
          <w:sz w:val="14"/>
          <w:szCs w:val="14"/>
          <w:color w:val="auto"/>
        </w:rPr>
        <w:t>We cannot assure you that the FDA or other regulatory agencies will approve any products developed by us, on a timely basis, if at all, or, if granted, that such approval will not subject the marketing of our products to certain limits on indicated use.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If we fail to comply with continuing federal, state and foreign regulations, we could lose our approvals to market drugs and our business would be seriously harmed.</w:t>
      </w:r>
    </w:p>
    <w:p>
      <w:pPr>
        <w:spacing w:after="0" w:line="240" w:lineRule="exact"/>
        <w:rPr>
          <w:sz w:val="20"/>
          <w:szCs w:val="20"/>
          <w:color w:val="auto"/>
        </w:rPr>
      </w:pPr>
    </w:p>
    <w:p>
      <w:pPr>
        <w:ind w:firstLine="519"/>
        <w:spacing w:after="0" w:line="263" w:lineRule="auto"/>
        <w:rPr>
          <w:sz w:val="20"/>
          <w:szCs w:val="20"/>
          <w:color w:val="auto"/>
        </w:rPr>
      </w:pPr>
      <w:r>
        <w:rPr>
          <w:rFonts w:ascii="Arial" w:cs="Arial" w:eastAsia="Arial" w:hAnsi="Arial"/>
          <w:sz w:val="14"/>
          <w:szCs w:val="14"/>
          <w:color w:val="auto"/>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may:</w:t>
      </w:r>
    </w:p>
    <w:p>
      <w:pPr>
        <w:spacing w:after="0" w:line="193" w:lineRule="exact"/>
        <w:rPr>
          <w:sz w:val="20"/>
          <w:szCs w:val="20"/>
          <w:color w:val="auto"/>
        </w:rPr>
      </w:pPr>
    </w:p>
    <w:p>
      <w:pPr>
        <w:ind w:left="1040" w:hanging="255"/>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issue warning letters;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impose civil or criminal penalties;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suspend or withdraw our regulatory approval;</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suspend or terminate any of our ongoing clinical trials;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refuse to approve pending applications or supplements to approved applications filed by us;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impose restrictions on our operations;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24" w:right="239" w:bottom="1440" w:gutter="0" w:footer="0" w:header="0"/>
        </w:sectPr>
      </w:pPr>
    </w:p>
    <w:bookmarkStart w:id="8" w:name="page9"/>
    <w:bookmarkEnd w:id="8"/>
    <w:p>
      <w:pPr>
        <w:ind w:left="1040" w:hanging="255"/>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close the facilities of our contract manufacturers; or</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seize or detain products or require a product recall.</w:t>
      </w:r>
    </w:p>
    <w:p>
      <w:pPr>
        <w:spacing w:after="0" w:line="272" w:lineRule="exact"/>
        <w:rPr>
          <w:sz w:val="20"/>
          <w:szCs w:val="20"/>
          <w:color w:val="auto"/>
        </w:rPr>
      </w:pPr>
    </w:p>
    <w:p>
      <w:pPr>
        <w:ind w:firstLine="519"/>
        <w:spacing w:after="0" w:line="268" w:lineRule="auto"/>
        <w:rPr>
          <w:sz w:val="20"/>
          <w:szCs w:val="20"/>
          <w:color w:val="auto"/>
        </w:rPr>
      </w:pPr>
      <w:r>
        <w:rPr>
          <w:rFonts w:ascii="Arial" w:cs="Arial" w:eastAsia="Arial" w:hAnsi="Arial"/>
          <w:sz w:val="14"/>
          <w:szCs w:val="14"/>
          <w:color w:val="auto"/>
        </w:rPr>
        <w:t>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90" w:lineRule="exact"/>
        <w:rPr>
          <w:sz w:val="20"/>
          <w:szCs w:val="20"/>
          <w:color w:val="auto"/>
        </w:rPr>
      </w:pPr>
    </w:p>
    <w:p>
      <w:pPr>
        <w:jc w:val="both"/>
        <w:ind w:right="240" w:firstLine="519"/>
        <w:spacing w:after="0" w:line="274" w:lineRule="auto"/>
        <w:rPr>
          <w:sz w:val="20"/>
          <w:szCs w:val="20"/>
          <w:color w:val="auto"/>
        </w:rPr>
      </w:pPr>
      <w:r>
        <w:rPr>
          <w:rFonts w:ascii="Arial" w:cs="Arial" w:eastAsia="Arial" w:hAnsi="Arial"/>
          <w:sz w:val="14"/>
          <w:szCs w:val="14"/>
          <w:color w:val="auto"/>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w:t>
      </w:r>
    </w:p>
    <w:p>
      <w:pPr>
        <w:spacing w:after="0" w:line="184"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b w:val="1"/>
          <w:bCs w:val="1"/>
          <w:i w:val="1"/>
          <w:iCs w:val="1"/>
          <w:color w:val="auto"/>
        </w:rPr>
        <w:t>Delays in the conduct or completion of our clinical and non-clinical trials or the analysis of the data from our clinical or non-clinical trials may result in delays in our planned filings for regulatory approvals, and may adversely affect our business.</w:t>
      </w:r>
    </w:p>
    <w:p>
      <w:pPr>
        <w:spacing w:after="0" w:line="173"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color w:val="auto"/>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spacing w:after="0" w:line="173" w:lineRule="exact"/>
        <w:rPr>
          <w:sz w:val="20"/>
          <w:szCs w:val="20"/>
          <w:color w:val="auto"/>
        </w:rPr>
      </w:pPr>
    </w:p>
    <w:p>
      <w:pPr>
        <w:ind w:left="1040" w:hanging="25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failure of the FDA to approve the scope or design of our clinical or non-clinical trials or manufacturing plans;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delays in enrolling volunteers in clinical trials;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insufficient supply or deficient quality of materials necessary for the performance of clinical or non-clinical trials;</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negative results of clinical or non-clinical studies; and</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adverse side effects experienced by study participants in clinical trials relating to a specific product.</w:t>
      </w:r>
    </w:p>
    <w:p>
      <w:pPr>
        <w:spacing w:after="0" w:line="272" w:lineRule="exact"/>
        <w:rPr>
          <w:sz w:val="20"/>
          <w:szCs w:val="20"/>
          <w:color w:val="auto"/>
        </w:rPr>
      </w:pPr>
    </w:p>
    <w:p>
      <w:pPr>
        <w:ind w:right="220" w:firstLine="519"/>
        <w:spacing w:after="0" w:line="290" w:lineRule="auto"/>
        <w:rPr>
          <w:sz w:val="20"/>
          <w:szCs w:val="20"/>
          <w:color w:val="auto"/>
        </w:rPr>
      </w:pPr>
      <w:r>
        <w:rPr>
          <w:rFonts w:ascii="Arial" w:cs="Arial" w:eastAsia="Arial" w:hAnsi="Arial"/>
          <w:sz w:val="14"/>
          <w:szCs w:val="14"/>
          <w:color w:val="auto"/>
        </w:rPr>
        <w:t>There may be other circumstances other than the ones described above, over which we may have no control that could materially delay the successful completion of our clinical and non-clinical studies.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None of our product candidates, other than Ketotransdel™ , have commenced clinical trials.</w:t>
      </w:r>
    </w:p>
    <w:p>
      <w:pPr>
        <w:spacing w:after="0" w:line="228" w:lineRule="exact"/>
        <w:rPr>
          <w:sz w:val="20"/>
          <w:szCs w:val="20"/>
          <w:color w:val="auto"/>
        </w:rPr>
      </w:pPr>
    </w:p>
    <w:p>
      <w:pPr>
        <w:ind w:firstLine="519"/>
        <w:spacing w:after="0" w:line="266" w:lineRule="auto"/>
        <w:rPr>
          <w:sz w:val="20"/>
          <w:szCs w:val="20"/>
          <w:color w:val="auto"/>
        </w:rPr>
      </w:pPr>
      <w:r>
        <w:rPr>
          <w:rFonts w:ascii="Arial" w:cs="Arial" w:eastAsia="Arial" w:hAnsi="Arial"/>
          <w:sz w:val="14"/>
          <w:szCs w:val="14"/>
          <w:color w:val="auto"/>
        </w:rPr>
        <w:t>None of our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9" w:name="page10"/>
    <w:bookmarkEnd w:id="9"/>
    <w:p>
      <w:pPr>
        <w:ind w:left="520"/>
        <w:spacing w:after="0"/>
        <w:rPr>
          <w:sz w:val="20"/>
          <w:szCs w:val="20"/>
          <w:color w:val="auto"/>
        </w:rPr>
      </w:pPr>
      <w:r>
        <w:rPr>
          <w:rFonts w:ascii="Arial" w:cs="Arial" w:eastAsia="Arial" w:hAnsi="Arial"/>
          <w:sz w:val="14"/>
          <w:szCs w:val="14"/>
          <w:b w:val="1"/>
          <w:bCs w:val="1"/>
          <w:i w:val="1"/>
          <w:iCs w:val="1"/>
          <w:color w:val="auto"/>
        </w:rPr>
        <w:t>Once approved, there is no guarantee that the market will accept our products, and regulatory requirements could limit the commercial usage of our products.</w:t>
      </w:r>
    </w:p>
    <w:p>
      <w:pPr>
        <w:spacing w:after="0" w:line="228" w:lineRule="exact"/>
        <w:rPr>
          <w:sz w:val="20"/>
          <w:szCs w:val="20"/>
          <w:color w:val="auto"/>
        </w:rPr>
      </w:pPr>
    </w:p>
    <w:p>
      <w:pPr>
        <w:ind w:firstLine="519"/>
        <w:spacing w:after="0" w:line="288" w:lineRule="auto"/>
        <w:rPr>
          <w:sz w:val="20"/>
          <w:szCs w:val="20"/>
          <w:color w:val="auto"/>
        </w:rPr>
      </w:pPr>
      <w:r>
        <w:rPr>
          <w:rFonts w:ascii="Arial" w:cs="Arial" w:eastAsia="Arial" w:hAnsi="Arial"/>
          <w:sz w:val="13"/>
          <w:szCs w:val="13"/>
          <w:color w:val="auto"/>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We may be the subject of product liability claims or product recalls, and we may be unable to obtain or maintain insurance adequate to cover potential liabilities.</w:t>
      </w:r>
    </w:p>
    <w:p>
      <w:pPr>
        <w:spacing w:after="0" w:line="228" w:lineRule="exact"/>
        <w:rPr>
          <w:sz w:val="20"/>
          <w:szCs w:val="20"/>
          <w:color w:val="auto"/>
        </w:rPr>
      </w:pPr>
    </w:p>
    <w:p>
      <w:pPr>
        <w:ind w:right="160" w:firstLine="519"/>
        <w:spacing w:after="0" w:line="295" w:lineRule="auto"/>
        <w:rPr>
          <w:sz w:val="20"/>
          <w:szCs w:val="20"/>
          <w:color w:val="auto"/>
        </w:rPr>
      </w:pPr>
      <w:r>
        <w:rPr>
          <w:rFonts w:ascii="Arial" w:cs="Arial" w:eastAsia="Arial" w:hAnsi="Arial"/>
          <w:sz w:val="13"/>
          <w:szCs w:val="13"/>
          <w:color w:val="auto"/>
        </w:rPr>
        <w:t>Our business exposes us to potential liability risks that arise from the testing, manufacturing, marketing and sale of our products. In addition to direct expenditures for damages, settlement and defense costs, there is a possibility of adverse publicity as a result of product liability claims. Product liability is a significant commercial risk for us. Some plaintiffs have received substantial damage awards against pharmaceutical companies based upon claims for injuries allegedly caused by the use of their products. In addition, it may be necessary for us to recall products that do not meet approved specifications, which would also result in adverse publicity, as well as costs connected to the recall and loss of revenue.</w:t>
      </w:r>
    </w:p>
    <w:p>
      <w:pPr>
        <w:spacing w:after="0" w:line="174" w:lineRule="exact"/>
        <w:rPr>
          <w:sz w:val="20"/>
          <w:szCs w:val="20"/>
          <w:color w:val="auto"/>
        </w:rPr>
      </w:pPr>
    </w:p>
    <w:p>
      <w:pPr>
        <w:ind w:right="40" w:firstLine="519"/>
        <w:spacing w:after="0" w:line="274" w:lineRule="auto"/>
        <w:rPr>
          <w:sz w:val="20"/>
          <w:szCs w:val="20"/>
          <w:color w:val="auto"/>
        </w:rPr>
      </w:pPr>
      <w:r>
        <w:rPr>
          <w:rFonts w:ascii="Arial" w:cs="Arial" w:eastAsia="Arial" w:hAnsi="Arial"/>
          <w:sz w:val="14"/>
          <w:szCs w:val="14"/>
          <w:color w:val="auto"/>
        </w:rPr>
        <w:t>We cannot assure you that a product liability claim or series of claims brought against us would not have an adverse effect on our business, financial condition, and results of operations. If any claim is brought against us, regardless of the success or failure of the claim, we cannot assure you that we will be able to obtain or maintain product liability insurance in the future on acceptable terms or with adequate coverage against potential liabilities or the cost of a recall.</w:t>
      </w:r>
    </w:p>
    <w:p>
      <w:pPr>
        <w:spacing w:after="0" w:line="184" w:lineRule="exact"/>
        <w:rPr>
          <w:sz w:val="20"/>
          <w:szCs w:val="20"/>
          <w:color w:val="auto"/>
        </w:rPr>
      </w:pPr>
    </w:p>
    <w:p>
      <w:pPr>
        <w:jc w:val="both"/>
        <w:ind w:right="220" w:firstLine="519"/>
        <w:spacing w:after="0" w:line="274" w:lineRule="auto"/>
        <w:rPr>
          <w:sz w:val="20"/>
          <w:szCs w:val="20"/>
          <w:color w:val="auto"/>
        </w:rPr>
      </w:pPr>
      <w:r>
        <w:rPr>
          <w:rFonts w:ascii="Arial" w:cs="Arial" w:eastAsia="Arial" w:hAnsi="Arial"/>
          <w:sz w:val="14"/>
          <w:szCs w:val="14"/>
          <w:color w:val="auto"/>
        </w:rPr>
        <w:t>We are in the process of obtaining product liability insurance. However, we cannot assure you that our insurance will provide adequate coverage against potential liabilities. Furthermore, clinical trial and product liability insurance is becoming increasingly expensive. As a result, we may not be able to maintain current amounts of insurance coverage, obtain additional insurance or obtain insurance at a reasonable cost or in sufficient amounts to protect against losses that could have a material adverse effect on us.</w:t>
      </w:r>
    </w:p>
    <w:p>
      <w:pPr>
        <w:spacing w:after="0" w:line="184" w:lineRule="exact"/>
        <w:rPr>
          <w:sz w:val="20"/>
          <w:szCs w:val="20"/>
          <w:color w:val="auto"/>
        </w:rPr>
      </w:pPr>
    </w:p>
    <w:p>
      <w:pPr>
        <w:ind w:right="40" w:firstLine="519"/>
        <w:spacing w:after="0" w:line="290" w:lineRule="auto"/>
        <w:rPr>
          <w:sz w:val="20"/>
          <w:szCs w:val="20"/>
          <w:color w:val="auto"/>
        </w:rPr>
      </w:pPr>
      <w:r>
        <w:rPr>
          <w:rFonts w:ascii="Arial" w:cs="Arial" w:eastAsia="Arial" w:hAnsi="Arial"/>
          <w:sz w:val="14"/>
          <w:szCs w:val="14"/>
          <w:b w:val="1"/>
          <w:bCs w:val="1"/>
          <w:i w:val="1"/>
          <w:iCs w:val="1"/>
          <w:color w:val="auto"/>
        </w:rPr>
        <w:t>If our patents are determined to be unenforceable, or if we are unable to obtain new patents based on current patent applications or for future inventions, we may not be able to prevent others from using our intellectual property.</w:t>
      </w:r>
    </w:p>
    <w:p>
      <w:pPr>
        <w:spacing w:after="0" w:line="173" w:lineRule="exact"/>
        <w:rPr>
          <w:sz w:val="20"/>
          <w:szCs w:val="20"/>
          <w:color w:val="auto"/>
        </w:rPr>
      </w:pPr>
    </w:p>
    <w:p>
      <w:pPr>
        <w:ind w:right="120" w:firstLine="519"/>
        <w:spacing w:after="0" w:line="262" w:lineRule="auto"/>
        <w:rPr>
          <w:sz w:val="20"/>
          <w:szCs w:val="20"/>
          <w:color w:val="auto"/>
        </w:rPr>
      </w:pPr>
      <w:r>
        <w:rPr>
          <w:rFonts w:ascii="Arial" w:cs="Arial" w:eastAsia="Arial" w:hAnsi="Arial"/>
          <w:sz w:val="14"/>
          <w:szCs w:val="14"/>
          <w:color w:val="auto"/>
        </w:rPr>
        <w:t>Our success will depend in part on our ability to obtain and expand patent protection for our specific products and technologies both in the United States and other countries. We cannot guarantee that any patents will be issued from any pending or future patent applications owned by or licensed to us. Alternatively, a third party may successfully circumvent our patents. Our rights under any issued patents may not provide us with sufficient protection against competitive products or otherwise cover commercially valuable products or processes. In addition, because patent applications in the United States are maintained in secrecy for eighteen months after the filing of the applications, and publication of discoveries in the scientific or patent literature often lag behind actual discoveries, we cannot be sure that the inventors of subject matter covered by our patents and patent applications were the first to invent or the first to file patent applications for these inventions. In the event that a third party has also filed a patent on a similar invention, we may have to participate in interference proceedings declared by the United States Patent and Trademark Office to determine priority of invention, which could result in a loss of our patent position. Furthermore, we may not have identified all United States and foreign patents that pose a risk of infringement.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4" w:right="219" w:bottom="1440" w:gutter="0" w:footer="0" w:header="0"/>
        </w:sectPr>
      </w:pPr>
    </w:p>
    <w:bookmarkStart w:id="10" w:name="page11"/>
    <w:bookmarkEnd w:id="10"/>
    <w:p>
      <w:pPr>
        <w:ind w:left="520"/>
        <w:spacing w:after="0"/>
        <w:rPr>
          <w:sz w:val="20"/>
          <w:szCs w:val="20"/>
          <w:color w:val="auto"/>
        </w:rPr>
      </w:pPr>
      <w:r>
        <w:rPr>
          <w:rFonts w:ascii="Arial" w:cs="Arial" w:eastAsia="Arial" w:hAnsi="Arial"/>
          <w:sz w:val="14"/>
          <w:szCs w:val="14"/>
          <w:b w:val="1"/>
          <w:bCs w:val="1"/>
          <w:i w:val="1"/>
          <w:iCs w:val="1"/>
          <w:color w:val="auto"/>
        </w:rPr>
        <w:t>The use of our technologies could potentially conflict with the rights of others.</w:t>
      </w:r>
    </w:p>
    <w:p>
      <w:pPr>
        <w:spacing w:after="0" w:line="228" w:lineRule="exact"/>
        <w:rPr>
          <w:sz w:val="20"/>
          <w:szCs w:val="20"/>
          <w:color w:val="auto"/>
        </w:rPr>
      </w:pPr>
    </w:p>
    <w:p>
      <w:pPr>
        <w:ind w:firstLine="519"/>
        <w:spacing w:after="0" w:line="288" w:lineRule="auto"/>
        <w:rPr>
          <w:sz w:val="20"/>
          <w:szCs w:val="20"/>
          <w:color w:val="auto"/>
        </w:rPr>
      </w:pPr>
      <w:r>
        <w:rPr>
          <w:rFonts w:ascii="Arial" w:cs="Arial" w:eastAsia="Arial" w:hAnsi="Arial"/>
          <w:sz w:val="13"/>
          <w:szCs w:val="13"/>
          <w:color w:val="auto"/>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 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spacing w:after="0" w:line="178" w:lineRule="exact"/>
        <w:rPr>
          <w:sz w:val="20"/>
          <w:szCs w:val="20"/>
          <w:color w:val="auto"/>
        </w:rPr>
      </w:pPr>
    </w:p>
    <w:p>
      <w:pPr>
        <w:ind w:right="40" w:firstLine="519"/>
        <w:spacing w:after="0" w:line="378" w:lineRule="auto"/>
        <w:rPr>
          <w:sz w:val="20"/>
          <w:szCs w:val="20"/>
          <w:color w:val="auto"/>
        </w:rPr>
      </w:pPr>
      <w:r>
        <w:rPr>
          <w:rFonts w:ascii="Arial" w:cs="Arial" w:eastAsia="Arial" w:hAnsi="Arial"/>
          <w:sz w:val="12"/>
          <w:szCs w:val="12"/>
          <w:b w:val="1"/>
          <w:bCs w:val="1"/>
          <w:i w:val="1"/>
          <w:iCs w:val="1"/>
          <w:color w:val="auto"/>
        </w:rPr>
        <w:t>We will be dependent on outside manufacturers in the event that we successfully develop our product candidates into commercial drug products; therefore, we will have limited control of the manufacturing process, access to raw materials, timing for delivery of finished products and costs. One manufacturer may constitute the sole source of one or more of our products.</w:t>
      </w:r>
    </w:p>
    <w:p>
      <w:pPr>
        <w:spacing w:after="0" w:line="128" w:lineRule="exact"/>
        <w:rPr>
          <w:sz w:val="20"/>
          <w:szCs w:val="20"/>
          <w:color w:val="auto"/>
        </w:rPr>
      </w:pPr>
    </w:p>
    <w:p>
      <w:pPr>
        <w:ind w:right="100" w:firstLine="519"/>
        <w:spacing w:after="0" w:line="326" w:lineRule="auto"/>
        <w:rPr>
          <w:sz w:val="20"/>
          <w:szCs w:val="20"/>
          <w:color w:val="auto"/>
        </w:rPr>
      </w:pPr>
      <w:r>
        <w:rPr>
          <w:rFonts w:ascii="Arial" w:cs="Arial" w:eastAsia="Arial" w:hAnsi="Arial"/>
          <w:sz w:val="12"/>
          <w:szCs w:val="12"/>
          <w:color w:val="auto"/>
        </w:rPr>
        <w:t>Third party manufacturers will manufacture all of our products, in the event that we successfully develop our product candidates into commercial drug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spacing w:after="0" w:line="159" w:lineRule="exact"/>
        <w:rPr>
          <w:sz w:val="20"/>
          <w:szCs w:val="20"/>
          <w:color w:val="auto"/>
        </w:rPr>
      </w:pPr>
    </w:p>
    <w:p>
      <w:pPr>
        <w:ind w:firstLine="519"/>
        <w:spacing w:after="0" w:line="262" w:lineRule="auto"/>
        <w:rPr>
          <w:sz w:val="20"/>
          <w:szCs w:val="20"/>
          <w:color w:val="auto"/>
        </w:rPr>
      </w:pPr>
      <w:r>
        <w:rPr>
          <w:rFonts w:ascii="Arial" w:cs="Arial" w:eastAsia="Arial" w:hAnsi="Arial"/>
          <w:sz w:val="14"/>
          <w:szCs w:val="14"/>
          <w:color w:val="auto"/>
        </w:rPr>
        <w:t>Because all of our products, in the event that we successfully develop our product candidates into commercial drug products, will be manufactured by third parties, we have a limited ability to control the manufacturing process, access to raw materials, the timing for delivery of finished products or costs related to this process. There can be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spacing w:after="0" w:line="195" w:lineRule="exact"/>
        <w:rPr>
          <w:sz w:val="20"/>
          <w:szCs w:val="20"/>
          <w:color w:val="auto"/>
        </w:rPr>
      </w:pPr>
    </w:p>
    <w:p>
      <w:pPr>
        <w:ind w:right="20" w:firstLine="519"/>
        <w:spacing w:after="0" w:line="274" w:lineRule="auto"/>
        <w:rPr>
          <w:sz w:val="20"/>
          <w:szCs w:val="20"/>
          <w:color w:val="auto"/>
        </w:rPr>
      </w:pPr>
      <w:r>
        <w:rPr>
          <w:rFonts w:ascii="Arial" w:cs="Arial" w:eastAsia="Arial" w:hAnsi="Arial"/>
          <w:sz w:val="14"/>
          <w:szCs w:val="14"/>
          <w:color w:val="auto"/>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spacing w:after="0" w:line="184" w:lineRule="exact"/>
        <w:rPr>
          <w:sz w:val="20"/>
          <w:szCs w:val="20"/>
          <w:color w:val="auto"/>
        </w:rPr>
      </w:pPr>
    </w:p>
    <w:p>
      <w:pPr>
        <w:ind w:right="280" w:firstLine="519"/>
        <w:spacing w:after="0" w:line="274" w:lineRule="auto"/>
        <w:rPr>
          <w:sz w:val="20"/>
          <w:szCs w:val="20"/>
          <w:color w:val="auto"/>
        </w:rPr>
      </w:pPr>
      <w:r>
        <w:rPr>
          <w:rFonts w:ascii="Arial" w:cs="Arial" w:eastAsia="Arial" w:hAnsi="Arial"/>
          <w:sz w:val="14"/>
          <w:szCs w:val="14"/>
          <w:b w:val="1"/>
          <w:bCs w:val="1"/>
          <w:i w:val="1"/>
          <w:iCs w:val="1"/>
          <w:color w:val="auto"/>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spacing w:after="0" w:line="184" w:lineRule="exact"/>
        <w:rPr>
          <w:sz w:val="20"/>
          <w:szCs w:val="20"/>
          <w:color w:val="auto"/>
        </w:rPr>
      </w:pPr>
    </w:p>
    <w:p>
      <w:pPr>
        <w:ind w:right="60" w:firstLine="519"/>
        <w:spacing w:after="0" w:line="268" w:lineRule="auto"/>
        <w:rPr>
          <w:sz w:val="20"/>
          <w:szCs w:val="20"/>
          <w:color w:val="auto"/>
        </w:rPr>
      </w:pPr>
      <w:r>
        <w:rPr>
          <w:rFonts w:ascii="Arial" w:cs="Arial" w:eastAsia="Arial" w:hAnsi="Arial"/>
          <w:sz w:val="14"/>
          <w:szCs w:val="14"/>
          <w:color w:val="auto"/>
        </w:rPr>
        <w:t>We rely on third parties to conduct clinical and non-clinical studies of our drug candidates and provide us with other services. Such third party contractors are subject to FDA requirements. Our business and financial viability are dependent on the regulatory compliance of these third parties, and on the strength, validity and terms of our various contracts with these third parties. Any interruption or failure by these third party contractors to meet their obligations pursuant to various agreements with us may be outside of our control and could have a material adverse effect on our business, financial condition and results of operations.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20"/>
          </w:cols>
          <w:pgMar w:left="220" w:top="345" w:right="259" w:bottom="1440" w:gutter="0" w:footer="0" w:header="0"/>
        </w:sectPr>
      </w:pPr>
    </w:p>
    <w:bookmarkStart w:id="11" w:name="page12"/>
    <w:bookmarkEnd w:id="11"/>
    <w:p>
      <w:pPr>
        <w:ind w:left="520"/>
        <w:spacing w:after="0"/>
        <w:rPr>
          <w:sz w:val="20"/>
          <w:szCs w:val="20"/>
          <w:color w:val="auto"/>
        </w:rPr>
      </w:pPr>
      <w:r>
        <w:rPr>
          <w:rFonts w:ascii="Arial" w:cs="Arial" w:eastAsia="Arial" w:hAnsi="Arial"/>
          <w:sz w:val="14"/>
          <w:szCs w:val="14"/>
          <w:b w:val="1"/>
          <w:bCs w:val="1"/>
          <w:i w:val="1"/>
          <w:iCs w:val="1"/>
          <w:color w:val="auto"/>
        </w:rPr>
        <w:t>We currently have no internal sales and marketing resources and may have to rely on third parties in the event that we successfully commercialize our product.</w:t>
      </w:r>
    </w:p>
    <w:p>
      <w:pPr>
        <w:spacing w:after="0" w:line="228" w:lineRule="exact"/>
        <w:rPr>
          <w:sz w:val="20"/>
          <w:szCs w:val="20"/>
          <w:color w:val="auto"/>
        </w:rPr>
      </w:pPr>
    </w:p>
    <w:p>
      <w:pPr>
        <w:ind w:right="220" w:firstLine="519"/>
        <w:spacing w:after="0" w:line="291" w:lineRule="auto"/>
        <w:rPr>
          <w:sz w:val="20"/>
          <w:szCs w:val="20"/>
          <w:color w:val="auto"/>
        </w:rPr>
      </w:pPr>
      <w:r>
        <w:rPr>
          <w:rFonts w:ascii="Arial" w:cs="Arial" w:eastAsia="Arial" w:hAnsi="Arial"/>
          <w:sz w:val="13"/>
          <w:szCs w:val="13"/>
          <w:color w:val="auto"/>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If we are unable to retain our key personnel or attract additional professional staff, we may be unable to maintain or expand our business.</w:t>
      </w:r>
    </w:p>
    <w:p>
      <w:pPr>
        <w:spacing w:after="0" w:line="228" w:lineRule="exact"/>
        <w:rPr>
          <w:sz w:val="20"/>
          <w:szCs w:val="20"/>
          <w:color w:val="auto"/>
        </w:rPr>
      </w:pPr>
    </w:p>
    <w:p>
      <w:pPr>
        <w:ind w:firstLine="519"/>
        <w:spacing w:after="0" w:line="264" w:lineRule="auto"/>
        <w:rPr>
          <w:sz w:val="20"/>
          <w:szCs w:val="20"/>
          <w:color w:val="auto"/>
        </w:rPr>
      </w:pPr>
      <w:r>
        <w:rPr>
          <w:rFonts w:ascii="Arial" w:cs="Arial" w:eastAsia="Arial" w:hAnsi="Arial"/>
          <w:sz w:val="14"/>
          <w:szCs w:val="14"/>
          <w:color w:val="auto"/>
        </w:rPr>
        <w:t>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especially our Chief Executive Officer, Juliet Singh, Ph.D. or the failure to recruit additional key scientific, technical and commercial personnel could have a material adverse effect on our business. While we have consulting agreements with certain key institutions and have an employment agreement with our Chief Executive Officer,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Industry</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If we are unable to compete with other companies that develop rival products to our products, then we may never gain market share or achieve profitability.</w:t>
      </w:r>
    </w:p>
    <w:p>
      <w:pPr>
        <w:spacing w:after="0" w:line="228" w:lineRule="exact"/>
        <w:rPr>
          <w:sz w:val="20"/>
          <w:szCs w:val="20"/>
          <w:color w:val="auto"/>
        </w:rPr>
      </w:pPr>
    </w:p>
    <w:p>
      <w:pPr>
        <w:ind w:firstLine="519"/>
        <w:spacing w:after="0" w:line="286" w:lineRule="auto"/>
        <w:rPr>
          <w:sz w:val="20"/>
          <w:szCs w:val="20"/>
          <w:color w:val="auto"/>
        </w:rPr>
      </w:pPr>
      <w:r>
        <w:rPr>
          <w:rFonts w:ascii="Arial" w:cs="Arial" w:eastAsia="Arial" w:hAnsi="Arial"/>
          <w:sz w:val="13"/>
          <w:szCs w:val="13"/>
          <w:color w:val="auto"/>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more well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pacing w:after="0" w:line="181" w:lineRule="exact"/>
        <w:rPr>
          <w:sz w:val="20"/>
          <w:szCs w:val="20"/>
          <w:color w:val="auto"/>
        </w:rPr>
      </w:pPr>
    </w:p>
    <w:p>
      <w:pPr>
        <w:ind w:right="480" w:firstLine="519"/>
        <w:spacing w:after="0" w:line="290" w:lineRule="auto"/>
        <w:rPr>
          <w:sz w:val="20"/>
          <w:szCs w:val="20"/>
          <w:color w:val="auto"/>
        </w:rPr>
      </w:pPr>
      <w:r>
        <w:rPr>
          <w:rFonts w:ascii="Arial" w:cs="Arial" w:eastAsia="Arial" w:hAnsi="Arial"/>
          <w:sz w:val="14"/>
          <w:szCs w:val="14"/>
          <w:b w:val="1"/>
          <w:bCs w:val="1"/>
          <w:i w:val="1"/>
          <w:iCs w:val="1"/>
          <w:color w:val="auto"/>
        </w:rPr>
        <w:t>We may not be able to keep up with the rapid technological change in the biotechnology and pharmaceutical industries, which could make our products obsolete and reduce our potential revenues.</w:t>
      </w:r>
    </w:p>
    <w:p>
      <w:pPr>
        <w:spacing w:after="0" w:line="173" w:lineRule="exact"/>
        <w:rPr>
          <w:sz w:val="20"/>
          <w:szCs w:val="20"/>
          <w:color w:val="auto"/>
        </w:rPr>
      </w:pPr>
    </w:p>
    <w:p>
      <w:pPr>
        <w:ind w:right="120" w:firstLine="519"/>
        <w:spacing w:after="0" w:line="304" w:lineRule="auto"/>
        <w:rPr>
          <w:sz w:val="20"/>
          <w:szCs w:val="20"/>
          <w:color w:val="auto"/>
        </w:rPr>
      </w:pPr>
      <w:r>
        <w:rPr>
          <w:rFonts w:ascii="Arial" w:cs="Arial" w:eastAsia="Arial" w:hAnsi="Arial"/>
          <w:sz w:val="13"/>
          <w:szCs w:val="13"/>
          <w:color w:val="auto"/>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2" w:name="page13"/>
    <w:bookmarkEnd w:id="12"/>
    <w:p>
      <w:pPr>
        <w:ind w:left="520"/>
        <w:spacing w:after="0"/>
        <w:rPr>
          <w:sz w:val="20"/>
          <w:szCs w:val="20"/>
          <w:color w:val="auto"/>
        </w:rPr>
      </w:pPr>
      <w:r>
        <w:rPr>
          <w:rFonts w:ascii="Arial" w:cs="Arial" w:eastAsia="Arial" w:hAnsi="Arial"/>
          <w:sz w:val="14"/>
          <w:szCs w:val="14"/>
          <w:b w:val="1"/>
          <w:bCs w:val="1"/>
          <w:i w:val="1"/>
          <w:iCs w:val="1"/>
          <w:color w:val="auto"/>
        </w:rPr>
        <w:t>Our ability to generate revenues will be diminished if we fail to obtain acceptable prices or an adequate level of reimbursement from third-party payors.</w:t>
      </w:r>
    </w:p>
    <w:p>
      <w:pPr>
        <w:spacing w:after="0" w:line="228"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color w:val="auto"/>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spacing w:after="0" w:line="173" w:lineRule="exact"/>
        <w:rPr>
          <w:sz w:val="20"/>
          <w:szCs w:val="20"/>
          <w:color w:val="auto"/>
        </w:rPr>
      </w:pPr>
    </w:p>
    <w:p>
      <w:pPr>
        <w:ind w:firstLine="519"/>
        <w:spacing w:after="0" w:line="266" w:lineRule="auto"/>
        <w:rPr>
          <w:sz w:val="20"/>
          <w:szCs w:val="20"/>
          <w:color w:val="auto"/>
        </w:rPr>
      </w:pPr>
      <w:r>
        <w:rPr>
          <w:rFonts w:ascii="Arial" w:cs="Arial" w:eastAsia="Arial" w:hAnsi="Arial"/>
          <w:sz w:val="14"/>
          <w:szCs w:val="14"/>
          <w:color w:val="auto"/>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Changes in the healthcare industry that are beyond our control may be detrimental to our business.</w:t>
      </w:r>
    </w:p>
    <w:p>
      <w:pPr>
        <w:spacing w:after="0" w:line="228" w:lineRule="exact"/>
        <w:rPr>
          <w:sz w:val="20"/>
          <w:szCs w:val="20"/>
          <w:color w:val="auto"/>
        </w:rPr>
      </w:pPr>
    </w:p>
    <w:p>
      <w:pPr>
        <w:ind w:right="60" w:firstLine="519"/>
        <w:spacing w:after="0" w:line="274" w:lineRule="auto"/>
        <w:rPr>
          <w:sz w:val="20"/>
          <w:szCs w:val="20"/>
          <w:color w:val="auto"/>
        </w:rPr>
      </w:pPr>
      <w:r>
        <w:rPr>
          <w:rFonts w:ascii="Arial" w:cs="Arial" w:eastAsia="Arial" w:hAnsi="Arial"/>
          <w:sz w:val="14"/>
          <w:szCs w:val="14"/>
          <w:color w:val="auto"/>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affect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Common Stock</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2"/>
          <w:szCs w:val="12"/>
          <w:b w:val="1"/>
          <w:bCs w:val="1"/>
          <w:i w:val="1"/>
          <w:iCs w:val="1"/>
          <w:color w:val="auto"/>
        </w:rPr>
        <w:t>We are subject to financial reporting and other requirements for which our accounting, internal audit and other management systems and resources may not be adequately prepared.</w:t>
      </w:r>
    </w:p>
    <w:p>
      <w:pPr>
        <w:spacing w:after="0" w:line="251" w:lineRule="exact"/>
        <w:rPr>
          <w:sz w:val="20"/>
          <w:szCs w:val="20"/>
          <w:color w:val="auto"/>
        </w:rPr>
      </w:pPr>
    </w:p>
    <w:p>
      <w:pPr>
        <w:ind w:right="20" w:firstLine="519"/>
        <w:spacing w:after="0" w:line="285" w:lineRule="auto"/>
        <w:rPr>
          <w:sz w:val="20"/>
          <w:szCs w:val="20"/>
          <w:color w:val="auto"/>
        </w:rPr>
      </w:pPr>
      <w:r>
        <w:rPr>
          <w:rFonts w:ascii="Arial" w:cs="Arial" w:eastAsia="Arial" w:hAnsi="Arial"/>
          <w:sz w:val="13"/>
          <w:szCs w:val="13"/>
          <w:color w:val="auto"/>
        </w:rPr>
        <w:t>We are subject to reporting and other obligations under the Securities Exchange Act of 1934, as amended, including the requirements of Section 404 of the Sarbanes-Oxley Act. Section 404 required us to conduct an annual management assessment of the effectiveness of our internal controls over financial reporting commencing with our annual report on Form 10-KSB for the fiscal year ended December 31, 2007, and to obtain a report by our independent registered public accounting firm addressing these assessments commencing with our annual report on Form 10-KSB for the fiscal year ended December 31, 2008. These reporting and other obligations will place significant demands on our management, administrative, operational, and accounting resources. We anticipate that we will need to upgrade our systems; implement additional financial and management controls, reporting systems and procedures; implement an internal audit function; and hire additional accounting, internal audit and finance staff. If we are unable to accomplish these objectives in a timely and effective fashion, our ability to comply with our financial reporting requirements and other rules that apply to reporting companies could be impaired and we may not be able to obtain the independent registered public accounting firm certifications required by Section 404. Any failure to maintain effective internal controls could have a negative impact on our ability to manage our business and on our stock price.</w:t>
      </w:r>
    </w:p>
    <w:p>
      <w:pPr>
        <w:spacing w:after="0" w:line="181" w:lineRule="exact"/>
        <w:rPr>
          <w:sz w:val="20"/>
          <w:szCs w:val="20"/>
          <w:color w:val="auto"/>
        </w:rPr>
      </w:pPr>
    </w:p>
    <w:p>
      <w:pPr>
        <w:ind w:right="500" w:firstLine="519"/>
        <w:spacing w:after="0" w:line="290"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p>
    <w:p>
      <w:pPr>
        <w:spacing w:after="0" w:line="173" w:lineRule="exact"/>
        <w:rPr>
          <w:sz w:val="20"/>
          <w:szCs w:val="20"/>
          <w:color w:val="auto"/>
        </w:rPr>
      </w:pPr>
    </w:p>
    <w:p>
      <w:pPr>
        <w:ind w:right="120" w:firstLine="519"/>
        <w:spacing w:after="0" w:line="268" w:lineRule="auto"/>
        <w:rPr>
          <w:sz w:val="20"/>
          <w:szCs w:val="20"/>
          <w:color w:val="auto"/>
        </w:rPr>
      </w:pPr>
      <w:r>
        <w:rPr>
          <w:rFonts w:ascii="Arial" w:cs="Arial" w:eastAsia="Arial" w:hAnsi="Arial"/>
          <w:sz w:val="14"/>
          <w:szCs w:val="14"/>
          <w:color w:val="auto"/>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13" w:name="page14"/>
    <w:bookmarkEnd w:id="13"/>
    <w:p>
      <w:pPr>
        <w:ind w:left="520"/>
        <w:spacing w:after="0"/>
        <w:rPr>
          <w:sz w:val="20"/>
          <w:szCs w:val="20"/>
          <w:color w:val="auto"/>
        </w:rPr>
      </w:pPr>
      <w:r>
        <w:rPr>
          <w:rFonts w:ascii="Arial" w:cs="Arial" w:eastAsia="Arial" w:hAnsi="Arial"/>
          <w:sz w:val="14"/>
          <w:szCs w:val="14"/>
          <w:b w:val="1"/>
          <w:bCs w:val="1"/>
          <w:i w:val="1"/>
          <w:iCs w:val="1"/>
          <w:color w:val="auto"/>
        </w:rPr>
        <w:t>Public company compliance may make it more difficult to attract and retain officers and directors.</w:t>
      </w:r>
    </w:p>
    <w:p>
      <w:pPr>
        <w:spacing w:after="0" w:line="228" w:lineRule="exact"/>
        <w:rPr>
          <w:sz w:val="20"/>
          <w:szCs w:val="20"/>
          <w:color w:val="auto"/>
        </w:rPr>
      </w:pPr>
    </w:p>
    <w:p>
      <w:pPr>
        <w:ind w:right="40" w:firstLine="519"/>
        <w:spacing w:after="0" w:line="266" w:lineRule="auto"/>
        <w:rPr>
          <w:sz w:val="20"/>
          <w:szCs w:val="20"/>
          <w:color w:val="auto"/>
        </w:rPr>
      </w:pPr>
      <w:r>
        <w:rPr>
          <w:rFonts w:ascii="Arial" w:cs="Arial" w:eastAsia="Arial" w:hAnsi="Arial"/>
          <w:sz w:val="14"/>
          <w:szCs w:val="14"/>
          <w:color w:val="auto"/>
        </w:rPr>
        <w:t>The Sarbanes-Oxley Act and new rules subsequently implemented by the Securities and Exchange Commission have required changes in corporate governance practices of public companies. As a public company, we expect these new rules and regulations to increase our compliance costs and to make certain activities more time consuming and costly. We also expect that these new rules and regulations may make it more difficult and expensive for us to obtain director and officer liability insurance in the future and we may be required to accept reduced policy limits and coverage or incur substantially higher costs to obtain the same or similar coverage. As a result, it may be more difficult for us to attract and retain qualified persons to serve on our board of directors or as executive officers.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Because we became public by means of a reverse merger, we may not be able to attract the attention of major brokerage firms.</w:t>
      </w:r>
    </w:p>
    <w:p>
      <w:pPr>
        <w:spacing w:after="0" w:line="228" w:lineRule="exact"/>
        <w:rPr>
          <w:sz w:val="20"/>
          <w:szCs w:val="20"/>
          <w:color w:val="auto"/>
        </w:rPr>
      </w:pPr>
    </w:p>
    <w:p>
      <w:pPr>
        <w:ind w:firstLine="519"/>
        <w:spacing w:after="0" w:line="274" w:lineRule="auto"/>
        <w:rPr>
          <w:sz w:val="20"/>
          <w:szCs w:val="20"/>
          <w:color w:val="auto"/>
        </w:rPr>
      </w:pPr>
      <w:r>
        <w:rPr>
          <w:rFonts w:ascii="Arial" w:cs="Arial" w:eastAsia="Arial" w:hAnsi="Arial"/>
          <w:sz w:val="14"/>
          <w:szCs w:val="14"/>
          <w:color w:val="auto"/>
        </w:rPr>
        <w:t>There may be risks associated with becoming public through a “reverse merger” rather than a public offering underwritten by a major investment bank. Securities analysts of major brokerage firms may not provide coverage of our company since there is no incentive to brokerage firms to recommend the purchase of our common stock. No assurance can be given that brokerage firms will, in the future, want to conduct any secondary offerings on our behalf.</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Our stock price may be volatile.</w:t>
      </w:r>
    </w:p>
    <w:p>
      <w:pPr>
        <w:spacing w:after="0" w:line="228" w:lineRule="exact"/>
        <w:rPr>
          <w:sz w:val="20"/>
          <w:szCs w:val="20"/>
          <w:color w:val="auto"/>
        </w:rPr>
      </w:pPr>
    </w:p>
    <w:p>
      <w:pPr>
        <w:ind w:right="60" w:firstLine="519"/>
        <w:spacing w:after="0" w:line="290" w:lineRule="auto"/>
        <w:rPr>
          <w:sz w:val="20"/>
          <w:szCs w:val="20"/>
          <w:color w:val="auto"/>
        </w:rPr>
      </w:pPr>
      <w:r>
        <w:rPr>
          <w:rFonts w:ascii="Arial" w:cs="Arial" w:eastAsia="Arial" w:hAnsi="Arial"/>
          <w:sz w:val="14"/>
          <w:szCs w:val="14"/>
          <w:color w:val="auto"/>
        </w:rPr>
        <w:t>The market price of our common stock is likely to be highly volatile and could fluctuate widely in price in response to various factors, many of which are beyond our control, including the following:</w:t>
      </w:r>
    </w:p>
    <w:p>
      <w:pPr>
        <w:spacing w:after="0" w:line="173" w:lineRule="exact"/>
        <w:rPr>
          <w:sz w:val="20"/>
          <w:szCs w:val="20"/>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the pharmaceutical industry and markets;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competitive pricing pressures;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obtain working capital financing;</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new competitors in our market;</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additions or departures of key personnel;</w:t>
      </w:r>
    </w:p>
    <w:p>
      <w:pPr>
        <w:spacing w:after="0" w:line="55" w:lineRule="exact"/>
        <w:rPr>
          <w:rFonts w:ascii="Arial" w:cs="Arial" w:eastAsia="Arial" w:hAnsi="Arial"/>
          <w:sz w:val="14"/>
          <w:szCs w:val="14"/>
          <w:color w:val="auto"/>
        </w:rPr>
      </w:pPr>
    </w:p>
    <w:p>
      <w:pPr>
        <w:ind w:left="1040" w:right="480" w:hanging="255"/>
        <w:spacing w:after="0" w:line="265" w:lineRule="auto"/>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limited “public float” in the hands of a small number of persons whose sales or lack of sales could result in positive or negative pricing pressure on the market price for our common stock;</w:t>
      </w: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sales of our common stock;</w:t>
      </w:r>
    </w:p>
    <w:p>
      <w:pPr>
        <w:spacing w:after="0" w:line="4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execute our business plan;</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operating results that fall below expectations;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loss of any strategic relationship with our contract manufacturers and clinical and non-clinical research organizations;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industry or regulatory developments;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economic and other external factors; and</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period-to-period fluctuations in our financial results.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addition, the securities markets have from time to time experienced significant price and volume fluctuations that are unrelated to the operating performance of particular companies.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These market fluctuations may also materially and adversely affect the market price of our common stock.</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3"/>
          <w:szCs w:val="13"/>
          <w:b w:val="1"/>
          <w:bCs w:val="1"/>
          <w:i w:val="1"/>
          <w:iCs w:val="1"/>
          <w:color w:val="auto"/>
        </w:rPr>
        <w:t>We have not paid dividends in the past and do not expect to pay dividends in the future. Any return on investment may be limited to the value of our common stock.</w:t>
      </w:r>
    </w:p>
    <w:p>
      <w:pPr>
        <w:spacing w:after="0" w:line="240" w:lineRule="exact"/>
        <w:rPr>
          <w:sz w:val="20"/>
          <w:szCs w:val="20"/>
          <w:color w:val="auto"/>
        </w:rPr>
      </w:pPr>
    </w:p>
    <w:p>
      <w:pPr>
        <w:ind w:right="40" w:firstLine="519"/>
        <w:spacing w:after="0" w:line="274" w:lineRule="auto"/>
        <w:rPr>
          <w:sz w:val="20"/>
          <w:szCs w:val="20"/>
          <w:color w:val="auto"/>
        </w:rPr>
      </w:pPr>
      <w:r>
        <w:rPr>
          <w:rFonts w:ascii="Arial" w:cs="Arial" w:eastAsia="Arial" w:hAnsi="Arial"/>
          <w:sz w:val="14"/>
          <w:szCs w:val="14"/>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00"/>
          </w:cols>
          <w:pgMar w:left="220" w:top="345" w:right="279" w:bottom="1440" w:gutter="0" w:footer="0" w:header="0"/>
        </w:sectPr>
      </w:pPr>
    </w:p>
    <w:bookmarkStart w:id="14" w:name="page15"/>
    <w:bookmarkEnd w:id="14"/>
    <w:p>
      <w:pPr>
        <w:ind w:left="520"/>
        <w:spacing w:after="0"/>
        <w:rPr>
          <w:sz w:val="20"/>
          <w:szCs w:val="20"/>
          <w:color w:val="auto"/>
        </w:rPr>
      </w:pPr>
      <w:r>
        <w:rPr>
          <w:rFonts w:ascii="Arial" w:cs="Arial" w:eastAsia="Arial" w:hAnsi="Arial"/>
          <w:sz w:val="14"/>
          <w:szCs w:val="14"/>
          <w:b w:val="1"/>
          <w:bCs w:val="1"/>
          <w:i w:val="1"/>
          <w:iCs w:val="1"/>
          <w:color w:val="auto"/>
        </w:rPr>
        <w:t>Our common stock may be deemed a “penny stock”, which would make it more difficult for our investors to sell their shares.</w:t>
      </w:r>
    </w:p>
    <w:p>
      <w:pPr>
        <w:spacing w:after="0" w:line="228" w:lineRule="exact"/>
        <w:rPr>
          <w:sz w:val="20"/>
          <w:szCs w:val="20"/>
          <w:color w:val="auto"/>
        </w:rPr>
      </w:pPr>
    </w:p>
    <w:p>
      <w:pPr>
        <w:ind w:right="140" w:firstLine="519"/>
        <w:spacing w:after="0" w:line="286" w:lineRule="auto"/>
        <w:rPr>
          <w:sz w:val="20"/>
          <w:szCs w:val="20"/>
          <w:color w:val="auto"/>
        </w:rPr>
      </w:pPr>
      <w:r>
        <w:rPr>
          <w:rFonts w:ascii="Arial" w:cs="Arial" w:eastAsia="Arial" w:hAnsi="Arial"/>
          <w:sz w:val="13"/>
          <w:szCs w:val="13"/>
          <w:color w:val="auto"/>
        </w:rPr>
        <w:t>Our common stock may be subject to the “penny stock” rules adopted under Section 15(g) of the Securities Exchange Act of 1934, as amended.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spacing w:after="0" w:line="181" w:lineRule="exact"/>
        <w:rPr>
          <w:sz w:val="20"/>
          <w:szCs w:val="20"/>
          <w:color w:val="auto"/>
        </w:rPr>
      </w:pPr>
    </w:p>
    <w:p>
      <w:pPr>
        <w:ind w:right="200" w:firstLine="519"/>
        <w:spacing w:after="0" w:line="290" w:lineRule="auto"/>
        <w:rPr>
          <w:sz w:val="20"/>
          <w:szCs w:val="20"/>
          <w:color w:val="auto"/>
        </w:rPr>
      </w:pPr>
      <w:r>
        <w:rPr>
          <w:rFonts w:ascii="Arial" w:cs="Arial" w:eastAsia="Arial" w:hAnsi="Arial"/>
          <w:sz w:val="14"/>
          <w:szCs w:val="14"/>
          <w:color w:val="auto"/>
        </w:rPr>
        <w:t>Furthermore, for companies whose securities are traded in the OTC Bulletin Board, it is more difficult (1) to obtain accurate quotations, (2) to obtain coverage for significant news events because major wire services generally do not publish press releases about such companies and (3) to obtain needed capital.</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Offers or availability for sale of a substantial number of shares of our common stock may cause the price of our common stock to decline.</w:t>
      </w:r>
    </w:p>
    <w:p>
      <w:pPr>
        <w:spacing w:after="0" w:line="228" w:lineRule="exact"/>
        <w:rPr>
          <w:sz w:val="20"/>
          <w:szCs w:val="20"/>
          <w:color w:val="auto"/>
        </w:rPr>
      </w:pPr>
    </w:p>
    <w:p>
      <w:pPr>
        <w:ind w:firstLine="519"/>
        <w:spacing w:after="0" w:line="266" w:lineRule="auto"/>
        <w:rPr>
          <w:sz w:val="20"/>
          <w:szCs w:val="20"/>
          <w:color w:val="auto"/>
        </w:rPr>
      </w:pPr>
      <w:r>
        <w:rPr>
          <w:rFonts w:ascii="Arial" w:cs="Arial" w:eastAsia="Arial" w:hAnsi="Arial"/>
          <w:sz w:val="14"/>
          <w:szCs w:val="14"/>
          <w:color w:val="auto"/>
        </w:rPr>
        <w:t>The sale by our stockholders of substantial amounts of our common stock in the public market, including shares of common stock offered by the selling stockholders pursuant to this prospectus,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spacing w:after="0" w:line="190" w:lineRule="exact"/>
        <w:rPr>
          <w:sz w:val="20"/>
          <w:szCs w:val="20"/>
          <w:color w:val="auto"/>
        </w:rPr>
      </w:pPr>
    </w:p>
    <w:p>
      <w:pPr>
        <w:ind w:right="400" w:firstLine="519"/>
        <w:spacing w:after="0" w:line="290" w:lineRule="auto"/>
        <w:rPr>
          <w:sz w:val="20"/>
          <w:szCs w:val="20"/>
          <w:color w:val="auto"/>
        </w:rPr>
      </w:pPr>
      <w:r>
        <w:rPr>
          <w:rFonts w:ascii="Arial" w:cs="Arial" w:eastAsia="Arial" w:hAnsi="Arial"/>
          <w:sz w:val="14"/>
          <w:szCs w:val="14"/>
          <w:b w:val="1"/>
          <w:bCs w:val="1"/>
          <w:i w:val="1"/>
          <w:iCs w:val="1"/>
          <w:color w:val="auto"/>
        </w:rPr>
        <w:t>Our directors and executive officers can exert significant control over our business and affairs and may have actual or potential interests that may depart from those of our other stockholders.</w:t>
      </w:r>
    </w:p>
    <w:p>
      <w:pPr>
        <w:spacing w:after="0" w:line="173" w:lineRule="exact"/>
        <w:rPr>
          <w:sz w:val="20"/>
          <w:szCs w:val="20"/>
          <w:color w:val="auto"/>
        </w:rPr>
      </w:pPr>
    </w:p>
    <w:p>
      <w:pPr>
        <w:ind w:right="140" w:firstLine="519"/>
        <w:spacing w:after="0" w:line="268" w:lineRule="auto"/>
        <w:rPr>
          <w:sz w:val="20"/>
          <w:szCs w:val="20"/>
          <w:color w:val="auto"/>
        </w:rPr>
      </w:pPr>
      <w:r>
        <w:rPr>
          <w:rFonts w:ascii="Arial" w:cs="Arial" w:eastAsia="Arial" w:hAnsi="Arial"/>
          <w:sz w:val="14"/>
          <w:szCs w:val="14"/>
          <w:color w:val="auto"/>
        </w:rPr>
        <w:t>Our directors and executive officers together beneficially own a significant percentage of our issued and outstanding common stock, which percentage may increase in the event that they exercise any options or warrants to purchase shares of our common stock that they may hold or in the future are granted to them. The interests of such persons may differ from the interests of other stockholders. Such persons will have significant influence over all corporate actions requiring stockholder approval, irrespective of how our other stockholders may vote, including the following actions:</w:t>
      </w:r>
    </w:p>
    <w:p>
      <w:pPr>
        <w:spacing w:after="0" w:line="190" w:lineRule="exact"/>
        <w:rPr>
          <w:sz w:val="20"/>
          <w:szCs w:val="20"/>
          <w:color w:val="auto"/>
        </w:rPr>
      </w:pPr>
    </w:p>
    <w:p>
      <w:pPr>
        <w:ind w:left="1040" w:hanging="255"/>
        <w:spacing w:after="0"/>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election of our directors;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amendment of our Certificate of Incorporation or By-laws; and</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mergers, sales of assets or other corporate transactions.</w:t>
      </w:r>
    </w:p>
    <w:p>
      <w:pPr>
        <w:spacing w:after="0" w:line="272" w:lineRule="exact"/>
        <w:rPr>
          <w:sz w:val="20"/>
          <w:szCs w:val="20"/>
          <w:color w:val="auto"/>
        </w:rPr>
      </w:pPr>
    </w:p>
    <w:p>
      <w:pPr>
        <w:ind w:right="360" w:firstLine="519"/>
        <w:spacing w:after="0" w:line="290" w:lineRule="auto"/>
        <w:rPr>
          <w:sz w:val="20"/>
          <w:szCs w:val="20"/>
          <w:color w:val="auto"/>
        </w:rPr>
      </w:pPr>
      <w:r>
        <w:rPr>
          <w:rFonts w:ascii="Arial" w:cs="Arial" w:eastAsia="Arial" w:hAnsi="Arial"/>
          <w:sz w:val="14"/>
          <w:szCs w:val="14"/>
          <w:color w:val="auto"/>
        </w:rPr>
        <w:t>Concentration of stock ownership among a few stockholders may discourage a potential acquirer from making a tender offer or otherwise attempting to obtain control of our company, which in turn could reduce our stock price or prevent our stockholders from realizing a premium over our stock price.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4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will not receive any proceeds from the sale of our common stock by the selling stockholders covered by this prospectus.</w:t>
      </w:r>
    </w:p>
    <w:p>
      <w:pPr>
        <w:spacing w:after="0" w:line="228" w:lineRule="exact"/>
        <w:rPr>
          <w:sz w:val="20"/>
          <w:szCs w:val="20"/>
          <w:color w:val="auto"/>
        </w:rPr>
      </w:pPr>
    </w:p>
    <w:p>
      <w:pPr>
        <w:ind w:right="300" w:firstLine="519"/>
        <w:spacing w:after="0" w:line="274" w:lineRule="auto"/>
        <w:rPr>
          <w:sz w:val="20"/>
          <w:szCs w:val="20"/>
          <w:color w:val="auto"/>
        </w:rPr>
      </w:pPr>
      <w:r>
        <w:rPr>
          <w:rFonts w:ascii="Arial" w:cs="Arial" w:eastAsia="Arial" w:hAnsi="Arial"/>
          <w:sz w:val="14"/>
          <w:szCs w:val="14"/>
          <w:color w:val="auto"/>
        </w:rPr>
        <w:t>A portion of the shares covered by this prospectus are issuable upon exercise of warrants to purchase our common stock. A number of these warrants have a cashless exercise option. If, however, a selling stockholder were to exercise its warrants for cash, the selling stockholder would pay us the exercise price of the warrants. We may receive aggregate gross proceeds of up to $2,274,832 from the exercise of warrants for cash. We would use any such proceeds for working capital and general corporate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FOR OUR COMMON STOCK AND RELATED STOCKHOLDER MATTERS</w:t>
      </w:r>
    </w:p>
    <w:p>
      <w:pPr>
        <w:spacing w:after="0" w:line="232" w:lineRule="exact"/>
        <w:rPr>
          <w:sz w:val="20"/>
          <w:szCs w:val="20"/>
          <w:color w:val="auto"/>
        </w:rPr>
      </w:pPr>
    </w:p>
    <w:p>
      <w:pPr>
        <w:ind w:right="100" w:firstLine="519"/>
        <w:spacing w:after="0" w:line="290" w:lineRule="auto"/>
        <w:rPr>
          <w:sz w:val="20"/>
          <w:szCs w:val="20"/>
          <w:color w:val="auto"/>
        </w:rPr>
      </w:pPr>
      <w:r>
        <w:rPr>
          <w:rFonts w:ascii="Arial" w:cs="Arial" w:eastAsia="Arial" w:hAnsi="Arial"/>
          <w:sz w:val="14"/>
          <w:szCs w:val="14"/>
          <w:color w:val="auto"/>
        </w:rPr>
        <w:t>Our common stock has been quoted on the OTC Bulletin Board since October 1, 2007 under the symbol TDLP.OB. Prior to that date, there was no active market for our common stock. As of January 18, 2008, there were approximately 92 holders of record of our common stock.</w:t>
      </w:r>
    </w:p>
    <w:p>
      <w:pPr>
        <w:spacing w:after="0" w:line="173" w:lineRule="exact"/>
        <w:rPr>
          <w:sz w:val="20"/>
          <w:szCs w:val="20"/>
          <w:color w:val="auto"/>
        </w:rPr>
      </w:pPr>
    </w:p>
    <w:p>
      <w:pPr>
        <w:ind w:right="100" w:firstLine="519"/>
        <w:spacing w:after="0" w:line="290" w:lineRule="auto"/>
        <w:rPr>
          <w:sz w:val="20"/>
          <w:szCs w:val="20"/>
          <w:color w:val="auto"/>
        </w:rPr>
      </w:pPr>
      <w:r>
        <w:rPr>
          <w:rFonts w:ascii="Arial" w:cs="Arial" w:eastAsia="Arial" w:hAnsi="Arial"/>
          <w:sz w:val="14"/>
          <w:szCs w:val="14"/>
          <w:color w:val="auto"/>
        </w:rPr>
        <w:t>The following table sets forth the high and low bid prices for our common stock for the periods indicated, as reported by the OTC Bulletin Board. The quotations reflect inter-dealer prices, without retail mark-up, mark-down or commission, and may not represent actual transactions.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2007</w:t>
            </w:r>
          </w:p>
        </w:tc>
        <w:tc>
          <w:tcPr>
            <w:tcW w:w="240" w:type="dxa"/>
            <w:vAlign w:val="bottom"/>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6"/>
                <w:szCs w:val="16"/>
                <w:color w:val="auto"/>
              </w:rPr>
            </w:pPr>
          </w:p>
        </w:tc>
      </w:tr>
      <w:tr>
        <w:trPr>
          <w:trHeight w:val="186"/>
        </w:trPr>
        <w:tc>
          <w:tcPr>
            <w:tcW w:w="8140" w:type="dxa"/>
            <w:vAlign w:val="bottom"/>
            <w:shd w:val="clear" w:color="auto" w:fill="CCFFCC"/>
          </w:tcPr>
          <w:p>
            <w:pPr>
              <w:spacing w:after="0"/>
              <w:rPr>
                <w:sz w:val="20"/>
                <w:szCs w:val="20"/>
                <w:color w:val="auto"/>
              </w:rPr>
            </w:pPr>
            <w:r>
              <w:rPr>
                <w:rFonts w:ascii="Arial" w:cs="Arial" w:eastAsia="Arial" w:hAnsi="Arial"/>
                <w:sz w:val="14"/>
                <w:szCs w:val="14"/>
                <w:color w:val="auto"/>
              </w:rPr>
              <w:t>Fourth Quarter</w:t>
            </w:r>
          </w:p>
        </w:tc>
        <w:tc>
          <w:tcPr>
            <w:tcW w:w="1220" w:type="dxa"/>
            <w:vAlign w:val="bottom"/>
            <w:gridSpan w:val="2"/>
            <w:shd w:val="clear" w:color="auto" w:fill="CCFFCC"/>
          </w:tcPr>
          <w:p>
            <w:pPr>
              <w:jc w:val="right"/>
              <w:ind w:right="82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3.10</w:t>
            </w:r>
          </w:p>
        </w:tc>
        <w:tc>
          <w:tcPr>
            <w:tcW w:w="300" w:type="dxa"/>
            <w:vAlign w:val="bottom"/>
            <w:shd w:val="clear" w:color="auto" w:fill="CCFFCC"/>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w:t>
            </w:r>
          </w:p>
        </w:tc>
      </w:tr>
      <w:tr>
        <w:trPr>
          <w:trHeight w:val="389"/>
        </w:trPr>
        <w:tc>
          <w:tcPr>
            <w:tcW w:w="8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 2008</w:t>
            </w:r>
          </w:p>
        </w:tc>
        <w:tc>
          <w:tcPr>
            <w:tcW w:w="240" w:type="dxa"/>
            <w:vAlign w:val="bottom"/>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24"/>
                <w:szCs w:val="24"/>
                <w:color w:val="auto"/>
              </w:rPr>
            </w:pPr>
          </w:p>
        </w:tc>
      </w:tr>
      <w:tr>
        <w:trPr>
          <w:trHeight w:val="186"/>
        </w:trPr>
        <w:tc>
          <w:tcPr>
            <w:tcW w:w="8140" w:type="dxa"/>
            <w:vAlign w:val="bottom"/>
            <w:shd w:val="clear" w:color="auto" w:fill="CCFFCC"/>
          </w:tcPr>
          <w:p>
            <w:pPr>
              <w:spacing w:after="0"/>
              <w:rPr>
                <w:sz w:val="20"/>
                <w:szCs w:val="20"/>
                <w:color w:val="auto"/>
              </w:rPr>
            </w:pPr>
            <w:r>
              <w:rPr>
                <w:rFonts w:ascii="Arial" w:cs="Arial" w:eastAsia="Arial" w:hAnsi="Arial"/>
                <w:sz w:val="14"/>
                <w:szCs w:val="14"/>
                <w:color w:val="auto"/>
              </w:rPr>
              <w:t>Fourth Quarter (through January 18, 2008)</w:t>
            </w:r>
          </w:p>
        </w:tc>
        <w:tc>
          <w:tcPr>
            <w:tcW w:w="1220" w:type="dxa"/>
            <w:vAlign w:val="bottom"/>
            <w:gridSpan w:val="2"/>
            <w:shd w:val="clear" w:color="auto" w:fill="CCFFCC"/>
          </w:tcPr>
          <w:p>
            <w:pPr>
              <w:jc w:val="right"/>
              <w:ind w:right="82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2.85</w:t>
            </w:r>
          </w:p>
        </w:tc>
        <w:tc>
          <w:tcPr>
            <w:tcW w:w="300" w:type="dxa"/>
            <w:vAlign w:val="bottom"/>
            <w:shd w:val="clear" w:color="auto" w:fill="CCFFCC"/>
          </w:tcPr>
          <w:p>
            <w:pPr>
              <w:jc w:val="right"/>
              <w:ind w:right="18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2.10</w:t>
            </w:r>
          </w:p>
        </w:tc>
      </w:tr>
    </w:tbl>
    <w:p>
      <w:pPr>
        <w:spacing w:after="0" w:line="3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last reported sales price of our common stock on the OTC Bulletin Board on January 18, 2008, was $2.25 per share.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DIVIDEND POLICY</w:t>
      </w:r>
    </w:p>
    <w:p>
      <w:pPr>
        <w:spacing w:after="0" w:line="232" w:lineRule="exact"/>
        <w:rPr>
          <w:sz w:val="20"/>
          <w:szCs w:val="20"/>
          <w:color w:val="auto"/>
        </w:rPr>
      </w:pPr>
    </w:p>
    <w:p>
      <w:pPr>
        <w:ind w:right="340" w:firstLine="519"/>
        <w:spacing w:after="0" w:line="290" w:lineRule="auto"/>
        <w:rPr>
          <w:sz w:val="20"/>
          <w:szCs w:val="20"/>
          <w:color w:val="auto"/>
        </w:rPr>
      </w:pPr>
      <w:r>
        <w:rPr>
          <w:rFonts w:ascii="Arial" w:cs="Arial" w:eastAsia="Arial" w:hAnsi="Arial"/>
          <w:sz w:val="14"/>
          <w:szCs w:val="14"/>
          <w:color w:val="auto"/>
        </w:rPr>
        <w:t>In the past, we have not declared or paid cash dividends on our common stock, and we do not intend to pay any cash dividends on our common stock. Rather, we intend to retain future earnings, if any, to fund the operation and expansion of our business and for general corporate purposes.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232" w:lineRule="exact"/>
        <w:rPr>
          <w:sz w:val="20"/>
          <w:szCs w:val="20"/>
          <w:color w:val="auto"/>
        </w:rPr>
      </w:pPr>
    </w:p>
    <w:p>
      <w:pPr>
        <w:ind w:firstLine="519"/>
        <w:spacing w:after="0" w:line="266" w:lineRule="auto"/>
        <w:rPr>
          <w:sz w:val="20"/>
          <w:szCs w:val="20"/>
          <w:color w:val="auto"/>
        </w:rPr>
      </w:pPr>
      <w:r>
        <w:rPr>
          <w:rFonts w:ascii="Arial" w:cs="Arial" w:eastAsia="Arial" w:hAnsi="Arial"/>
          <w:sz w:val="14"/>
          <w:szCs w:val="14"/>
          <w:color w:val="auto"/>
        </w:rPr>
        <w:t>This prospectus contains “forward-looking statements,” all of which are subject to risks and uncertainties. Forward-looking statements can be identified by the use of words such as “expects,” “plans,” “will,” “forecasts,” “projects,” “intends,” “estimates,” and other words of similar meaning. One can identify them by the fact that they do not relate strictly to historical or current facts. These statements are likely to address our growth strategy, financial results and product and development programs. One must carefully consider any such statement and should understand that many factors could cause actual results to differ from our forward looking statements. These factors may include inaccurate assumptions and a broad variety of other risks and uncertainties, including some that are known and some that are not. No forward looking statement can be guaranteed and actual future results may vary materially.</w:t>
      </w:r>
    </w:p>
    <w:p>
      <w:pPr>
        <w:spacing w:after="0" w:line="190" w:lineRule="exact"/>
        <w:rPr>
          <w:sz w:val="20"/>
          <w:szCs w:val="20"/>
          <w:color w:val="auto"/>
        </w:rPr>
      </w:pPr>
    </w:p>
    <w:p>
      <w:pPr>
        <w:ind w:right="20" w:firstLine="519"/>
        <w:spacing w:after="0" w:line="266" w:lineRule="auto"/>
        <w:rPr>
          <w:sz w:val="20"/>
          <w:szCs w:val="20"/>
          <w:color w:val="auto"/>
        </w:rPr>
      </w:pPr>
      <w:r>
        <w:rPr>
          <w:rFonts w:ascii="Arial" w:cs="Arial" w:eastAsia="Arial" w:hAnsi="Arial"/>
          <w:sz w:val="14"/>
          <w:szCs w:val="14"/>
          <w:color w:val="auto"/>
        </w:rPr>
        <w:t>Information regarding market and industry statistics contained in this prospectus is included based on information available to us that we believe is accurate. It is generally based on industry and other publications that are not produced for purposes of securities offerings or economic analysis. We have not reviewed or included data from all sources, and cannot assure investors of the accuracy or completeness of the data included in this prospectus. Forecasts and other forward-looking information obtained from these sources are subject to the same qualifications and the additional uncertainties accompanying any estimates of future market size, revenue and market acceptance of products and services. We do not assume any obligation to update any forward-looking statement. As a result, investors should not place undue reliance on these forward-looking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MANAGEMENT’S DISCUSSION AND ANALYSIS OR PLAN OF OPERATION</w:t>
      </w:r>
    </w:p>
    <w:p>
      <w:pPr>
        <w:spacing w:after="0" w:line="232" w:lineRule="exact"/>
        <w:rPr>
          <w:sz w:val="20"/>
          <w:szCs w:val="20"/>
          <w:color w:val="auto"/>
        </w:rPr>
      </w:pPr>
    </w:p>
    <w:p>
      <w:pPr>
        <w:ind w:right="220" w:firstLine="519"/>
        <w:spacing w:after="0" w:line="268" w:lineRule="auto"/>
        <w:rPr>
          <w:sz w:val="20"/>
          <w:szCs w:val="20"/>
          <w:color w:val="auto"/>
        </w:rPr>
      </w:pPr>
      <w:r>
        <w:rPr>
          <w:rFonts w:ascii="Arial" w:cs="Arial" w:eastAsia="Arial" w:hAnsi="Arial"/>
          <w:sz w:val="14"/>
          <w:szCs w:val="14"/>
          <w:i w:val="1"/>
          <w:iCs w:val="1"/>
          <w:color w:val="auto"/>
        </w:rPr>
        <w:t>The following discussion should be read in conjunction with the other sections of this prospectus, including “Risk Factors,” “Business” and with our financial statements and the notes related thereto appearing elsewhere in this prospectus. The various sections of this discussion contain a number of forward-looking statements, all of which are based on our current expectations and could be affected by the uncertainties and risk factors described throughout this prospectus as well as other matters over which we have no control. See “Special Note Regarding Forward-Looking Statements.” Our actual results may differ materially</w:t>
      </w:r>
      <w:r>
        <w:rPr>
          <w:rFonts w:ascii="Arial" w:cs="Arial" w:eastAsia="Arial" w:hAnsi="Arial"/>
          <w:sz w:val="14"/>
          <w:szCs w:val="14"/>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32" w:lineRule="exact"/>
        <w:rPr>
          <w:sz w:val="20"/>
          <w:szCs w:val="20"/>
          <w:color w:val="auto"/>
        </w:rPr>
      </w:pPr>
    </w:p>
    <w:p>
      <w:pPr>
        <w:ind w:right="80" w:firstLine="519"/>
        <w:spacing w:after="0" w:line="304" w:lineRule="auto"/>
        <w:rPr>
          <w:sz w:val="20"/>
          <w:szCs w:val="20"/>
          <w:color w:val="auto"/>
        </w:rPr>
      </w:pPr>
      <w:r>
        <w:rPr>
          <w:rFonts w:ascii="Arial" w:cs="Arial" w:eastAsia="Arial" w:hAnsi="Arial"/>
          <w:sz w:val="13"/>
          <w:szCs w:val="13"/>
          <w:color w:val="auto"/>
        </w:rPr>
        <w:t>We are a specialty pharmaceutical company focused on the development and commercialization of non-invasive topically delivered medications. Our lead topical drug, Ketotransdel™, utilizes our innovative proprietary Transdel™ cream formulation to facilitate the passage of ketoprofen, a NSAID, through the skin barrier to reach targeted underlying tissues where the drug exerts its prolonged localized anti-inflammatory and analgesic effect. A Phase 1/2 clinical study supported the safety and efficacy of Ketotransdel™ for acute pain and muscle soreness.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2" w:lineRule="exact"/>
        <w:rPr>
          <w:sz w:val="20"/>
          <w:szCs w:val="20"/>
          <w:color w:val="auto"/>
        </w:rPr>
      </w:pPr>
    </w:p>
    <w:p>
      <w:pPr>
        <w:ind w:right="560" w:firstLine="555"/>
        <w:spacing w:after="0" w:line="290" w:lineRule="auto"/>
        <w:rPr>
          <w:sz w:val="20"/>
          <w:szCs w:val="20"/>
          <w:color w:val="auto"/>
        </w:rPr>
      </w:pPr>
      <w:r>
        <w:rPr>
          <w:rFonts w:ascii="Arial" w:cs="Arial" w:eastAsia="Arial" w:hAnsi="Arial"/>
          <w:sz w:val="14"/>
          <w:szCs w:val="14"/>
          <w:color w:val="auto"/>
        </w:rPr>
        <w:t>Since inception through September 30, 2007, we have incurred losses of approximately $5.6 million. These losses are primarily due to general and administrative and research and development expenses. Historically, our operations have been financed through capital contributions and debt and equity financings.</w:t>
      </w:r>
    </w:p>
    <w:p>
      <w:pPr>
        <w:spacing w:after="0" w:line="173" w:lineRule="exact"/>
        <w:rPr>
          <w:sz w:val="20"/>
          <w:szCs w:val="20"/>
          <w:color w:val="auto"/>
        </w:rPr>
      </w:pPr>
    </w:p>
    <w:p>
      <w:pPr>
        <w:ind w:firstLine="519"/>
        <w:spacing w:after="0" w:line="263" w:lineRule="auto"/>
        <w:rPr>
          <w:sz w:val="20"/>
          <w:szCs w:val="20"/>
          <w:color w:val="auto"/>
        </w:rPr>
      </w:pPr>
      <w:r>
        <w:rPr>
          <w:rFonts w:ascii="Arial" w:cs="Arial" w:eastAsia="Arial" w:hAnsi="Arial"/>
          <w:sz w:val="14"/>
          <w:szCs w:val="14"/>
          <w:color w:val="auto"/>
        </w:rPr>
        <w:t>As of September 30, 2007, we had $4.3 million in cash. On each of September 17, 2007, and October 10, 2007, we completed private placements to selected institutional and individual investors of our common stock and warrants. In connection with the private placements, we raised approximately $3.9 million (net of placement fees and other costs aggregating $258,500) from the issuance of 2,071,834 shares of common stock and detachable redeemable warrants to purchase 517,958 shares of our common stock at a cash exercise price of $4.00 per share and a cashless exercise price of $5.00 per share. We expect that our capital resources will permit us to meet our operational requirements through the first quarter of 2008. This expectation is based on our current operating plan, which may change as a result of many factors. In order to execute our operating plan through fiscal year 2008, additional financing will be required and there can be no assurance that it will be available on terms favorable to us or at all. If adequate financing is not available we will have to delay, postpone or terminate clinical trials and curtail general and administrative operations, which would have a material adverse effect on us.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Activities</w:t>
      </w:r>
    </w:p>
    <w:p>
      <w:pPr>
        <w:spacing w:after="0" w:line="232" w:lineRule="exact"/>
        <w:rPr>
          <w:sz w:val="20"/>
          <w:szCs w:val="20"/>
          <w:color w:val="auto"/>
        </w:rPr>
      </w:pPr>
    </w:p>
    <w:p>
      <w:pPr>
        <w:ind w:right="20" w:firstLine="555"/>
        <w:spacing w:after="0" w:line="266" w:lineRule="auto"/>
        <w:rPr>
          <w:sz w:val="20"/>
          <w:szCs w:val="20"/>
          <w:color w:val="auto"/>
        </w:rPr>
      </w:pPr>
      <w:r>
        <w:rPr>
          <w:rFonts w:ascii="Arial" w:cs="Arial" w:eastAsia="Arial" w:hAnsi="Arial"/>
          <w:sz w:val="14"/>
          <w:szCs w:val="14"/>
          <w:color w:val="auto"/>
        </w:rPr>
        <w:t>Our current operating plan is focused on the research and development of our lead drug, Ketotransdel™. We expect to file an IND application containing our proposed Phase 3 clinical studies with the FDA for Ketotransdel™ for treatment of acute pain in the first quarter of 2008. Based on the FDA’s review of this filing, we anticipate starting Phase 3 clinical trials for the topical treatment of acute pain during the first six months of 2008. The expected filing date of the Phase 3 submission to the FDA will depend on a variety of factors including but not limited to the completion of the manufacturing process for non clinical/clinical supplies, and potentially the completion of the non clinical studies and the generation of data. Issues or problems encountered in any of these areas may result in delays in the filing of the IND for the Phase 3 trials.</w:t>
      </w:r>
    </w:p>
    <w:p>
      <w:pPr>
        <w:spacing w:after="0" w:line="190" w:lineRule="exact"/>
        <w:rPr>
          <w:sz w:val="20"/>
          <w:szCs w:val="20"/>
          <w:color w:val="auto"/>
        </w:rPr>
      </w:pPr>
    </w:p>
    <w:p>
      <w:pPr>
        <w:ind w:right="120" w:firstLine="519"/>
        <w:spacing w:after="0" w:line="290" w:lineRule="auto"/>
        <w:rPr>
          <w:sz w:val="20"/>
          <w:szCs w:val="20"/>
          <w:color w:val="auto"/>
        </w:rPr>
      </w:pPr>
      <w:r>
        <w:rPr>
          <w:rFonts w:ascii="Arial" w:cs="Arial" w:eastAsia="Arial" w:hAnsi="Arial"/>
          <w:sz w:val="14"/>
          <w:szCs w:val="14"/>
          <w:color w:val="auto"/>
        </w:rPr>
        <w:t>No assurance can be given that the FDA will agree with our proposed clinical trials or non-clinical studies. The FDA may require that we conduct additional clinical trials and non-clinical studies that we do not presently anticipate conducting or to repeat studies that we have already conducted.</w:t>
      </w:r>
    </w:p>
    <w:p>
      <w:pPr>
        <w:spacing w:after="0" w:line="173" w:lineRule="exact"/>
        <w:rPr>
          <w:sz w:val="20"/>
          <w:szCs w:val="20"/>
          <w:color w:val="auto"/>
        </w:rPr>
      </w:pPr>
    </w:p>
    <w:p>
      <w:pPr>
        <w:ind w:right="140" w:firstLine="519"/>
        <w:spacing w:after="0" w:line="295" w:lineRule="auto"/>
        <w:rPr>
          <w:sz w:val="20"/>
          <w:szCs w:val="20"/>
          <w:color w:val="auto"/>
        </w:rPr>
      </w:pPr>
      <w:r>
        <w:rPr>
          <w:rFonts w:ascii="Arial" w:cs="Arial" w:eastAsia="Arial" w:hAnsi="Arial"/>
          <w:sz w:val="13"/>
          <w:szCs w:val="13"/>
          <w:color w:val="auto"/>
        </w:rPr>
        <w:t>If and when the FDA approves Ketotransdel™ for treatment of acute pain, we intend to pursue FDA approval of Ketotransdel™ for other indications, including osteoarthritis. We believe that the clinical success of Ketotransdel™ will facilitate the use of the Transdel™ delivery technology in other products. We are also investigating other drug candidates and treatments for transdermal delivery using the Transdel™ platform technology for products in pain management and other therapeutic areas. Furthermore, we are in discussions with potential commercial partners for future Ketotransdel™ sales and marketing strategies and with potential Pharma partners for licensing opportunities related to the Transdel™ delivery system.</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20" w:right="239" w:bottom="1440" w:gutter="0" w:footer="0" w:header="0"/>
        </w:sectPr>
      </w:pPr>
    </w:p>
    <w:bookmarkStart w:id="17" w:name="page18"/>
    <w:bookmarkEnd w:id="17"/>
    <w:p>
      <w:pPr>
        <w:ind w:left="520"/>
        <w:spacing w:after="0"/>
        <w:rPr>
          <w:sz w:val="20"/>
          <w:szCs w:val="20"/>
          <w:color w:val="auto"/>
        </w:rPr>
      </w:pPr>
      <w:r>
        <w:rPr>
          <w:rFonts w:ascii="Arial" w:cs="Arial" w:eastAsia="Arial" w:hAnsi="Arial"/>
          <w:sz w:val="14"/>
          <w:szCs w:val="14"/>
          <w:color w:val="auto"/>
        </w:rPr>
        <w:t>We believe that our current staff is sufficient to carry out our business plan, however if our operations in the future require it, we will consider the employment of additional staff.</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32" w:lineRule="exact"/>
        <w:rPr>
          <w:sz w:val="20"/>
          <w:szCs w:val="20"/>
          <w:color w:val="auto"/>
        </w:rPr>
      </w:pPr>
    </w:p>
    <w:p>
      <w:pPr>
        <w:ind w:right="120" w:firstLine="519"/>
        <w:spacing w:after="0" w:line="330" w:lineRule="auto"/>
        <w:rPr>
          <w:sz w:val="20"/>
          <w:szCs w:val="20"/>
          <w:color w:val="auto"/>
        </w:rPr>
      </w:pPr>
      <w:r>
        <w:rPr>
          <w:rFonts w:ascii="Arial" w:cs="Arial" w:eastAsia="Arial" w:hAnsi="Arial"/>
          <w:sz w:val="13"/>
          <w:szCs w:val="13"/>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51" w:lineRule="exact"/>
        <w:rPr>
          <w:sz w:val="20"/>
          <w:szCs w:val="20"/>
          <w:color w:val="auto"/>
        </w:rPr>
      </w:pPr>
    </w:p>
    <w:p>
      <w:pPr>
        <w:ind w:right="320" w:firstLine="519"/>
        <w:spacing w:after="0" w:line="268" w:lineRule="auto"/>
        <w:rPr>
          <w:sz w:val="20"/>
          <w:szCs w:val="20"/>
          <w:color w:val="auto"/>
        </w:rPr>
      </w:pPr>
      <w:r>
        <w:rPr>
          <w:rFonts w:ascii="Arial" w:cs="Arial" w:eastAsia="Arial" w:hAnsi="Arial"/>
          <w:sz w:val="14"/>
          <w:szCs w:val="14"/>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most critical accounting policies and estimates that may materially impact our results of operations include:</w:t>
      </w:r>
    </w:p>
    <w:p>
      <w:pPr>
        <w:spacing w:after="0" w:line="228" w:lineRule="exact"/>
        <w:rPr>
          <w:sz w:val="20"/>
          <w:szCs w:val="20"/>
          <w:color w:val="auto"/>
        </w:rPr>
      </w:pPr>
    </w:p>
    <w:p>
      <w:pPr>
        <w:ind w:firstLine="519"/>
        <w:spacing w:after="0" w:line="288" w:lineRule="auto"/>
        <w:rPr>
          <w:sz w:val="20"/>
          <w:szCs w:val="20"/>
          <w:color w:val="auto"/>
        </w:rPr>
      </w:pPr>
      <w:r>
        <w:rPr>
          <w:rFonts w:ascii="Arial" w:cs="Arial" w:eastAsia="Arial" w:hAnsi="Arial"/>
          <w:sz w:val="13"/>
          <w:szCs w:val="13"/>
          <w:i w:val="1"/>
          <w:iCs w:val="1"/>
          <w:color w:val="auto"/>
        </w:rPr>
        <w:t xml:space="preserve">Stock-Based Compensation. </w:t>
      </w:r>
      <w:r>
        <w:rPr>
          <w:rFonts w:ascii="Arial" w:cs="Arial" w:eastAsia="Arial" w:hAnsi="Arial"/>
          <w:sz w:val="13"/>
          <w:szCs w:val="13"/>
          <w:color w:val="auto"/>
        </w:rPr>
        <w:t>Effective January 1, 2006, we adopted Statement of Financial Accounting Standards (“SFAS”) No. 123 (revised 2004),</w:t>
      </w:r>
      <w:r>
        <w:rPr>
          <w:rFonts w:ascii="Arial" w:cs="Arial" w:eastAsia="Arial" w:hAnsi="Arial"/>
          <w:sz w:val="13"/>
          <w:szCs w:val="13"/>
          <w:i w:val="1"/>
          <w:iCs w:val="1"/>
          <w:color w:val="auto"/>
        </w:rPr>
        <w:t xml:space="preserve"> Share-Based Payment</w:t>
      </w:r>
      <w:r>
        <w:rPr>
          <w:rFonts w:ascii="Arial" w:cs="Arial" w:eastAsia="Arial" w:hAnsi="Arial"/>
          <w:sz w:val="13"/>
          <w:szCs w:val="13"/>
          <w:color w:val="auto"/>
        </w:rPr>
        <w:t>, (“SFAS 123R”),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which is a revision of SFAS No.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xml:space="preserve">. SFAS 123R supersedes Accounting Principles Board No.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xml:space="preserve">, and amends SFAS No. 95, </w:t>
      </w:r>
      <w:r>
        <w:rPr>
          <w:rFonts w:ascii="Arial" w:cs="Arial" w:eastAsia="Arial" w:hAnsi="Arial"/>
          <w:sz w:val="13"/>
          <w:szCs w:val="13"/>
          <w:i w:val="1"/>
          <w:iCs w:val="1"/>
          <w:color w:val="auto"/>
        </w:rPr>
        <w:t>Statement of Cash Flows</w:t>
      </w:r>
      <w:r>
        <w:rPr>
          <w:rFonts w:ascii="Arial" w:cs="Arial" w:eastAsia="Arial" w:hAnsi="Arial"/>
          <w:sz w:val="13"/>
          <w:szCs w:val="13"/>
          <w:color w:val="auto"/>
        </w:rPr>
        <w:t>. SFAS 123R requires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under SFAS 123R. Fair value is determined at the date of grant. In accordance with SFAS 123R, the financial statement effect of forfeitures is estimated at the time of grant and revised, if necessary, if the actual effect differs from those estimates. As of September 30, 2007, management estimates that the effect of forfeitures on the financial statements will be insignificant.</w:t>
      </w:r>
    </w:p>
    <w:p>
      <w:pPr>
        <w:spacing w:after="0" w:line="178" w:lineRule="exact"/>
        <w:rPr>
          <w:sz w:val="20"/>
          <w:szCs w:val="20"/>
          <w:color w:val="auto"/>
        </w:rPr>
      </w:pPr>
    </w:p>
    <w:p>
      <w:pPr>
        <w:ind w:right="40" w:firstLine="519"/>
        <w:spacing w:after="0" w:line="285" w:lineRule="auto"/>
        <w:rPr>
          <w:sz w:val="20"/>
          <w:szCs w:val="20"/>
          <w:color w:val="auto"/>
        </w:rPr>
      </w:pPr>
      <w:r>
        <w:rPr>
          <w:rFonts w:ascii="Arial" w:cs="Arial" w:eastAsia="Arial" w:hAnsi="Arial"/>
          <w:sz w:val="13"/>
          <w:szCs w:val="13"/>
          <w:color w:val="auto"/>
        </w:rPr>
        <w:t xml:space="preserve">Our accounting policy for equity instruments issued to consultants and vendors in exchange for goods and services follows the provisions of SFAS No. 123, Emerging Issues Task Force (“EITF”) 96-18, </w:t>
      </w:r>
      <w:r>
        <w:rPr>
          <w:rFonts w:ascii="Arial" w:cs="Arial" w:eastAsia="Arial" w:hAnsi="Arial"/>
          <w:sz w:val="13"/>
          <w:szCs w:val="13"/>
          <w:i w:val="1"/>
          <w:iCs w:val="1"/>
          <w:color w:val="auto"/>
        </w:rPr>
        <w:t>Accounting for Equity Instruments That are Issued to Other Than Employees for Acquiring, or in Conjunction with Selling, Goods or Services</w:t>
      </w:r>
      <w:r>
        <w:rPr>
          <w:rFonts w:ascii="Arial" w:cs="Arial" w:eastAsia="Arial" w:hAnsi="Arial"/>
          <w:sz w:val="13"/>
          <w:szCs w:val="13"/>
          <w:color w:val="auto"/>
        </w:rPr>
        <w:t xml:space="preserve"> and EITF 00-18, </w:t>
      </w:r>
      <w:r>
        <w:rPr>
          <w:rFonts w:ascii="Arial" w:cs="Arial" w:eastAsia="Arial" w:hAnsi="Arial"/>
          <w:sz w:val="13"/>
          <w:szCs w:val="13"/>
          <w:i w:val="1"/>
          <w:iCs w:val="1"/>
          <w:color w:val="auto"/>
        </w:rPr>
        <w:t>Accounting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for Certain Transactions Involving Equity Instruments Granted to Other Than Employees. </w:t>
      </w:r>
      <w:r>
        <w:rPr>
          <w:rFonts w:ascii="Arial" w:cs="Arial" w:eastAsia="Arial" w:hAnsi="Arial"/>
          <w:sz w:val="13"/>
          <w:szCs w:val="13"/>
          <w:color w:val="auto"/>
        </w:rPr>
        <w:t>As such, the value of the applicable stock-based compensation is periodically remeasured and</w:t>
      </w:r>
      <w:r>
        <w:rPr>
          <w:rFonts w:ascii="Arial" w:cs="Arial" w:eastAsia="Arial" w:hAnsi="Arial"/>
          <w:sz w:val="13"/>
          <w:szCs w:val="13"/>
          <w:i w:val="1"/>
          <w:iCs w:val="1"/>
          <w:color w:val="auto"/>
        </w:rPr>
        <w:t xml:space="preserve"> </w:t>
      </w:r>
      <w:r>
        <w:rPr>
          <w:rFonts w:ascii="Arial" w:cs="Arial" w:eastAsia="Arial" w:hAnsi="Arial"/>
          <w:sz w:val="13"/>
          <w:szCs w:val="13"/>
          <w:color w:val="auto"/>
        </w:rPr>
        <w:t>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00-18, an asset acquired in exchange for the issuance of fully vested, nonforfeitable equity instruments should not be presented or classified as an offset to equity on the grantor's balance sheet once the equity instrument is granted for accounting purposes. Accordingly, we recorded the fair value of the common stock issued for future consulting services as prepaid consulting fees in our condensed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232" w:lineRule="exact"/>
        <w:rPr>
          <w:sz w:val="20"/>
          <w:szCs w:val="20"/>
          <w:color w:val="auto"/>
        </w:rPr>
      </w:pPr>
    </w:p>
    <w:p>
      <w:pPr>
        <w:ind w:right="220" w:firstLine="555"/>
        <w:spacing w:after="0" w:line="290" w:lineRule="auto"/>
        <w:rPr>
          <w:sz w:val="20"/>
          <w:szCs w:val="20"/>
          <w:color w:val="auto"/>
        </w:rPr>
      </w:pPr>
      <w:r>
        <w:rPr>
          <w:rFonts w:ascii="Arial" w:cs="Arial" w:eastAsia="Arial" w:hAnsi="Arial"/>
          <w:sz w:val="14"/>
          <w:szCs w:val="14"/>
          <w:color w:val="auto"/>
        </w:rPr>
        <w:t>Since our inception, except for standard operating leases, we have not engaged in any off-balance sheet arrangements, including the use of structured finance, special purpose entities or variable interest entities.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20"/>
          </w:cols>
          <w:pgMar w:left="220" w:top="345" w:right="25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232" w:lineRule="exact"/>
        <w:rPr>
          <w:sz w:val="20"/>
          <w:szCs w:val="20"/>
          <w:color w:val="auto"/>
        </w:rPr>
      </w:pPr>
    </w:p>
    <w:p>
      <w:pPr>
        <w:ind w:right="80" w:firstLine="519"/>
        <w:spacing w:after="0" w:line="286" w:lineRule="auto"/>
        <w:rPr>
          <w:sz w:val="20"/>
          <w:szCs w:val="20"/>
          <w:color w:val="auto"/>
        </w:rPr>
      </w:pPr>
      <w:r>
        <w:rPr>
          <w:rFonts w:ascii="Arial" w:cs="Arial" w:eastAsia="Arial" w:hAnsi="Arial"/>
          <w:sz w:val="13"/>
          <w:szCs w:val="13"/>
          <w:color w:val="auto"/>
        </w:rPr>
        <w:t xml:space="preserve">In July 2006, the Financial Accounting Standards Board (“FASB”) issued FASB Interpretation No. 48, </w:t>
      </w:r>
      <w:r>
        <w:rPr>
          <w:rFonts w:ascii="Arial" w:cs="Arial" w:eastAsia="Arial" w:hAnsi="Arial"/>
          <w:sz w:val="13"/>
          <w:szCs w:val="13"/>
          <w:i w:val="1"/>
          <w:iCs w:val="1"/>
          <w:color w:val="auto"/>
        </w:rPr>
        <w:t>Accounting for Uncertainty in Income Taxes—an interpretation of FASB Statement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 109 </w:t>
      </w:r>
      <w:r>
        <w:rPr>
          <w:rFonts w:ascii="Arial" w:cs="Arial" w:eastAsia="Arial" w:hAnsi="Arial"/>
          <w:sz w:val="13"/>
          <w:szCs w:val="13"/>
          <w:color w:val="auto"/>
        </w:rPr>
        <w:t>(“FIN No. 48”), which clarifies the accounting and disclosure for uncertainty in tax positions, as defined. FIN No. 48 seeks to reduce the diversity in practice associated with certain aspects</w:t>
      </w:r>
      <w:r>
        <w:rPr>
          <w:rFonts w:ascii="Arial" w:cs="Arial" w:eastAsia="Arial" w:hAnsi="Arial"/>
          <w:sz w:val="13"/>
          <w:szCs w:val="13"/>
          <w:i w:val="1"/>
          <w:iCs w:val="1"/>
          <w:color w:val="auto"/>
        </w:rPr>
        <w:t xml:space="preserve"> </w:t>
      </w:r>
      <w:r>
        <w:rPr>
          <w:rFonts w:ascii="Arial" w:cs="Arial" w:eastAsia="Arial" w:hAnsi="Arial"/>
          <w:sz w:val="13"/>
          <w:szCs w:val="13"/>
          <w:color w:val="auto"/>
        </w:rPr>
        <w:t>of the recognition and measurement related to accounting for income taxes. We are subject to the provisions of FIN No. 48 as of January 1, 2007. We believe that our income tax filing positions and deductions will be sustained on audit and do not anticipate any adjustments that will result in a material change to our financial position. Therefore, no reserves for uncertain income tax positions have been recorded pursuant to FIN No. 48. The cumulative effect, if any, of applying FIN No. 48 is to be reported as an adjustment to the opening balance of retained earnings in the year of adoption. We did not record a cumulative effect adjustment related to the adoption of FIN No. 48. Tax years since 1992 remain subject to examination by the major tax jurisdictions in which we are subject to tax. Our policy for recording interest and penalties associated with income-based tax audits is to record such items as a component of income taxes.</w:t>
      </w:r>
    </w:p>
    <w:p>
      <w:pPr>
        <w:spacing w:after="0" w:line="181" w:lineRule="exact"/>
        <w:rPr>
          <w:sz w:val="20"/>
          <w:szCs w:val="20"/>
          <w:color w:val="auto"/>
        </w:rPr>
      </w:pPr>
    </w:p>
    <w:p>
      <w:pPr>
        <w:ind w:right="100" w:firstLine="519"/>
        <w:spacing w:after="0" w:line="266" w:lineRule="auto"/>
        <w:rPr>
          <w:sz w:val="20"/>
          <w:szCs w:val="20"/>
          <w:color w:val="auto"/>
        </w:rPr>
      </w:pPr>
      <w:r>
        <w:rPr>
          <w:rFonts w:ascii="Arial" w:cs="Arial" w:eastAsia="Arial" w:hAnsi="Arial"/>
          <w:sz w:val="14"/>
          <w:szCs w:val="14"/>
          <w:color w:val="auto"/>
        </w:rPr>
        <w:t xml:space="preserve">In September 2006, the FASB issued SFAS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SFAS No. 157 defines fair value, establishes a framework for measuring fair value in generally accepted accounting principles and expands disclosures about fair value measurements. This Statement applies under other accounting pronouncements that require or permit fair value measurements, the FASB having previously concluded in those accounting pronouncements that fair value is the relevant measurement attribute. Accordingly, this Statement does not require any new fair value measurements. SFAS No. 157 is effective for fiscal years beginning after December 15, 2007. We plan to adopt SFAS No. 157 beginning in the first quarter of 2008. We are currently evaluating the impact, if any, that adoption of SFAS No. 157 will have on our operating income (loss) or net earnings (loss).</w:t>
      </w:r>
    </w:p>
    <w:p>
      <w:pPr>
        <w:spacing w:after="0" w:line="190" w:lineRule="exact"/>
        <w:rPr>
          <w:sz w:val="20"/>
          <w:szCs w:val="20"/>
          <w:color w:val="auto"/>
        </w:rPr>
      </w:pPr>
    </w:p>
    <w:p>
      <w:pPr>
        <w:ind w:right="60" w:firstLine="519"/>
        <w:spacing w:after="0" w:line="262" w:lineRule="auto"/>
        <w:rPr>
          <w:sz w:val="20"/>
          <w:szCs w:val="20"/>
          <w:color w:val="auto"/>
        </w:rPr>
      </w:pPr>
      <w:r>
        <w:rPr>
          <w:rFonts w:ascii="Arial" w:cs="Arial" w:eastAsia="Arial" w:hAnsi="Arial"/>
          <w:sz w:val="14"/>
          <w:szCs w:val="14"/>
          <w:color w:val="auto"/>
        </w:rPr>
        <w:t xml:space="preserve">In February 2007, the FASB issued SFAS No. 159, </w:t>
      </w:r>
      <w:r>
        <w:rPr>
          <w:rFonts w:ascii="Arial" w:cs="Arial" w:eastAsia="Arial" w:hAnsi="Arial"/>
          <w:sz w:val="14"/>
          <w:szCs w:val="14"/>
          <w:i w:val="1"/>
          <w:iCs w:val="1"/>
          <w:color w:val="auto"/>
        </w:rPr>
        <w:t>The Fair Value Option for Financial Assets and Financial Liabilities - Including an Amendment of FASB Statement No. 115.</w:t>
      </w:r>
      <w:r>
        <w:rPr>
          <w:rFonts w:ascii="Arial" w:cs="Arial" w:eastAsia="Arial" w:hAnsi="Arial"/>
          <w:sz w:val="14"/>
          <w:szCs w:val="14"/>
          <w:color w:val="auto"/>
        </w:rPr>
        <w:t xml:space="preserve"> SFAS No. 159 permits an entity to choose to measure many financial instruments and certain other items at fair value. Most of the provisions in SFAS No. 159 are elective; however, the amendment to FASB Statement No. 115, </w:t>
      </w:r>
      <w:r>
        <w:rPr>
          <w:rFonts w:ascii="Arial" w:cs="Arial" w:eastAsia="Arial" w:hAnsi="Arial"/>
          <w:sz w:val="14"/>
          <w:szCs w:val="14"/>
          <w:i w:val="1"/>
          <w:iCs w:val="1"/>
          <w:color w:val="auto"/>
        </w:rPr>
        <w:t>Accounting for Certain Investments in Debt and Equity Securities</w:t>
      </w:r>
      <w:r>
        <w:rPr>
          <w:rFonts w:ascii="Arial" w:cs="Arial" w:eastAsia="Arial" w:hAnsi="Arial"/>
          <w:sz w:val="14"/>
          <w:szCs w:val="14"/>
          <w:color w:val="auto"/>
        </w:rPr>
        <w:t xml:space="preserve">, applies to all entities with available-for-sale and trading securities. Some requirements apply differently to entities that do not report net income. The fair value option established by SFAS No. 159 permits all entities to choose to measure eligible items at fair value at specified election dates. A business entity will report unrealized gains and losses on items for which the fair value option has been elected in earnings at each subsequent reporting date. SFAS No.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The adoption of this pronouncement is not expected to have material effect on our financial statements</w:t>
      </w:r>
      <w:r>
        <w:rPr>
          <w:rFonts w:ascii="Arial" w:cs="Arial" w:eastAsia="Arial" w:hAnsi="Arial"/>
          <w:sz w:val="14"/>
          <w:szCs w:val="14"/>
          <w:i w:val="1"/>
          <w:iCs w:val="1"/>
          <w:color w:val="auto"/>
        </w:rPr>
        <w:t>.</w:t>
      </w:r>
    </w:p>
    <w:p>
      <w:pPr>
        <w:spacing w:after="0" w:line="195" w:lineRule="exact"/>
        <w:rPr>
          <w:sz w:val="20"/>
          <w:szCs w:val="20"/>
          <w:color w:val="auto"/>
        </w:rPr>
      </w:pPr>
    </w:p>
    <w:p>
      <w:pPr>
        <w:ind w:firstLine="519"/>
        <w:spacing w:after="0" w:line="286" w:lineRule="auto"/>
        <w:rPr>
          <w:sz w:val="20"/>
          <w:szCs w:val="20"/>
          <w:color w:val="auto"/>
        </w:rPr>
      </w:pPr>
      <w:r>
        <w:rPr>
          <w:rFonts w:ascii="Arial" w:cs="Arial" w:eastAsia="Arial" w:hAnsi="Arial"/>
          <w:sz w:val="13"/>
          <w:szCs w:val="13"/>
          <w:color w:val="auto"/>
        </w:rPr>
        <w:t xml:space="preserve">In June 2007, the Financial Accounting Standards Board ratified a consensus opinion reached by the Emerging Issues Task Force (EITF) on EITF Issue No. 07-3,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Nonrefundable Advance Payments for Goods or Services Received for Use in Future Research and Development Activities. </w:t>
      </w:r>
      <w:r>
        <w:rPr>
          <w:rFonts w:ascii="Arial" w:cs="Arial" w:eastAsia="Arial" w:hAnsi="Arial"/>
          <w:sz w:val="13"/>
          <w:szCs w:val="13"/>
          <w:color w:val="auto"/>
        </w:rPr>
        <w:t>The guidance in EITF Issue 07-3 requires us to defer and capitalize</w:t>
      </w:r>
      <w:r>
        <w:rPr>
          <w:rFonts w:ascii="Arial" w:cs="Arial" w:eastAsia="Arial" w:hAnsi="Arial"/>
          <w:sz w:val="13"/>
          <w:szCs w:val="13"/>
          <w:i w:val="1"/>
          <w:iCs w:val="1"/>
          <w:color w:val="auto"/>
        </w:rPr>
        <w:t xml:space="preserve"> </w:t>
      </w:r>
      <w:r>
        <w:rPr>
          <w:rFonts w:ascii="Arial" w:cs="Arial" w:eastAsia="Arial" w:hAnsi="Arial"/>
          <w:sz w:val="13"/>
          <w:szCs w:val="13"/>
          <w:color w:val="auto"/>
        </w:rPr>
        <w:t>nonrefundable advance payments made for goods or services to be used in research and development activities until the goods have been delivered or the related services have been performed. If the goods are no longer expected to be delivered nor the services expected to be performed, we would be required to expense the related capitalized advance payments. The consensus in EITF Issue 07-3 is effective for fiscal years, and interim periods within those fiscal years, beginning after December 15, 2007 and is to be applied prospectively to new contracts entered into on or after December 15, 2007. Early adoption is not permitted. Retrospective application of EITF Issue 07-3 is also not permitted. We intend to adopt EITF Issue 07-3 effective January 1, 2008. The impact of applying this consensus will depend on the terms of our future research and development contractual arrangements entered into on or after December 15, 2007.</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4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Overview</w:t>
      </w:r>
    </w:p>
    <w:p>
      <w:pPr>
        <w:spacing w:after="0" w:line="232" w:lineRule="exact"/>
        <w:rPr>
          <w:sz w:val="20"/>
          <w:szCs w:val="20"/>
          <w:color w:val="auto"/>
        </w:rPr>
      </w:pPr>
    </w:p>
    <w:p>
      <w:pPr>
        <w:ind w:right="120" w:firstLine="519"/>
        <w:spacing w:after="0" w:line="290" w:lineRule="auto"/>
        <w:rPr>
          <w:sz w:val="20"/>
          <w:szCs w:val="20"/>
          <w:color w:val="auto"/>
        </w:rPr>
      </w:pPr>
      <w:r>
        <w:rPr>
          <w:rFonts w:ascii="Arial" w:cs="Arial" w:eastAsia="Arial" w:hAnsi="Arial"/>
          <w:sz w:val="14"/>
          <w:szCs w:val="14"/>
          <w:color w:val="auto"/>
        </w:rPr>
        <w:t>We are a specialty pharmaceutical company focused on the development and commercialization of non-invasive topically delivered medications. Our lead topical drug, Ketotransdel™ is a topical treatment for acute pain. A Phase 1/2 clinical study supported the safety and efficacy of Ketotransdel™ for acute pain and muscle soreness.</w:t>
      </w:r>
    </w:p>
    <w:p>
      <w:pPr>
        <w:spacing w:after="0" w:line="173" w:lineRule="exact"/>
        <w:rPr>
          <w:sz w:val="20"/>
          <w:szCs w:val="20"/>
          <w:color w:val="auto"/>
        </w:rPr>
      </w:pPr>
    </w:p>
    <w:p>
      <w:pPr>
        <w:ind w:firstLine="519"/>
        <w:spacing w:after="0" w:line="264" w:lineRule="auto"/>
        <w:rPr>
          <w:sz w:val="20"/>
          <w:szCs w:val="20"/>
          <w:color w:val="auto"/>
        </w:rPr>
      </w:pPr>
      <w:r>
        <w:rPr>
          <w:rFonts w:ascii="Arial" w:cs="Arial" w:eastAsia="Arial" w:hAnsi="Arial"/>
          <w:sz w:val="14"/>
          <w:szCs w:val="14"/>
          <w:color w:val="auto"/>
        </w:rPr>
        <w:t>We believe that there is a multi-billion dollar void in the pain management market since the withdrawal of two popular COX-2 inhibitors, Bextra and Vioxx, in 2005 due to the increased risk of adverse cardiovascular events associated with these drugs Also, use of everyday over-the-counter painkillers such as aspirin, acetaminophen (Tylenol) and ibuprofen raise safety concerns. According to the National Center for Health Statistics, there are over 100,000 hospitalizations per year for NSAID related gastrointestinal complications and approximately 16,500 NSAID related deaths annually resulting in over $3 billion per year in additional health care costs. In 2006, the FDA approved new requirements that professional labeling for all over-the-counter and prescription NSAIDs, including COX-2 inhibitors, include information about the potential cardiovascular and gastrointestinal risks. We believe that these developments have resulted in demand for a potentially safer method of administering NSAIDs and that Ketotransdel™ is positioned to satisfy this demand.</w:t>
      </w:r>
    </w:p>
    <w:p>
      <w:pPr>
        <w:spacing w:after="0" w:line="192" w:lineRule="exact"/>
        <w:rPr>
          <w:sz w:val="20"/>
          <w:szCs w:val="20"/>
          <w:color w:val="auto"/>
        </w:rPr>
      </w:pPr>
    </w:p>
    <w:p>
      <w:pPr>
        <w:ind w:right="20" w:firstLine="519"/>
        <w:spacing w:after="0" w:line="268" w:lineRule="auto"/>
        <w:rPr>
          <w:sz w:val="20"/>
          <w:szCs w:val="20"/>
          <w:color w:val="auto"/>
        </w:rPr>
      </w:pPr>
      <w:r>
        <w:rPr>
          <w:rFonts w:ascii="Arial" w:cs="Arial" w:eastAsia="Arial" w:hAnsi="Arial"/>
          <w:sz w:val="14"/>
          <w:szCs w:val="14"/>
          <w:color w:val="auto"/>
        </w:rPr>
        <w:t>We are also investigating other drug candidates and treatments for transdermal delivery using Transdel™ technology, our proprietary cream formulation, including anesthetics, human hormone replacement and anti-nausea medications. Our patent on the Transdel™ proprietary cream formulation covers the combination of the cream formulation with other active drug ingredients in over 26 therapeutic areas creating an opportunity to develop a number of potential drug candidates. This patent covers composition of matter, methods of manufacture and methods of use of Transdel™.</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Ketotransdel™</w:t>
      </w:r>
    </w:p>
    <w:p>
      <w:pPr>
        <w:spacing w:after="0" w:line="232" w:lineRule="exact"/>
        <w:rPr>
          <w:sz w:val="20"/>
          <w:szCs w:val="20"/>
          <w:color w:val="auto"/>
        </w:rPr>
      </w:pPr>
    </w:p>
    <w:p>
      <w:pPr>
        <w:ind w:right="40" w:firstLine="519"/>
        <w:spacing w:after="0" w:line="266" w:lineRule="auto"/>
        <w:rPr>
          <w:sz w:val="20"/>
          <w:szCs w:val="20"/>
          <w:color w:val="auto"/>
        </w:rPr>
      </w:pPr>
      <w:r>
        <w:rPr>
          <w:rFonts w:ascii="Arial" w:cs="Arial" w:eastAsia="Arial" w:hAnsi="Arial"/>
          <w:sz w:val="14"/>
          <w:szCs w:val="14"/>
          <w:color w:val="auto"/>
        </w:rPr>
        <w:t>Ketotransdel™ is comprised of a transdermal formulation of ketoprofen, a NSAID, and our proprietary Transdel™ drug delivery system and is being developed for the treatment of acute pain. Ketotransdel™ penetrates the skin barrier to reach the targeted underlying tissues where it exerts its prolonged localized anti-inflammatory and analgesic effect. The topical delivery of the drug may minimize systemic exposure, therefore, resulting in fewer concerns pertaining to gastrointestinal, renal, cardiovascular and other adverse systemic effects, which are associated with orally administered NSAIDs. We believe that this product may be considered for patients with site specific localized pain and who also (i) have a history of gastrointestinal, cardiovascular, kidney or liver problems, (ii) are geriatric or pediatric patients and/or (iii) are patients at risk for drug interactions.</w:t>
      </w:r>
    </w:p>
    <w:p>
      <w:pPr>
        <w:spacing w:after="0" w:line="190" w:lineRule="exact"/>
        <w:rPr>
          <w:sz w:val="20"/>
          <w:szCs w:val="20"/>
          <w:color w:val="auto"/>
        </w:rPr>
      </w:pPr>
    </w:p>
    <w:p>
      <w:pPr>
        <w:ind w:right="300" w:firstLine="519"/>
        <w:spacing w:after="0" w:line="290" w:lineRule="auto"/>
        <w:rPr>
          <w:sz w:val="20"/>
          <w:szCs w:val="20"/>
          <w:color w:val="auto"/>
        </w:rPr>
      </w:pPr>
      <w:r>
        <w:rPr>
          <w:rFonts w:ascii="Arial" w:cs="Arial" w:eastAsia="Arial" w:hAnsi="Arial"/>
          <w:sz w:val="14"/>
          <w:szCs w:val="14"/>
          <w:color w:val="auto"/>
        </w:rPr>
        <w:t>We selected ketoprofen as the active ingredient for Ketotransdel™ for its clinical and medical track record for safety and efficacy with low incidences of kidney, liver and skin reactions when administered topically.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116840</wp:posOffset>
            </wp:positionV>
            <wp:extent cx="1710055" cy="948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0055" cy="94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structure of ketoprofen</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Clinical results with Ketotransdel™</w:t>
      </w:r>
    </w:p>
    <w:p>
      <w:pPr>
        <w:spacing w:after="0" w:line="232"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Ketotransdel™ was tested in a double blind, placebo-controlled Phase 1/2 clinical study. The study tested the efficacy and safety of topical Ketotransdel™ for the treatment of acute pain and soreness in a delayed-onset muscle soreness model placebo versus active. We also measured the level of systemic absorption of topical Ketotransdel™.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0" w:name="page21"/>
    <w:bookmarkEnd w:id="20"/>
    <w:p>
      <w:pPr>
        <w:ind w:right="20" w:firstLine="519"/>
        <w:spacing w:after="0" w:line="232" w:lineRule="auto"/>
        <w:rPr>
          <w:sz w:val="20"/>
          <w:szCs w:val="20"/>
          <w:color w:val="auto"/>
        </w:rPr>
      </w:pPr>
      <w:r>
        <w:rPr>
          <w:rFonts w:ascii="Arial" w:cs="Arial" w:eastAsia="Arial" w:hAnsi="Arial"/>
          <w:sz w:val="14"/>
          <w:szCs w:val="14"/>
          <w:color w:val="auto"/>
        </w:rPr>
        <w:t>The clinical study for acute pain and muscle soreness demonstrated a significant medical benefit from Ketotransdel™ in terms of relief of pain and muscle soreness. The topical Ketotransdel™ has approximately 1/100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blood levels of ketoprofen found in the circulatory system as compared to a comparable dose of commercially available oral ketoprofen. Thus, we believe that the topical Ketotransdel™ can potentially provide a safer alternative to pain management as compared to the orally administered pain medications. No adverse reactions to Ketotransdel, such as rash or irritation were reported.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FDA Review</w:t>
      </w:r>
    </w:p>
    <w:p>
      <w:pPr>
        <w:spacing w:after="0" w:line="232" w:lineRule="exact"/>
        <w:rPr>
          <w:sz w:val="20"/>
          <w:szCs w:val="20"/>
          <w:color w:val="auto"/>
        </w:rPr>
      </w:pPr>
    </w:p>
    <w:p>
      <w:pPr>
        <w:ind w:firstLine="519"/>
        <w:spacing w:after="0" w:line="291" w:lineRule="auto"/>
        <w:rPr>
          <w:sz w:val="20"/>
          <w:szCs w:val="20"/>
          <w:color w:val="auto"/>
        </w:rPr>
      </w:pPr>
      <w:r>
        <w:rPr>
          <w:rFonts w:ascii="Arial" w:cs="Arial" w:eastAsia="Arial" w:hAnsi="Arial"/>
          <w:sz w:val="13"/>
          <w:szCs w:val="13"/>
          <w:color w:val="auto"/>
        </w:rPr>
        <w:t>We expect to file an IND application containing our proposed Phase 3 clinical studies for Ketotransdel™ for the treatment of acute pain during the first quarter of 2008. Based on the timing of the FDA’s review of our IND application, we anticipate starting Phase 3 clinical studies for the topical treatment of acute pain during the first six months of 2008. The expected filing date of the Phase 3 submission to the FDA will depend on a variety of factors including but not limited to the completion of the manufacturing process for non clinical/clinical supplies, and potentially the completion of the non-clinical studies and the generation of data. Issues or problems encountered in any of these areas may result in delays in the filing of the IND for the Phase 3 trials. If and when the FDA approves Ketotransdel™ for treatment of acute pain, we intend to pursue FDA approval of Ketotransdel™ for other indications including osteoarthritis.</w:t>
      </w:r>
    </w:p>
    <w:p>
      <w:pPr>
        <w:spacing w:after="0" w:line="175" w:lineRule="exact"/>
        <w:rPr>
          <w:sz w:val="20"/>
          <w:szCs w:val="20"/>
          <w:color w:val="auto"/>
        </w:rPr>
      </w:pPr>
    </w:p>
    <w:p>
      <w:pPr>
        <w:ind w:right="80" w:firstLine="519"/>
        <w:spacing w:after="0" w:line="290" w:lineRule="auto"/>
        <w:rPr>
          <w:sz w:val="20"/>
          <w:szCs w:val="20"/>
          <w:color w:val="auto"/>
        </w:rPr>
      </w:pPr>
      <w:r>
        <w:rPr>
          <w:rFonts w:ascii="Arial" w:cs="Arial" w:eastAsia="Arial" w:hAnsi="Arial"/>
          <w:sz w:val="14"/>
          <w:szCs w:val="14"/>
          <w:color w:val="auto"/>
        </w:rPr>
        <w:t>No assurance can be given that the FDA will agree with our proposed clinical trials or non-clinical studies. The FDA may require that we conduct additional clinical trials and non-clinical studies that we do not presently anticipate conducting or to repeat studies that we have already conducted.</w:t>
      </w:r>
    </w:p>
    <w:p>
      <w:pPr>
        <w:spacing w:after="0" w:line="173" w:lineRule="exact"/>
        <w:rPr>
          <w:sz w:val="20"/>
          <w:szCs w:val="20"/>
          <w:color w:val="auto"/>
        </w:rPr>
      </w:pPr>
    </w:p>
    <w:p>
      <w:pPr>
        <w:ind w:right="240" w:firstLine="519"/>
        <w:spacing w:after="0" w:line="304" w:lineRule="auto"/>
        <w:rPr>
          <w:sz w:val="20"/>
          <w:szCs w:val="20"/>
          <w:color w:val="auto"/>
        </w:rPr>
      </w:pPr>
      <w:r>
        <w:rPr>
          <w:rFonts w:ascii="Arial" w:cs="Arial" w:eastAsia="Arial" w:hAnsi="Arial"/>
          <w:sz w:val="13"/>
          <w:szCs w:val="13"/>
          <w:color w:val="auto"/>
        </w:rPr>
        <w:t>We believe that the clinical success of Ketotransdel™ will facilitate the use of the Transdel™ delivery technology in other products. We are also investigating other drug candidates and treatments for transdermal delivery using the Transdel™ platform technology for products in pain management and other therapeutic areas. Furthermore, we are in discussions with potential commercial partners for future Ketotransdel™ sales and marketing strategies and with potential Pharma partners for licensing opportunities related to the Transdel™ delivery system.</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00"/>
          </w:cols>
          <w:pgMar w:left="220" w:top="345" w:right="27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Market and Opportunity</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that the market for NSAIDs and COX-2 inhibitors in the United States may exceed $6 billion. This data is illustrated in the table below.</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NSAID/COX-2 Retail Market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2099310</wp:posOffset>
            </wp:positionH>
            <wp:positionV relativeFrom="paragraph">
              <wp:posOffset>291465</wp:posOffset>
            </wp:positionV>
            <wp:extent cx="3084195" cy="1209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84195"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560"/>
        <w:spacing w:after="0"/>
        <w:rPr>
          <w:sz w:val="20"/>
          <w:szCs w:val="20"/>
          <w:color w:val="auto"/>
        </w:rPr>
      </w:pPr>
      <w:r>
        <w:rPr>
          <w:rFonts w:ascii="Arial" w:cs="Arial" w:eastAsia="Arial" w:hAnsi="Arial"/>
          <w:sz w:val="14"/>
          <w:szCs w:val="14"/>
          <w:i w:val="1"/>
          <w:iCs w:val="1"/>
          <w:color w:val="auto"/>
        </w:rPr>
        <w:t>Source: Wolters Kluwer Source® Pharmaceutical Audit Suite, PHAST Prescription Monthly</w:t>
      </w:r>
    </w:p>
    <w:p>
      <w:pPr>
        <w:spacing w:after="0" w:line="228" w:lineRule="exact"/>
        <w:rPr>
          <w:sz w:val="20"/>
          <w:szCs w:val="20"/>
          <w:color w:val="auto"/>
        </w:rPr>
      </w:pPr>
    </w:p>
    <w:p>
      <w:pPr>
        <w:ind w:right="140" w:firstLine="519"/>
        <w:spacing w:after="0" w:line="290" w:lineRule="auto"/>
        <w:rPr>
          <w:sz w:val="20"/>
          <w:szCs w:val="20"/>
          <w:color w:val="auto"/>
        </w:rPr>
      </w:pPr>
      <w:r>
        <w:rPr>
          <w:rFonts w:ascii="Arial" w:cs="Arial" w:eastAsia="Arial" w:hAnsi="Arial"/>
          <w:sz w:val="14"/>
          <w:szCs w:val="14"/>
          <w:color w:val="auto"/>
        </w:rPr>
        <w:t>Since the withdrawal of major COX-2 inhibitors in 2005, oral NSAIDs have captured a share of the multibillion retail market for COX-2 inhibitors. Oral NSAIDs remain one of the most prescribed classes of drugs in the pain management market. Over 30 million people worldwide use prescription and over-the-counter NSAIDs daily.</w:t>
      </w:r>
    </w:p>
    <w:p>
      <w:pPr>
        <w:spacing w:after="0" w:line="173" w:lineRule="exact"/>
        <w:rPr>
          <w:sz w:val="20"/>
          <w:szCs w:val="20"/>
          <w:color w:val="auto"/>
        </w:rPr>
      </w:pPr>
    </w:p>
    <w:p>
      <w:pPr>
        <w:ind w:firstLine="519"/>
        <w:spacing w:after="0" w:line="274" w:lineRule="auto"/>
        <w:rPr>
          <w:sz w:val="20"/>
          <w:szCs w:val="20"/>
          <w:color w:val="auto"/>
        </w:rPr>
      </w:pPr>
      <w:r>
        <w:rPr>
          <w:rFonts w:ascii="Arial" w:cs="Arial" w:eastAsia="Arial" w:hAnsi="Arial"/>
          <w:sz w:val="14"/>
          <w:szCs w:val="14"/>
          <w:color w:val="auto"/>
        </w:rPr>
        <w:t>However, due to increased understanding of the cardiovascular and gastrointestinal risks associated with NSAIDs, the FDA approved new rules requiring that professional labeling for all prescription and over-the-counter NSAIDs include information on such risks. We believe that there is a demand for topical pain management products that minimize systemic absorption of NSAIDs such as Ketotransdel™ due to the recognition of cardiovascular, gastrointestinal and other risks associated with orally administered NSAIDs.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Transdel™ Technology</w:t>
      </w:r>
    </w:p>
    <w:p>
      <w:pPr>
        <w:spacing w:after="0" w:line="232" w:lineRule="exact"/>
        <w:rPr>
          <w:sz w:val="20"/>
          <w:szCs w:val="20"/>
          <w:color w:val="auto"/>
        </w:rPr>
      </w:pPr>
    </w:p>
    <w:p>
      <w:pPr>
        <w:ind w:right="20" w:firstLine="519"/>
        <w:spacing w:after="0" w:line="274" w:lineRule="auto"/>
        <w:rPr>
          <w:sz w:val="20"/>
          <w:szCs w:val="20"/>
          <w:color w:val="auto"/>
        </w:rPr>
      </w:pPr>
      <w:r>
        <w:rPr>
          <w:rFonts w:ascii="Arial" w:cs="Arial" w:eastAsia="Arial" w:hAnsi="Arial"/>
          <w:sz w:val="14"/>
          <w:szCs w:val="14"/>
          <w:color w:val="auto"/>
        </w:rPr>
        <w:t>Transdel™ is our proprietary transdermal cream drug delivery platform. It consists of a cream that enables transdermal penetration of drugs minimizing systemic exposure. The Transdel™ drug delivery system facilitates the effective dissolution and delivery of a drug across the skin barrier to reach targeted underlying tissues. Transdel™ has the following properties that make it an ideal vehicle for topical drug administration:</w:t>
      </w:r>
    </w:p>
    <w:p>
      <w:pPr>
        <w:spacing w:after="0" w:line="184" w:lineRule="exact"/>
        <w:rPr>
          <w:sz w:val="20"/>
          <w:szCs w:val="20"/>
          <w:color w:val="auto"/>
        </w:rPr>
      </w:pPr>
    </w:p>
    <w:p>
      <w:pPr>
        <w:ind w:left="1040" w:hanging="255"/>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biocompatible – it hydrates the skin;</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enhanced skin penetration – it has a balance of hydrophilic and hydrophobic properties that allow efficient partitioning of drugs into the skin;</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low toxicity and biodegradable – its components are non-immunogenic and are generally regarded as safe;</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thermodynamically stable, insensitive to moisture and resistant to microbial contamination; and</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9"/>
        </w:numPr>
        <w:rPr>
          <w:rFonts w:ascii="Arial" w:cs="Arial" w:eastAsia="Arial" w:hAnsi="Arial"/>
          <w:sz w:val="14"/>
          <w:szCs w:val="14"/>
          <w:color w:val="auto"/>
        </w:rPr>
      </w:pPr>
      <w:r>
        <w:rPr>
          <w:rFonts w:ascii="Arial" w:cs="Arial" w:eastAsia="Arial" w:hAnsi="Arial"/>
          <w:sz w:val="14"/>
          <w:szCs w:val="14"/>
          <w:color w:val="auto"/>
        </w:rPr>
        <w:t>has desired skin adherence, spreadability, and cohesiveness for use as a topical agent.</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key features of Transdel™ technology include:</w:t>
      </w:r>
    </w:p>
    <w:p>
      <w:pPr>
        <w:spacing w:after="0" w:line="228" w:lineRule="exact"/>
        <w:rPr>
          <w:sz w:val="20"/>
          <w:szCs w:val="20"/>
          <w:color w:val="auto"/>
        </w:rPr>
      </w:pPr>
    </w:p>
    <w:p>
      <w:pPr>
        <w:ind w:left="1040" w:hanging="255"/>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allows maximal solubilization of drug;</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clinical data supports safety and efficacy;</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potentially result in decreased safety concerns which are associated with oral drugs;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rapid and efficient transdermal drug delivery;</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380"/>
          </w:cols>
          <w:pgMar w:left="220" w:top="320" w:right="299" w:bottom="1440" w:gutter="0" w:footer="0" w:header="0"/>
        </w:sectPr>
      </w:pPr>
    </w:p>
    <w:bookmarkStart w:id="22" w:name="page23"/>
    <w:bookmarkEnd w:id="22"/>
    <w:p>
      <w:pPr>
        <w:ind w:left="1040" w:hanging="255"/>
        <w:spacing w:after="0" w:line="265" w:lineRule="auto"/>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enables painless administration of medications and avoids stomach irritation minimizes dermal irritation considered to be superior to other transdermal delivery preparations due to the synergetic effect of its skin penetration enhancers and carriers;</w:t>
      </w:r>
    </w:p>
    <w:p>
      <w:pPr>
        <w:ind w:left="1040" w:hanging="255"/>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highly flexible – allows the delivery of a wide range of different medications;</w:t>
      </w:r>
    </w:p>
    <w:p>
      <w:pPr>
        <w:spacing w:after="0" w:line="45" w:lineRule="exact"/>
        <w:rPr>
          <w:rFonts w:ascii="Arial" w:cs="Arial" w:eastAsia="Arial" w:hAnsi="Arial"/>
          <w:sz w:val="14"/>
          <w:szCs w:val="14"/>
          <w:color w:val="auto"/>
        </w:rPr>
      </w:pPr>
    </w:p>
    <w:p>
      <w:pPr>
        <w:ind w:left="1040" w:hanging="255"/>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ease of application, aesthetically acceptable and odorless; and</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potentially produces patentable new products when combined with established drugs or new drugs.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pharmaceutical industry is highly competitive. There are competitors in the United States developing patch products and other pain formulations that we are aware of at this time.</w:t>
      </w:r>
    </w:p>
    <w:p>
      <w:pPr>
        <w:spacing w:after="0" w:line="240" w:lineRule="exact"/>
        <w:rPr>
          <w:sz w:val="20"/>
          <w:szCs w:val="20"/>
          <w:color w:val="auto"/>
        </w:rPr>
      </w:pPr>
    </w:p>
    <w:p>
      <w:pPr>
        <w:ind w:firstLine="519"/>
        <w:spacing w:after="0" w:line="264" w:lineRule="auto"/>
        <w:rPr>
          <w:sz w:val="20"/>
          <w:szCs w:val="20"/>
          <w:color w:val="auto"/>
        </w:rPr>
      </w:pPr>
      <w:r>
        <w:rPr>
          <w:rFonts w:ascii="Arial" w:cs="Arial" w:eastAsia="Arial" w:hAnsi="Arial"/>
          <w:sz w:val="14"/>
          <w:szCs w:val="14"/>
          <w:color w:val="auto"/>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of the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smaller than many of our national competitors, we may lack the financial and other resources needed to develop, produce, distribute, market and commercialize any our drug candidates or compete for market share in the pain management sector.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Party Service Agreements</w:t>
      </w:r>
    </w:p>
    <w:p>
      <w:pPr>
        <w:spacing w:after="0" w:line="232" w:lineRule="exact"/>
        <w:rPr>
          <w:sz w:val="20"/>
          <w:szCs w:val="20"/>
          <w:color w:val="auto"/>
        </w:rPr>
      </w:pPr>
    </w:p>
    <w:p>
      <w:pPr>
        <w:ind w:right="80" w:firstLine="519"/>
        <w:spacing w:after="0" w:line="274" w:lineRule="auto"/>
        <w:rPr>
          <w:sz w:val="20"/>
          <w:szCs w:val="20"/>
          <w:color w:val="auto"/>
        </w:rPr>
      </w:pPr>
      <w:r>
        <w:rPr>
          <w:rFonts w:ascii="Arial" w:cs="Arial" w:eastAsia="Arial" w:hAnsi="Arial"/>
          <w:sz w:val="14"/>
          <w:szCs w:val="14"/>
          <w:color w:val="auto"/>
        </w:rPr>
        <w:t>We contract with various third parties to provide certain critical services including conducting clinical and non-clinical studies, manufacturing, certain research and development activities, medical affairs and certain regulatory activities and financial functions. Our failure to maintain our relationships with these third party contractors, may have a material adverse effect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Governmental Regulation</w:t>
      </w:r>
    </w:p>
    <w:p>
      <w:pPr>
        <w:spacing w:after="0" w:line="232" w:lineRule="exact"/>
        <w:rPr>
          <w:sz w:val="20"/>
          <w:szCs w:val="20"/>
          <w:color w:val="auto"/>
        </w:rPr>
      </w:pPr>
    </w:p>
    <w:p>
      <w:pPr>
        <w:ind w:right="140" w:firstLine="519"/>
        <w:spacing w:after="0" w:line="266" w:lineRule="auto"/>
        <w:rPr>
          <w:sz w:val="20"/>
          <w:szCs w:val="20"/>
          <w:color w:val="auto"/>
        </w:rPr>
      </w:pPr>
      <w:r>
        <w:rPr>
          <w:rFonts w:ascii="Arial" w:cs="Arial" w:eastAsia="Arial" w:hAnsi="Arial"/>
          <w:sz w:val="14"/>
          <w:szCs w:val="14"/>
          <w:color w:val="auto"/>
        </w:rPr>
        <w:t>Our ongoing product development activities are subject to extensive and rigorous regulation at both the federal and state levels. Post development, the manufacture, testing, packaging, labeling, distribution, sales and marketing of our products is also be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spacing w:after="0" w:line="190" w:lineRule="exact"/>
        <w:rPr>
          <w:sz w:val="20"/>
          <w:szCs w:val="20"/>
          <w:color w:val="auto"/>
        </w:rPr>
      </w:pPr>
    </w:p>
    <w:p>
      <w:pPr>
        <w:ind w:right="40" w:firstLine="519"/>
        <w:spacing w:after="0" w:line="304" w:lineRule="auto"/>
        <w:rPr>
          <w:sz w:val="20"/>
          <w:szCs w:val="20"/>
          <w:color w:val="auto"/>
        </w:rPr>
      </w:pPr>
      <w:r>
        <w:rPr>
          <w:rFonts w:ascii="Arial" w:cs="Arial" w:eastAsia="Arial" w:hAnsi="Arial"/>
          <w:sz w:val="13"/>
          <w:szCs w:val="13"/>
          <w:color w:val="auto"/>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spacing w:after="0" w:line="167" w:lineRule="exact"/>
        <w:rPr>
          <w:sz w:val="20"/>
          <w:szCs w:val="20"/>
          <w:color w:val="auto"/>
        </w:rPr>
      </w:pPr>
    </w:p>
    <w:p>
      <w:pPr>
        <w:ind w:right="100" w:firstLine="519"/>
        <w:spacing w:after="0" w:line="263" w:lineRule="auto"/>
        <w:rPr>
          <w:sz w:val="20"/>
          <w:szCs w:val="20"/>
          <w:color w:val="auto"/>
        </w:rPr>
      </w:pPr>
      <w:r>
        <w:rPr>
          <w:rFonts w:ascii="Arial" w:cs="Arial" w:eastAsia="Arial" w:hAnsi="Arial"/>
          <w:sz w:val="14"/>
          <w:szCs w:val="14"/>
          <w:color w:val="auto"/>
        </w:rPr>
        <w:t>Current FDA standards of approving new pharmaceutical products are more stringent than those that were applied in the past. As a result, labeling revisions, formulation or manufacturing changes and/or product modifications may be necessary.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00"/>
          </w:cols>
          <w:pgMar w:left="220" w:top="324" w:right="27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FDA Approval Process</w:t>
      </w:r>
    </w:p>
    <w:p>
      <w:pPr>
        <w:spacing w:after="0" w:line="232" w:lineRule="exact"/>
        <w:rPr>
          <w:sz w:val="20"/>
          <w:szCs w:val="20"/>
          <w:color w:val="auto"/>
        </w:rPr>
      </w:pPr>
    </w:p>
    <w:p>
      <w:pPr>
        <w:ind w:firstLine="519"/>
        <w:spacing w:after="0" w:line="264" w:lineRule="auto"/>
        <w:rPr>
          <w:sz w:val="20"/>
          <w:szCs w:val="20"/>
          <w:color w:val="auto"/>
        </w:rPr>
      </w:pPr>
      <w:r>
        <w:rPr>
          <w:rFonts w:ascii="Arial" w:cs="Arial" w:eastAsia="Arial" w:hAnsi="Arial"/>
          <w:sz w:val="14"/>
          <w:szCs w:val="14"/>
          <w:color w:val="auto"/>
        </w:rPr>
        <w:t>FDA approval is typically required before any new drug can be marketed. A NDA is a filing submitted to the FDA to obtain approval of new chemical entities and other innovations for which thorough applied research is required to demonstrate safety and effectiveness in use. The NDA must contain complete preclinical and clinical safety and efficacy data or a reference to such data. Since the active pharmaceutical ingredients in our topical drug candidates, such as ketoprofen, have already been approved by the FDA, we are able to file NDAs under section 505(b)(2) of the Hatch-Waxman Act of 1984. Under Section 505(b)(2) we may rely on data from pre-clinical and clinical studies that were not conducted by or for us and for which we have not obtained a right of reference or use from the person by or for whom the investigation was conducted. The FDA has determined that a 505(b)(2) NDA may be submitted for products that represent changes from approved drugs in conditions of use, active ingredient(s), route of administration, dosage form, strength, or bioavailability.</w:t>
      </w:r>
    </w:p>
    <w:p>
      <w:pPr>
        <w:spacing w:after="0" w:line="192" w:lineRule="exact"/>
        <w:rPr>
          <w:sz w:val="20"/>
          <w:szCs w:val="20"/>
          <w:color w:val="auto"/>
        </w:rPr>
      </w:pPr>
    </w:p>
    <w:p>
      <w:pPr>
        <w:ind w:right="400" w:firstLine="519"/>
        <w:spacing w:after="0" w:line="274" w:lineRule="auto"/>
        <w:rPr>
          <w:sz w:val="20"/>
          <w:szCs w:val="20"/>
          <w:color w:val="auto"/>
        </w:rPr>
      </w:pPr>
      <w:r>
        <w:rPr>
          <w:rFonts w:ascii="Arial" w:cs="Arial" w:eastAsia="Arial" w:hAnsi="Arial"/>
          <w:sz w:val="14"/>
          <w:szCs w:val="14"/>
          <w:color w:val="auto"/>
        </w:rPr>
        <w:t>A 505(b)(2) applicant must provide the FDA with any additional clinical data necessary to demonstrate the safety and effectiveness of the product with the proposed change(s). Consequently, although duplication of preclinical and certain clinical studies is avoided through the use a 505(b)(2) application, specific studies may be required by the FDA. Such studies are typically conducted in three sequential phases, although the phases may overlap.</w:t>
      </w:r>
    </w:p>
    <w:p>
      <w:pPr>
        <w:spacing w:after="0" w:line="184" w:lineRule="exact"/>
        <w:rPr>
          <w:sz w:val="20"/>
          <w:szCs w:val="20"/>
          <w:color w:val="auto"/>
        </w:rPr>
      </w:pPr>
    </w:p>
    <w:p>
      <w:pPr>
        <w:ind w:left="1040" w:right="120" w:hanging="255"/>
        <w:spacing w:after="0" w:line="290"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p>
      <w:pPr>
        <w:spacing w:after="0" w:line="173" w:lineRule="exact"/>
        <w:rPr>
          <w:rFonts w:ascii="Arial" w:cs="Arial" w:eastAsia="Arial" w:hAnsi="Arial"/>
          <w:sz w:val="14"/>
          <w:szCs w:val="14"/>
          <w:color w:val="auto"/>
        </w:rPr>
      </w:pPr>
    </w:p>
    <w:p>
      <w:pPr>
        <w:ind w:left="1040" w:right="80" w:hanging="255"/>
        <w:spacing w:after="0" w:line="290"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p>
      <w:pPr>
        <w:spacing w:after="0" w:line="173" w:lineRule="exact"/>
        <w:rPr>
          <w:rFonts w:ascii="Arial" w:cs="Arial" w:eastAsia="Arial" w:hAnsi="Arial"/>
          <w:sz w:val="14"/>
          <w:szCs w:val="14"/>
          <w:color w:val="auto"/>
        </w:rPr>
      </w:pPr>
    </w:p>
    <w:p>
      <w:pPr>
        <w:ind w:left="1040" w:right="60" w:hanging="255"/>
        <w:spacing w:after="0" w:line="290"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p>
      <w:pPr>
        <w:spacing w:after="0" w:line="173" w:lineRule="exact"/>
        <w:rPr>
          <w:sz w:val="20"/>
          <w:szCs w:val="20"/>
          <w:color w:val="auto"/>
        </w:rPr>
      </w:pPr>
    </w:p>
    <w:p>
      <w:pPr>
        <w:ind w:right="60" w:firstLine="519"/>
        <w:spacing w:after="0" w:line="274" w:lineRule="auto"/>
        <w:rPr>
          <w:sz w:val="20"/>
          <w:szCs w:val="20"/>
          <w:color w:val="auto"/>
        </w:rPr>
      </w:pPr>
      <w:r>
        <w:rPr>
          <w:rFonts w:ascii="Arial" w:cs="Arial" w:eastAsia="Arial" w:hAnsi="Arial"/>
          <w:sz w:val="14"/>
          <w:szCs w:val="14"/>
          <w:color w:val="auto"/>
        </w:rPr>
        <w:t>Each trial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spacing w:after="0" w:line="184" w:lineRule="exact"/>
        <w:rPr>
          <w:sz w:val="20"/>
          <w:szCs w:val="20"/>
          <w:color w:val="auto"/>
        </w:rPr>
      </w:pPr>
    </w:p>
    <w:p>
      <w:pPr>
        <w:ind w:right="80" w:firstLine="519"/>
        <w:spacing w:after="0" w:line="274" w:lineRule="auto"/>
        <w:rPr>
          <w:sz w:val="20"/>
          <w:szCs w:val="20"/>
          <w:color w:val="auto"/>
        </w:rPr>
      </w:pPr>
      <w:r>
        <w:rPr>
          <w:rFonts w:ascii="Arial" w:cs="Arial" w:eastAsia="Arial" w:hAnsi="Arial"/>
          <w:sz w:val="14"/>
          <w:szCs w:val="14"/>
          <w:color w:val="auto"/>
        </w:rPr>
        <w:t>To the extent that the Section 505(b)(2) NDA is relying on the findings for an already-approved drug, the applicant is required to certify that there are no patents for that drug or that (i) the patent has expired, (ii) the patent has not expired, but will expire on a particular date and approval is sought after patent expiration or (iii) the patent is invalid or will not be infringed by the manufacture, use or sale of the new product.</w:t>
      </w:r>
    </w:p>
    <w:p>
      <w:pPr>
        <w:spacing w:after="0" w:line="184" w:lineRule="exact"/>
        <w:rPr>
          <w:sz w:val="20"/>
          <w:szCs w:val="20"/>
          <w:color w:val="auto"/>
        </w:rPr>
      </w:pPr>
    </w:p>
    <w:p>
      <w:pPr>
        <w:ind w:right="180" w:firstLine="519"/>
        <w:spacing w:after="0" w:line="290" w:lineRule="auto"/>
        <w:rPr>
          <w:sz w:val="20"/>
          <w:szCs w:val="20"/>
          <w:color w:val="auto"/>
        </w:rPr>
      </w:pPr>
      <w:r>
        <w:rPr>
          <w:rFonts w:ascii="Arial" w:cs="Arial" w:eastAsia="Arial" w:hAnsi="Arial"/>
          <w:sz w:val="14"/>
          <w:szCs w:val="14"/>
          <w:color w:val="auto"/>
        </w:rPr>
        <w:t>A certification that the new product will not infringe the already approved product’s patents or that such patents are invalid is called a paragraph IV certification. If the applicant does not challenge the listed patents, the Section 505(b)(2) NDA will not be approved until all the listed patents as well as any additional period of exclusivity have expired.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00"/>
          </w:cols>
          <w:pgMar w:left="220" w:top="341" w:right="279" w:bottom="1440" w:gutter="0" w:footer="0" w:header="0"/>
        </w:sectPr>
      </w:pPr>
    </w:p>
    <w:bookmarkStart w:id="24" w:name="page25"/>
    <w:bookmarkEnd w:id="24"/>
    <w:p>
      <w:pPr>
        <w:ind w:right="20" w:firstLine="519"/>
        <w:spacing w:after="0" w:line="266" w:lineRule="auto"/>
        <w:rPr>
          <w:sz w:val="20"/>
          <w:szCs w:val="20"/>
          <w:color w:val="auto"/>
        </w:rPr>
      </w:pPr>
      <w:r>
        <w:rPr>
          <w:rFonts w:ascii="Arial" w:cs="Arial" w:eastAsia="Arial" w:hAnsi="Arial"/>
          <w:sz w:val="14"/>
          <w:szCs w:val="14"/>
          <w:color w:val="auto"/>
        </w:rPr>
        <w:t>A paragraph IV certification sent to the FDA must also be sent to the relevant patent holders once the 505(b)(2) NDA has been accepted for filing by the FDA. The patent holders may then initiate a legal challenge to the paragraph IV certification. The filing of a patent infringement lawsuit within 45 days of receipt of a paragraph IV certification automatically prevents the FDA from approving the Section 505(b)(2) NDA until the earliest of 30 months, expiration of the patent, settlement of the lawsuit or a decision in the infringement case that is favorable to the Section 505(b)(2) applicant. Thus, a Section 505(b)(2) applicant may invest a significant amount of time and expense in the development of its products only to be subject to significant delay and patent litigation before its products may be commercialized.</w:t>
      </w:r>
    </w:p>
    <w:p>
      <w:pPr>
        <w:spacing w:after="0" w:line="190" w:lineRule="exact"/>
        <w:rPr>
          <w:sz w:val="20"/>
          <w:szCs w:val="20"/>
          <w:color w:val="auto"/>
        </w:rPr>
      </w:pPr>
    </w:p>
    <w:p>
      <w:pPr>
        <w:ind w:firstLine="519"/>
        <w:spacing w:after="0" w:line="274" w:lineRule="auto"/>
        <w:rPr>
          <w:sz w:val="20"/>
          <w:szCs w:val="20"/>
          <w:color w:val="auto"/>
        </w:rPr>
      </w:pPr>
      <w:r>
        <w:rPr>
          <w:rFonts w:ascii="Arial" w:cs="Arial" w:eastAsia="Arial" w:hAnsi="Arial"/>
          <w:sz w:val="14"/>
          <w:szCs w:val="14"/>
          <w:color w:val="auto"/>
        </w:rPr>
        <w:t>Notwithstanding the approval of many products by the FDA pursuant to Section 505(b)(2), over the last few years, certain brand-name pharmaceutical companies and others have objected to the FDA’s interpretation of Section 505(b)(2). If the FDA changes its interpretation of Section 505(b)(2), this could delay or even prevent the FDA from approving any Section 505(b)(2) NDA that we submit.</w:t>
      </w:r>
    </w:p>
    <w:p>
      <w:pPr>
        <w:spacing w:after="0" w:line="184" w:lineRule="exact"/>
        <w:rPr>
          <w:sz w:val="20"/>
          <w:szCs w:val="20"/>
          <w:color w:val="auto"/>
        </w:rPr>
      </w:pPr>
    </w:p>
    <w:p>
      <w:pPr>
        <w:jc w:val="both"/>
        <w:ind w:right="120" w:firstLine="519"/>
        <w:spacing w:after="0" w:line="304" w:lineRule="auto"/>
        <w:rPr>
          <w:sz w:val="20"/>
          <w:szCs w:val="20"/>
          <w:color w:val="auto"/>
        </w:rPr>
      </w:pPr>
      <w:r>
        <w:rPr>
          <w:rFonts w:ascii="Arial" w:cs="Arial" w:eastAsia="Arial" w:hAnsi="Arial"/>
          <w:sz w:val="13"/>
          <w:szCs w:val="13"/>
          <w:color w:val="auto"/>
        </w:rPr>
        <w:t>As a condition of approval, the FDA or other regulatory authorities may require further studies, including Phase IV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spacing w:after="0" w:line="167" w:lineRule="exact"/>
        <w:rPr>
          <w:sz w:val="20"/>
          <w:szCs w:val="20"/>
          <w:color w:val="auto"/>
        </w:rPr>
      </w:pPr>
    </w:p>
    <w:p>
      <w:pPr>
        <w:ind w:right="80" w:firstLine="519"/>
        <w:spacing w:after="0" w:line="264" w:lineRule="auto"/>
        <w:rPr>
          <w:sz w:val="20"/>
          <w:szCs w:val="20"/>
          <w:color w:val="auto"/>
        </w:rPr>
      </w:pPr>
      <w:r>
        <w:rPr>
          <w:rFonts w:ascii="Arial" w:cs="Arial" w:eastAsia="Arial" w:hAnsi="Arial"/>
          <w:sz w:val="14"/>
          <w:szCs w:val="14"/>
          <w:color w:val="auto"/>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spacing w:after="0" w:line="192" w:lineRule="exact"/>
        <w:rPr>
          <w:sz w:val="20"/>
          <w:szCs w:val="20"/>
          <w:color w:val="auto"/>
        </w:rPr>
      </w:pPr>
    </w:p>
    <w:p>
      <w:pPr>
        <w:ind w:right="120" w:firstLine="519"/>
        <w:spacing w:after="0" w:line="274" w:lineRule="auto"/>
        <w:rPr>
          <w:sz w:val="20"/>
          <w:szCs w:val="20"/>
          <w:color w:val="auto"/>
        </w:rPr>
      </w:pPr>
      <w:r>
        <w:rPr>
          <w:rFonts w:ascii="Arial" w:cs="Arial" w:eastAsia="Arial" w:hAnsi="Arial"/>
          <w:sz w:val="14"/>
          <w:szCs w:val="14"/>
          <w:color w:val="auto"/>
        </w:rPr>
        <w:t>In 2005, the FDA asked the manufacturer of Celebrex, as well as all manufacturers of prescription and over-the-counter NSAIDs, to revise the labeling for their products. Manufacturers of NSAIDs are being asked to revise their labeling to provide specific information about the potential risk of cardiovascular events and gastrointestinal risks of their individual products. We are presently analyzing how this pronouncement will effect the labeling of Ketotransdel™.</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Quality Assurance Requirements</w:t>
      </w:r>
    </w:p>
    <w:p>
      <w:pPr>
        <w:spacing w:after="0" w:line="232" w:lineRule="exact"/>
        <w:rPr>
          <w:sz w:val="20"/>
          <w:szCs w:val="20"/>
          <w:color w:val="auto"/>
        </w:rPr>
      </w:pPr>
    </w:p>
    <w:p>
      <w:pPr>
        <w:ind w:right="100" w:firstLine="519"/>
        <w:spacing w:after="0" w:line="268" w:lineRule="auto"/>
        <w:rPr>
          <w:sz w:val="20"/>
          <w:szCs w:val="20"/>
          <w:color w:val="auto"/>
        </w:rPr>
      </w:pPr>
      <w:r>
        <w:rPr>
          <w:rFonts w:ascii="Arial" w:cs="Arial" w:eastAsia="Arial" w:hAnsi="Arial"/>
          <w:sz w:val="14"/>
          <w:szCs w:val="14"/>
          <w:color w:val="auto"/>
        </w:rPr>
        <w:t>The FDA enforces regulations to ensure that the methods used in, and facilities and controls used for, the manufacture, processing, packing and holding of drugs conform with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w:t>
      </w:r>
    </w:p>
    <w:p>
      <w:pPr>
        <w:spacing w:after="0" w:line="190" w:lineRule="exact"/>
        <w:rPr>
          <w:sz w:val="20"/>
          <w:szCs w:val="20"/>
          <w:color w:val="auto"/>
        </w:rPr>
      </w:pPr>
    </w:p>
    <w:p>
      <w:pPr>
        <w:ind w:right="80" w:firstLine="519"/>
        <w:spacing w:after="0" w:line="291" w:lineRule="auto"/>
        <w:rPr>
          <w:sz w:val="20"/>
          <w:szCs w:val="20"/>
          <w:color w:val="auto"/>
        </w:rPr>
      </w:pPr>
      <w:r>
        <w:rPr>
          <w:rFonts w:ascii="Arial" w:cs="Arial" w:eastAsia="Arial" w:hAnsi="Arial"/>
          <w:sz w:val="13"/>
          <w:szCs w:val="13"/>
          <w:color w:val="auto"/>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5" w:name="page26"/>
    <w:bookmarkEnd w:id="25"/>
    <w:p>
      <w:pPr>
        <w:ind w:right="60" w:firstLine="519"/>
        <w:spacing w:after="0" w:line="264" w:lineRule="auto"/>
        <w:rPr>
          <w:sz w:val="20"/>
          <w:szCs w:val="20"/>
          <w:color w:val="auto"/>
        </w:rPr>
      </w:pPr>
      <w:r>
        <w:rPr>
          <w:rFonts w:ascii="Arial" w:cs="Arial" w:eastAsia="Arial" w:hAnsi="Arial"/>
          <w:sz w:val="14"/>
          <w:szCs w:val="14"/>
          <w:color w:val="auto"/>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or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believe that we and our suppliers and outside manufacturers are currently in compliance with all FDA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FDA Matters</w:t>
      </w:r>
    </w:p>
    <w:p>
      <w:pPr>
        <w:spacing w:after="0" w:line="232" w:lineRule="exact"/>
        <w:rPr>
          <w:sz w:val="20"/>
          <w:szCs w:val="20"/>
          <w:color w:val="auto"/>
        </w:rPr>
      </w:pPr>
    </w:p>
    <w:p>
      <w:pPr>
        <w:jc w:val="both"/>
        <w:ind w:right="20" w:firstLine="519"/>
        <w:spacing w:after="0" w:line="268" w:lineRule="auto"/>
        <w:rPr>
          <w:sz w:val="20"/>
          <w:szCs w:val="20"/>
          <w:color w:val="auto"/>
        </w:rPr>
      </w:pPr>
      <w:r>
        <w:rPr>
          <w:rFonts w:ascii="Arial" w:cs="Arial" w:eastAsia="Arial" w:hAnsi="Arial"/>
          <w:sz w:val="14"/>
          <w:szCs w:val="14"/>
          <w:color w:val="auto"/>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Additionally, the FDA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232" w:lineRule="exact"/>
        <w:rPr>
          <w:sz w:val="20"/>
          <w:szCs w:val="20"/>
          <w:color w:val="auto"/>
        </w:rPr>
      </w:pPr>
    </w:p>
    <w:p>
      <w:pPr>
        <w:jc w:val="both"/>
        <w:ind w:right="20" w:firstLine="519"/>
        <w:spacing w:after="0" w:line="274" w:lineRule="auto"/>
        <w:rPr>
          <w:sz w:val="20"/>
          <w:szCs w:val="20"/>
          <w:color w:val="auto"/>
        </w:rPr>
      </w:pPr>
      <w:r>
        <w:rPr>
          <w:rFonts w:ascii="Arial" w:cs="Arial" w:eastAsia="Arial" w:hAnsi="Arial"/>
          <w:sz w:val="14"/>
          <w:szCs w:val="14"/>
          <w:color w:val="auto"/>
        </w:rPr>
        <w:t>We obtained a patent from the United States Patent and Trademark Office on our Transdel™ technology in 1998, which affords protection of Transdel™ through 2016 in the United States. This patent covers composition of matter, methods of use and methods of manufacture. This patent also covers novel transdermal formulations with any active pharmaceutical ingredient. At present, our patent strategies and evaluations are ongoing and we plan to file multiple foreign patent applications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232" w:lineRule="exact"/>
        <w:rPr>
          <w:sz w:val="20"/>
          <w:szCs w:val="20"/>
          <w:color w:val="auto"/>
        </w:rPr>
      </w:pPr>
    </w:p>
    <w:p>
      <w:pPr>
        <w:ind w:right="260" w:firstLine="519"/>
        <w:spacing w:after="0" w:line="290" w:lineRule="auto"/>
        <w:rPr>
          <w:sz w:val="20"/>
          <w:szCs w:val="20"/>
          <w:color w:val="auto"/>
        </w:rPr>
      </w:pPr>
      <w:r>
        <w:rPr>
          <w:rFonts w:ascii="Arial" w:cs="Arial" w:eastAsia="Arial" w:hAnsi="Arial"/>
          <w:sz w:val="14"/>
          <w:szCs w:val="14"/>
          <w:color w:val="auto"/>
        </w:rPr>
        <w:t>We currently have four employees, including one in management, one in research and development, one in financial accounting and one in administration. We currently believe that our employee relations are good.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232" w:lineRule="exact"/>
        <w:rPr>
          <w:sz w:val="20"/>
          <w:szCs w:val="20"/>
          <w:color w:val="auto"/>
        </w:rPr>
      </w:pPr>
    </w:p>
    <w:p>
      <w:pPr>
        <w:ind w:right="40" w:firstLine="519"/>
        <w:spacing w:after="0" w:line="290" w:lineRule="auto"/>
        <w:rPr>
          <w:sz w:val="20"/>
          <w:szCs w:val="20"/>
          <w:color w:val="auto"/>
        </w:rPr>
      </w:pPr>
      <w:r>
        <w:rPr>
          <w:rFonts w:ascii="Arial" w:cs="Arial" w:eastAsia="Arial" w:hAnsi="Arial"/>
          <w:sz w:val="14"/>
          <w:szCs w:val="14"/>
          <w:color w:val="auto"/>
        </w:rPr>
        <w:t>We lease approximately 1,403 square feet of office space in La Jolla, California for $5,121 per month. The current lease term expires on April 14, 2008. This facility serves as our corporate headquarters.</w:t>
      </w:r>
    </w:p>
    <w:p>
      <w:pPr>
        <w:spacing w:after="0" w:line="173"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We believe our current facility is adequate for our immediate and near-term needs. Additional space may be required as we expand our activities. We do not currently foresee any significant difficulties in obtaining any required additional facilities.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20"/>
          </w:cols>
          <w:pgMar w:left="220" w:top="345" w:right="25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Legal Proceedings</w:t>
      </w:r>
    </w:p>
    <w:p>
      <w:pPr>
        <w:spacing w:after="0" w:line="232" w:lineRule="exact"/>
        <w:rPr>
          <w:sz w:val="20"/>
          <w:szCs w:val="20"/>
          <w:color w:val="auto"/>
        </w:rPr>
      </w:pPr>
    </w:p>
    <w:p>
      <w:pPr>
        <w:ind w:right="40" w:firstLine="519"/>
        <w:spacing w:after="0" w:line="290" w:lineRule="auto"/>
        <w:rPr>
          <w:sz w:val="20"/>
          <w:szCs w:val="20"/>
          <w:color w:val="auto"/>
        </w:rPr>
      </w:pPr>
      <w:r>
        <w:rPr>
          <w:rFonts w:ascii="Arial" w:cs="Arial" w:eastAsia="Arial" w:hAnsi="Arial"/>
          <w:sz w:val="14"/>
          <w:szCs w:val="14"/>
          <w:color w:val="auto"/>
        </w:rPr>
        <w:t>To our knowledge, no legal proceedings, government or administrative actions, investigations or claims are currently pending against us, or to our knowledge threatened, that, in the opinion of our management, could reasonably be expected to have a material adverse effect on our business and financial condition.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and Directors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information regarding our executive officers and directors.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6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Age</w:t>
            </w:r>
          </w:p>
        </w:tc>
        <w:tc>
          <w:tcPr>
            <w:tcW w:w="260" w:type="dxa"/>
            <w:vAlign w:val="bottom"/>
          </w:tcPr>
          <w:p>
            <w:pPr>
              <w:spacing w:after="0"/>
              <w:rPr>
                <w:sz w:val="16"/>
                <w:szCs w:val="16"/>
                <w:color w:val="auto"/>
              </w:rPr>
            </w:pPr>
          </w:p>
        </w:tc>
        <w:tc>
          <w:tcPr>
            <w:tcW w:w="6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Position</w:t>
            </w:r>
          </w:p>
        </w:tc>
      </w:tr>
      <w:tr>
        <w:trPr>
          <w:trHeight w:val="179"/>
        </w:trPr>
        <w:tc>
          <w:tcPr>
            <w:tcW w:w="3680" w:type="dxa"/>
            <w:vAlign w:val="bottom"/>
          </w:tcPr>
          <w:p>
            <w:pPr>
              <w:spacing w:after="0"/>
              <w:rPr>
                <w:sz w:val="20"/>
                <w:szCs w:val="20"/>
                <w:color w:val="auto"/>
              </w:rPr>
            </w:pPr>
            <w:r>
              <w:rPr>
                <w:rFonts w:ascii="Arial" w:cs="Arial" w:eastAsia="Arial" w:hAnsi="Arial"/>
                <w:sz w:val="14"/>
                <w:szCs w:val="14"/>
                <w:color w:val="auto"/>
              </w:rPr>
              <w:t>Juliet Singh, Ph.D.</w:t>
            </w:r>
          </w:p>
        </w:tc>
        <w:tc>
          <w:tcPr>
            <w:tcW w:w="2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48</w:t>
            </w:r>
          </w:p>
        </w:tc>
        <w:tc>
          <w:tcPr>
            <w:tcW w:w="26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Chief Executive Officer, Director</w:t>
            </w:r>
          </w:p>
        </w:tc>
      </w:tr>
      <w:tr>
        <w:trPr>
          <w:trHeight w:val="184"/>
        </w:trPr>
        <w:tc>
          <w:tcPr>
            <w:tcW w:w="3680" w:type="dxa"/>
            <w:vAlign w:val="bottom"/>
          </w:tcPr>
          <w:p>
            <w:pPr>
              <w:spacing w:after="0"/>
              <w:rPr>
                <w:sz w:val="20"/>
                <w:szCs w:val="20"/>
                <w:color w:val="auto"/>
              </w:rPr>
            </w:pPr>
            <w:r>
              <w:rPr>
                <w:rFonts w:ascii="Arial" w:cs="Arial" w:eastAsia="Arial" w:hAnsi="Arial"/>
                <w:sz w:val="14"/>
                <w:szCs w:val="14"/>
                <w:color w:val="auto"/>
              </w:rPr>
              <w:t>Balbir Brar, D.V.M. Ph.D.</w:t>
            </w:r>
          </w:p>
        </w:tc>
        <w:tc>
          <w:tcPr>
            <w:tcW w:w="1220" w:type="dxa"/>
            <w:vAlign w:val="bottom"/>
            <w:gridSpan w:val="2"/>
          </w:tcPr>
          <w:p>
            <w:pPr>
              <w:jc w:val="center"/>
              <w:ind w:left="188"/>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Vice President, Research and Development</w:t>
            </w:r>
          </w:p>
        </w:tc>
      </w:tr>
      <w:tr>
        <w:trPr>
          <w:trHeight w:val="195"/>
        </w:trPr>
        <w:tc>
          <w:tcPr>
            <w:tcW w:w="3680" w:type="dxa"/>
            <w:vAlign w:val="bottom"/>
          </w:tcPr>
          <w:p>
            <w:pPr>
              <w:spacing w:after="0"/>
              <w:rPr>
                <w:sz w:val="20"/>
                <w:szCs w:val="20"/>
                <w:color w:val="auto"/>
              </w:rPr>
            </w:pPr>
            <w:r>
              <w:rPr>
                <w:rFonts w:ascii="Arial" w:cs="Arial" w:eastAsia="Arial" w:hAnsi="Arial"/>
                <w:sz w:val="14"/>
                <w:szCs w:val="14"/>
                <w:color w:val="auto"/>
              </w:rPr>
              <w:t>John T. Lomoro</w:t>
            </w:r>
          </w:p>
        </w:tc>
        <w:tc>
          <w:tcPr>
            <w:tcW w:w="1220" w:type="dxa"/>
            <w:vAlign w:val="bottom"/>
            <w:gridSpan w:val="2"/>
          </w:tcPr>
          <w:p>
            <w:pPr>
              <w:jc w:val="center"/>
              <w:ind w:left="188"/>
              <w:spacing w:after="0"/>
              <w:rPr>
                <w:sz w:val="20"/>
                <w:szCs w:val="20"/>
                <w:color w:val="auto"/>
              </w:rPr>
            </w:pPr>
            <w:r>
              <w:rPr>
                <w:rFonts w:ascii="Arial" w:cs="Arial" w:eastAsia="Arial" w:hAnsi="Arial"/>
                <w:sz w:val="14"/>
                <w:szCs w:val="14"/>
                <w:color w:val="auto"/>
              </w:rPr>
              <w:t>38</w:t>
            </w:r>
          </w:p>
        </w:tc>
        <w:tc>
          <w:tcPr>
            <w:tcW w:w="2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Chief Financial Officer</w:t>
            </w:r>
          </w:p>
        </w:tc>
      </w:tr>
      <w:tr>
        <w:trPr>
          <w:trHeight w:val="195"/>
        </w:trPr>
        <w:tc>
          <w:tcPr>
            <w:tcW w:w="3680" w:type="dxa"/>
            <w:vAlign w:val="bottom"/>
          </w:tcPr>
          <w:p>
            <w:pPr>
              <w:spacing w:after="0"/>
              <w:rPr>
                <w:sz w:val="20"/>
                <w:szCs w:val="20"/>
                <w:color w:val="auto"/>
              </w:rPr>
            </w:pPr>
            <w:r>
              <w:rPr>
                <w:rFonts w:ascii="Arial" w:cs="Arial" w:eastAsia="Arial" w:hAnsi="Arial"/>
                <w:sz w:val="14"/>
                <w:szCs w:val="14"/>
                <w:color w:val="auto"/>
              </w:rPr>
              <w:t>Jeffrey J. Abrams, M.D.</w:t>
            </w:r>
          </w:p>
        </w:tc>
        <w:tc>
          <w:tcPr>
            <w:tcW w:w="1220" w:type="dxa"/>
            <w:vAlign w:val="bottom"/>
            <w:gridSpan w:val="2"/>
          </w:tcPr>
          <w:p>
            <w:pPr>
              <w:jc w:val="center"/>
              <w:ind w:left="188"/>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Director</w:t>
            </w:r>
          </w:p>
        </w:tc>
      </w:tr>
      <w:tr>
        <w:trPr>
          <w:trHeight w:val="195"/>
        </w:trPr>
        <w:tc>
          <w:tcPr>
            <w:tcW w:w="3680" w:type="dxa"/>
            <w:vAlign w:val="bottom"/>
          </w:tcPr>
          <w:p>
            <w:pPr>
              <w:spacing w:after="0"/>
              <w:rPr>
                <w:sz w:val="20"/>
                <w:szCs w:val="20"/>
                <w:color w:val="auto"/>
              </w:rPr>
            </w:pPr>
            <w:r>
              <w:rPr>
                <w:rFonts w:ascii="Arial" w:cs="Arial" w:eastAsia="Arial" w:hAnsi="Arial"/>
                <w:sz w:val="14"/>
                <w:szCs w:val="14"/>
                <w:color w:val="auto"/>
              </w:rPr>
              <w:t>Anthony S. Thornley</w:t>
            </w:r>
          </w:p>
        </w:tc>
        <w:tc>
          <w:tcPr>
            <w:tcW w:w="1220" w:type="dxa"/>
            <w:vAlign w:val="bottom"/>
            <w:gridSpan w:val="2"/>
          </w:tcPr>
          <w:p>
            <w:pPr>
              <w:jc w:val="center"/>
              <w:ind w:left="188"/>
              <w:spacing w:after="0"/>
              <w:rPr>
                <w:sz w:val="20"/>
                <w:szCs w:val="20"/>
                <w:color w:val="auto"/>
              </w:rPr>
            </w:pPr>
            <w:r>
              <w:rPr>
                <w:rFonts w:ascii="Arial" w:cs="Arial" w:eastAsia="Arial" w:hAnsi="Arial"/>
                <w:sz w:val="14"/>
                <w:szCs w:val="14"/>
                <w:color w:val="auto"/>
              </w:rPr>
              <w:t>61</w:t>
            </w:r>
          </w:p>
        </w:tc>
        <w:tc>
          <w:tcPr>
            <w:tcW w:w="2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Director</w:t>
            </w:r>
          </w:p>
        </w:tc>
      </w:tr>
    </w:tbl>
    <w:p>
      <w:pPr>
        <w:spacing w:after="0" w:line="229" w:lineRule="exact"/>
        <w:rPr>
          <w:sz w:val="20"/>
          <w:szCs w:val="20"/>
          <w:color w:val="auto"/>
        </w:rPr>
      </w:pPr>
    </w:p>
    <w:p>
      <w:pPr>
        <w:ind w:right="100" w:firstLine="519"/>
        <w:spacing w:after="0" w:line="290" w:lineRule="auto"/>
        <w:rPr>
          <w:sz w:val="20"/>
          <w:szCs w:val="20"/>
          <w:color w:val="auto"/>
        </w:rPr>
      </w:pPr>
      <w:r>
        <w:rPr>
          <w:rFonts w:ascii="Arial" w:cs="Arial" w:eastAsia="Arial" w:hAnsi="Arial"/>
          <w:sz w:val="14"/>
          <w:szCs w:val="14"/>
          <w:color w:val="auto"/>
        </w:rPr>
        <w:t>Our directors hold office for one-year terms until the earlier of their death, resignation or removal or until their successors have been elected and qualified. Our officers are elected annually by the board of directors and serve at the discretion of the board.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Biographies</w:t>
      </w:r>
    </w:p>
    <w:p>
      <w:pPr>
        <w:spacing w:after="0" w:line="228" w:lineRule="exact"/>
        <w:rPr>
          <w:sz w:val="20"/>
          <w:szCs w:val="20"/>
          <w:color w:val="auto"/>
        </w:rPr>
      </w:pPr>
    </w:p>
    <w:p>
      <w:pPr>
        <w:ind w:firstLine="519"/>
        <w:spacing w:after="0" w:line="265" w:lineRule="auto"/>
        <w:rPr>
          <w:sz w:val="20"/>
          <w:szCs w:val="20"/>
          <w:color w:val="auto"/>
        </w:rPr>
      </w:pPr>
      <w:r>
        <w:rPr>
          <w:rFonts w:ascii="Arial" w:cs="Arial" w:eastAsia="Arial" w:hAnsi="Arial"/>
          <w:sz w:val="14"/>
          <w:szCs w:val="14"/>
          <w:b w:val="1"/>
          <w:bCs w:val="1"/>
          <w:color w:val="auto"/>
        </w:rPr>
        <w:t>Juliet Singh, Ph.D.</w:t>
      </w:r>
      <w:r>
        <w:rPr>
          <w:rFonts w:ascii="Arial" w:cs="Arial" w:eastAsia="Arial" w:hAnsi="Arial"/>
          <w:sz w:val="14"/>
          <w:szCs w:val="14"/>
          <w:color w:val="auto"/>
        </w:rPr>
        <w:t>, has been a director and our chief executive officer since the merger with Transdel Pharmaceuticals Holdings, Inc. on September 17, 2007. Dr. Singh was the Chief</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of Transdel Pharmaceuticals Holdings, Inc. since 2005. From 2000 to 2003, Dr. Singh was a corporate officer-vice president of regulatory affairs and quality assurance of Collateral Therapeutics, Inc., a developer of non-surgical gene therapy products for the treatment of cardiovascular disease, which was acquired by Schering AG in 2002. From 1996 to 2000, Dr. Singh was the director of worldwide regulatory affairs for Allergan Corporation, where she oversaw the registration of BOTOX™ in the United States, Canada, Europe Asia, and South America. Prior to joining Allergan, Dr. Singh was the assistant director of regulatory affairs for Baxter Healthcare Corp., where she provided leadership in obtaining worldwide regulatory approval for recombinant factor VIII. Dr. Singh holds a Ph.D. in endocrinology from the University of California, Davis.</w:t>
      </w:r>
    </w:p>
    <w:p>
      <w:pPr>
        <w:spacing w:after="0" w:line="188" w:lineRule="exact"/>
        <w:rPr>
          <w:sz w:val="20"/>
          <w:szCs w:val="20"/>
          <w:color w:val="auto"/>
        </w:rPr>
      </w:pPr>
    </w:p>
    <w:p>
      <w:pPr>
        <w:ind w:right="20" w:firstLine="519"/>
        <w:spacing w:after="0" w:line="264" w:lineRule="auto"/>
        <w:rPr>
          <w:sz w:val="20"/>
          <w:szCs w:val="20"/>
          <w:color w:val="auto"/>
        </w:rPr>
      </w:pPr>
      <w:r>
        <w:rPr>
          <w:rFonts w:ascii="Arial" w:cs="Arial" w:eastAsia="Arial" w:hAnsi="Arial"/>
          <w:sz w:val="14"/>
          <w:szCs w:val="14"/>
          <w:b w:val="1"/>
          <w:bCs w:val="1"/>
          <w:color w:val="auto"/>
        </w:rPr>
        <w:t>Balbir Brar, D.V.M., Ph.D.</w:t>
      </w:r>
      <w:r>
        <w:rPr>
          <w:rFonts w:ascii="Arial" w:cs="Arial" w:eastAsia="Arial" w:hAnsi="Arial"/>
          <w:sz w:val="14"/>
          <w:szCs w:val="14"/>
          <w:color w:val="auto"/>
        </w:rPr>
        <w:t>, has been our vice president of research and development since the merger with Transdel Pharmaceuticals Holdings, Inc. on September 17, 2007. Dr. Brar was a</w:t>
      </w:r>
      <w:r>
        <w:rPr>
          <w:rFonts w:ascii="Arial" w:cs="Arial" w:eastAsia="Arial" w:hAnsi="Arial"/>
          <w:sz w:val="14"/>
          <w:szCs w:val="14"/>
          <w:b w:val="1"/>
          <w:bCs w:val="1"/>
          <w:color w:val="auto"/>
        </w:rPr>
        <w:t xml:space="preserve"> </w:t>
      </w:r>
      <w:r>
        <w:rPr>
          <w:rFonts w:ascii="Arial" w:cs="Arial" w:eastAsia="Arial" w:hAnsi="Arial"/>
          <w:sz w:val="14"/>
          <w:szCs w:val="14"/>
          <w:color w:val="auto"/>
        </w:rPr>
        <w:t>consultant to Transdel Pharmaceuticals Holdings, Inc. since 2004. From 1989 to 2002, Dr. Brar was the Vice President of drug safety and research and development at Allergan Corporation, where he oversaw the construction of a $75 million research and development facility and developed drug safety evaluation programs. He made major contributions to the development and world wide registration of six new drugs including BOTOX™ at Allergan Corporation. From 1986 to 1989, Dr. Brar was a Senior Director of Safety evaluations for Smith Kline Beecham, where he participated in obtaining regulatory approval for Smith Kline Beecham’s first major topical drug Tazarotene. From 1981 to 1986, Dr. Brar was the section head of toxicology at Revlon Pharmaceuticals, where he provided pre-clinical safety data for a number of investigational new drugs. Dr. Brar holds a Doctor of Veterinary Medicine from the Punjab University, India, and a M.S. and Ph.D. from Rutgers, The State University of New Jersey.</w:t>
      </w:r>
    </w:p>
    <w:p>
      <w:pPr>
        <w:spacing w:after="0" w:line="188" w:lineRule="exact"/>
        <w:rPr>
          <w:sz w:val="20"/>
          <w:szCs w:val="20"/>
          <w:color w:val="auto"/>
        </w:rPr>
      </w:pPr>
    </w:p>
    <w:p>
      <w:pPr>
        <w:ind w:right="80" w:firstLine="519"/>
        <w:spacing w:after="0" w:line="292" w:lineRule="auto"/>
        <w:rPr>
          <w:sz w:val="20"/>
          <w:szCs w:val="20"/>
          <w:color w:val="auto"/>
        </w:rPr>
      </w:pPr>
      <w:r>
        <w:rPr>
          <w:rFonts w:ascii="Arial" w:cs="Arial" w:eastAsia="Arial" w:hAnsi="Arial"/>
          <w:sz w:val="13"/>
          <w:szCs w:val="13"/>
          <w:b w:val="1"/>
          <w:bCs w:val="1"/>
          <w:color w:val="auto"/>
        </w:rPr>
        <w:t xml:space="preserve">John T. Lomoro, </w:t>
      </w:r>
      <w:r>
        <w:rPr>
          <w:rFonts w:ascii="Arial" w:cs="Arial" w:eastAsia="Arial" w:hAnsi="Arial"/>
          <w:sz w:val="13"/>
          <w:szCs w:val="13"/>
          <w:color w:val="auto"/>
        </w:rPr>
        <w:t>has been our chief financial officer since the merger with Transdel Pharmaceuticals Holdings, Inc. on September 17, 2007 and the chief financial officer of Trans-Pharma</w:t>
      </w:r>
      <w:r>
        <w:rPr>
          <w:rFonts w:ascii="Arial" w:cs="Arial" w:eastAsia="Arial" w:hAnsi="Arial"/>
          <w:sz w:val="13"/>
          <w:szCs w:val="13"/>
          <w:b w:val="1"/>
          <w:bCs w:val="1"/>
          <w:color w:val="auto"/>
        </w:rPr>
        <w:t xml:space="preserve"> </w:t>
      </w:r>
      <w:r>
        <w:rPr>
          <w:rFonts w:ascii="Arial" w:cs="Arial" w:eastAsia="Arial" w:hAnsi="Arial"/>
          <w:sz w:val="13"/>
          <w:szCs w:val="13"/>
          <w:color w:val="auto"/>
        </w:rPr>
        <w:t>since September 2007. From 2004 to 2007, Mr. Lomoro was the director of North American accounting for Carl Zeiss Vision Inc., a privately held international optical lens manufacturing and distribution company. From 2003 to 2004, Mr. Lomoro was the manager of financial reporting and planning for dj Orthopedics, Inc., a publicly traded medical device manufacturing company. From 2002 to 2003, Mr. Lomoro was a corporate accounting manager at Wireless Knowledge, Inc. Mr. Lomoro’s experience also includes approximately five years in public accounting as an audit manager at Ernst &amp; Young LLP. Mr. Lomoro received a B.S. degree in accounting from St. Cloud State University of Minnesota and is a certified public accountant.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27" w:name="page28"/>
    <w:bookmarkEnd w:id="27"/>
    <w:p>
      <w:pPr>
        <w:spacing w:after="0" w:line="62" w:lineRule="exact"/>
        <w:rPr>
          <w:sz w:val="20"/>
          <w:szCs w:val="20"/>
          <w:color w:val="auto"/>
        </w:rPr>
      </w:pPr>
    </w:p>
    <w:p>
      <w:pPr>
        <w:ind w:right="100" w:firstLine="519"/>
        <w:spacing w:after="0" w:line="276" w:lineRule="auto"/>
        <w:rPr>
          <w:sz w:val="20"/>
          <w:szCs w:val="20"/>
          <w:color w:val="auto"/>
        </w:rPr>
      </w:pPr>
      <w:r>
        <w:rPr>
          <w:rFonts w:ascii="Arial" w:cs="Arial" w:eastAsia="Arial" w:hAnsi="Arial"/>
          <w:sz w:val="14"/>
          <w:szCs w:val="14"/>
          <w:b w:val="1"/>
          <w:bCs w:val="1"/>
          <w:color w:val="auto"/>
        </w:rPr>
        <w:t xml:space="preserve">Jeffrey J. Abrams, M.D., MPH, </w:t>
      </w:r>
      <w:r>
        <w:rPr>
          <w:rFonts w:ascii="Arial" w:cs="Arial" w:eastAsia="Arial" w:hAnsi="Arial"/>
          <w:sz w:val="14"/>
          <w:szCs w:val="14"/>
          <w:color w:val="auto"/>
        </w:rPr>
        <w:t>has been a director since the merger with Transdel Pharmaceuticals Holdings, Inc. on September 17, 2007. Dr. Abrams has been a director of Transdel</w:t>
      </w:r>
      <w:r>
        <w:rPr>
          <w:rFonts w:ascii="Arial" w:cs="Arial" w:eastAsia="Arial" w:hAnsi="Arial"/>
          <w:sz w:val="14"/>
          <w:szCs w:val="14"/>
          <w:b w:val="1"/>
          <w:bCs w:val="1"/>
          <w:color w:val="auto"/>
        </w:rPr>
        <w:t xml:space="preserve"> </w:t>
      </w:r>
      <w:r>
        <w:rPr>
          <w:rFonts w:ascii="Arial" w:cs="Arial" w:eastAsia="Arial" w:hAnsi="Arial"/>
          <w:sz w:val="14"/>
          <w:szCs w:val="14"/>
          <w:color w:val="auto"/>
        </w:rPr>
        <w:t>Pharmaceuticals Holdings, Inc. since 1998. Prior to joining Transdel Pharmaceuticals Holdings, Inc., Dr. Abrams was a practicing primary care clinician for over twenty years. Dr. Abrams received a B.A. from the State University of New York at Buffalo, an M.D. from the Albert Einstein College of Medicine and an M.P.H. from San Diego State University.</w:t>
      </w:r>
    </w:p>
    <w:p>
      <w:pPr>
        <w:spacing w:after="0" w:line="180" w:lineRule="exact"/>
        <w:rPr>
          <w:sz w:val="20"/>
          <w:szCs w:val="20"/>
          <w:color w:val="auto"/>
        </w:rPr>
      </w:pPr>
    </w:p>
    <w:p>
      <w:pPr>
        <w:ind w:right="100" w:firstLine="519"/>
        <w:spacing w:after="0" w:line="289" w:lineRule="auto"/>
        <w:rPr>
          <w:sz w:val="20"/>
          <w:szCs w:val="20"/>
          <w:color w:val="auto"/>
        </w:rPr>
      </w:pPr>
      <w:r>
        <w:rPr>
          <w:rFonts w:ascii="Arial" w:cs="Arial" w:eastAsia="Arial" w:hAnsi="Arial"/>
          <w:sz w:val="13"/>
          <w:szCs w:val="13"/>
          <w:b w:val="1"/>
          <w:bCs w:val="1"/>
          <w:color w:val="auto"/>
        </w:rPr>
        <w:t>Anthony S. Thornley</w:t>
      </w:r>
      <w:r>
        <w:rPr>
          <w:rFonts w:ascii="Arial" w:cs="Arial" w:eastAsia="Arial" w:hAnsi="Arial"/>
          <w:sz w:val="13"/>
          <w:szCs w:val="13"/>
          <w:color w:val="auto"/>
        </w:rPr>
        <w:t>, has been a director since November 6, 2007. Mr. Thornley currently serves on the Board of Directors at Callaway Golf Incorporated, Cavium Networks Inc. and</w:t>
      </w:r>
      <w:r>
        <w:rPr>
          <w:rFonts w:ascii="Arial" w:cs="Arial" w:eastAsia="Arial" w:hAnsi="Arial"/>
          <w:sz w:val="13"/>
          <w:szCs w:val="13"/>
          <w:b w:val="1"/>
          <w:bCs w:val="1"/>
          <w:color w:val="auto"/>
        </w:rPr>
        <w:t xml:space="preserve"> </w:t>
      </w:r>
      <w:r>
        <w:rPr>
          <w:rFonts w:ascii="Arial" w:cs="Arial" w:eastAsia="Arial" w:hAnsi="Arial"/>
          <w:sz w:val="13"/>
          <w:szCs w:val="13"/>
          <w:color w:val="auto"/>
        </w:rPr>
        <w:t>Airvana Inc. From February 2002 to June 2005, he served as President and Chief Operating Officer of QUALCOMM Incorporated, a wireless communication technology and integrated circuit company. From July 2001 to February 2002 he served as Chief Financial Officer and Chief Operating Officer of QUALCOMM, and from March 1994 to February 2002, he was the Chief Financial Officer of QUALCOMM. Prior to joining QUALCOMM, Mr. Thornley was with Nortel Networks, a telecommunications equipment manufacturer, for sixteen years in various financial and information systems management positions, including Vice President Finance and IS, Public Networks, Vice President Finance NT World Trade and Corporate Controller Nortel Limited. He has also worked for Coopers and Lybrand in public accounting. Mr. Thornley received his BS degree in Chemistry from the University of Manchester, England.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are no family relationships among our directors and executive officers.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232" w:lineRule="exact"/>
        <w:rPr>
          <w:sz w:val="20"/>
          <w:szCs w:val="20"/>
          <w:color w:val="auto"/>
        </w:rPr>
      </w:pPr>
    </w:p>
    <w:p>
      <w:pPr>
        <w:ind w:right="620" w:firstLine="519"/>
        <w:spacing w:after="0" w:line="330" w:lineRule="auto"/>
        <w:rPr>
          <w:sz w:val="20"/>
          <w:szCs w:val="20"/>
          <w:color w:val="auto"/>
        </w:rPr>
      </w:pPr>
      <w:r>
        <w:rPr>
          <w:rFonts w:ascii="Arial" w:cs="Arial" w:eastAsia="Arial" w:hAnsi="Arial"/>
          <w:sz w:val="13"/>
          <w:szCs w:val="13"/>
          <w:color w:val="auto"/>
        </w:rPr>
        <w:t>On December 6, 2007, we adopted an amended and restated code of ethics and business conduct that applies to our principal executive officer, principal financial officer, or persons performing similar functions and all other employees. A copy of the amended and restated code of ethics and business conduct is attached hereto as Exhibit 14.</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232" w:lineRule="exact"/>
        <w:rPr>
          <w:sz w:val="20"/>
          <w:szCs w:val="20"/>
          <w:color w:val="auto"/>
        </w:rPr>
      </w:pPr>
    </w:p>
    <w:p>
      <w:pPr>
        <w:ind w:right="100" w:firstLine="519"/>
        <w:spacing w:after="0" w:line="268" w:lineRule="auto"/>
        <w:rPr>
          <w:sz w:val="20"/>
          <w:szCs w:val="20"/>
          <w:color w:val="auto"/>
        </w:rPr>
      </w:pPr>
      <w:r>
        <w:rPr>
          <w:rFonts w:ascii="Arial" w:cs="Arial" w:eastAsia="Arial" w:hAnsi="Arial"/>
          <w:sz w:val="14"/>
          <w:szCs w:val="14"/>
          <w:color w:val="auto"/>
        </w:rPr>
        <w:t>We intend to appoint such persons to the Board of Directors and committees of the Board of Directors as are expected to be required to meet the corporate governance requirements imposed by a national securities exchange, although we are not required to comply with such requirements until we elect to seek listing on a securities exchange. We intend that a majority of our directors will be independent directors. Additionally, the Board of Directors is expected to appoint an audit committee, nominating committee and compensation committee, and to adopt charters relative to each such committee, in the near future.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Independence</w:t>
      </w:r>
    </w:p>
    <w:p>
      <w:pPr>
        <w:spacing w:after="0" w:line="232" w:lineRule="exact"/>
        <w:rPr>
          <w:sz w:val="20"/>
          <w:szCs w:val="20"/>
          <w:color w:val="auto"/>
        </w:rPr>
      </w:pPr>
    </w:p>
    <w:p>
      <w:pPr>
        <w:ind w:right="520" w:firstLine="519"/>
        <w:spacing w:after="0" w:line="274" w:lineRule="auto"/>
        <w:rPr>
          <w:sz w:val="20"/>
          <w:szCs w:val="20"/>
          <w:color w:val="auto"/>
        </w:rPr>
      </w:pPr>
      <w:r>
        <w:rPr>
          <w:rFonts w:ascii="Arial" w:cs="Arial" w:eastAsia="Arial" w:hAnsi="Arial"/>
          <w:sz w:val="14"/>
          <w:szCs w:val="14"/>
          <w:color w:val="auto"/>
        </w:rPr>
        <w:t>We believe that Anthony S. Thornley is an “independent director,” as that term is defined by applicable listing standards of The NASDAQ Stock Market and Securities and Exchange Commission rules, including the rules relating to the independence standards of an audit committee and the non-employee director definition of Rule 16b-3 promulgated under the Securities Exchange Act of 1934, as amended.</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EXECUTIVE COMPENSATION</w:t>
      </w:r>
    </w:p>
    <w:p>
      <w:pPr>
        <w:spacing w:after="0" w:line="232" w:lineRule="exact"/>
        <w:rPr>
          <w:sz w:val="20"/>
          <w:szCs w:val="20"/>
          <w:color w:val="auto"/>
        </w:rPr>
      </w:pPr>
    </w:p>
    <w:p>
      <w:pPr>
        <w:ind w:right="120" w:firstLine="519"/>
        <w:spacing w:after="0" w:line="290" w:lineRule="auto"/>
        <w:rPr>
          <w:sz w:val="20"/>
          <w:szCs w:val="20"/>
          <w:color w:val="auto"/>
        </w:rPr>
      </w:pPr>
      <w:r>
        <w:rPr>
          <w:rFonts w:ascii="Arial" w:cs="Arial" w:eastAsia="Arial" w:hAnsi="Arial"/>
          <w:sz w:val="14"/>
          <w:szCs w:val="14"/>
          <w:color w:val="auto"/>
        </w:rPr>
        <w:t>The following table sets forth for the periods presented certain information concerning all compensation earned by or awarded or paid to our principal executive officer, our two most highly compensated executive officers other than the principal executive officer who were serving as executive officers on December 31, 2007.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Summary Compensation Table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Stock Awards</w:t>
            </w:r>
          </w:p>
        </w:tc>
        <w:tc>
          <w:tcPr>
            <w:tcW w:w="1700" w:type="dxa"/>
            <w:vAlign w:val="bottom"/>
            <w:gridSpan w:val="2"/>
          </w:tcPr>
          <w:p>
            <w:pPr>
              <w:ind w:left="360"/>
              <w:spacing w:after="0"/>
              <w:rPr>
                <w:sz w:val="20"/>
                <w:szCs w:val="20"/>
                <w:color w:val="auto"/>
              </w:rPr>
            </w:pPr>
            <w:r>
              <w:rPr>
                <w:rFonts w:ascii="Arial" w:cs="Arial" w:eastAsia="Arial" w:hAnsi="Arial"/>
                <w:sz w:val="14"/>
                <w:szCs w:val="14"/>
                <w:color w:val="auto"/>
              </w:rPr>
              <w:t>Option Awards</w:t>
            </w:r>
          </w:p>
        </w:tc>
        <w:tc>
          <w:tcPr>
            <w:tcW w:w="1700" w:type="dxa"/>
            <w:vAlign w:val="bottom"/>
            <w:gridSpan w:val="2"/>
          </w:tcPr>
          <w:p>
            <w:pPr>
              <w:ind w:left="6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2640" w:type="dxa"/>
            <w:vAlign w:val="bottom"/>
            <w:tcBorders>
              <w:bottom w:val="single" w:sz="8" w:color="auto"/>
            </w:tcBorders>
          </w:tcPr>
          <w:p>
            <w:pPr>
              <w:ind w:left="1140"/>
              <w:spacing w:after="0"/>
              <w:rPr>
                <w:sz w:val="20"/>
                <w:szCs w:val="20"/>
                <w:color w:val="auto"/>
              </w:rPr>
            </w:pPr>
            <w:r>
              <w:rPr>
                <w:rFonts w:ascii="Arial" w:cs="Arial" w:eastAsia="Arial" w:hAnsi="Arial"/>
                <w:sz w:val="14"/>
                <w:szCs w:val="14"/>
                <w:color w:val="auto"/>
              </w:rPr>
              <w:t>Name</w:t>
            </w:r>
          </w:p>
        </w:tc>
        <w:tc>
          <w:tcPr>
            <w:tcW w:w="240" w:type="dxa"/>
            <w:vAlign w:val="bottom"/>
          </w:tcPr>
          <w:p>
            <w:pPr>
              <w:spacing w:after="0"/>
              <w:rPr>
                <w:sz w:val="15"/>
                <w:szCs w:val="15"/>
                <w:color w:val="auto"/>
              </w:rPr>
            </w:pPr>
          </w:p>
        </w:tc>
        <w:tc>
          <w:tcPr>
            <w:tcW w:w="16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Year</w:t>
            </w:r>
          </w:p>
        </w:tc>
        <w:tc>
          <w:tcPr>
            <w:tcW w:w="120" w:type="dxa"/>
            <w:vAlign w:val="bottom"/>
          </w:tcPr>
          <w:p>
            <w:pPr>
              <w:spacing w:after="0"/>
              <w:rPr>
                <w:sz w:val="15"/>
                <w:szCs w:val="15"/>
                <w:color w:val="auto"/>
              </w:rPr>
            </w:pPr>
          </w:p>
        </w:tc>
        <w:tc>
          <w:tcPr>
            <w:tcW w:w="16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Salary ($)</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640" w:type="dxa"/>
            <w:vAlign w:val="bottom"/>
            <w:shd w:val="clear" w:color="auto" w:fill="CCFFCC"/>
          </w:tcPr>
          <w:p>
            <w:pPr>
              <w:spacing w:after="0" w:line="154" w:lineRule="exact"/>
              <w:rPr>
                <w:sz w:val="20"/>
                <w:szCs w:val="20"/>
                <w:color w:val="auto"/>
              </w:rPr>
            </w:pPr>
            <w:r>
              <w:rPr>
                <w:rFonts w:ascii="Arial" w:cs="Arial" w:eastAsia="Arial" w:hAnsi="Arial"/>
                <w:sz w:val="14"/>
                <w:szCs w:val="14"/>
                <w:color w:val="auto"/>
              </w:rPr>
              <w:t>Juliet Singh, Ph.D.,</w:t>
            </w:r>
          </w:p>
        </w:tc>
        <w:tc>
          <w:tcPr>
            <w:tcW w:w="1860" w:type="dxa"/>
            <w:vAlign w:val="bottom"/>
            <w:gridSpan w:val="2"/>
            <w:shd w:val="clear" w:color="auto" w:fill="CCFFCC"/>
          </w:tcPr>
          <w:p>
            <w:pPr>
              <w:jc w:val="right"/>
              <w:spacing w:after="0" w:line="154" w:lineRule="exact"/>
              <w:rPr>
                <w:sz w:val="20"/>
                <w:szCs w:val="20"/>
                <w:color w:val="auto"/>
              </w:rPr>
            </w:pPr>
            <w:r>
              <w:rPr>
                <w:rFonts w:ascii="Arial" w:cs="Arial" w:eastAsia="Arial" w:hAnsi="Arial"/>
                <w:sz w:val="14"/>
                <w:szCs w:val="14"/>
                <w:color w:val="auto"/>
              </w:rPr>
              <w:t>2007</w:t>
            </w:r>
          </w:p>
        </w:tc>
        <w:tc>
          <w:tcPr>
            <w:tcW w:w="1840" w:type="dxa"/>
            <w:vAlign w:val="bottom"/>
            <w:gridSpan w:val="3"/>
            <w:shd w:val="clear" w:color="auto" w:fill="CCFFCC"/>
          </w:tcPr>
          <w:p>
            <w:pPr>
              <w:jc w:val="right"/>
              <w:ind w:right="120"/>
              <w:spacing w:after="0" w:line="154" w:lineRule="exact"/>
              <w:rPr>
                <w:sz w:val="20"/>
                <w:szCs w:val="20"/>
                <w:color w:val="auto"/>
              </w:rPr>
            </w:pPr>
            <w:r>
              <w:rPr>
                <w:rFonts w:ascii="Arial" w:cs="Arial" w:eastAsia="Arial" w:hAnsi="Arial"/>
                <w:sz w:val="14"/>
                <w:szCs w:val="14"/>
                <w:color w:val="auto"/>
              </w:rPr>
              <w:t>116,071</w:t>
            </w:r>
          </w:p>
        </w:tc>
        <w:tc>
          <w:tcPr>
            <w:tcW w:w="380" w:type="dxa"/>
            <w:vAlign w:val="bottom"/>
            <w:shd w:val="clear" w:color="auto" w:fill="CCFFCC"/>
          </w:tcPr>
          <w:p>
            <w:pPr>
              <w:spacing w:after="0"/>
              <w:rPr>
                <w:sz w:val="13"/>
                <w:szCs w:val="13"/>
                <w:color w:val="auto"/>
              </w:rPr>
            </w:pPr>
          </w:p>
        </w:tc>
        <w:tc>
          <w:tcPr>
            <w:tcW w:w="1240" w:type="dxa"/>
            <w:vAlign w:val="bottom"/>
            <w:shd w:val="clear" w:color="auto" w:fill="CCFFCC"/>
          </w:tcPr>
          <w:p>
            <w:pPr>
              <w:jc w:val="right"/>
              <w:spacing w:after="0" w:line="154"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3"/>
                <w:szCs w:val="13"/>
                <w:color w:val="auto"/>
              </w:rPr>
            </w:pPr>
          </w:p>
        </w:tc>
        <w:tc>
          <w:tcPr>
            <w:tcW w:w="1700" w:type="dxa"/>
            <w:vAlign w:val="bottom"/>
            <w:gridSpan w:val="2"/>
            <w:shd w:val="clear" w:color="auto" w:fill="CCFFCC"/>
          </w:tcPr>
          <w:p>
            <w:pPr>
              <w:jc w:val="right"/>
              <w:ind w:right="100"/>
              <w:spacing w:after="0" w:line="154" w:lineRule="exact"/>
              <w:rPr>
                <w:sz w:val="20"/>
                <w:szCs w:val="20"/>
                <w:color w:val="auto"/>
              </w:rPr>
            </w:pPr>
            <w:r>
              <w:rPr>
                <w:rFonts w:ascii="Arial" w:cs="Arial" w:eastAsia="Arial" w:hAnsi="Arial"/>
                <w:sz w:val="14"/>
                <w:szCs w:val="14"/>
                <w:color w:val="auto"/>
              </w:rPr>
              <w:t>32,561(4)</w:t>
            </w:r>
          </w:p>
        </w:tc>
        <w:tc>
          <w:tcPr>
            <w:tcW w:w="17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148,632</w:t>
            </w:r>
          </w:p>
        </w:tc>
        <w:tc>
          <w:tcPr>
            <w:tcW w:w="0" w:type="dxa"/>
            <w:vAlign w:val="bottom"/>
          </w:tcPr>
          <w:p>
            <w:pPr>
              <w:spacing w:after="0"/>
              <w:rPr>
                <w:sz w:val="1"/>
                <w:szCs w:val="1"/>
                <w:color w:val="auto"/>
              </w:rPr>
            </w:pPr>
          </w:p>
        </w:tc>
      </w:tr>
      <w:tr>
        <w:trPr>
          <w:trHeight w:val="96"/>
        </w:trPr>
        <w:tc>
          <w:tcPr>
            <w:tcW w:w="2640" w:type="dxa"/>
            <w:vAlign w:val="bottom"/>
            <w:vMerge w:val="restart"/>
            <w:shd w:val="clear" w:color="auto" w:fill="CCFFCC"/>
          </w:tcPr>
          <w:p>
            <w:pPr>
              <w:spacing w:after="0"/>
              <w:rPr>
                <w:sz w:val="20"/>
                <w:szCs w:val="20"/>
                <w:color w:val="auto"/>
              </w:rPr>
            </w:pPr>
            <w:r>
              <w:rPr>
                <w:rFonts w:ascii="Arial" w:cs="Arial" w:eastAsia="Arial" w:hAnsi="Arial"/>
                <w:sz w:val="14"/>
                <w:szCs w:val="14"/>
                <w:color w:val="auto"/>
              </w:rPr>
              <w:t>President and Chief Executive Officer</w:t>
            </w:r>
          </w:p>
        </w:tc>
        <w:tc>
          <w:tcPr>
            <w:tcW w:w="1860" w:type="dxa"/>
            <w:vAlign w:val="bottom"/>
            <w:gridSpan w:val="2"/>
            <w:vMerge w:val="restart"/>
            <w:shd w:val="clear" w:color="auto" w:fill="CCFFCC"/>
          </w:tcPr>
          <w:p>
            <w:pPr>
              <w:jc w:val="right"/>
              <w:spacing w:after="0"/>
              <w:rPr>
                <w:sz w:val="20"/>
                <w:szCs w:val="20"/>
                <w:color w:val="auto"/>
              </w:rPr>
            </w:pPr>
            <w:r>
              <w:rPr>
                <w:rFonts w:ascii="Arial" w:cs="Arial" w:eastAsia="Arial" w:hAnsi="Arial"/>
                <w:sz w:val="14"/>
                <w:szCs w:val="14"/>
                <w:color w:val="auto"/>
              </w:rPr>
              <w:t>2006</w:t>
            </w:r>
          </w:p>
        </w:tc>
        <w:tc>
          <w:tcPr>
            <w:tcW w:w="1840" w:type="dxa"/>
            <w:vAlign w:val="bottom"/>
            <w:gridSpan w:val="3"/>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FFCC"/>
          </w:tcPr>
          <w:p>
            <w:pPr>
              <w:spacing w:after="0"/>
              <w:rPr>
                <w:sz w:val="8"/>
                <w:szCs w:val="8"/>
                <w:color w:val="auto"/>
              </w:rPr>
            </w:pPr>
          </w:p>
        </w:tc>
        <w:tc>
          <w:tcPr>
            <w:tcW w:w="124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8"/>
                <w:szCs w:val="8"/>
                <w:color w:val="auto"/>
              </w:rPr>
            </w:pPr>
          </w:p>
        </w:tc>
        <w:tc>
          <w:tcPr>
            <w:tcW w:w="1600" w:type="dxa"/>
            <w:vAlign w:val="bottom"/>
            <w:vMerge w:val="restart"/>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8"/>
                <w:szCs w:val="8"/>
                <w:color w:val="auto"/>
              </w:rPr>
            </w:pPr>
          </w:p>
        </w:tc>
        <w:tc>
          <w:tcPr>
            <w:tcW w:w="1700" w:type="dxa"/>
            <w:vAlign w:val="bottom"/>
            <w:gridSpan w:val="2"/>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640" w:type="dxa"/>
            <w:vAlign w:val="bottom"/>
            <w:vMerge w:val="continue"/>
            <w:shd w:val="clear" w:color="auto" w:fill="CCFFCC"/>
          </w:tcPr>
          <w:p>
            <w:pPr>
              <w:spacing w:after="0"/>
              <w:rPr>
                <w:sz w:val="7"/>
                <w:szCs w:val="7"/>
                <w:color w:val="auto"/>
              </w:rPr>
            </w:pPr>
          </w:p>
        </w:tc>
        <w:tc>
          <w:tcPr>
            <w:tcW w:w="1860" w:type="dxa"/>
            <w:vAlign w:val="bottom"/>
            <w:gridSpan w:val="2"/>
            <w:vMerge w:val="continue"/>
            <w:shd w:val="clear" w:color="auto" w:fill="CCFFCC"/>
          </w:tcPr>
          <w:p>
            <w:pPr>
              <w:spacing w:after="0"/>
              <w:rPr>
                <w:sz w:val="7"/>
                <w:szCs w:val="7"/>
                <w:color w:val="auto"/>
              </w:rPr>
            </w:pPr>
          </w:p>
        </w:tc>
        <w:tc>
          <w:tcPr>
            <w:tcW w:w="1840" w:type="dxa"/>
            <w:vAlign w:val="bottom"/>
            <w:gridSpan w:val="3"/>
            <w:vMerge w:val="continue"/>
            <w:shd w:val="clear" w:color="auto" w:fill="CCFFCC"/>
          </w:tcPr>
          <w:p>
            <w:pPr>
              <w:spacing w:after="0"/>
              <w:rPr>
                <w:sz w:val="7"/>
                <w:szCs w:val="7"/>
                <w:color w:val="auto"/>
              </w:rPr>
            </w:pPr>
          </w:p>
        </w:tc>
        <w:tc>
          <w:tcPr>
            <w:tcW w:w="380" w:type="dxa"/>
            <w:vAlign w:val="bottom"/>
            <w:shd w:val="clear" w:color="auto" w:fill="CCFFCC"/>
          </w:tcPr>
          <w:p>
            <w:pPr>
              <w:spacing w:after="0"/>
              <w:rPr>
                <w:sz w:val="7"/>
                <w:szCs w:val="7"/>
                <w:color w:val="auto"/>
              </w:rPr>
            </w:pPr>
          </w:p>
        </w:tc>
        <w:tc>
          <w:tcPr>
            <w:tcW w:w="124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1600" w:type="dxa"/>
            <w:vAlign w:val="bottom"/>
            <w:vMerge w:val="continue"/>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160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John T. Lomoro,</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2007</w:t>
            </w:r>
          </w:p>
        </w:tc>
        <w:tc>
          <w:tcPr>
            <w:tcW w:w="18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50,000</w:t>
            </w:r>
          </w:p>
        </w:tc>
        <w:tc>
          <w:tcPr>
            <w:tcW w:w="380" w:type="dxa"/>
            <w:vAlign w:val="bottom"/>
            <w:shd w:val="clear" w:color="auto" w:fill="CCFFCC"/>
          </w:tcPr>
          <w:p>
            <w:pPr>
              <w:spacing w:after="0"/>
              <w:rPr>
                <w:sz w:val="14"/>
                <w:szCs w:val="14"/>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21,321(5)</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71,321</w:t>
            </w:r>
          </w:p>
        </w:tc>
        <w:tc>
          <w:tcPr>
            <w:tcW w:w="0" w:type="dxa"/>
            <w:vAlign w:val="bottom"/>
          </w:tcPr>
          <w:p>
            <w:pPr>
              <w:spacing w:after="0"/>
              <w:rPr>
                <w:sz w:val="1"/>
                <w:szCs w:val="1"/>
                <w:color w:val="auto"/>
              </w:rPr>
            </w:pPr>
          </w:p>
        </w:tc>
      </w:tr>
      <w:tr>
        <w:trPr>
          <w:trHeight w:val="184"/>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Chief Financial Officer</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2006</w:t>
            </w:r>
          </w:p>
        </w:tc>
        <w:tc>
          <w:tcPr>
            <w:tcW w:w="18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FFCC"/>
          </w:tcPr>
          <w:p>
            <w:pPr>
              <w:spacing w:after="0"/>
              <w:rPr>
                <w:sz w:val="15"/>
                <w:szCs w:val="15"/>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6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Balbir Brar, DVM, Ph.D.,</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2007</w:t>
            </w:r>
          </w:p>
        </w:tc>
        <w:tc>
          <w:tcPr>
            <w:tcW w:w="18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70,000</w:t>
            </w:r>
          </w:p>
        </w:tc>
        <w:tc>
          <w:tcPr>
            <w:tcW w:w="380" w:type="dxa"/>
            <w:vAlign w:val="bottom"/>
            <w:shd w:val="clear" w:color="auto" w:fill="CCFFCC"/>
          </w:tcPr>
          <w:p>
            <w:pPr>
              <w:spacing w:after="0"/>
              <w:rPr>
                <w:sz w:val="14"/>
                <w:szCs w:val="14"/>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92,517(3)</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28,425(6)</w:t>
            </w:r>
          </w:p>
        </w:tc>
        <w:tc>
          <w:tcPr>
            <w:tcW w:w="17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190,942</w:t>
            </w:r>
          </w:p>
        </w:tc>
        <w:tc>
          <w:tcPr>
            <w:tcW w:w="0" w:type="dxa"/>
            <w:vAlign w:val="bottom"/>
          </w:tcPr>
          <w:p>
            <w:pPr>
              <w:spacing w:after="0"/>
              <w:rPr>
                <w:sz w:val="1"/>
                <w:szCs w:val="1"/>
                <w:color w:val="auto"/>
              </w:rPr>
            </w:pPr>
          </w:p>
        </w:tc>
      </w:tr>
      <w:tr>
        <w:trPr>
          <w:trHeight w:val="184"/>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Vice President</w:t>
            </w:r>
          </w:p>
        </w:tc>
        <w:tc>
          <w:tcPr>
            <w:tcW w:w="18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2006</w:t>
            </w:r>
          </w:p>
        </w:tc>
        <w:tc>
          <w:tcPr>
            <w:tcW w:w="184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FFCC"/>
          </w:tcPr>
          <w:p>
            <w:pPr>
              <w:spacing w:after="0"/>
              <w:rPr>
                <w:sz w:val="15"/>
                <w:szCs w:val="15"/>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6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16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40" w:right="180" w:hanging="933"/>
        <w:spacing w:after="0" w:line="268"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 reflects the compensation cost for the year ended December 31, 2007 of the named executive officer’s stock, calculated in accordance with SFAS 123R. See Note 7 to the Company’s unaudited financial statements for the quarterly period ended September 30, 2007, included in the Company’s Quarterly Report on Form 10−QSB filed with the Securities and Exchange Commission on November 14, 2007 for a discussion of assumptions made by the Company in determining the grant date fair value and compensation costs of this equity award.</w:t>
      </w:r>
    </w:p>
    <w:p>
      <w:pPr>
        <w:spacing w:after="0" w:line="167" w:lineRule="exact"/>
        <w:rPr>
          <w:rFonts w:ascii="Arial" w:cs="Arial" w:eastAsia="Arial" w:hAnsi="Arial"/>
          <w:sz w:val="14"/>
          <w:szCs w:val="14"/>
          <w:color w:val="auto"/>
        </w:rPr>
      </w:pPr>
    </w:p>
    <w:p>
      <w:pPr>
        <w:ind w:left="940" w:right="120" w:hanging="933"/>
        <w:spacing w:after="0" w:line="304" w:lineRule="auto"/>
        <w:tabs>
          <w:tab w:leader="none" w:pos="9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 reflects the compensation cost for the year ended December 31, 2007 of the named executive officer’s options, calculated in accordance with SFAS 123R and using a Black-Scholes-Merton valuation model. Assumptions used in the calculation of these amounts are included in Note 7 to the Company’s unaudited financial statements for the quarterly period ended September 30, 2007, included in the Company’s Quarterly Report on Form 10−QSB filed with the Securities and Exchange Commission on November 14, 2007.</w:t>
      </w:r>
    </w:p>
    <w:p>
      <w:pPr>
        <w:spacing w:after="0" w:line="145" w:lineRule="exact"/>
        <w:rPr>
          <w:rFonts w:ascii="Arial" w:cs="Arial" w:eastAsia="Arial" w:hAnsi="Arial"/>
          <w:sz w:val="13"/>
          <w:szCs w:val="13"/>
          <w:color w:val="auto"/>
        </w:rPr>
      </w:pPr>
    </w:p>
    <w:p>
      <w:pPr>
        <w:jc w:val="both"/>
        <w:ind w:left="940" w:right="80" w:hanging="933"/>
        <w:spacing w:after="0" w:line="274"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August 2007, Transdel Pharmaceuticals Holdings, Inc. awarded 1,250,000 shares of its restricted common stock to Dr. Brar. On September 17, 2007, in connection with the merger with Transdel Pharmaceuticals, Inc. the restricted stock grant was exchanged for a restricted stock grant of 195,313 shares of our common stock. These shares are subject to forfeiture in the event that the Dr. Brar’s employment is terminated for cause or he resigns without good reason prior to March 17, 2009.</w:t>
      </w:r>
    </w:p>
    <w:p>
      <w:pPr>
        <w:spacing w:after="0" w:line="162" w:lineRule="exact"/>
        <w:rPr>
          <w:rFonts w:ascii="Arial" w:cs="Arial" w:eastAsia="Arial" w:hAnsi="Arial"/>
          <w:sz w:val="14"/>
          <w:szCs w:val="14"/>
          <w:color w:val="auto"/>
        </w:rPr>
      </w:pPr>
    </w:p>
    <w:p>
      <w:pPr>
        <w:ind w:left="940" w:right="380" w:hanging="933"/>
        <w:spacing w:after="0" w:line="274"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September 17, 2007, Dr. Singh was granted an option to purchase 200,000 shares of our common stock at an exercise price of $2.00 per share, such option fully vests on September 17, 2010. On September 17, 2007, Dr. Singh was also granted an option to purchase 10,000 shares of our common at an exercise price of $2.00 per share, such option fully vests on September 17, 2008.</w:t>
      </w:r>
    </w:p>
    <w:p>
      <w:pPr>
        <w:spacing w:after="0" w:line="162" w:lineRule="exact"/>
        <w:rPr>
          <w:rFonts w:ascii="Arial" w:cs="Arial" w:eastAsia="Arial" w:hAnsi="Arial"/>
          <w:sz w:val="14"/>
          <w:szCs w:val="14"/>
          <w:color w:val="auto"/>
        </w:rPr>
      </w:pPr>
    </w:p>
    <w:p>
      <w:pPr>
        <w:ind w:left="940" w:right="500" w:hanging="933"/>
        <w:spacing w:after="0" w:line="290"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September 17, 2007, Mr. Lomoro was granted an option to purchase 150,000 shares of our common stock at an exercise price of $2.00 per share, such option fully vests on September 17, 2010.</w:t>
      </w:r>
    </w:p>
    <w:p>
      <w:pPr>
        <w:spacing w:after="0" w:line="151" w:lineRule="exact"/>
        <w:rPr>
          <w:rFonts w:ascii="Arial" w:cs="Arial" w:eastAsia="Arial" w:hAnsi="Arial"/>
          <w:sz w:val="14"/>
          <w:szCs w:val="14"/>
          <w:color w:val="auto"/>
        </w:rPr>
      </w:pPr>
    </w:p>
    <w:p>
      <w:pPr>
        <w:ind w:left="940" w:right="80" w:hanging="933"/>
        <w:spacing w:after="0" w:line="290"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 September 17, 2007, Dr. Brar was granted an option to purchase 200,000 shares of our common stock at an exercise price of $2.00 per share, such option fully vests on September 17, 2010.</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certain information concerning outstanding stock awards held by the Named Executive Officers as of December 31, 2007.</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20" w:type="dxa"/>
            <w:vAlign w:val="bottom"/>
          </w:tcPr>
          <w:p>
            <w:pPr>
              <w:ind w:left="400"/>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14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 Awards</w:t>
            </w:r>
          </w:p>
        </w:tc>
      </w:tr>
      <w:tr>
        <w:trPr>
          <w:trHeight w:val="154"/>
        </w:trPr>
        <w:tc>
          <w:tcPr>
            <w:tcW w:w="5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left="468"/>
              <w:spacing w:after="0" w:line="154" w:lineRule="exact"/>
              <w:rPr>
                <w:sz w:val="20"/>
                <w:szCs w:val="20"/>
                <w:color w:val="auto"/>
              </w:rPr>
            </w:pPr>
            <w:r>
              <w:rPr>
                <w:rFonts w:ascii="Arial" w:cs="Arial" w:eastAsia="Arial" w:hAnsi="Arial"/>
                <w:sz w:val="14"/>
                <w:szCs w:val="14"/>
                <w:color w:val="auto"/>
                <w:w w:val="93"/>
              </w:rPr>
              <w:t>Market</w:t>
            </w:r>
          </w:p>
        </w:tc>
        <w:tc>
          <w:tcPr>
            <w:tcW w:w="560" w:type="dxa"/>
            <w:vAlign w:val="bottom"/>
          </w:tcPr>
          <w:p>
            <w:pPr>
              <w:spacing w:after="0"/>
              <w:rPr>
                <w:sz w:val="13"/>
                <w:szCs w:val="13"/>
                <w:color w:val="auto"/>
              </w:rPr>
            </w:pP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w w:val="92"/>
              </w:rPr>
              <w:t>Number</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Value</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48"/>
              <w:spacing w:after="0"/>
              <w:rPr>
                <w:sz w:val="20"/>
                <w:szCs w:val="20"/>
                <w:color w:val="auto"/>
              </w:rPr>
            </w:pPr>
            <w:r>
              <w:rPr>
                <w:rFonts w:ascii="Arial" w:cs="Arial" w:eastAsia="Arial" w:hAnsi="Arial"/>
                <w:sz w:val="14"/>
                <w:szCs w:val="14"/>
                <w:color w:val="auto"/>
              </w:rPr>
              <w:t>of</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rPr>
              <w:t>of</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w w:val="85"/>
              </w:rPr>
              <w:t>Shares</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Shares</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48"/>
              <w:spacing w:after="0"/>
              <w:rPr>
                <w:sz w:val="20"/>
                <w:szCs w:val="20"/>
                <w:color w:val="auto"/>
              </w:rPr>
            </w:pPr>
            <w:r>
              <w:rPr>
                <w:rFonts w:ascii="Arial" w:cs="Arial" w:eastAsia="Arial" w:hAnsi="Arial"/>
                <w:sz w:val="14"/>
                <w:szCs w:val="14"/>
                <w:color w:val="auto"/>
              </w:rPr>
              <w:t>of</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rPr>
              <w:t>of</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color w:val="auto"/>
                <w:w w:val="97"/>
              </w:rPr>
              <w:t>Number of</w:t>
            </w:r>
          </w:p>
        </w:tc>
        <w:tc>
          <w:tcPr>
            <w:tcW w:w="560" w:type="dxa"/>
            <w:vAlign w:val="bottom"/>
          </w:tcPr>
          <w:p>
            <w:pPr>
              <w:spacing w:after="0"/>
              <w:rPr>
                <w:sz w:val="15"/>
                <w:szCs w:val="15"/>
                <w:color w:val="auto"/>
              </w:rPr>
            </w:pPr>
          </w:p>
        </w:tc>
        <w:tc>
          <w:tcPr>
            <w:tcW w:w="1420" w:type="dxa"/>
            <w:vAlign w:val="bottom"/>
          </w:tcPr>
          <w:p>
            <w:pPr>
              <w:jc w:val="center"/>
              <w:ind w:left="468"/>
              <w:spacing w:after="0"/>
              <w:rPr>
                <w:sz w:val="20"/>
                <w:szCs w:val="20"/>
                <w:color w:val="auto"/>
              </w:rPr>
            </w:pPr>
            <w:r>
              <w:rPr>
                <w:rFonts w:ascii="Arial" w:cs="Arial" w:eastAsia="Arial" w:hAnsi="Arial"/>
                <w:sz w:val="14"/>
                <w:szCs w:val="14"/>
                <w:color w:val="auto"/>
                <w:w w:val="97"/>
              </w:rPr>
              <w:t>Number of</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w w:val="96"/>
              </w:rPr>
              <w:t>Stock</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Stock</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color w:val="auto"/>
                <w:w w:val="91"/>
              </w:rPr>
              <w:t>Securities</w:t>
            </w:r>
          </w:p>
        </w:tc>
        <w:tc>
          <w:tcPr>
            <w:tcW w:w="560" w:type="dxa"/>
            <w:vAlign w:val="bottom"/>
          </w:tcPr>
          <w:p>
            <w:pPr>
              <w:spacing w:after="0"/>
              <w:rPr>
                <w:sz w:val="15"/>
                <w:szCs w:val="15"/>
                <w:color w:val="auto"/>
              </w:rPr>
            </w:pPr>
          </w:p>
        </w:tc>
        <w:tc>
          <w:tcPr>
            <w:tcW w:w="1420" w:type="dxa"/>
            <w:vAlign w:val="bottom"/>
          </w:tcPr>
          <w:p>
            <w:pPr>
              <w:jc w:val="center"/>
              <w:ind w:left="468"/>
              <w:spacing w:after="0"/>
              <w:rPr>
                <w:sz w:val="20"/>
                <w:szCs w:val="20"/>
                <w:color w:val="auto"/>
              </w:rPr>
            </w:pPr>
            <w:r>
              <w:rPr>
                <w:rFonts w:ascii="Arial" w:cs="Arial" w:eastAsia="Arial" w:hAnsi="Arial"/>
                <w:sz w:val="14"/>
                <w:szCs w:val="14"/>
                <w:color w:val="auto"/>
                <w:w w:val="91"/>
              </w:rPr>
              <w:t>Securities</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w w:val="92"/>
              </w:rPr>
              <w:t>That</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That</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color w:val="auto"/>
                <w:w w:val="95"/>
              </w:rPr>
              <w:t>Underlying</w:t>
            </w:r>
          </w:p>
        </w:tc>
        <w:tc>
          <w:tcPr>
            <w:tcW w:w="560" w:type="dxa"/>
            <w:vAlign w:val="bottom"/>
          </w:tcPr>
          <w:p>
            <w:pPr>
              <w:spacing w:after="0"/>
              <w:rPr>
                <w:sz w:val="15"/>
                <w:szCs w:val="15"/>
                <w:color w:val="auto"/>
              </w:rPr>
            </w:pPr>
          </w:p>
        </w:tc>
        <w:tc>
          <w:tcPr>
            <w:tcW w:w="1420" w:type="dxa"/>
            <w:vAlign w:val="bottom"/>
          </w:tcPr>
          <w:p>
            <w:pPr>
              <w:jc w:val="center"/>
              <w:ind w:left="488"/>
              <w:spacing w:after="0"/>
              <w:rPr>
                <w:sz w:val="20"/>
                <w:szCs w:val="20"/>
                <w:color w:val="auto"/>
              </w:rPr>
            </w:pPr>
            <w:r>
              <w:rPr>
                <w:rFonts w:ascii="Arial" w:cs="Arial" w:eastAsia="Arial" w:hAnsi="Arial"/>
                <w:sz w:val="14"/>
                <w:szCs w:val="14"/>
                <w:color w:val="auto"/>
                <w:w w:val="98"/>
              </w:rPr>
              <w:t>Underlying</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w w:val="91"/>
              </w:rPr>
              <w:t>Have</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Have</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color w:val="auto"/>
                <w:w w:val="92"/>
              </w:rPr>
              <w:t>Unexercised</w:t>
            </w:r>
          </w:p>
        </w:tc>
        <w:tc>
          <w:tcPr>
            <w:tcW w:w="560" w:type="dxa"/>
            <w:vAlign w:val="bottom"/>
          </w:tcPr>
          <w:p>
            <w:pPr>
              <w:spacing w:after="0"/>
              <w:rPr>
                <w:sz w:val="15"/>
                <w:szCs w:val="15"/>
                <w:color w:val="auto"/>
              </w:rPr>
            </w:pPr>
          </w:p>
        </w:tc>
        <w:tc>
          <w:tcPr>
            <w:tcW w:w="1420" w:type="dxa"/>
            <w:vAlign w:val="bottom"/>
          </w:tcPr>
          <w:p>
            <w:pPr>
              <w:jc w:val="center"/>
              <w:ind w:left="468"/>
              <w:spacing w:after="0"/>
              <w:rPr>
                <w:sz w:val="20"/>
                <w:szCs w:val="20"/>
                <w:color w:val="auto"/>
              </w:rPr>
            </w:pPr>
            <w:r>
              <w:rPr>
                <w:rFonts w:ascii="Arial" w:cs="Arial" w:eastAsia="Arial" w:hAnsi="Arial"/>
                <w:sz w:val="14"/>
                <w:szCs w:val="14"/>
                <w:color w:val="auto"/>
                <w:w w:val="92"/>
              </w:rPr>
              <w:t>Unexercised</w:t>
            </w:r>
          </w:p>
        </w:tc>
        <w:tc>
          <w:tcPr>
            <w:tcW w:w="560" w:type="dxa"/>
            <w:vAlign w:val="bottom"/>
          </w:tcPr>
          <w:p>
            <w:pPr>
              <w:spacing w:after="0"/>
              <w:rPr>
                <w:sz w:val="15"/>
                <w:szCs w:val="15"/>
                <w:color w:val="auto"/>
              </w:rPr>
            </w:pPr>
          </w:p>
        </w:tc>
        <w:tc>
          <w:tcPr>
            <w:tcW w:w="1100" w:type="dxa"/>
            <w:vAlign w:val="bottom"/>
          </w:tcPr>
          <w:p>
            <w:pPr>
              <w:jc w:val="center"/>
              <w:ind w:left="468"/>
              <w:spacing w:after="0"/>
              <w:rPr>
                <w:sz w:val="20"/>
                <w:szCs w:val="20"/>
                <w:color w:val="auto"/>
              </w:rPr>
            </w:pPr>
            <w:r>
              <w:rPr>
                <w:rFonts w:ascii="Arial" w:cs="Arial" w:eastAsia="Arial" w:hAnsi="Arial"/>
                <w:sz w:val="14"/>
                <w:szCs w:val="14"/>
                <w:color w:val="auto"/>
                <w:w w:val="96"/>
              </w:rPr>
              <w:t>Option</w:t>
            </w:r>
          </w:p>
        </w:tc>
        <w:tc>
          <w:tcPr>
            <w:tcW w:w="560" w:type="dxa"/>
            <w:vAlign w:val="bottom"/>
          </w:tcPr>
          <w:p>
            <w:pPr>
              <w:spacing w:after="0"/>
              <w:rPr>
                <w:sz w:val="15"/>
                <w:szCs w:val="15"/>
                <w:color w:val="auto"/>
              </w:rPr>
            </w:pPr>
          </w:p>
        </w:tc>
        <w:tc>
          <w:tcPr>
            <w:tcW w:w="1200" w:type="dxa"/>
            <w:vAlign w:val="bottom"/>
          </w:tcPr>
          <w:p>
            <w:pPr>
              <w:jc w:val="center"/>
              <w:ind w:left="488"/>
              <w:spacing w:after="0"/>
              <w:rPr>
                <w:sz w:val="20"/>
                <w:szCs w:val="20"/>
                <w:color w:val="auto"/>
              </w:rPr>
            </w:pPr>
            <w:r>
              <w:rPr>
                <w:rFonts w:ascii="Arial" w:cs="Arial" w:eastAsia="Arial" w:hAnsi="Arial"/>
                <w:sz w:val="14"/>
                <w:szCs w:val="14"/>
                <w:color w:val="auto"/>
                <w:w w:val="96"/>
              </w:rPr>
              <w:t>Option</w:t>
            </w: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rPr>
              <w:t>Not</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Not</w:t>
            </w:r>
          </w:p>
        </w:tc>
      </w:tr>
      <w:tr>
        <w:trPr>
          <w:trHeight w:val="173"/>
        </w:trPr>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jc w:val="center"/>
              <w:ind w:left="448"/>
              <w:spacing w:after="0"/>
              <w:rPr>
                <w:sz w:val="20"/>
                <w:szCs w:val="20"/>
                <w:color w:val="auto"/>
              </w:rPr>
            </w:pPr>
            <w:r>
              <w:rPr>
                <w:rFonts w:ascii="Arial" w:cs="Arial" w:eastAsia="Arial" w:hAnsi="Arial"/>
                <w:sz w:val="14"/>
                <w:szCs w:val="14"/>
                <w:color w:val="auto"/>
                <w:w w:val="95"/>
              </w:rPr>
              <w:t>Options (#)</w:t>
            </w:r>
          </w:p>
        </w:tc>
        <w:tc>
          <w:tcPr>
            <w:tcW w:w="560" w:type="dxa"/>
            <w:vAlign w:val="bottom"/>
          </w:tcPr>
          <w:p>
            <w:pPr>
              <w:spacing w:after="0"/>
              <w:rPr>
                <w:sz w:val="15"/>
                <w:szCs w:val="15"/>
                <w:color w:val="auto"/>
              </w:rPr>
            </w:pPr>
          </w:p>
        </w:tc>
        <w:tc>
          <w:tcPr>
            <w:tcW w:w="1420" w:type="dxa"/>
            <w:vAlign w:val="bottom"/>
          </w:tcPr>
          <w:p>
            <w:pPr>
              <w:jc w:val="center"/>
              <w:ind w:left="488"/>
              <w:spacing w:after="0"/>
              <w:rPr>
                <w:sz w:val="20"/>
                <w:szCs w:val="20"/>
                <w:color w:val="auto"/>
              </w:rPr>
            </w:pPr>
            <w:r>
              <w:rPr>
                <w:rFonts w:ascii="Arial" w:cs="Arial" w:eastAsia="Arial" w:hAnsi="Arial"/>
                <w:sz w:val="14"/>
                <w:szCs w:val="14"/>
                <w:color w:val="auto"/>
                <w:w w:val="95"/>
              </w:rPr>
              <w:t>Options (#)</w:t>
            </w:r>
          </w:p>
        </w:tc>
        <w:tc>
          <w:tcPr>
            <w:tcW w:w="560" w:type="dxa"/>
            <w:vAlign w:val="bottom"/>
          </w:tcPr>
          <w:p>
            <w:pPr>
              <w:spacing w:after="0"/>
              <w:rPr>
                <w:sz w:val="15"/>
                <w:szCs w:val="15"/>
                <w:color w:val="auto"/>
              </w:rPr>
            </w:pPr>
          </w:p>
        </w:tc>
        <w:tc>
          <w:tcPr>
            <w:tcW w:w="1100" w:type="dxa"/>
            <w:vAlign w:val="bottom"/>
          </w:tcPr>
          <w:p>
            <w:pPr>
              <w:jc w:val="center"/>
              <w:ind w:left="468"/>
              <w:spacing w:after="0"/>
              <w:rPr>
                <w:sz w:val="20"/>
                <w:szCs w:val="20"/>
                <w:color w:val="auto"/>
              </w:rPr>
            </w:pPr>
            <w:r>
              <w:rPr>
                <w:rFonts w:ascii="Arial" w:cs="Arial" w:eastAsia="Arial" w:hAnsi="Arial"/>
                <w:sz w:val="14"/>
                <w:szCs w:val="14"/>
                <w:color w:val="auto"/>
                <w:w w:val="89"/>
              </w:rPr>
              <w:t>Exercise</w:t>
            </w:r>
          </w:p>
        </w:tc>
        <w:tc>
          <w:tcPr>
            <w:tcW w:w="560" w:type="dxa"/>
            <w:vAlign w:val="bottom"/>
          </w:tcPr>
          <w:p>
            <w:pPr>
              <w:spacing w:after="0"/>
              <w:rPr>
                <w:sz w:val="15"/>
                <w:szCs w:val="15"/>
                <w:color w:val="auto"/>
              </w:rPr>
            </w:pPr>
          </w:p>
        </w:tc>
        <w:tc>
          <w:tcPr>
            <w:tcW w:w="1200" w:type="dxa"/>
            <w:vAlign w:val="bottom"/>
          </w:tcPr>
          <w:p>
            <w:pPr>
              <w:jc w:val="center"/>
              <w:ind w:left="468"/>
              <w:spacing w:after="0"/>
              <w:rPr>
                <w:sz w:val="20"/>
                <w:szCs w:val="20"/>
                <w:color w:val="auto"/>
              </w:rPr>
            </w:pPr>
            <w:r>
              <w:rPr>
                <w:rFonts w:ascii="Arial" w:cs="Arial" w:eastAsia="Arial" w:hAnsi="Arial"/>
                <w:sz w:val="14"/>
                <w:szCs w:val="14"/>
                <w:color w:val="auto"/>
                <w:w w:val="99"/>
              </w:rPr>
              <w:t>Expiration</w:t>
            </w:r>
          </w:p>
        </w:tc>
        <w:tc>
          <w:tcPr>
            <w:tcW w:w="560" w:type="dxa"/>
            <w:vAlign w:val="bottom"/>
          </w:tcPr>
          <w:p>
            <w:pPr>
              <w:spacing w:after="0"/>
              <w:rPr>
                <w:sz w:val="15"/>
                <w:szCs w:val="15"/>
                <w:color w:val="auto"/>
              </w:rPr>
            </w:pPr>
          </w:p>
        </w:tc>
        <w:tc>
          <w:tcPr>
            <w:tcW w:w="1080" w:type="dxa"/>
            <w:vAlign w:val="bottom"/>
          </w:tcPr>
          <w:p>
            <w:pPr>
              <w:jc w:val="center"/>
              <w:ind w:left="468"/>
              <w:spacing w:after="0"/>
              <w:rPr>
                <w:sz w:val="20"/>
                <w:szCs w:val="20"/>
                <w:color w:val="auto"/>
              </w:rPr>
            </w:pPr>
            <w:r>
              <w:rPr>
                <w:rFonts w:ascii="Arial" w:cs="Arial" w:eastAsia="Arial" w:hAnsi="Arial"/>
                <w:sz w:val="14"/>
                <w:szCs w:val="14"/>
                <w:color w:val="auto"/>
                <w:w w:val="87"/>
              </w:rPr>
              <w:t>Vested</w:t>
            </w:r>
          </w:p>
        </w:tc>
        <w:tc>
          <w:tcPr>
            <w:tcW w:w="560" w:type="dxa"/>
            <w:vAlign w:val="bottom"/>
          </w:tcPr>
          <w:p>
            <w:pPr>
              <w:spacing w:after="0"/>
              <w:rPr>
                <w:sz w:val="15"/>
                <w:szCs w:val="15"/>
                <w:color w:val="auto"/>
              </w:rPr>
            </w:pPr>
          </w:p>
        </w:tc>
        <w:tc>
          <w:tcPr>
            <w:tcW w:w="158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Vested</w:t>
            </w:r>
          </w:p>
        </w:tc>
      </w:tr>
      <w:tr>
        <w:trPr>
          <w:trHeight w:val="183"/>
        </w:trPr>
        <w:tc>
          <w:tcPr>
            <w:tcW w:w="500" w:type="dxa"/>
            <w:vAlign w:val="bottom"/>
          </w:tcPr>
          <w:p>
            <w:pPr>
              <w:ind w:left="80"/>
              <w:spacing w:after="0"/>
              <w:rPr>
                <w:sz w:val="20"/>
                <w:szCs w:val="20"/>
                <w:color w:val="auto"/>
              </w:rPr>
            </w:pPr>
            <w:r>
              <w:rPr>
                <w:rFonts w:ascii="Arial" w:cs="Arial" w:eastAsia="Arial" w:hAnsi="Arial"/>
                <w:sz w:val="14"/>
                <w:szCs w:val="14"/>
                <w:color w:val="auto"/>
              </w:rPr>
              <w:t>Name</w:t>
            </w:r>
          </w:p>
        </w:tc>
        <w:tc>
          <w:tcPr>
            <w:tcW w:w="560" w:type="dxa"/>
            <w:vAlign w:val="bottom"/>
          </w:tcPr>
          <w:p>
            <w:pPr>
              <w:spacing w:after="0"/>
              <w:rPr>
                <w:sz w:val="15"/>
                <w:szCs w:val="15"/>
                <w:color w:val="auto"/>
              </w:rPr>
            </w:pPr>
          </w:p>
        </w:tc>
        <w:tc>
          <w:tcPr>
            <w:tcW w:w="1300" w:type="dxa"/>
            <w:vAlign w:val="bottom"/>
          </w:tcPr>
          <w:p>
            <w:pPr>
              <w:jc w:val="center"/>
              <w:ind w:left="468"/>
              <w:spacing w:after="0"/>
              <w:rPr>
                <w:sz w:val="20"/>
                <w:szCs w:val="20"/>
                <w:color w:val="auto"/>
              </w:rPr>
            </w:pPr>
            <w:r>
              <w:rPr>
                <w:rFonts w:ascii="Arial" w:cs="Arial" w:eastAsia="Arial" w:hAnsi="Arial"/>
                <w:sz w:val="14"/>
                <w:szCs w:val="14"/>
                <w:color w:val="auto"/>
                <w:w w:val="93"/>
              </w:rPr>
              <w:t>Exercisable</w:t>
            </w:r>
          </w:p>
        </w:tc>
        <w:tc>
          <w:tcPr>
            <w:tcW w:w="560" w:type="dxa"/>
            <w:vAlign w:val="bottom"/>
          </w:tcPr>
          <w:p>
            <w:pPr>
              <w:spacing w:after="0"/>
              <w:rPr>
                <w:sz w:val="15"/>
                <w:szCs w:val="15"/>
                <w:color w:val="auto"/>
              </w:rPr>
            </w:pPr>
          </w:p>
        </w:tc>
        <w:tc>
          <w:tcPr>
            <w:tcW w:w="1420" w:type="dxa"/>
            <w:vAlign w:val="bottom"/>
          </w:tcPr>
          <w:p>
            <w:pPr>
              <w:jc w:val="center"/>
              <w:ind w:left="488"/>
              <w:spacing w:after="0"/>
              <w:rPr>
                <w:sz w:val="20"/>
                <w:szCs w:val="20"/>
                <w:color w:val="auto"/>
              </w:rPr>
            </w:pPr>
            <w:r>
              <w:rPr>
                <w:rFonts w:ascii="Arial" w:cs="Arial" w:eastAsia="Arial" w:hAnsi="Arial"/>
                <w:sz w:val="14"/>
                <w:szCs w:val="14"/>
                <w:color w:val="auto"/>
                <w:w w:val="92"/>
              </w:rPr>
              <w:t>Unexercisable</w:t>
            </w:r>
          </w:p>
        </w:tc>
        <w:tc>
          <w:tcPr>
            <w:tcW w:w="560" w:type="dxa"/>
            <w:vAlign w:val="bottom"/>
          </w:tcPr>
          <w:p>
            <w:pPr>
              <w:spacing w:after="0"/>
              <w:rPr>
                <w:sz w:val="15"/>
                <w:szCs w:val="15"/>
                <w:color w:val="auto"/>
              </w:rPr>
            </w:pPr>
          </w:p>
        </w:tc>
        <w:tc>
          <w:tcPr>
            <w:tcW w:w="1100" w:type="dxa"/>
            <w:vAlign w:val="bottom"/>
          </w:tcPr>
          <w:p>
            <w:pPr>
              <w:jc w:val="center"/>
              <w:ind w:left="488"/>
              <w:spacing w:after="0"/>
              <w:rPr>
                <w:sz w:val="20"/>
                <w:szCs w:val="20"/>
                <w:color w:val="auto"/>
              </w:rPr>
            </w:pPr>
            <w:r>
              <w:rPr>
                <w:rFonts w:ascii="Arial" w:cs="Arial" w:eastAsia="Arial" w:hAnsi="Arial"/>
                <w:sz w:val="14"/>
                <w:szCs w:val="14"/>
                <w:color w:val="auto"/>
                <w:w w:val="94"/>
              </w:rPr>
              <w:t>Price ($)</w:t>
            </w:r>
          </w:p>
        </w:tc>
        <w:tc>
          <w:tcPr>
            <w:tcW w:w="560" w:type="dxa"/>
            <w:vAlign w:val="bottom"/>
          </w:tcPr>
          <w:p>
            <w:pPr>
              <w:spacing w:after="0"/>
              <w:rPr>
                <w:sz w:val="15"/>
                <w:szCs w:val="15"/>
                <w:color w:val="auto"/>
              </w:rPr>
            </w:pPr>
          </w:p>
        </w:tc>
        <w:tc>
          <w:tcPr>
            <w:tcW w:w="1200" w:type="dxa"/>
            <w:vAlign w:val="bottom"/>
          </w:tcPr>
          <w:p>
            <w:pPr>
              <w:jc w:val="center"/>
              <w:ind w:left="468"/>
              <w:spacing w:after="0"/>
              <w:rPr>
                <w:sz w:val="20"/>
                <w:szCs w:val="20"/>
                <w:color w:val="auto"/>
              </w:rPr>
            </w:pPr>
            <w:r>
              <w:rPr>
                <w:rFonts w:ascii="Arial" w:cs="Arial" w:eastAsia="Arial" w:hAnsi="Arial"/>
                <w:sz w:val="14"/>
                <w:szCs w:val="14"/>
                <w:color w:val="auto"/>
                <w:w w:val="87"/>
              </w:rPr>
              <w:t>Date</w:t>
            </w:r>
          </w:p>
        </w:tc>
        <w:tc>
          <w:tcPr>
            <w:tcW w:w="1640" w:type="dxa"/>
            <w:vAlign w:val="bottom"/>
            <w:gridSpan w:val="2"/>
          </w:tcPr>
          <w:p>
            <w:pPr>
              <w:jc w:val="center"/>
              <w:ind w:left="102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left="1028"/>
              <w:spacing w:after="0"/>
              <w:rPr>
                <w:sz w:val="20"/>
                <w:szCs w:val="20"/>
                <w:color w:val="auto"/>
              </w:rPr>
            </w:pPr>
            <w:r>
              <w:rPr>
                <w:rFonts w:ascii="Arial" w:cs="Arial" w:eastAsia="Arial" w:hAnsi="Arial"/>
                <w:sz w:val="14"/>
                <w:szCs w:val="14"/>
                <w:color w:val="auto"/>
                <w:w w:val="93"/>
              </w:rPr>
              <w:t>($)</w:t>
            </w:r>
          </w:p>
        </w:tc>
        <w:tc>
          <w:tcPr>
            <w:tcW w:w="560" w:type="dxa"/>
            <w:vAlign w:val="bottom"/>
          </w:tcPr>
          <w:p>
            <w:pPr>
              <w:spacing w:after="0"/>
              <w:rPr>
                <w:sz w:val="15"/>
                <w:szCs w:val="15"/>
                <w:color w:val="auto"/>
              </w:rPr>
            </w:pPr>
          </w:p>
        </w:tc>
      </w:tr>
      <w:tr>
        <w:trPr>
          <w:trHeight w:val="142"/>
        </w:trPr>
        <w:tc>
          <w:tcPr>
            <w:tcW w:w="50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30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42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10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r>
    </w:tbl>
    <w:p>
      <w:pPr>
        <w:sectPr>
          <w:pgSz w:w="11900" w:h="16900" w:orient="portrait"/>
          <w:cols w:equalWidth="0" w:num="1">
            <w:col w:w="11540"/>
          </w:cols>
          <w:pgMar w:left="220" w:top="341" w:right="1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shd w:val="clear" w:color="auto" w:fill="CCFFCC"/>
          </w:tcPr>
          <w:p>
            <w:pPr>
              <w:spacing w:after="0"/>
              <w:rPr>
                <w:sz w:val="20"/>
                <w:szCs w:val="20"/>
                <w:color w:val="auto"/>
              </w:rPr>
            </w:pPr>
            <w:r>
              <w:rPr>
                <w:rFonts w:ascii="Arial" w:cs="Arial" w:eastAsia="Arial" w:hAnsi="Arial"/>
                <w:sz w:val="14"/>
                <w:szCs w:val="14"/>
                <w:color w:val="auto"/>
              </w:rPr>
              <w:t>Juliet</w:t>
            </w:r>
          </w:p>
        </w:tc>
        <w:tc>
          <w:tcPr>
            <w:tcW w:w="2620" w:type="dxa"/>
            <w:vAlign w:val="bottom"/>
            <w:shd w:val="clear" w:color="auto" w:fill="CCFFCC"/>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FFCC"/>
          </w:tcPr>
          <w:p>
            <w:pPr>
              <w:jc w:val="right"/>
              <w:ind w:right="208"/>
              <w:spacing w:after="0"/>
              <w:rPr>
                <w:sz w:val="20"/>
                <w:szCs w:val="20"/>
                <w:color w:val="auto"/>
              </w:rPr>
            </w:pPr>
            <w:r>
              <w:rPr>
                <w:rFonts w:ascii="Arial" w:cs="Arial" w:eastAsia="Arial" w:hAnsi="Arial"/>
                <w:sz w:val="14"/>
                <w:szCs w:val="14"/>
                <w:color w:val="auto"/>
              </w:rPr>
              <w:t>200,000</w:t>
            </w:r>
          </w:p>
        </w:tc>
        <w:tc>
          <w:tcPr>
            <w:tcW w:w="70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508"/>
              <w:spacing w:after="0"/>
              <w:rPr>
                <w:sz w:val="20"/>
                <w:szCs w:val="20"/>
                <w:color w:val="auto"/>
              </w:rPr>
            </w:pPr>
            <w:r>
              <w:rPr>
                <w:rFonts w:ascii="Arial" w:cs="Arial" w:eastAsia="Arial" w:hAnsi="Arial"/>
                <w:sz w:val="14"/>
                <w:szCs w:val="14"/>
                <w:color w:val="auto"/>
              </w:rPr>
              <w:t>2.00</w:t>
            </w:r>
          </w:p>
        </w:tc>
        <w:tc>
          <w:tcPr>
            <w:tcW w:w="1760" w:type="dxa"/>
            <w:vAlign w:val="bottom"/>
            <w:shd w:val="clear" w:color="auto" w:fill="CCFFCC"/>
          </w:tcPr>
          <w:p>
            <w:pPr>
              <w:jc w:val="right"/>
              <w:ind w:right="508"/>
              <w:spacing w:after="0"/>
              <w:rPr>
                <w:sz w:val="20"/>
                <w:szCs w:val="20"/>
                <w:color w:val="auto"/>
              </w:rPr>
            </w:pPr>
            <w:r>
              <w:rPr>
                <w:rFonts w:ascii="Arial" w:cs="Arial" w:eastAsia="Arial" w:hAnsi="Arial"/>
                <w:sz w:val="14"/>
                <w:szCs w:val="14"/>
                <w:color w:val="auto"/>
              </w:rPr>
              <w:t>9/16/2017</w:t>
            </w:r>
          </w:p>
        </w:tc>
        <w:tc>
          <w:tcPr>
            <w:tcW w:w="1620" w:type="dxa"/>
            <w:vAlign w:val="bottom"/>
            <w:shd w:val="clear" w:color="auto" w:fill="CCFFCC"/>
          </w:tcPr>
          <w:p>
            <w:pPr>
              <w:jc w:val="right"/>
              <w:ind w:right="4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FFCC"/>
          </w:tcPr>
          <w:p>
            <w:pPr>
              <w:jc w:val="right"/>
              <w:ind w:right="408"/>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shd w:val="clear" w:color="auto" w:fill="CCFFCC"/>
          </w:tcPr>
          <w:p>
            <w:pPr>
              <w:spacing w:after="0"/>
              <w:rPr>
                <w:sz w:val="20"/>
                <w:szCs w:val="20"/>
                <w:color w:val="auto"/>
              </w:rPr>
            </w:pPr>
            <w:r>
              <w:rPr>
                <w:rFonts w:ascii="Arial" w:cs="Arial" w:eastAsia="Arial" w:hAnsi="Arial"/>
                <w:sz w:val="14"/>
                <w:szCs w:val="14"/>
                <w:color w:val="auto"/>
              </w:rPr>
              <w:t>Singh,</w:t>
            </w:r>
          </w:p>
        </w:tc>
        <w:tc>
          <w:tcPr>
            <w:tcW w:w="2620" w:type="dxa"/>
            <w:vAlign w:val="bottom"/>
            <w:shd w:val="clear" w:color="auto" w:fill="CCFFCC"/>
          </w:tcPr>
          <w:p>
            <w:pPr>
              <w:spacing w:after="0"/>
              <w:rPr>
                <w:sz w:val="15"/>
                <w:szCs w:val="15"/>
                <w:color w:val="auto"/>
              </w:rPr>
            </w:pPr>
          </w:p>
        </w:tc>
        <w:tc>
          <w:tcPr>
            <w:tcW w:w="150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176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c>
          <w:tcPr>
            <w:tcW w:w="15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00" w:type="dxa"/>
            <w:vAlign w:val="bottom"/>
            <w:shd w:val="clear" w:color="auto" w:fill="CCFFCC"/>
          </w:tcPr>
          <w:p>
            <w:pPr>
              <w:spacing w:after="0"/>
              <w:rPr>
                <w:sz w:val="20"/>
                <w:szCs w:val="20"/>
                <w:color w:val="auto"/>
              </w:rPr>
            </w:pPr>
            <w:r>
              <w:rPr>
                <w:rFonts w:ascii="Arial" w:cs="Arial" w:eastAsia="Arial" w:hAnsi="Arial"/>
                <w:sz w:val="14"/>
                <w:szCs w:val="14"/>
                <w:color w:val="auto"/>
              </w:rPr>
              <w:t>Ph.D.</w:t>
            </w:r>
          </w:p>
        </w:tc>
        <w:tc>
          <w:tcPr>
            <w:tcW w:w="2620" w:type="dxa"/>
            <w:vAlign w:val="bottom"/>
            <w:shd w:val="clear" w:color="auto" w:fill="CCFFCC"/>
          </w:tcPr>
          <w:p>
            <w:pPr>
              <w:spacing w:after="0"/>
              <w:rPr>
                <w:sz w:val="15"/>
                <w:szCs w:val="15"/>
                <w:color w:val="auto"/>
              </w:rPr>
            </w:pPr>
          </w:p>
        </w:tc>
        <w:tc>
          <w:tcPr>
            <w:tcW w:w="150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176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c>
          <w:tcPr>
            <w:tcW w:w="150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2620" w:type="dxa"/>
            <w:vAlign w:val="bottom"/>
            <w:shd w:val="clear" w:color="auto" w:fill="CCFFCC"/>
          </w:tcPr>
          <w:p>
            <w:pPr>
              <w:spacing w:after="0"/>
              <w:rPr>
                <w:sz w:val="14"/>
                <w:szCs w:val="14"/>
                <w:color w:val="auto"/>
              </w:rPr>
            </w:pPr>
          </w:p>
        </w:tc>
        <w:tc>
          <w:tcPr>
            <w:tcW w:w="1500" w:type="dxa"/>
            <w:vAlign w:val="bottom"/>
            <w:shd w:val="clear" w:color="auto" w:fill="CCFFCC"/>
          </w:tcPr>
          <w:p>
            <w:pPr>
              <w:jc w:val="right"/>
              <w:ind w:right="208"/>
              <w:spacing w:after="0" w:line="143" w:lineRule="exact"/>
              <w:rPr>
                <w:sz w:val="20"/>
                <w:szCs w:val="20"/>
                <w:color w:val="auto"/>
              </w:rPr>
            </w:pPr>
            <w:r>
              <w:rPr>
                <w:rFonts w:ascii="Arial" w:cs="Arial" w:eastAsia="Arial" w:hAnsi="Arial"/>
                <w:sz w:val="14"/>
                <w:szCs w:val="14"/>
                <w:color w:val="auto"/>
              </w:rPr>
              <w:t>10,000</w:t>
            </w:r>
          </w:p>
        </w:tc>
        <w:tc>
          <w:tcPr>
            <w:tcW w:w="700" w:type="dxa"/>
            <w:vAlign w:val="bottom"/>
            <w:shd w:val="clear" w:color="auto" w:fill="CCFFCC"/>
          </w:tcPr>
          <w:p>
            <w:pPr>
              <w:jc w:val="right"/>
              <w:ind w:right="268"/>
              <w:spacing w:after="0" w:line="143" w:lineRule="exact"/>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508"/>
              <w:spacing w:after="0" w:line="143" w:lineRule="exact"/>
              <w:rPr>
                <w:sz w:val="20"/>
                <w:szCs w:val="20"/>
                <w:color w:val="auto"/>
              </w:rPr>
            </w:pPr>
            <w:r>
              <w:rPr>
                <w:rFonts w:ascii="Arial" w:cs="Arial" w:eastAsia="Arial" w:hAnsi="Arial"/>
                <w:sz w:val="14"/>
                <w:szCs w:val="14"/>
                <w:color w:val="auto"/>
              </w:rPr>
              <w:t>2.00</w:t>
            </w:r>
          </w:p>
        </w:tc>
        <w:tc>
          <w:tcPr>
            <w:tcW w:w="1760" w:type="dxa"/>
            <w:vAlign w:val="bottom"/>
            <w:shd w:val="clear" w:color="auto" w:fill="CCFFCC"/>
          </w:tcPr>
          <w:p>
            <w:pPr>
              <w:jc w:val="right"/>
              <w:ind w:right="508"/>
              <w:spacing w:after="0" w:line="143" w:lineRule="exact"/>
              <w:rPr>
                <w:sz w:val="20"/>
                <w:szCs w:val="20"/>
                <w:color w:val="auto"/>
              </w:rPr>
            </w:pPr>
            <w:r>
              <w:rPr>
                <w:rFonts w:ascii="Arial" w:cs="Arial" w:eastAsia="Arial" w:hAnsi="Arial"/>
                <w:sz w:val="14"/>
                <w:szCs w:val="14"/>
                <w:color w:val="auto"/>
              </w:rPr>
              <w:t>9/16/2017</w:t>
            </w:r>
          </w:p>
        </w:tc>
        <w:tc>
          <w:tcPr>
            <w:tcW w:w="1620" w:type="dxa"/>
            <w:vAlign w:val="bottom"/>
            <w:shd w:val="clear" w:color="auto" w:fill="CCFFCC"/>
          </w:tcPr>
          <w:p>
            <w:pPr>
              <w:spacing w:after="0"/>
              <w:rPr>
                <w:sz w:val="14"/>
                <w:szCs w:val="14"/>
                <w:color w:val="auto"/>
              </w:rPr>
            </w:pPr>
          </w:p>
        </w:tc>
        <w:tc>
          <w:tcPr>
            <w:tcW w:w="15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00" w:type="dxa"/>
            <w:vAlign w:val="bottom"/>
            <w:vMerge w:val="continue"/>
          </w:tcPr>
          <w:p>
            <w:pPr>
              <w:spacing w:after="0"/>
              <w:rPr>
                <w:sz w:val="4"/>
                <w:szCs w:val="4"/>
                <w:color w:val="auto"/>
              </w:rPr>
            </w:pPr>
          </w:p>
        </w:tc>
        <w:tc>
          <w:tcPr>
            <w:tcW w:w="26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0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John T.</w:t>
            </w:r>
          </w:p>
        </w:tc>
        <w:tc>
          <w:tcPr>
            <w:tcW w:w="2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0" w:type="dxa"/>
            <w:vAlign w:val="bottom"/>
          </w:tcPr>
          <w:p>
            <w:pPr>
              <w:spacing w:after="0"/>
              <w:rPr>
                <w:sz w:val="20"/>
                <w:szCs w:val="20"/>
                <w:color w:val="auto"/>
              </w:rPr>
            </w:pPr>
            <w:r>
              <w:rPr>
                <w:rFonts w:ascii="Arial" w:cs="Arial" w:eastAsia="Arial" w:hAnsi="Arial"/>
                <w:sz w:val="14"/>
                <w:szCs w:val="14"/>
                <w:color w:val="auto"/>
              </w:rPr>
              <w:t>Lomoro</w:t>
            </w:r>
          </w:p>
        </w:tc>
        <w:tc>
          <w:tcPr>
            <w:tcW w:w="26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08"/>
              <w:spacing w:after="0"/>
              <w:rPr>
                <w:sz w:val="20"/>
                <w:szCs w:val="20"/>
                <w:color w:val="auto"/>
              </w:rPr>
            </w:pPr>
            <w:r>
              <w:rPr>
                <w:rFonts w:ascii="Arial" w:cs="Arial" w:eastAsia="Arial" w:hAnsi="Arial"/>
                <w:sz w:val="14"/>
                <w:szCs w:val="14"/>
                <w:color w:val="auto"/>
              </w:rPr>
              <w:t>150,000</w:t>
            </w:r>
          </w:p>
        </w:tc>
        <w:tc>
          <w:tcPr>
            <w:tcW w:w="700" w:type="dxa"/>
            <w:vAlign w:val="bottom"/>
          </w:tcPr>
          <w:p>
            <w:pPr>
              <w:spacing w:after="0"/>
              <w:rPr>
                <w:sz w:val="15"/>
                <w:szCs w:val="15"/>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2.00</w:t>
            </w:r>
          </w:p>
        </w:tc>
        <w:tc>
          <w:tcPr>
            <w:tcW w:w="1760" w:type="dxa"/>
            <w:vAlign w:val="bottom"/>
          </w:tcPr>
          <w:p>
            <w:pPr>
              <w:jc w:val="right"/>
              <w:ind w:right="508"/>
              <w:spacing w:after="0"/>
              <w:rPr>
                <w:sz w:val="20"/>
                <w:szCs w:val="20"/>
                <w:color w:val="auto"/>
              </w:rPr>
            </w:pPr>
            <w:r>
              <w:rPr>
                <w:rFonts w:ascii="Arial" w:cs="Arial" w:eastAsia="Arial" w:hAnsi="Arial"/>
                <w:sz w:val="14"/>
                <w:szCs w:val="14"/>
                <w:color w:val="auto"/>
              </w:rPr>
              <w:t>9/16/2017</w:t>
            </w:r>
          </w:p>
        </w:tc>
        <w:tc>
          <w:tcPr>
            <w:tcW w:w="162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0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76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20"/>
                <w:szCs w:val="20"/>
                <w:color w:val="auto"/>
              </w:rPr>
            </w:pPr>
            <w:r>
              <w:rPr>
                <w:rFonts w:ascii="Arial" w:cs="Arial" w:eastAsia="Arial" w:hAnsi="Arial"/>
                <w:sz w:val="14"/>
                <w:szCs w:val="14"/>
                <w:color w:val="auto"/>
              </w:rPr>
              <w:t>Balbir</w:t>
            </w:r>
          </w:p>
        </w:tc>
        <w:tc>
          <w:tcPr>
            <w:tcW w:w="2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20"/>
                <w:szCs w:val="20"/>
                <w:color w:val="auto"/>
              </w:rPr>
            </w:pPr>
            <w:r>
              <w:rPr>
                <w:rFonts w:ascii="Arial" w:cs="Arial" w:eastAsia="Arial" w:hAnsi="Arial"/>
                <w:sz w:val="14"/>
                <w:szCs w:val="14"/>
                <w:color w:val="auto"/>
              </w:rPr>
              <w:t>Brar,</w:t>
            </w:r>
          </w:p>
        </w:tc>
        <w:tc>
          <w:tcPr>
            <w:tcW w:w="2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20"/>
                <w:szCs w:val="20"/>
                <w:color w:val="auto"/>
              </w:rPr>
            </w:pPr>
            <w:r>
              <w:rPr>
                <w:rFonts w:ascii="Arial" w:cs="Arial" w:eastAsia="Arial" w:hAnsi="Arial"/>
                <w:sz w:val="14"/>
                <w:szCs w:val="14"/>
                <w:color w:val="auto"/>
              </w:rPr>
              <w:t>D.V.M.,</w:t>
            </w:r>
          </w:p>
        </w:tc>
        <w:tc>
          <w:tcPr>
            <w:tcW w:w="2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Ph.D.</w:t>
            </w:r>
          </w:p>
        </w:tc>
        <w:tc>
          <w:tcPr>
            <w:tcW w:w="26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08"/>
              <w:spacing w:after="0"/>
              <w:rPr>
                <w:sz w:val="20"/>
                <w:szCs w:val="20"/>
                <w:color w:val="auto"/>
              </w:rPr>
            </w:pPr>
            <w:r>
              <w:rPr>
                <w:rFonts w:ascii="Arial" w:cs="Arial" w:eastAsia="Arial" w:hAnsi="Arial"/>
                <w:sz w:val="14"/>
                <w:szCs w:val="14"/>
                <w:color w:val="auto"/>
              </w:rPr>
              <w:t>200,000</w:t>
            </w:r>
          </w:p>
        </w:tc>
        <w:tc>
          <w:tcPr>
            <w:tcW w:w="700" w:type="dxa"/>
            <w:vAlign w:val="bottom"/>
          </w:tcPr>
          <w:p>
            <w:pPr>
              <w:spacing w:after="0"/>
              <w:rPr>
                <w:sz w:val="15"/>
                <w:szCs w:val="15"/>
                <w:color w:val="auto"/>
              </w:rPr>
            </w:pPr>
          </w:p>
        </w:tc>
        <w:tc>
          <w:tcPr>
            <w:tcW w:w="1260" w:type="dxa"/>
            <w:vAlign w:val="bottom"/>
          </w:tcPr>
          <w:p>
            <w:pPr>
              <w:jc w:val="right"/>
              <w:ind w:right="508"/>
              <w:spacing w:after="0"/>
              <w:rPr>
                <w:sz w:val="20"/>
                <w:szCs w:val="20"/>
                <w:color w:val="auto"/>
              </w:rPr>
            </w:pPr>
            <w:r>
              <w:rPr>
                <w:rFonts w:ascii="Arial" w:cs="Arial" w:eastAsia="Arial" w:hAnsi="Arial"/>
                <w:sz w:val="14"/>
                <w:szCs w:val="14"/>
                <w:color w:val="auto"/>
              </w:rPr>
              <w:t>2.00</w:t>
            </w:r>
          </w:p>
        </w:tc>
        <w:tc>
          <w:tcPr>
            <w:tcW w:w="1760" w:type="dxa"/>
            <w:vAlign w:val="bottom"/>
          </w:tcPr>
          <w:p>
            <w:pPr>
              <w:jc w:val="right"/>
              <w:ind w:right="508"/>
              <w:spacing w:after="0"/>
              <w:rPr>
                <w:sz w:val="20"/>
                <w:szCs w:val="20"/>
                <w:color w:val="auto"/>
              </w:rPr>
            </w:pPr>
            <w:r>
              <w:rPr>
                <w:rFonts w:ascii="Arial" w:cs="Arial" w:eastAsia="Arial" w:hAnsi="Arial"/>
                <w:sz w:val="14"/>
                <w:szCs w:val="14"/>
                <w:color w:val="auto"/>
              </w:rPr>
              <w:t>9/16/2017</w:t>
            </w:r>
          </w:p>
        </w:tc>
        <w:tc>
          <w:tcPr>
            <w:tcW w:w="1620" w:type="dxa"/>
            <w:vAlign w:val="bottom"/>
          </w:tcPr>
          <w:p>
            <w:pPr>
              <w:jc w:val="right"/>
              <w:ind w:right="488"/>
              <w:spacing w:after="0"/>
              <w:rPr>
                <w:sz w:val="20"/>
                <w:szCs w:val="20"/>
                <w:color w:val="auto"/>
              </w:rPr>
            </w:pPr>
            <w:r>
              <w:rPr>
                <w:rFonts w:ascii="Arial" w:cs="Arial" w:eastAsia="Arial" w:hAnsi="Arial"/>
                <w:sz w:val="14"/>
                <w:szCs w:val="14"/>
                <w:color w:val="auto"/>
              </w:rPr>
              <w:t>195,313</w:t>
            </w:r>
          </w:p>
        </w:tc>
        <w:tc>
          <w:tcPr>
            <w:tcW w:w="1500" w:type="dxa"/>
            <w:vAlign w:val="bottom"/>
          </w:tcPr>
          <w:p>
            <w:pPr>
              <w:jc w:val="right"/>
              <w:ind w:right="408"/>
              <w:spacing w:after="0"/>
              <w:rPr>
                <w:sz w:val="20"/>
                <w:szCs w:val="20"/>
                <w:color w:val="auto"/>
              </w:rPr>
            </w:pPr>
            <w:r>
              <w:rPr>
                <w:rFonts w:ascii="Arial" w:cs="Arial" w:eastAsia="Arial" w:hAnsi="Arial"/>
                <w:sz w:val="14"/>
                <w:szCs w:val="14"/>
                <w:color w:val="auto"/>
              </w:rPr>
              <w:t>537,111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9"/>
        </w:trPr>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jc w:val="right"/>
              <w:ind w:right="708"/>
              <w:spacing w:after="0"/>
              <w:rPr>
                <w:sz w:val="20"/>
                <w:szCs w:val="20"/>
                <w:color w:val="auto"/>
              </w:rPr>
            </w:pPr>
            <w:r>
              <w:rPr>
                <w:rFonts w:ascii="Arial" w:cs="Arial" w:eastAsia="Arial" w:hAnsi="Arial"/>
                <w:sz w:val="14"/>
                <w:szCs w:val="14"/>
                <w:color w:val="auto"/>
              </w:rPr>
              <w:t>24</w:t>
            </w:r>
          </w:p>
        </w:tc>
        <w:tc>
          <w:tcPr>
            <w:tcW w:w="1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0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-1390015</wp:posOffset>
            </wp:positionV>
            <wp:extent cx="732345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3455" cy="137160"/>
                    </a:xfrm>
                    <a:prstGeom prst="rect">
                      <a:avLst/>
                    </a:prstGeom>
                    <a:noFill/>
                  </pic:spPr>
                </pic:pic>
              </a:graphicData>
            </a:graphic>
          </wp:anchor>
        </w:drawing>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540"/>
          </w:cols>
          <w:pgMar w:left="220" w:top="140" w:right="1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Employment Agreements</w:t>
      </w:r>
    </w:p>
    <w:p>
      <w:pPr>
        <w:spacing w:after="0" w:line="232" w:lineRule="exact"/>
        <w:rPr>
          <w:sz w:val="20"/>
          <w:szCs w:val="20"/>
          <w:color w:val="auto"/>
        </w:rPr>
      </w:pPr>
    </w:p>
    <w:p>
      <w:pPr>
        <w:jc w:val="both"/>
        <w:ind w:right="180" w:firstLine="519"/>
        <w:spacing w:after="0" w:line="268" w:lineRule="auto"/>
        <w:rPr>
          <w:sz w:val="20"/>
          <w:szCs w:val="20"/>
          <w:color w:val="auto"/>
        </w:rPr>
      </w:pPr>
      <w:r>
        <w:rPr>
          <w:rFonts w:ascii="Arial" w:cs="Arial" w:eastAsia="Arial" w:hAnsi="Arial"/>
          <w:sz w:val="14"/>
          <w:szCs w:val="14"/>
          <w:color w:val="auto"/>
        </w:rPr>
        <w:t>We have entered into an employment agreement with Juliet Singh, Ph.D. to serve as our chief executive officer. Pursuant to this employment agreement, Dr. Singh is entitled to receive an annual base salary of $195,000, subject to annual reviews by our board of directors. Dr. Singh is also entitled to a performance-based bonus to be comprised of cash and/or equity compensation. If we terminate Dr. Singh’s employment without cause, we will continue to pay Dr. Singh, as severance, her then current annual base salary for one year, payable in accordance with standard payroll procedures and the pro-rata amount of any accrued annual bonus.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 Incentive Stock and Awards Plan</w:t>
      </w:r>
    </w:p>
    <w:p>
      <w:pPr>
        <w:spacing w:after="0" w:line="232" w:lineRule="exact"/>
        <w:rPr>
          <w:sz w:val="20"/>
          <w:szCs w:val="20"/>
          <w:color w:val="auto"/>
        </w:rPr>
      </w:pPr>
    </w:p>
    <w:p>
      <w:pPr>
        <w:ind w:right="40" w:firstLine="519"/>
        <w:spacing w:after="0" w:line="266" w:lineRule="auto"/>
        <w:rPr>
          <w:sz w:val="20"/>
          <w:szCs w:val="20"/>
          <w:color w:val="auto"/>
        </w:rPr>
      </w:pPr>
      <w:r>
        <w:rPr>
          <w:rFonts w:ascii="Arial" w:cs="Arial" w:eastAsia="Arial" w:hAnsi="Arial"/>
          <w:sz w:val="14"/>
          <w:szCs w:val="14"/>
          <w:color w:val="auto"/>
        </w:rPr>
        <w:t>On September 17, 2007, our board of directors and stockholders adopted the 2007 Incentive Stock and Awards Plan. The purpose of the plan is to provide an incentive to attract and retain directors, officers, consultants, advisors and employees whose services are considered valuable, to encourage a sense of proprietorship and to stimulate an active interest of such persons into our development and financial success. Under the plan, we are authorized to issue incentive stock options intended to qualify under Section 422 of the Internal Revenue Code of 1986, as amended, non-qualified stock options, stock appreciation rights, performance shares, restricted stock and long term incentive awards. The plan will be administered by our board of directors until such time as such authority has been delegated to a committee of the board of directors.</w:t>
      </w:r>
    </w:p>
    <w:p>
      <w:pPr>
        <w:spacing w:after="0" w:line="190" w:lineRule="exact"/>
        <w:rPr>
          <w:sz w:val="20"/>
          <w:szCs w:val="20"/>
          <w:color w:val="auto"/>
        </w:rPr>
      </w:pPr>
    </w:p>
    <w:p>
      <w:pPr>
        <w:ind w:right="20" w:firstLine="519"/>
        <w:spacing w:after="0" w:line="290" w:lineRule="auto"/>
        <w:rPr>
          <w:sz w:val="20"/>
          <w:szCs w:val="20"/>
          <w:color w:val="auto"/>
        </w:rPr>
      </w:pPr>
      <w:r>
        <w:rPr>
          <w:rFonts w:ascii="Arial" w:cs="Arial" w:eastAsia="Arial" w:hAnsi="Arial"/>
          <w:sz w:val="14"/>
          <w:szCs w:val="14"/>
          <w:color w:val="auto"/>
        </w:rPr>
        <w:t>As of December 5, 2007, there were outstanding options to purchase 610,000 shares of our common stock, 195,313 shares of restricted stock subject to forfeiture outstanding under the plan, and 694,687 shares of our common stock available for issuance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compensation awarded to our directors in 2007: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Fees Earned or Paid in Cash</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ind w:right="148"/>
              <w:spacing w:after="0"/>
              <w:rPr>
                <w:sz w:val="20"/>
                <w:szCs w:val="20"/>
                <w:color w:val="auto"/>
              </w:rPr>
            </w:pPr>
            <w:r>
              <w:rPr>
                <w:rFonts w:ascii="Arial" w:cs="Arial" w:eastAsia="Arial" w:hAnsi="Arial"/>
                <w:sz w:val="14"/>
                <w:szCs w:val="14"/>
                <w:b w:val="1"/>
                <w:bCs w:val="1"/>
                <w:color w:val="auto"/>
              </w:rPr>
              <w:t>Option Awards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40" w:type="dxa"/>
            <w:vAlign w:val="bottom"/>
            <w:gridSpan w:val="2"/>
          </w:tcPr>
          <w:p>
            <w:pPr>
              <w:ind w:left="520"/>
              <w:spacing w:after="0"/>
              <w:rPr>
                <w:sz w:val="20"/>
                <w:szCs w:val="20"/>
                <w:color w:val="auto"/>
              </w:rPr>
            </w:pPr>
            <w:r>
              <w:rPr>
                <w:rFonts w:ascii="Arial" w:cs="Arial" w:eastAsia="Arial" w:hAnsi="Arial"/>
                <w:sz w:val="14"/>
                <w:szCs w:val="14"/>
                <w:b w:val="1"/>
                <w:bCs w:val="1"/>
                <w:color w:val="auto"/>
              </w:rPr>
              <w:t>Total</w:t>
            </w:r>
          </w:p>
        </w:tc>
      </w:tr>
      <w:tr>
        <w:trPr>
          <w:trHeight w:val="187"/>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6"/>
                <w:szCs w:val="16"/>
                <w:color w:val="auto"/>
              </w:rPr>
            </w:pPr>
          </w:p>
        </w:tc>
        <w:tc>
          <w:tcPr>
            <w:tcW w:w="22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($)(1)</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r>
      <w:tr>
        <w:trPr>
          <w:trHeight w:val="186"/>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Juliet Singh, Ph.D.</w:t>
            </w:r>
          </w:p>
        </w:tc>
        <w:tc>
          <w:tcPr>
            <w:tcW w:w="240" w:type="dxa"/>
            <w:vAlign w:val="bottom"/>
            <w:shd w:val="clear" w:color="auto" w:fill="CCFFCC"/>
          </w:tcPr>
          <w:p>
            <w:pPr>
              <w:spacing w:after="0"/>
              <w:rPr>
                <w:sz w:val="16"/>
                <w:szCs w:val="16"/>
                <w:color w:val="auto"/>
              </w:rPr>
            </w:pPr>
          </w:p>
        </w:tc>
        <w:tc>
          <w:tcPr>
            <w:tcW w:w="2260" w:type="dxa"/>
            <w:vAlign w:val="bottom"/>
            <w:shd w:val="clear" w:color="auto" w:fill="CCFFCC"/>
          </w:tcPr>
          <w:p>
            <w:pPr>
              <w:spacing w:after="0"/>
              <w:rPr>
                <w:sz w:val="16"/>
                <w:szCs w:val="16"/>
                <w:color w:val="auto"/>
              </w:rPr>
            </w:pPr>
          </w:p>
        </w:tc>
        <w:tc>
          <w:tcPr>
            <w:tcW w:w="260" w:type="dxa"/>
            <w:vAlign w:val="bottom"/>
            <w:shd w:val="clear" w:color="auto" w:fill="CCFFCC"/>
          </w:tcPr>
          <w:p>
            <w:pPr>
              <w:ind w:left="120"/>
              <w:spacing w:after="0"/>
              <w:rPr>
                <w:sz w:val="20"/>
                <w:szCs w:val="20"/>
                <w:color w:val="auto"/>
              </w:rPr>
            </w:pPr>
            <w:r>
              <w:rPr>
                <w:rFonts w:ascii="Arial" w:cs="Arial" w:eastAsia="Arial" w:hAnsi="Arial"/>
                <w:sz w:val="14"/>
                <w:szCs w:val="14"/>
                <w:color w:val="auto"/>
                <w:w w:val="85"/>
              </w:rPr>
              <w:t>—</w:t>
            </w:r>
          </w:p>
        </w:tc>
        <w:tc>
          <w:tcPr>
            <w:tcW w:w="2200" w:type="dxa"/>
            <w:vAlign w:val="bottom"/>
            <w:gridSpan w:val="2"/>
            <w:shd w:val="clear" w:color="auto" w:fill="CCFFCC"/>
          </w:tcPr>
          <w:p>
            <w:pPr>
              <w:jc w:val="right"/>
              <w:ind w:right="180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4,136</w:t>
            </w:r>
          </w:p>
        </w:tc>
        <w:tc>
          <w:tcPr>
            <w:tcW w:w="680" w:type="dxa"/>
            <w:vAlign w:val="bottom"/>
            <w:gridSpan w:val="2"/>
            <w:shd w:val="clear" w:color="auto" w:fill="CCFFCC"/>
          </w:tcPr>
          <w:p>
            <w:pPr>
              <w:jc w:val="right"/>
              <w:ind w:right="500"/>
              <w:spacing w:after="0"/>
              <w:rPr>
                <w:sz w:val="20"/>
                <w:szCs w:val="20"/>
                <w:color w:val="auto"/>
              </w:rPr>
            </w:pPr>
            <w:r>
              <w:rPr>
                <w:rFonts w:ascii="Arial" w:cs="Arial" w:eastAsia="Arial" w:hAnsi="Arial"/>
                <w:sz w:val="14"/>
                <w:szCs w:val="14"/>
                <w:color w:val="auto"/>
              </w:rPr>
              <w:t>$</w:t>
            </w: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4,136</w:t>
            </w:r>
          </w:p>
        </w:tc>
      </w:tr>
      <w:tr>
        <w:trPr>
          <w:trHeight w:val="194"/>
        </w:trPr>
        <w:tc>
          <w:tcPr>
            <w:tcW w:w="3100" w:type="dxa"/>
            <w:vAlign w:val="bottom"/>
            <w:gridSpan w:val="2"/>
          </w:tcPr>
          <w:p>
            <w:pPr>
              <w:spacing w:after="0"/>
              <w:rPr>
                <w:sz w:val="20"/>
                <w:szCs w:val="20"/>
                <w:color w:val="auto"/>
              </w:rPr>
            </w:pPr>
            <w:r>
              <w:rPr>
                <w:rFonts w:ascii="Arial" w:cs="Arial" w:eastAsia="Arial" w:hAnsi="Arial"/>
                <w:sz w:val="14"/>
                <w:szCs w:val="14"/>
                <w:color w:val="auto"/>
              </w:rPr>
              <w:t>Jeffrey J. Abrams, M.D.</w:t>
            </w: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w w:val="85"/>
              </w:rPr>
              <w:t>—</w:t>
            </w:r>
          </w:p>
        </w:tc>
        <w:tc>
          <w:tcPr>
            <w:tcW w:w="2200" w:type="dxa"/>
            <w:vAlign w:val="bottom"/>
            <w:gridSpan w:val="2"/>
          </w:tcPr>
          <w:p>
            <w:pPr>
              <w:jc w:val="right"/>
              <w:ind w:right="180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4,136</w:t>
            </w:r>
          </w:p>
        </w:tc>
        <w:tc>
          <w:tcPr>
            <w:tcW w:w="6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color w:val="auto"/>
              </w:rPr>
              <w:t>4,136</w:t>
            </w:r>
          </w:p>
        </w:tc>
      </w:tr>
      <w:tr>
        <w:trPr>
          <w:trHeight w:val="195"/>
        </w:trPr>
        <w:tc>
          <w:tcPr>
            <w:tcW w:w="3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Anthony S. Thornley</w:t>
            </w:r>
          </w:p>
        </w:tc>
        <w:tc>
          <w:tcPr>
            <w:tcW w:w="240" w:type="dxa"/>
            <w:vAlign w:val="bottom"/>
            <w:shd w:val="clear" w:color="auto" w:fill="CCFFCC"/>
          </w:tcPr>
          <w:p>
            <w:pPr>
              <w:spacing w:after="0"/>
              <w:rPr>
                <w:sz w:val="16"/>
                <w:szCs w:val="16"/>
                <w:color w:val="auto"/>
              </w:rPr>
            </w:pPr>
          </w:p>
        </w:tc>
        <w:tc>
          <w:tcPr>
            <w:tcW w:w="2260" w:type="dxa"/>
            <w:vAlign w:val="bottom"/>
            <w:shd w:val="clear" w:color="auto" w:fill="CCFFCC"/>
          </w:tcPr>
          <w:p>
            <w:pPr>
              <w:spacing w:after="0"/>
              <w:rPr>
                <w:sz w:val="16"/>
                <w:szCs w:val="16"/>
                <w:color w:val="auto"/>
              </w:rPr>
            </w:pPr>
          </w:p>
        </w:tc>
        <w:tc>
          <w:tcPr>
            <w:tcW w:w="260" w:type="dxa"/>
            <w:vAlign w:val="bottom"/>
            <w:shd w:val="clear" w:color="auto" w:fill="CCFFCC"/>
          </w:tcPr>
          <w:p>
            <w:pPr>
              <w:ind w:left="120"/>
              <w:spacing w:after="0"/>
              <w:rPr>
                <w:sz w:val="20"/>
                <w:szCs w:val="20"/>
                <w:color w:val="auto"/>
              </w:rPr>
            </w:pPr>
            <w:r>
              <w:rPr>
                <w:rFonts w:ascii="Arial" w:cs="Arial" w:eastAsia="Arial" w:hAnsi="Arial"/>
                <w:sz w:val="14"/>
                <w:szCs w:val="14"/>
                <w:color w:val="auto"/>
                <w:w w:val="85"/>
              </w:rPr>
              <w:t>—</w:t>
            </w:r>
          </w:p>
        </w:tc>
        <w:tc>
          <w:tcPr>
            <w:tcW w:w="2200" w:type="dxa"/>
            <w:vAlign w:val="bottom"/>
            <w:gridSpan w:val="2"/>
            <w:shd w:val="clear" w:color="auto" w:fill="CCFFCC"/>
          </w:tcPr>
          <w:p>
            <w:pPr>
              <w:jc w:val="right"/>
              <w:ind w:right="180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1,290</w:t>
            </w:r>
          </w:p>
        </w:tc>
        <w:tc>
          <w:tcPr>
            <w:tcW w:w="680" w:type="dxa"/>
            <w:vAlign w:val="bottom"/>
            <w:gridSpan w:val="2"/>
            <w:shd w:val="clear" w:color="auto" w:fill="CCFFCC"/>
          </w:tcPr>
          <w:p>
            <w:pPr>
              <w:jc w:val="right"/>
              <w:ind w:right="500"/>
              <w:spacing w:after="0"/>
              <w:rPr>
                <w:sz w:val="20"/>
                <w:szCs w:val="20"/>
                <w:color w:val="auto"/>
              </w:rPr>
            </w:pPr>
            <w:r>
              <w:rPr>
                <w:rFonts w:ascii="Arial" w:cs="Arial" w:eastAsia="Arial" w:hAnsi="Arial"/>
                <w:sz w:val="14"/>
                <w:szCs w:val="14"/>
                <w:color w:val="auto"/>
              </w:rPr>
              <w:t>$</w:t>
            </w:r>
          </w:p>
        </w:tc>
        <w:tc>
          <w:tcPr>
            <w:tcW w:w="2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1,290</w:t>
            </w:r>
          </w:p>
        </w:tc>
      </w:tr>
      <w:tr>
        <w:trPr>
          <w:trHeight w:val="87"/>
        </w:trPr>
        <w:tc>
          <w:tcPr>
            <w:tcW w:w="1180" w:type="dxa"/>
            <w:vAlign w:val="bottom"/>
            <w:tcBorders>
              <w:bottom w:val="single" w:sz="8" w:color="808080"/>
            </w:tcBorders>
          </w:tcPr>
          <w:p>
            <w:pPr>
              <w:spacing w:after="0"/>
              <w:rPr>
                <w:sz w:val="7"/>
                <w:szCs w:val="7"/>
                <w:color w:val="auto"/>
              </w:rPr>
            </w:pPr>
          </w:p>
        </w:tc>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1" w:lineRule="exact"/>
        <w:rPr>
          <w:sz w:val="20"/>
          <w:szCs w:val="20"/>
          <w:color w:val="auto"/>
        </w:rPr>
      </w:pPr>
    </w:p>
    <w:p>
      <w:pPr>
        <w:jc w:val="both"/>
        <w:ind w:left="520" w:right="140"/>
        <w:spacing w:after="0" w:line="266" w:lineRule="auto"/>
        <w:rPr>
          <w:sz w:val="20"/>
          <w:szCs w:val="20"/>
          <w:color w:val="auto"/>
        </w:rPr>
      </w:pPr>
      <w:r>
        <w:rPr>
          <w:rFonts w:ascii="Arial" w:cs="Arial" w:eastAsia="Arial" w:hAnsi="Arial"/>
          <w:sz w:val="14"/>
          <w:szCs w:val="14"/>
          <w:color w:val="auto"/>
        </w:rPr>
        <w:t>Based upon the aggregate grant date fair value calculated in accordance with SFAS 123R and using a Black-Scholes-Merton valuation model. Assumptions used in the calculation of these amounts are included in Note 7 to the Company’s unaudited financial statements for the quarterly period ended September 30, 2007, included in the Company’s Quarterly Report on Form 10−QSB filed with the Securities and Exchange Commission on November 14, 2007.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RELATED TRANSACTIONS</w:t>
      </w:r>
    </w:p>
    <w:p>
      <w:pPr>
        <w:spacing w:after="0" w:line="232" w:lineRule="exact"/>
        <w:rPr>
          <w:sz w:val="20"/>
          <w:szCs w:val="20"/>
          <w:color w:val="auto"/>
        </w:rPr>
      </w:pPr>
    </w:p>
    <w:p>
      <w:pPr>
        <w:ind w:firstLine="519"/>
        <w:spacing w:after="0" w:line="266" w:lineRule="auto"/>
        <w:rPr>
          <w:sz w:val="20"/>
          <w:szCs w:val="20"/>
          <w:color w:val="auto"/>
        </w:rPr>
      </w:pPr>
      <w:r>
        <w:rPr>
          <w:rFonts w:ascii="Arial" w:cs="Arial" w:eastAsia="Arial" w:hAnsi="Arial"/>
          <w:sz w:val="14"/>
          <w:szCs w:val="14"/>
          <w:color w:val="auto"/>
        </w:rPr>
        <w:t>On August 25, 2005, Transdel Pharmaceuticals Holdings, Inc. borrowed $36,500 from Dr. Abrams, a director, and issued Dr. Abrams a convertible promissory note in the original principal amount of $36,500 and warrants to purchase 36,500 shares of Transdel Pharmaceuticals Holdings, Inc.’s common stock at an exercise price of $0.001 per share, which following the Merger would be equivalent to warrants to purchase 5,703 shares of our common stock at an exercise price of $0.007. On May 7, 2007, Dr. Abrams forgave the principle amount of the convertible promissory note and all accrued interest thereon and agreed to the cancellation of the warrant. Dr. Abrams did not receive any shares of common stock or other consideration in exchange for the forgiving the promissory note or the cancellation of the warrant.</w:t>
      </w:r>
    </w:p>
    <w:p>
      <w:pPr>
        <w:spacing w:after="0" w:line="190" w:lineRule="exact"/>
        <w:rPr>
          <w:sz w:val="20"/>
          <w:szCs w:val="20"/>
          <w:color w:val="auto"/>
        </w:rPr>
      </w:pPr>
    </w:p>
    <w:p>
      <w:pPr>
        <w:ind w:right="180" w:firstLine="519"/>
        <w:spacing w:after="0" w:line="266" w:lineRule="auto"/>
        <w:rPr>
          <w:sz w:val="20"/>
          <w:szCs w:val="20"/>
          <w:color w:val="auto"/>
        </w:rPr>
      </w:pPr>
      <w:r>
        <w:rPr>
          <w:rFonts w:ascii="Arial" w:cs="Arial" w:eastAsia="Arial" w:hAnsi="Arial"/>
          <w:sz w:val="14"/>
          <w:szCs w:val="14"/>
          <w:color w:val="auto"/>
        </w:rPr>
        <w:t>On August 25, 2005, Transdel Pharmaceuticals Holdings, Inc. borrowed $5,000 from Dr. Singh, a director and our chief executive officer, and issued Dr. Singh a convertible promissory note in the original principal amount of $5,000 and warrants to purchase 5,000 shares of Transdel Pharmaceuticals Holdings, Inc.’s common stock at an exercise price of $0.001 per share, which following the Merger would be equivalent to warrants to purchase 781 shares of our common stock at an exercise price of $0.007. On May 7, 2007, Dr. Singh forgave the principle amount of the convertible promissory note and all accrued interest thereon and agreed to the cancellation of the warrant. Dr. Singh did not receive any shares of common stock or other consideration in exchange for the forgiving the promissory note or the cancellation of the warrant.</w:t>
      </w:r>
    </w:p>
    <w:p>
      <w:pPr>
        <w:spacing w:after="0" w:line="190" w:lineRule="exact"/>
        <w:rPr>
          <w:sz w:val="20"/>
          <w:szCs w:val="20"/>
          <w:color w:val="auto"/>
        </w:rPr>
      </w:pPr>
    </w:p>
    <w:p>
      <w:pPr>
        <w:jc w:val="both"/>
        <w:ind w:right="240" w:firstLine="519"/>
        <w:spacing w:after="0" w:line="274" w:lineRule="auto"/>
        <w:rPr>
          <w:sz w:val="20"/>
          <w:szCs w:val="20"/>
          <w:color w:val="auto"/>
        </w:rPr>
      </w:pPr>
      <w:r>
        <w:rPr>
          <w:rFonts w:ascii="Arial" w:cs="Arial" w:eastAsia="Arial" w:hAnsi="Arial"/>
          <w:sz w:val="14"/>
          <w:szCs w:val="14"/>
          <w:color w:val="auto"/>
        </w:rPr>
        <w:t>On January 10, 2007, Balbir Brar, D.V.M., Ph.D., our vice president of research and development, purchased 900,000 shares of Transdel Pharmaceuticals Holdings, Inc.’s common stock pursuant to a restricted stock purchase Agreement for an aggregate purchase price of $9,000. In connection with the merger with Transdel Pharmaceuticals Holdings, Inc., these 900,000 shares of Transdel Pharmaceuticals Holdings, Inc.’s common stock converted into 140,625 shares of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30" w:name="page31"/>
    <w:bookmarkEnd w:id="30"/>
    <w:p>
      <w:pPr>
        <w:ind w:right="240" w:firstLine="519"/>
        <w:spacing w:after="0" w:line="274" w:lineRule="auto"/>
        <w:rPr>
          <w:sz w:val="20"/>
          <w:szCs w:val="20"/>
          <w:color w:val="auto"/>
        </w:rPr>
      </w:pPr>
      <w:r>
        <w:rPr>
          <w:rFonts w:ascii="Arial" w:cs="Arial" w:eastAsia="Arial" w:hAnsi="Arial"/>
          <w:sz w:val="14"/>
          <w:szCs w:val="14"/>
          <w:color w:val="auto"/>
        </w:rPr>
        <w:t>On February 27, 2007, the Abrams Family Trust, of which Dr. Abrams is a trustee, purchased 6,000,000 shares of Transdel Pharmaceuticals Holdings, Inc.’s common stock pursuant to a restricted stock purchase agreement for an aggregate purchase price of $6,000. In connection with the merger with Transdel Pharmaceuticals Holdings, Inc., these 6,000,000 shares of Transdel Pharmaceuticals Holdings, Inc.’s common stock converted into 937,500 shares of our common stock.</w:t>
      </w:r>
    </w:p>
    <w:p>
      <w:pPr>
        <w:spacing w:after="0" w:line="184" w:lineRule="exact"/>
        <w:rPr>
          <w:sz w:val="20"/>
          <w:szCs w:val="20"/>
          <w:color w:val="auto"/>
        </w:rPr>
      </w:pPr>
    </w:p>
    <w:p>
      <w:pPr>
        <w:ind w:right="80" w:firstLine="519"/>
        <w:spacing w:after="0" w:line="274" w:lineRule="auto"/>
        <w:rPr>
          <w:sz w:val="20"/>
          <w:szCs w:val="20"/>
          <w:color w:val="auto"/>
        </w:rPr>
      </w:pPr>
      <w:r>
        <w:rPr>
          <w:rFonts w:ascii="Arial" w:cs="Arial" w:eastAsia="Arial" w:hAnsi="Arial"/>
          <w:sz w:val="14"/>
          <w:szCs w:val="14"/>
          <w:color w:val="auto"/>
        </w:rPr>
        <w:t>On March 20, 2007, Dr. Singh purchased 8,000,000 shares of Transdel Pharmaceuticals Holdings, Inc.’s common stock pursuant to a Restricted Stock Purchase Agreement for an aggregate purchase price of $8,000, which was paid by the cancellation of indebtedness in the amount of $8,000 owed to Dr. Singh. In connection with the merger with Transdel Pharmaceuticals Holdings, Inc., these 8,000,000 shares of Transdel Pharmaceuticals Holdings, Inc.’s common stock converted into 1,250,000 shares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32" w:lineRule="exact"/>
        <w:rPr>
          <w:sz w:val="20"/>
          <w:szCs w:val="20"/>
          <w:color w:val="auto"/>
        </w:rPr>
      </w:pPr>
    </w:p>
    <w:p>
      <w:pPr>
        <w:ind w:right="20" w:firstLine="519"/>
        <w:spacing w:after="0" w:line="264" w:lineRule="auto"/>
        <w:rPr>
          <w:sz w:val="20"/>
          <w:szCs w:val="20"/>
          <w:color w:val="auto"/>
        </w:rPr>
      </w:pPr>
      <w:r>
        <w:rPr>
          <w:rFonts w:ascii="Arial" w:cs="Arial" w:eastAsia="Arial" w:hAnsi="Arial"/>
          <w:sz w:val="14"/>
          <w:szCs w:val="14"/>
          <w:color w:val="auto"/>
        </w:rPr>
        <w:t>The following tables set forth certain information as of January 18, 2008, regarding the beneficial ownership of our common stock by (i) each person or entity who, to our knowledge, owns more than 5% of our common stock; (ii) our Chief Executive Officer; (iii) each director; and (iv) all of our executive officers and directors as a group. Unless otherwise indicated in the footnotes to the following table, each person named in the table has sole voting and investment power with respect to shares of common stock and that person’s address is c/o Transdel Pharmaceuticals, Inc. 4225 Executive Square, Suite 460, La Jolla, California 92037. Shares of common stock subject to options, warrants, or other rights currently exercisable or exercisable within 60 days of January 18, 2008, are deemed to be beneficially owned and outstanding for computing the share ownership and percentage of the stockholder holding such options, warrants or other rights, but are not deemed outstanding for computing the percentage of any other stockholder.</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ind w:left="3500"/>
              <w:spacing w:after="0"/>
              <w:rPr>
                <w:sz w:val="20"/>
                <w:szCs w:val="20"/>
                <w:color w:val="auto"/>
              </w:rPr>
            </w:pPr>
            <w:r>
              <w:rPr>
                <w:rFonts w:ascii="Arial" w:cs="Arial" w:eastAsia="Arial" w:hAnsi="Arial"/>
                <w:sz w:val="14"/>
                <w:szCs w:val="14"/>
                <w:color w:val="auto"/>
              </w:rPr>
              <w:t>Name of</w:t>
            </w:r>
          </w:p>
        </w:tc>
        <w:tc>
          <w:tcPr>
            <w:tcW w:w="2460" w:type="dxa"/>
            <w:vAlign w:val="bottom"/>
            <w:gridSpan w:val="3"/>
          </w:tcPr>
          <w:p>
            <w:pPr>
              <w:jc w:val="right"/>
              <w:ind w:right="440"/>
              <w:spacing w:after="0"/>
              <w:rPr>
                <w:sz w:val="20"/>
                <w:szCs w:val="20"/>
                <w:color w:val="auto"/>
              </w:rPr>
            </w:pPr>
            <w:r>
              <w:rPr>
                <w:rFonts w:ascii="Arial" w:cs="Arial" w:eastAsia="Arial" w:hAnsi="Arial"/>
                <w:sz w:val="14"/>
                <w:szCs w:val="14"/>
                <w:color w:val="auto"/>
              </w:rPr>
              <w:t>Number of Shares Beneficially</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color w:val="auto"/>
              </w:rPr>
              <w:t>Percentage</w:t>
            </w:r>
          </w:p>
        </w:tc>
      </w:tr>
      <w:tr>
        <w:trPr>
          <w:trHeight w:val="214"/>
        </w:trPr>
        <w:tc>
          <w:tcPr>
            <w:tcW w:w="7500" w:type="dxa"/>
            <w:vAlign w:val="bottom"/>
            <w:tcBorders>
              <w:bottom w:val="single" w:sz="8" w:color="auto"/>
            </w:tcBorders>
          </w:tcPr>
          <w:p>
            <w:pPr>
              <w:ind w:left="3240"/>
              <w:spacing w:after="0"/>
              <w:rPr>
                <w:sz w:val="20"/>
                <w:szCs w:val="20"/>
                <w:color w:val="auto"/>
              </w:rPr>
            </w:pPr>
            <w:r>
              <w:rPr>
                <w:rFonts w:ascii="Arial" w:cs="Arial" w:eastAsia="Arial" w:hAnsi="Arial"/>
                <w:sz w:val="14"/>
                <w:szCs w:val="14"/>
                <w:color w:val="auto"/>
              </w:rPr>
              <w:t>Beneficial Owner</w:t>
            </w:r>
          </w:p>
        </w:tc>
        <w:tc>
          <w:tcPr>
            <w:tcW w:w="220" w:type="dxa"/>
            <w:vAlign w:val="bottom"/>
          </w:tcPr>
          <w:p>
            <w:pPr>
              <w:spacing w:after="0"/>
              <w:rPr>
                <w:sz w:val="18"/>
                <w:szCs w:val="18"/>
                <w:color w:val="auto"/>
              </w:rPr>
            </w:pPr>
          </w:p>
        </w:tc>
        <w:tc>
          <w:tcPr>
            <w:tcW w:w="18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Owned</w:t>
            </w:r>
          </w:p>
        </w:tc>
        <w:tc>
          <w:tcPr>
            <w:tcW w:w="44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14" w:lineRule="exact"/>
              <w:rPr>
                <w:sz w:val="20"/>
                <w:szCs w:val="20"/>
                <w:color w:val="auto"/>
              </w:rPr>
            </w:pPr>
            <w:r>
              <w:rPr>
                <w:rFonts w:ascii="Arial" w:cs="Arial" w:eastAsia="Arial" w:hAnsi="Arial"/>
                <w:sz w:val="14"/>
                <w:szCs w:val="14"/>
                <w:color w:val="auto"/>
                <w:w w:val="94"/>
              </w:rPr>
              <w:t xml:space="preserve">Beneficially Owned </w:t>
            </w:r>
            <w:r>
              <w:rPr>
                <w:rFonts w:ascii="Arial" w:cs="Arial" w:eastAsia="Arial" w:hAnsi="Arial"/>
                <w:sz w:val="24"/>
                <w:szCs w:val="24"/>
                <w:color w:val="auto"/>
                <w:w w:val="94"/>
                <w:vertAlign w:val="superscript"/>
              </w:rPr>
              <w:t>(1)</w:t>
            </w:r>
          </w:p>
        </w:tc>
        <w:tc>
          <w:tcPr>
            <w:tcW w:w="120" w:type="dxa"/>
            <w:vAlign w:val="bottom"/>
          </w:tcPr>
          <w:p>
            <w:pPr>
              <w:spacing w:after="0"/>
              <w:rPr>
                <w:sz w:val="18"/>
                <w:szCs w:val="18"/>
                <w:color w:val="auto"/>
              </w:rPr>
            </w:pPr>
          </w:p>
        </w:tc>
      </w:tr>
      <w:tr>
        <w:trPr>
          <w:trHeight w:val="207"/>
        </w:trPr>
        <w:tc>
          <w:tcPr>
            <w:tcW w:w="7500" w:type="dxa"/>
            <w:vAlign w:val="bottom"/>
            <w:shd w:val="clear" w:color="auto" w:fill="CBFFCB"/>
          </w:tcPr>
          <w:p>
            <w:pPr>
              <w:spacing w:after="0"/>
              <w:rPr>
                <w:sz w:val="20"/>
                <w:szCs w:val="20"/>
                <w:color w:val="auto"/>
              </w:rPr>
            </w:pPr>
            <w:r>
              <w:rPr>
                <w:rFonts w:ascii="Arial" w:cs="Arial" w:eastAsia="Arial" w:hAnsi="Arial"/>
                <w:sz w:val="14"/>
                <w:szCs w:val="14"/>
                <w:color w:val="auto"/>
              </w:rPr>
              <w:t>The Abrams Family Trust</w:t>
            </w:r>
          </w:p>
        </w:tc>
        <w:tc>
          <w:tcPr>
            <w:tcW w:w="2460" w:type="dxa"/>
            <w:vAlign w:val="bottom"/>
            <w:gridSpan w:val="3"/>
            <w:shd w:val="clear" w:color="auto" w:fill="CBFFCB"/>
          </w:tcPr>
          <w:p>
            <w:pPr>
              <w:jc w:val="right"/>
              <w:ind w:right="280"/>
              <w:spacing w:after="0"/>
              <w:rPr>
                <w:sz w:val="20"/>
                <w:szCs w:val="20"/>
                <w:color w:val="auto"/>
              </w:rPr>
            </w:pPr>
            <w:r>
              <w:rPr>
                <w:rFonts w:ascii="Arial" w:cs="Arial" w:eastAsia="Arial" w:hAnsi="Arial"/>
                <w:sz w:val="14"/>
                <w:szCs w:val="14"/>
                <w:color w:val="auto"/>
              </w:rPr>
              <w:t>1,562,500(2)</w:t>
            </w:r>
          </w:p>
        </w:tc>
        <w:tc>
          <w:tcPr>
            <w:tcW w:w="1500" w:type="dxa"/>
            <w:vAlign w:val="bottom"/>
            <w:gridSpan w:val="2"/>
            <w:shd w:val="clear" w:color="auto" w:fill="CBFFCB"/>
          </w:tcPr>
          <w:p>
            <w:pPr>
              <w:jc w:val="right"/>
              <w:spacing w:after="0"/>
              <w:rPr>
                <w:sz w:val="20"/>
                <w:szCs w:val="20"/>
                <w:color w:val="auto"/>
              </w:rPr>
            </w:pPr>
            <w:r>
              <w:rPr>
                <w:rFonts w:ascii="Arial" w:cs="Arial" w:eastAsia="Arial" w:hAnsi="Arial"/>
                <w:sz w:val="14"/>
                <w:szCs w:val="14"/>
                <w:color w:val="auto"/>
              </w:rPr>
              <w:t>11.4%</w:t>
            </w:r>
          </w:p>
        </w:tc>
      </w:tr>
      <w:tr>
        <w:trPr>
          <w:trHeight w:val="194"/>
        </w:trPr>
        <w:tc>
          <w:tcPr>
            <w:tcW w:w="7500" w:type="dxa"/>
            <w:vAlign w:val="bottom"/>
          </w:tcPr>
          <w:p>
            <w:pPr>
              <w:spacing w:after="0"/>
              <w:rPr>
                <w:sz w:val="20"/>
                <w:szCs w:val="20"/>
                <w:color w:val="auto"/>
              </w:rPr>
            </w:pPr>
            <w:r>
              <w:rPr>
                <w:rFonts w:ascii="Arial" w:cs="Arial" w:eastAsia="Arial" w:hAnsi="Arial"/>
                <w:sz w:val="14"/>
                <w:szCs w:val="14"/>
                <w:color w:val="auto"/>
              </w:rPr>
              <w:t>Juliet Singh, Ph.D.</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1,953,125</w:t>
            </w:r>
          </w:p>
        </w:tc>
        <w:tc>
          <w:tcPr>
            <w:tcW w:w="4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14.2%</w:t>
            </w:r>
          </w:p>
        </w:tc>
      </w:tr>
      <w:tr>
        <w:trPr>
          <w:trHeight w:val="217"/>
        </w:trPr>
        <w:tc>
          <w:tcPr>
            <w:tcW w:w="7500" w:type="dxa"/>
            <w:vAlign w:val="bottom"/>
            <w:shd w:val="clear" w:color="auto" w:fill="CBFFCB"/>
          </w:tcPr>
          <w:p>
            <w:pPr>
              <w:spacing w:after="0"/>
              <w:rPr>
                <w:sz w:val="20"/>
                <w:szCs w:val="20"/>
                <w:color w:val="auto"/>
              </w:rPr>
            </w:pPr>
            <w:r>
              <w:rPr>
                <w:rFonts w:ascii="Arial" w:cs="Arial" w:eastAsia="Arial" w:hAnsi="Arial"/>
                <w:sz w:val="14"/>
                <w:szCs w:val="14"/>
                <w:color w:val="auto"/>
              </w:rPr>
              <w:t>Jeffrey J. Abrams, M.D.</w:t>
            </w:r>
          </w:p>
        </w:tc>
        <w:tc>
          <w:tcPr>
            <w:tcW w:w="2460" w:type="dxa"/>
            <w:vAlign w:val="bottom"/>
            <w:gridSpan w:val="3"/>
            <w:shd w:val="clear" w:color="auto" w:fill="CBFFCB"/>
          </w:tcPr>
          <w:p>
            <w:pPr>
              <w:jc w:val="right"/>
              <w:ind w:right="280"/>
              <w:spacing w:after="0"/>
              <w:rPr>
                <w:sz w:val="20"/>
                <w:szCs w:val="20"/>
                <w:color w:val="auto"/>
              </w:rPr>
            </w:pPr>
            <w:r>
              <w:rPr>
                <w:rFonts w:ascii="Arial" w:cs="Arial" w:eastAsia="Arial" w:hAnsi="Arial"/>
                <w:sz w:val="14"/>
                <w:szCs w:val="14"/>
                <w:color w:val="auto"/>
              </w:rPr>
              <w:t>-(3)</w:t>
            </w:r>
          </w:p>
        </w:tc>
        <w:tc>
          <w:tcPr>
            <w:tcW w:w="1380" w:type="dxa"/>
            <w:vAlign w:val="bottom"/>
            <w:shd w:val="clear" w:color="auto" w:fill="CBFFC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BFFCB"/>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4"/>
                <w:szCs w:val="14"/>
                <w:color w:val="auto"/>
              </w:rPr>
              <w:t>Anthony S. Thornley</w:t>
            </w:r>
          </w:p>
        </w:tc>
        <w:tc>
          <w:tcPr>
            <w:tcW w:w="2460" w:type="dxa"/>
            <w:vAlign w:val="bottom"/>
            <w:gridSpan w:val="3"/>
          </w:tcPr>
          <w:p>
            <w:pPr>
              <w:jc w:val="right"/>
              <w:ind w:right="280"/>
              <w:spacing w:after="0"/>
              <w:rPr>
                <w:sz w:val="20"/>
                <w:szCs w:val="20"/>
                <w:color w:val="auto"/>
              </w:rPr>
            </w:pPr>
            <w:r>
              <w:rPr>
                <w:rFonts w:ascii="Arial" w:cs="Arial" w:eastAsia="Arial" w:hAnsi="Arial"/>
                <w:sz w:val="14"/>
                <w:szCs w:val="14"/>
                <w:color w:val="auto"/>
              </w:rPr>
              <w:t>62,500(4)</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5"/>
        </w:trPr>
        <w:tc>
          <w:tcPr>
            <w:tcW w:w="7500" w:type="dxa"/>
            <w:vAlign w:val="bottom"/>
            <w:shd w:val="clear" w:color="auto" w:fill="CBFFCB"/>
          </w:tcPr>
          <w:p>
            <w:pPr>
              <w:spacing w:after="0"/>
              <w:rPr>
                <w:sz w:val="20"/>
                <w:szCs w:val="20"/>
                <w:color w:val="auto"/>
              </w:rPr>
            </w:pPr>
            <w:r>
              <w:rPr>
                <w:rFonts w:ascii="Arial" w:cs="Arial" w:eastAsia="Arial" w:hAnsi="Arial"/>
                <w:sz w:val="14"/>
                <w:szCs w:val="14"/>
                <w:color w:val="auto"/>
              </w:rPr>
              <w:t>Joseph Grasela(5)</w:t>
            </w:r>
          </w:p>
        </w:tc>
        <w:tc>
          <w:tcPr>
            <w:tcW w:w="2020" w:type="dxa"/>
            <w:vAlign w:val="bottom"/>
            <w:gridSpan w:val="2"/>
            <w:shd w:val="clear" w:color="auto" w:fill="CBFFCB"/>
          </w:tcPr>
          <w:p>
            <w:pPr>
              <w:jc w:val="right"/>
              <w:spacing w:after="0"/>
              <w:rPr>
                <w:sz w:val="20"/>
                <w:szCs w:val="20"/>
                <w:color w:val="auto"/>
              </w:rPr>
            </w:pPr>
            <w:r>
              <w:rPr>
                <w:rFonts w:ascii="Arial" w:cs="Arial" w:eastAsia="Arial" w:hAnsi="Arial"/>
                <w:sz w:val="14"/>
                <w:szCs w:val="14"/>
                <w:color w:val="auto"/>
              </w:rPr>
              <w:t>1,171,875</w:t>
            </w:r>
          </w:p>
        </w:tc>
        <w:tc>
          <w:tcPr>
            <w:tcW w:w="440" w:type="dxa"/>
            <w:vAlign w:val="bottom"/>
            <w:shd w:val="clear" w:color="auto" w:fill="CBFFCB"/>
          </w:tcPr>
          <w:p>
            <w:pPr>
              <w:spacing w:after="0"/>
              <w:rPr>
                <w:sz w:val="16"/>
                <w:szCs w:val="16"/>
                <w:color w:val="auto"/>
              </w:rPr>
            </w:pPr>
          </w:p>
        </w:tc>
        <w:tc>
          <w:tcPr>
            <w:tcW w:w="1500" w:type="dxa"/>
            <w:vAlign w:val="bottom"/>
            <w:gridSpan w:val="2"/>
            <w:shd w:val="clear" w:color="auto" w:fill="CBFFCB"/>
          </w:tcPr>
          <w:p>
            <w:pPr>
              <w:jc w:val="right"/>
              <w:spacing w:after="0"/>
              <w:rPr>
                <w:sz w:val="20"/>
                <w:szCs w:val="20"/>
                <w:color w:val="auto"/>
              </w:rPr>
            </w:pPr>
            <w:r>
              <w:rPr>
                <w:rFonts w:ascii="Arial" w:cs="Arial" w:eastAsia="Arial" w:hAnsi="Arial"/>
                <w:sz w:val="14"/>
                <w:szCs w:val="14"/>
                <w:color w:val="auto"/>
              </w:rPr>
              <w:t>8.5%</w:t>
            </w:r>
          </w:p>
        </w:tc>
      </w:tr>
      <w:tr>
        <w:trPr>
          <w:trHeight w:val="194"/>
        </w:trPr>
        <w:tc>
          <w:tcPr>
            <w:tcW w:w="7500" w:type="dxa"/>
            <w:vAlign w:val="bottom"/>
          </w:tcPr>
          <w:p>
            <w:pPr>
              <w:spacing w:after="0"/>
              <w:rPr>
                <w:sz w:val="20"/>
                <w:szCs w:val="20"/>
                <w:color w:val="auto"/>
              </w:rPr>
            </w:pPr>
            <w:r>
              <w:rPr>
                <w:rFonts w:ascii="Arial" w:cs="Arial" w:eastAsia="Arial" w:hAnsi="Arial"/>
                <w:sz w:val="14"/>
                <w:szCs w:val="14"/>
                <w:color w:val="auto"/>
              </w:rPr>
              <w:t>John C. Grasela(5)</w:t>
            </w:r>
          </w:p>
        </w:tc>
        <w:tc>
          <w:tcPr>
            <w:tcW w:w="2020" w:type="dxa"/>
            <w:vAlign w:val="bottom"/>
            <w:gridSpan w:val="2"/>
          </w:tcPr>
          <w:p>
            <w:pPr>
              <w:jc w:val="right"/>
              <w:spacing w:after="0"/>
              <w:rPr>
                <w:sz w:val="20"/>
                <w:szCs w:val="20"/>
                <w:color w:val="auto"/>
              </w:rPr>
            </w:pPr>
            <w:r>
              <w:rPr>
                <w:rFonts w:ascii="Arial" w:cs="Arial" w:eastAsia="Arial" w:hAnsi="Arial"/>
                <w:sz w:val="14"/>
                <w:szCs w:val="14"/>
                <w:color w:val="auto"/>
              </w:rPr>
              <w:t>1,171,875</w:t>
            </w:r>
          </w:p>
        </w:tc>
        <w:tc>
          <w:tcPr>
            <w:tcW w:w="440" w:type="dxa"/>
            <w:vAlign w:val="bottom"/>
          </w:tcPr>
          <w:p>
            <w:pPr>
              <w:spacing w:after="0"/>
              <w:rPr>
                <w:sz w:val="16"/>
                <w:szCs w:val="16"/>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8.5%</w:t>
            </w:r>
          </w:p>
        </w:tc>
      </w:tr>
      <w:tr>
        <w:trPr>
          <w:trHeight w:val="195"/>
        </w:trPr>
        <w:tc>
          <w:tcPr>
            <w:tcW w:w="7500" w:type="dxa"/>
            <w:vAlign w:val="bottom"/>
            <w:shd w:val="clear" w:color="auto" w:fill="CBFFCB"/>
          </w:tcPr>
          <w:p>
            <w:pPr>
              <w:spacing w:after="0"/>
              <w:rPr>
                <w:sz w:val="20"/>
                <w:szCs w:val="20"/>
                <w:color w:val="auto"/>
              </w:rPr>
            </w:pPr>
            <w:r>
              <w:rPr>
                <w:rFonts w:ascii="Arial" w:cs="Arial" w:eastAsia="Arial" w:hAnsi="Arial"/>
                <w:sz w:val="14"/>
                <w:szCs w:val="14"/>
                <w:color w:val="auto"/>
              </w:rPr>
              <w:t>John T. Lomoro</w:t>
            </w:r>
          </w:p>
        </w:tc>
        <w:tc>
          <w:tcPr>
            <w:tcW w:w="2020" w:type="dxa"/>
            <w:vAlign w:val="bottom"/>
            <w:gridSpan w:val="2"/>
            <w:shd w:val="clear" w:color="auto" w:fill="CBFFCB"/>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BFFCB"/>
          </w:tcPr>
          <w:p>
            <w:pPr>
              <w:spacing w:after="0"/>
              <w:rPr>
                <w:sz w:val="16"/>
                <w:szCs w:val="16"/>
                <w:color w:val="auto"/>
              </w:rPr>
            </w:pPr>
          </w:p>
        </w:tc>
        <w:tc>
          <w:tcPr>
            <w:tcW w:w="1380" w:type="dxa"/>
            <w:vAlign w:val="bottom"/>
            <w:shd w:val="clear" w:color="auto" w:fill="CBFFCB"/>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BFFCB"/>
          </w:tcPr>
          <w:p>
            <w:pPr>
              <w:spacing w:after="0"/>
              <w:rPr>
                <w:sz w:val="16"/>
                <w:szCs w:val="16"/>
                <w:color w:val="auto"/>
              </w:rPr>
            </w:pPr>
          </w:p>
        </w:tc>
      </w:tr>
      <w:tr>
        <w:trPr>
          <w:trHeight w:val="194"/>
        </w:trPr>
        <w:tc>
          <w:tcPr>
            <w:tcW w:w="7500" w:type="dxa"/>
            <w:vAlign w:val="bottom"/>
          </w:tcPr>
          <w:p>
            <w:pPr>
              <w:spacing w:after="0"/>
              <w:rPr>
                <w:sz w:val="20"/>
                <w:szCs w:val="20"/>
                <w:color w:val="auto"/>
              </w:rPr>
            </w:pPr>
            <w:r>
              <w:rPr>
                <w:rFonts w:ascii="Arial" w:cs="Arial" w:eastAsia="Arial" w:hAnsi="Arial"/>
                <w:sz w:val="14"/>
                <w:szCs w:val="14"/>
                <w:color w:val="auto"/>
              </w:rPr>
              <w:t>Balbir Brar, D.V.M., Ph. D.</w:t>
            </w:r>
          </w:p>
        </w:tc>
        <w:tc>
          <w:tcPr>
            <w:tcW w:w="2460" w:type="dxa"/>
            <w:vAlign w:val="bottom"/>
            <w:gridSpan w:val="3"/>
          </w:tcPr>
          <w:p>
            <w:pPr>
              <w:jc w:val="right"/>
              <w:ind w:right="440"/>
              <w:spacing w:after="0"/>
              <w:rPr>
                <w:sz w:val="20"/>
                <w:szCs w:val="20"/>
                <w:color w:val="auto"/>
              </w:rPr>
            </w:pPr>
            <w:r>
              <w:rPr>
                <w:rFonts w:ascii="Arial" w:cs="Arial" w:eastAsia="Arial" w:hAnsi="Arial"/>
                <w:sz w:val="14"/>
                <w:szCs w:val="14"/>
                <w:color w:val="auto"/>
              </w:rPr>
              <w:t>398,438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2.9%</w:t>
            </w:r>
          </w:p>
        </w:tc>
      </w:tr>
      <w:tr>
        <w:trPr>
          <w:trHeight w:val="195"/>
        </w:trPr>
        <w:tc>
          <w:tcPr>
            <w:tcW w:w="7500" w:type="dxa"/>
            <w:vAlign w:val="bottom"/>
            <w:shd w:val="clear" w:color="auto" w:fill="CBFFCB"/>
          </w:tcPr>
          <w:p>
            <w:pPr>
              <w:spacing w:after="0"/>
              <w:rPr>
                <w:sz w:val="20"/>
                <w:szCs w:val="20"/>
                <w:color w:val="auto"/>
              </w:rPr>
            </w:pPr>
            <w:r>
              <w:rPr>
                <w:rFonts w:ascii="Arial" w:cs="Arial" w:eastAsia="Arial" w:hAnsi="Arial"/>
                <w:sz w:val="14"/>
                <w:szCs w:val="14"/>
                <w:color w:val="auto"/>
              </w:rPr>
              <w:t>All executive officers and directors as a group (5 persons)</w:t>
            </w:r>
          </w:p>
        </w:tc>
        <w:tc>
          <w:tcPr>
            <w:tcW w:w="2020" w:type="dxa"/>
            <w:vAlign w:val="bottom"/>
            <w:gridSpan w:val="2"/>
            <w:shd w:val="clear" w:color="auto" w:fill="CBFFCB"/>
          </w:tcPr>
          <w:p>
            <w:pPr>
              <w:jc w:val="right"/>
              <w:spacing w:after="0"/>
              <w:rPr>
                <w:sz w:val="20"/>
                <w:szCs w:val="20"/>
                <w:color w:val="auto"/>
              </w:rPr>
            </w:pPr>
            <w:r>
              <w:rPr>
                <w:rFonts w:ascii="Arial" w:cs="Arial" w:eastAsia="Arial" w:hAnsi="Arial"/>
                <w:sz w:val="14"/>
                <w:szCs w:val="14"/>
                <w:color w:val="auto"/>
              </w:rPr>
              <w:t>3,976,563</w:t>
            </w:r>
          </w:p>
        </w:tc>
        <w:tc>
          <w:tcPr>
            <w:tcW w:w="440" w:type="dxa"/>
            <w:vAlign w:val="bottom"/>
            <w:shd w:val="clear" w:color="auto" w:fill="CBFFCB"/>
          </w:tcPr>
          <w:p>
            <w:pPr>
              <w:spacing w:after="0"/>
              <w:rPr>
                <w:sz w:val="16"/>
                <w:szCs w:val="16"/>
                <w:color w:val="auto"/>
              </w:rPr>
            </w:pPr>
          </w:p>
        </w:tc>
        <w:tc>
          <w:tcPr>
            <w:tcW w:w="1500" w:type="dxa"/>
            <w:vAlign w:val="bottom"/>
            <w:gridSpan w:val="2"/>
            <w:shd w:val="clear" w:color="auto" w:fill="CBFFCB"/>
          </w:tcPr>
          <w:p>
            <w:pPr>
              <w:jc w:val="right"/>
              <w:spacing w:after="0"/>
              <w:rPr>
                <w:sz w:val="20"/>
                <w:szCs w:val="20"/>
                <w:color w:val="auto"/>
              </w:rPr>
            </w:pPr>
            <w:r>
              <w:rPr>
                <w:rFonts w:ascii="Arial" w:cs="Arial" w:eastAsia="Arial" w:hAnsi="Arial"/>
                <w:sz w:val="14"/>
                <w:szCs w:val="14"/>
                <w:color w:val="auto"/>
              </w:rPr>
              <w:t>29.0%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110553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5535" cy="6985"/>
                    </a:xfrm>
                    <a:prstGeom prst="rect">
                      <a:avLst/>
                    </a:prstGeom>
                    <a:noFill/>
                  </pic:spPr>
                </pic:pic>
              </a:graphicData>
            </a:graphic>
          </wp:anchor>
        </w:drawing>
      </w:r>
    </w:p>
    <w:p>
      <w:pPr>
        <w:spacing w:after="0" w:line="380" w:lineRule="exact"/>
        <w:rPr>
          <w:sz w:val="20"/>
          <w:szCs w:val="20"/>
          <w:color w:val="auto"/>
        </w:rPr>
      </w:pPr>
    </w:p>
    <w:p>
      <w:pPr>
        <w:ind w:left="660" w:hanging="653"/>
        <w:spacing w:after="0"/>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39" w:lineRule="exact"/>
        <w:rPr>
          <w:sz w:val="20"/>
          <w:szCs w:val="20"/>
          <w:color w:val="auto"/>
        </w:rPr>
      </w:pPr>
    </w:p>
    <w:p>
      <w:pPr>
        <w:ind w:left="260" w:hanging="253"/>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13,727,004 shares of our common stock issued and outstanding as of January 18, 2008.</w:t>
      </w:r>
    </w:p>
    <w:p>
      <w:pPr>
        <w:spacing w:after="0" w:line="228" w:lineRule="exact"/>
        <w:rPr>
          <w:rFonts w:ascii="Arial" w:cs="Arial" w:eastAsia="Arial" w:hAnsi="Arial"/>
          <w:sz w:val="14"/>
          <w:szCs w:val="14"/>
          <w:color w:val="auto"/>
        </w:rPr>
      </w:pPr>
    </w:p>
    <w:p>
      <w:pPr>
        <w:ind w:left="260" w:right="20" w:hanging="253"/>
        <w:spacing w:after="0" w:line="290"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Jeffrey J. Abrams, M.D., a director, is a trustee of the Abrams Family Trust. Dr. Abrams has sole voting and investment control with respect to the shares of common stock owned by the Abrams Family Trust.</w:t>
      </w:r>
    </w:p>
    <w:p>
      <w:pPr>
        <w:spacing w:after="0" w:line="173" w:lineRule="exact"/>
        <w:rPr>
          <w:rFonts w:ascii="Arial" w:cs="Arial" w:eastAsia="Arial" w:hAnsi="Arial"/>
          <w:sz w:val="14"/>
          <w:szCs w:val="14"/>
          <w:color w:val="auto"/>
        </w:rPr>
      </w:pPr>
    </w:p>
    <w:p>
      <w:pPr>
        <w:ind w:left="260" w:hanging="253"/>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 Abrams is a trustee of the Abrams Family Trust, which owns 1,562,500 shares of our common stock.</w:t>
      </w:r>
    </w:p>
    <w:p>
      <w:pPr>
        <w:spacing w:after="0" w:line="228" w:lineRule="exact"/>
        <w:rPr>
          <w:rFonts w:ascii="Arial" w:cs="Arial" w:eastAsia="Arial" w:hAnsi="Arial"/>
          <w:sz w:val="14"/>
          <w:szCs w:val="14"/>
          <w:color w:val="auto"/>
        </w:rPr>
      </w:pPr>
    </w:p>
    <w:p>
      <w:pPr>
        <w:ind w:left="260" w:hanging="253"/>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12,500 shares of common stock issuable upon the exercise of warrants.</w:t>
      </w:r>
    </w:p>
    <w:p>
      <w:pPr>
        <w:spacing w:after="0" w:line="228" w:lineRule="exact"/>
        <w:rPr>
          <w:rFonts w:ascii="Arial" w:cs="Arial" w:eastAsia="Arial" w:hAnsi="Arial"/>
          <w:sz w:val="14"/>
          <w:szCs w:val="14"/>
          <w:color w:val="auto"/>
        </w:rPr>
      </w:pPr>
    </w:p>
    <w:p>
      <w:pPr>
        <w:ind w:left="260" w:hanging="253"/>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Joseph Grasela and John C. Grasela are adult siblings living in separate households.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4"/>
          <w:szCs w:val="14"/>
          <w:b w:val="1"/>
          <w:bCs w:val="1"/>
          <w:color w:val="auto"/>
        </w:rPr>
        <w:t>SELLING STOCKHOLDERS</w:t>
      </w:r>
    </w:p>
    <w:p>
      <w:pPr>
        <w:spacing w:after="0" w:line="232" w:lineRule="exact"/>
        <w:rPr>
          <w:sz w:val="20"/>
          <w:szCs w:val="20"/>
          <w:color w:val="auto"/>
        </w:rPr>
      </w:pPr>
    </w:p>
    <w:p>
      <w:pPr>
        <w:ind w:right="460" w:firstLine="519"/>
        <w:spacing w:after="0" w:line="290" w:lineRule="auto"/>
        <w:rPr>
          <w:sz w:val="20"/>
          <w:szCs w:val="20"/>
          <w:color w:val="auto"/>
        </w:rPr>
      </w:pPr>
      <w:r>
        <w:rPr>
          <w:rFonts w:ascii="Arial" w:cs="Arial" w:eastAsia="Arial" w:hAnsi="Arial"/>
          <w:sz w:val="14"/>
          <w:szCs w:val="14"/>
          <w:color w:val="auto"/>
        </w:rPr>
        <w:t>Up to 4,438,719 shares of common stock are being offered by this prospectus, all of which are being registered for sale for the accounts of the selling security holders and include the following:</w:t>
      </w:r>
    </w:p>
    <w:p>
      <w:pPr>
        <w:spacing w:after="0" w:line="173" w:lineRule="exact"/>
        <w:rPr>
          <w:sz w:val="20"/>
          <w:szCs w:val="20"/>
          <w:color w:val="auto"/>
        </w:rPr>
      </w:pPr>
    </w:p>
    <w:p>
      <w:pPr>
        <w:ind w:left="1040" w:hanging="255"/>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2,064,834 shares of common stock that were issued to accredited investors in connection with the private offerings in September 2007 and October 2007;</w:t>
      </w:r>
    </w:p>
    <w:p>
      <w:pPr>
        <w:spacing w:after="0" w:line="271" w:lineRule="exact"/>
        <w:rPr>
          <w:rFonts w:ascii="Arial" w:cs="Arial" w:eastAsia="Arial" w:hAnsi="Arial"/>
          <w:sz w:val="14"/>
          <w:szCs w:val="14"/>
          <w:color w:val="auto"/>
        </w:rPr>
      </w:pPr>
    </w:p>
    <w:p>
      <w:pPr>
        <w:ind w:left="1040" w:right="40" w:hanging="255"/>
        <w:spacing w:after="0" w:line="290"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516,208 shares of common stock issuable upon exercise of warrants exercisable at a cash exercise price of $4.00 per share and a cashless exercise price of $5.00 per share that were issued to accredited investors in connection with the private offerings in September 2007 and October 2007;</w:t>
      </w:r>
    </w:p>
    <w:p>
      <w:pPr>
        <w:spacing w:after="0" w:line="173" w:lineRule="exact"/>
        <w:rPr>
          <w:rFonts w:ascii="Arial" w:cs="Arial" w:eastAsia="Arial" w:hAnsi="Arial"/>
          <w:sz w:val="14"/>
          <w:szCs w:val="14"/>
          <w:color w:val="auto"/>
        </w:rPr>
      </w:pPr>
    </w:p>
    <w:p>
      <w:pPr>
        <w:ind w:left="1040" w:right="100" w:hanging="255"/>
        <w:spacing w:after="0" w:line="290" w:lineRule="auto"/>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33,750 shares of common stock issuable upon exercise of warrants exercisable at a cash exercise price of $4.00 per share and a cashless exercise price of $5.00 per share that were issued to placement agents in connection with the private offerings in September 2007 and October 2007; and</w:t>
      </w:r>
    </w:p>
    <w:p>
      <w:pPr>
        <w:spacing w:after="0" w:line="173" w:lineRule="exact"/>
        <w:rPr>
          <w:rFonts w:ascii="Arial" w:cs="Arial" w:eastAsia="Arial" w:hAnsi="Arial"/>
          <w:sz w:val="14"/>
          <w:szCs w:val="14"/>
          <w:color w:val="auto"/>
        </w:rPr>
      </w:pPr>
    </w:p>
    <w:p>
      <w:pPr>
        <w:ind w:left="1040" w:hanging="255"/>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1,530,177 shares of common stock that were issued upon the conversion of $1,530,177 in indebtedness on September 17, 2007;</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275,000 other shares of common stock; and</w:t>
      </w:r>
    </w:p>
    <w:p>
      <w:pPr>
        <w:spacing w:after="0" w:line="271" w:lineRule="exact"/>
        <w:rPr>
          <w:rFonts w:ascii="Arial" w:cs="Arial" w:eastAsia="Arial" w:hAnsi="Arial"/>
          <w:sz w:val="14"/>
          <w:szCs w:val="14"/>
          <w:color w:val="auto"/>
        </w:rPr>
      </w:pPr>
    </w:p>
    <w:p>
      <w:pPr>
        <w:ind w:left="1040" w:hanging="255"/>
        <w:spacing w:after="0"/>
        <w:tabs>
          <w:tab w:leader="none" w:pos="10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18,750 shares of common stock issuable upon exercise of warrants.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Each of the transactions by which the selling stockholders acquired their securities from us was exempt under the registration provisions of the Securities Act of 1933, as amended.</w:t>
      </w:r>
    </w:p>
    <w:p>
      <w:pPr>
        <w:spacing w:after="0" w:line="240" w:lineRule="exact"/>
        <w:rPr>
          <w:sz w:val="20"/>
          <w:szCs w:val="20"/>
          <w:color w:val="auto"/>
        </w:rPr>
      </w:pPr>
    </w:p>
    <w:p>
      <w:pPr>
        <w:ind w:firstLine="519"/>
        <w:spacing w:after="0" w:line="268" w:lineRule="auto"/>
        <w:rPr>
          <w:sz w:val="20"/>
          <w:szCs w:val="20"/>
          <w:color w:val="auto"/>
        </w:rPr>
      </w:pPr>
      <w:r>
        <w:rPr>
          <w:rFonts w:ascii="Arial" w:cs="Arial" w:eastAsia="Arial" w:hAnsi="Arial"/>
          <w:sz w:val="14"/>
          <w:szCs w:val="14"/>
          <w:color w:val="auto"/>
        </w:rPr>
        <w:t>The shares of common stock referred to above are being registered to permit public sales of the shares, and the selling stockholders may offer the shares for resale from time to time pursuant to this prospectus. The selling stockholders may also sell, transfer or otherwise dispose of all or a portion of their shares in transactions exempt from the registration requirements of the Securities Act of 1933, as amended, or pursuant to another effective registration statement covering those shares. We may from time to time include additional selling stockholders in supplements or amendments to this prospectus.</w:t>
      </w:r>
    </w:p>
    <w:p>
      <w:pPr>
        <w:spacing w:after="0" w:line="190" w:lineRule="exact"/>
        <w:rPr>
          <w:sz w:val="20"/>
          <w:szCs w:val="20"/>
          <w:color w:val="auto"/>
        </w:rPr>
      </w:pPr>
    </w:p>
    <w:p>
      <w:pPr>
        <w:ind w:right="20" w:firstLine="519"/>
        <w:spacing w:after="0" w:line="268" w:lineRule="auto"/>
        <w:rPr>
          <w:sz w:val="20"/>
          <w:szCs w:val="20"/>
          <w:color w:val="auto"/>
        </w:rPr>
      </w:pPr>
      <w:r>
        <w:rPr>
          <w:rFonts w:ascii="Arial" w:cs="Arial" w:eastAsia="Arial" w:hAnsi="Arial"/>
          <w:sz w:val="14"/>
          <w:szCs w:val="14"/>
          <w:color w:val="auto"/>
        </w:rPr>
        <w:t>The table below sets forth certain information regarding the selling stockholders and the shares of our common stock offered by them in this prospectus. The selling stockholders have not had a material relationship with us within the past three years other than as described in the footnotes to the table below or as a result of their acquisition of our shares or other securities. To our knowledge, subject to community property laws where applicable, each person named in the table has sole voting and investment power with respect to the shares of common stock set forth opposite such person’s name.</w:t>
      </w:r>
    </w:p>
    <w:p>
      <w:pPr>
        <w:spacing w:after="0" w:line="190" w:lineRule="exact"/>
        <w:rPr>
          <w:sz w:val="20"/>
          <w:szCs w:val="20"/>
          <w:color w:val="auto"/>
        </w:rPr>
      </w:pPr>
    </w:p>
    <w:p>
      <w:pPr>
        <w:ind w:right="20" w:firstLine="519"/>
        <w:spacing w:after="0" w:line="295" w:lineRule="auto"/>
        <w:rPr>
          <w:sz w:val="20"/>
          <w:szCs w:val="20"/>
          <w:color w:val="auto"/>
        </w:rPr>
      </w:pPr>
      <w:r>
        <w:rPr>
          <w:rFonts w:ascii="Arial" w:cs="Arial" w:eastAsia="Arial" w:hAnsi="Arial"/>
          <w:sz w:val="13"/>
          <w:szCs w:val="13"/>
          <w:color w:val="auto"/>
        </w:rPr>
        <w:t>Beneficial ownership is determined in accordance with the rules of the Securities and Exchange Commission. In computing the number of shares beneficially owned by a selling stockholder and the percentage of ownership of that selling stockholder, shares of common stock issuable upon the exercise of warrants held by that selling stockholder that are convertible or exercisable, as the case may be, within 60 days of January 18, 2008, are included. Those shares, however, are not deemed outstanding for the purpose of computing the percentage ownership of any other selling stockholder. Each selling stockholder’s percentage of ownership of our outstanding shares in the table below is based upon 13,727,004 shares of common stock outstanding as of January 18, 2008.</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Ownership Before Offering</w:t>
            </w:r>
          </w:p>
        </w:tc>
        <w:tc>
          <w:tcPr>
            <w:tcW w:w="3060" w:type="dxa"/>
            <w:vAlign w:val="bottom"/>
            <w:gridSpan w:val="4"/>
          </w:tcPr>
          <w:p>
            <w:pPr>
              <w:ind w:left="940"/>
              <w:spacing w:after="0"/>
              <w:rPr>
                <w:sz w:val="20"/>
                <w:szCs w:val="20"/>
                <w:color w:val="auto"/>
              </w:rPr>
            </w:pPr>
            <w:r>
              <w:rPr>
                <w:rFonts w:ascii="Arial" w:cs="Arial" w:eastAsia="Arial" w:hAnsi="Arial"/>
                <w:sz w:val="14"/>
                <w:szCs w:val="14"/>
                <w:b w:val="1"/>
                <w:bCs w:val="1"/>
                <w:color w:val="auto"/>
              </w:rPr>
              <w:t>After Offering(1)</w:t>
            </w:r>
          </w:p>
        </w:tc>
      </w:tr>
      <w:tr>
        <w:trPr>
          <w:trHeight w:val="150"/>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of</w:t>
            </w:r>
          </w:p>
        </w:tc>
        <w:tc>
          <w:tcPr>
            <w:tcW w:w="2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 of</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beneficially</w:t>
            </w:r>
          </w:p>
        </w:tc>
        <w:tc>
          <w:tcPr>
            <w:tcW w:w="2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beneficially</w:t>
            </w:r>
          </w:p>
        </w:tc>
      </w:tr>
      <w:tr>
        <w:trPr>
          <w:trHeight w:val="187"/>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Selling Stockholder</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beneficially owned</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offered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24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owned</w:t>
            </w:r>
          </w:p>
        </w:tc>
      </w:tr>
      <w:tr>
        <w:trPr>
          <w:trHeight w:val="165"/>
        </w:trPr>
        <w:tc>
          <w:tcPr>
            <w:tcW w:w="4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Valentin Balter</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Sandor Capital Master Fund, L.P. (3)</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454,219(4)</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454,219(4)</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Moshe Krikeb</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80,000(5)</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80,000(5)</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Amos Ziv and Ayelet Neuman-Ziv</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16,875(6)</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16,875(6)</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Philip Chu</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Michael &amp; Sandra Irusalimsky 2000 Trust (8)</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Yury Dubrovsky</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46,875(9)</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46,875(9)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London Family Trust (10)</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302,685(11)</w:t>
            </w:r>
          </w:p>
        </w:tc>
        <w:tc>
          <w:tcPr>
            <w:tcW w:w="1620" w:type="dxa"/>
            <w:vAlign w:val="bottom"/>
            <w:gridSpan w:val="2"/>
            <w:shd w:val="clear" w:color="auto" w:fill="CCFFCC"/>
          </w:tcPr>
          <w:p>
            <w:pPr>
              <w:jc w:val="right"/>
              <w:ind w:right="20"/>
              <w:spacing w:after="0"/>
              <w:rPr>
                <w:sz w:val="20"/>
                <w:szCs w:val="20"/>
                <w:color w:val="auto"/>
              </w:rPr>
            </w:pPr>
            <w:r>
              <w:rPr>
                <w:rFonts w:ascii="Arial" w:cs="Arial" w:eastAsia="Arial" w:hAnsi="Arial"/>
                <w:sz w:val="14"/>
                <w:szCs w:val="14"/>
                <w:color w:val="auto"/>
              </w:rPr>
              <w:t>302,685(11)</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Pavel Khromchenko</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Boris Zaretsky</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6,250(12)</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6,250(12)</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Sergey O. Sablin</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125,000(13)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125,000(13)</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Koni Tamratzi</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9,375(14)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9,375(14)</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Andrew S. Corwin</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Lacuna Hedge Fund, LLP (15)</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567,774(16)</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567,774(16)</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Robert S. Colman Trust UDT 3/13/85 (17)</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297,777(18)</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297,777(18)</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Susan E. Saxton</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25,625(19)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25,625(19)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Phyllis Ulreich</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35,625(19)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35,625(19)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Chocolate Chip Investments LP (20)</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101,007(21)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101,007(21)</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Peddle Partners LLP (22)</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41,095(19)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41,095(19)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Alfred Gladstone</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36,028(19)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36,028(19)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DKR SoundShore Oasis Holding Fund Ltd. (23)</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226,879(13)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226,879(13)</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Marshall &amp; Ilsley Trust Co., N.A., Custodian Edwin W. Colman Children’s Trust</w:t>
            </w:r>
          </w:p>
        </w:tc>
        <w:tc>
          <w:tcPr>
            <w:tcW w:w="13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3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84"/>
        </w:trPr>
        <w:tc>
          <w:tcPr>
            <w:tcW w:w="4940" w:type="dxa"/>
            <w:vAlign w:val="bottom"/>
            <w:shd w:val="clear" w:color="auto" w:fill="CCFFCC"/>
          </w:tcPr>
          <w:p>
            <w:pPr>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CFFCC"/>
          </w:tcPr>
          <w:p>
            <w:pPr>
              <w:spacing w:after="0"/>
              <w:rPr>
                <w:sz w:val="15"/>
                <w:szCs w:val="15"/>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156,250(25)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156,250(25)</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The Robert J. Kammer Living Trust (26)</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Whalehaven Capital Fund Limited (27)</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218,750(28)</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218,750(28)</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Dacanay Ventures Inc. Defined Benefit Plan (29)</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George Rucker</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15,625(19)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15,625(19)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Kiran Yadalla</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15,625(19)</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15,625(19)</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Gemini Master Fund, Ltd. (30)</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454,219(31)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454,219(31)</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Pavel Ladonnikov</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125,000(13)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125,000(13)</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Palladium Capital Advisors, LLC (32)</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11,750(33)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3,000(34)</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8,750</w:t>
            </w:r>
          </w:p>
        </w:tc>
        <w:tc>
          <w:tcPr>
            <w:tcW w:w="1700" w:type="dxa"/>
            <w:vAlign w:val="bottom"/>
            <w:gridSpan w:val="3"/>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Granite Financial Group, LLC (35)</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23,500(36)</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23,500(36)</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388"/>
        </w:trPr>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668"/>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4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3" w:right="2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Ownership Before Offering</w:t>
            </w:r>
          </w:p>
        </w:tc>
        <w:tc>
          <w:tcPr>
            <w:tcW w:w="3060" w:type="dxa"/>
            <w:vAlign w:val="bottom"/>
            <w:gridSpan w:val="4"/>
          </w:tcPr>
          <w:p>
            <w:pPr>
              <w:ind w:left="940"/>
              <w:spacing w:after="0"/>
              <w:rPr>
                <w:sz w:val="20"/>
                <w:szCs w:val="20"/>
                <w:color w:val="auto"/>
              </w:rPr>
            </w:pPr>
            <w:r>
              <w:rPr>
                <w:rFonts w:ascii="Arial" w:cs="Arial" w:eastAsia="Arial" w:hAnsi="Arial"/>
                <w:sz w:val="14"/>
                <w:szCs w:val="14"/>
                <w:b w:val="1"/>
                <w:bCs w:val="1"/>
                <w:color w:val="auto"/>
              </w:rPr>
              <w:t>After Offering(1)</w:t>
            </w:r>
          </w:p>
        </w:tc>
      </w:tr>
      <w:tr>
        <w:trPr>
          <w:trHeight w:val="150"/>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Borders>
              <w:top w:val="single" w:sz="8" w:color="auto"/>
            </w:tcBorders>
          </w:tcPr>
          <w:p>
            <w:pPr>
              <w:jc w:val="center"/>
              <w:spacing w:after="0" w:line="150"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of</w:t>
            </w:r>
          </w:p>
        </w:tc>
        <w:tc>
          <w:tcPr>
            <w:tcW w:w="2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Percentage of</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 of</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common stock</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shares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beneficially</w:t>
            </w:r>
          </w:p>
        </w:tc>
        <w:tc>
          <w:tcPr>
            <w:tcW w:w="240" w:type="dxa"/>
            <w:vAlign w:val="bottom"/>
          </w:tcPr>
          <w:p>
            <w:pPr>
              <w:spacing w:after="0"/>
              <w:rPr>
                <w:sz w:val="15"/>
                <w:szCs w:val="15"/>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beneficially</w:t>
            </w:r>
          </w:p>
        </w:tc>
      </w:tr>
      <w:tr>
        <w:trPr>
          <w:trHeight w:val="187"/>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Selling Stockholder</w:t>
            </w: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beneficially owned</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offered</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owned</w:t>
            </w:r>
          </w:p>
        </w:tc>
        <w:tc>
          <w:tcPr>
            <w:tcW w:w="24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owned</w:t>
            </w:r>
          </w:p>
        </w:tc>
      </w:tr>
      <w:tr>
        <w:trPr>
          <w:trHeight w:val="165"/>
        </w:trPr>
        <w:tc>
          <w:tcPr>
            <w:tcW w:w="4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Anthony S. Thornley (37)</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62,500(2)</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Sugarman Investment L.P. (38)</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50,000(21)</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50,000(21)</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Robert F. Kibble Living Trust Dated 12/28/1990 (39)</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31,250(7)</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Scott Frohman</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101,879</w:t>
            </w:r>
          </w:p>
        </w:tc>
        <w:tc>
          <w:tcPr>
            <w:tcW w:w="240" w:type="dxa"/>
            <w:vAlign w:val="bottom"/>
            <w:shd w:val="clear" w:color="auto" w:fill="CCFFCC"/>
          </w:tcPr>
          <w:p>
            <w:pPr>
              <w:spacing w:after="0"/>
              <w:rPr>
                <w:sz w:val="15"/>
                <w:szCs w:val="15"/>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101,879</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Auracana LLC (40)</w:t>
            </w:r>
          </w:p>
        </w:tc>
        <w:tc>
          <w:tcPr>
            <w:tcW w:w="16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25,432</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25,432</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Elinor C. Ganz IRA Rollover</w:t>
            </w:r>
          </w:p>
        </w:tc>
        <w:tc>
          <w:tcPr>
            <w:tcW w:w="16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25,432</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25,432</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Egatniv, LLC (41)</w:t>
            </w:r>
          </w:p>
        </w:tc>
        <w:tc>
          <w:tcPr>
            <w:tcW w:w="16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72,904</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72,904</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Beverly Pinnas</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5,000</w:t>
            </w:r>
          </w:p>
        </w:tc>
        <w:tc>
          <w:tcPr>
            <w:tcW w:w="240" w:type="dxa"/>
            <w:vAlign w:val="bottom"/>
            <w:shd w:val="clear" w:color="auto" w:fill="CCFFCC"/>
          </w:tcPr>
          <w:p>
            <w:pPr>
              <w:spacing w:after="0"/>
              <w:rPr>
                <w:sz w:val="15"/>
                <w:szCs w:val="15"/>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5,000</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Lion Brothers, Inc.</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5,000</w:t>
            </w:r>
          </w:p>
        </w:tc>
        <w:tc>
          <w:tcPr>
            <w:tcW w:w="240" w:type="dxa"/>
            <w:vAlign w:val="bottom"/>
            <w:shd w:val="clear" w:color="auto" w:fill="CCFFCC"/>
          </w:tcPr>
          <w:p>
            <w:pPr>
              <w:spacing w:after="0"/>
              <w:rPr>
                <w:sz w:val="15"/>
                <w:szCs w:val="15"/>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5,000</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Susan Ganz</w:t>
            </w:r>
          </w:p>
        </w:tc>
        <w:tc>
          <w:tcPr>
            <w:tcW w:w="160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10,000</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10,000</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Michael and Betsy Brauser TBE</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2,014</w:t>
            </w:r>
          </w:p>
        </w:tc>
        <w:tc>
          <w:tcPr>
            <w:tcW w:w="240" w:type="dxa"/>
            <w:vAlign w:val="bottom"/>
            <w:shd w:val="clear" w:color="auto" w:fill="CCFFCC"/>
          </w:tcPr>
          <w:p>
            <w:pPr>
              <w:spacing w:after="0"/>
              <w:rPr>
                <w:sz w:val="15"/>
                <w:szCs w:val="15"/>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2,014</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WFG Investments, Inc. (42)</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24,750(43)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24,750(43)</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Alliance Advisors, LLC(44)</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FFCC"/>
          </w:tcPr>
          <w:p>
            <w:pPr>
              <w:spacing w:after="0"/>
              <w:rPr>
                <w:sz w:val="15"/>
                <w:szCs w:val="15"/>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100,000</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CRT Capital Group LLC(45)</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93,750(46)</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93,750(46)</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r>
        <w:trPr>
          <w:trHeight w:val="173"/>
        </w:trPr>
        <w:tc>
          <w:tcPr>
            <w:tcW w:w="4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51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Vision Advisors, Inc.(47)</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FFCC"/>
          </w:tcPr>
          <w:p>
            <w:pPr>
              <w:spacing w:after="0"/>
              <w:rPr>
                <w:sz w:val="15"/>
                <w:szCs w:val="15"/>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100,000</w:t>
            </w:r>
          </w:p>
        </w:tc>
        <w:tc>
          <w:tcPr>
            <w:tcW w:w="1360" w:type="dxa"/>
            <w:vAlign w:val="bottom"/>
            <w:shd w:val="clear" w:color="auto" w:fill="CCFFCC"/>
          </w:tcPr>
          <w:p>
            <w:pPr>
              <w:ind w:left="1220"/>
              <w:spacing w:after="0"/>
              <w:rPr>
                <w:sz w:val="20"/>
                <w:szCs w:val="20"/>
                <w:color w:val="auto"/>
              </w:rPr>
            </w:pPr>
            <w:r>
              <w:rPr>
                <w:rFonts w:ascii="Arial" w:cs="Arial" w:eastAsia="Arial" w:hAnsi="Arial"/>
                <w:sz w:val="14"/>
                <w:szCs w:val="14"/>
                <w:color w:val="auto"/>
                <w:w w:val="85"/>
              </w:rPr>
              <w:t>—</w:t>
            </w:r>
          </w:p>
        </w:tc>
        <w:tc>
          <w:tcPr>
            <w:tcW w:w="240" w:type="dxa"/>
            <w:vAlign w:val="bottom"/>
            <w:shd w:val="clear" w:color="auto" w:fill="CCFFCC"/>
          </w:tcPr>
          <w:p>
            <w:pPr>
              <w:spacing w:after="0"/>
              <w:rPr>
                <w:sz w:val="15"/>
                <w:szCs w:val="15"/>
                <w:color w:val="auto"/>
              </w:rPr>
            </w:pPr>
          </w:p>
        </w:tc>
        <w:tc>
          <w:tcPr>
            <w:tcW w:w="1460" w:type="dxa"/>
            <w:vAlign w:val="bottom"/>
            <w:gridSpan w:val="2"/>
            <w:shd w:val="clear" w:color="auto" w:fill="CCFFCC"/>
          </w:tcPr>
          <w:p>
            <w:pPr>
              <w:ind w:left="1200"/>
              <w:spacing w:after="0"/>
              <w:rPr>
                <w:sz w:val="20"/>
                <w:szCs w:val="20"/>
                <w:color w:val="auto"/>
              </w:rPr>
            </w:pPr>
            <w:r>
              <w:rPr>
                <w:rFonts w:ascii="Arial" w:cs="Arial" w:eastAsia="Arial" w:hAnsi="Arial"/>
                <w:sz w:val="14"/>
                <w:szCs w:val="14"/>
                <w:color w:val="auto"/>
              </w:rPr>
              <w:t>—</w:t>
            </w:r>
          </w:p>
        </w:tc>
      </w:tr>
    </w:tbl>
    <w:p>
      <w:pPr>
        <w:spacing w:after="0" w:line="206" w:lineRule="exact"/>
        <w:rPr>
          <w:sz w:val="20"/>
          <w:szCs w:val="20"/>
          <w:color w:val="auto"/>
        </w:rPr>
      </w:pPr>
    </w:p>
    <w:p>
      <w:pPr>
        <w:ind w:left="700" w:right="120" w:hanging="693"/>
        <w:spacing w:after="0" w:line="288" w:lineRule="auto"/>
        <w:tabs>
          <w:tab w:leader="none" w:pos="7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the amount of shares that will be held by the selling stockholders after completion of this offering based on the assumptions that (a) all shares registered for sale by the registration statement of which this prospectus is part will be sold and (b) that no other shares of our common stock beneficially owned by the selling stockholders are acquired or are sold prior to completion of this offering by the selling stockholders. However, the selling stockholders may sell all, some or none of the shares offered pursuant to this prospectus and may sell other shares of our common stock that they may own pursuant to another registration statement under the Securities Act of 1933, as amended, or sell some or all of their shares pursuant to an exemption from the registration provisions of the Securities Act of 1933, as amended, including under Rule 144. To our knowledge there are currently no agreements, arrangements or understanding with respect to the sale of any of the shares that may be held by the selling stockholders after completion of this offering or otherwise.</w:t>
      </w:r>
    </w:p>
    <w:p>
      <w:pPr>
        <w:spacing w:after="0" w:line="156" w:lineRule="exact"/>
        <w:rPr>
          <w:rFonts w:ascii="Arial" w:cs="Arial" w:eastAsia="Arial" w:hAnsi="Arial"/>
          <w:sz w:val="13"/>
          <w:szCs w:val="13"/>
          <w:color w:val="auto"/>
        </w:rPr>
      </w:pPr>
    </w:p>
    <w:p>
      <w:pPr>
        <w:ind w:left="700" w:hanging="69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12,500 shares of common stock issuable upon the exercise of warrants</w:t>
      </w:r>
    </w:p>
    <w:p>
      <w:pPr>
        <w:spacing w:after="0" w:line="206" w:lineRule="exact"/>
        <w:rPr>
          <w:rFonts w:ascii="Arial" w:cs="Arial" w:eastAsia="Arial" w:hAnsi="Arial"/>
          <w:sz w:val="14"/>
          <w:szCs w:val="14"/>
          <w:color w:val="auto"/>
        </w:rPr>
      </w:pPr>
    </w:p>
    <w:p>
      <w:pPr>
        <w:jc w:val="both"/>
        <w:ind w:left="700" w:right="100" w:hanging="693"/>
        <w:spacing w:after="0" w:line="304" w:lineRule="auto"/>
        <w:tabs>
          <w:tab w:leader="none" w:pos="7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John S. Lemak is the manager of Sandor Capital Master Fund, L.P. and, in such capacity, may be deemed to have voting and dispositive power over the securities held for the account of this selling stockholder. John S. Lemak is an affiliate of WFG Investments, Inc., a registered broker-dealer. Sandor Capital Master Fund, L.P. bought the securities in the ordinary course of business, and at the time of the purchase of the securities to be resold, had no agreements or understandings directly or indirectly with any person to distribute the securities.</w:t>
      </w:r>
    </w:p>
    <w:p>
      <w:pPr>
        <w:spacing w:after="0" w:line="145" w:lineRule="exact"/>
        <w:rPr>
          <w:rFonts w:ascii="Arial" w:cs="Arial" w:eastAsia="Arial" w:hAnsi="Arial"/>
          <w:sz w:val="13"/>
          <w:szCs w:val="13"/>
          <w:color w:val="auto"/>
        </w:rPr>
      </w:pPr>
    </w:p>
    <w:p>
      <w:pPr>
        <w:ind w:left="700" w:hanging="69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50,000 shares of common stock issuable upon the exercise of warrants.</w:t>
      </w:r>
    </w:p>
    <w:p>
      <w:pPr>
        <w:spacing w:after="0" w:line="206" w:lineRule="exact"/>
        <w:rPr>
          <w:rFonts w:ascii="Arial" w:cs="Arial" w:eastAsia="Arial" w:hAnsi="Arial"/>
          <w:sz w:val="14"/>
          <w:szCs w:val="14"/>
          <w:color w:val="auto"/>
        </w:rPr>
      </w:pPr>
    </w:p>
    <w:p>
      <w:pPr>
        <w:ind w:left="700" w:hanging="69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16,000 shares of common stock issuable upon the exercise of warrants.</w:t>
      </w:r>
    </w:p>
    <w:p>
      <w:pPr>
        <w:spacing w:after="0" w:line="206" w:lineRule="exact"/>
        <w:rPr>
          <w:rFonts w:ascii="Arial" w:cs="Arial" w:eastAsia="Arial" w:hAnsi="Arial"/>
          <w:sz w:val="14"/>
          <w:szCs w:val="14"/>
          <w:color w:val="auto"/>
        </w:rPr>
      </w:pPr>
    </w:p>
    <w:p>
      <w:pPr>
        <w:ind w:left="700" w:hanging="69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3,375 shares of common stock issuable upon the exercise of warrants.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63" w:right="219" w:bottom="1440" w:gutter="0" w:footer="0" w:header="0"/>
        </w:sectPr>
      </w:pPr>
    </w:p>
    <w:bookmarkStart w:id="34" w:name="page35"/>
    <w:bookmarkEnd w:id="34"/>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6,250 shares of common stock issuable upon the exercise of warrants.</w:t>
      </w:r>
    </w:p>
    <w:p>
      <w:pPr>
        <w:spacing w:after="0" w:line="206" w:lineRule="exact"/>
        <w:rPr>
          <w:rFonts w:ascii="Arial" w:cs="Arial" w:eastAsia="Arial" w:hAnsi="Arial"/>
          <w:sz w:val="14"/>
          <w:szCs w:val="14"/>
          <w:color w:val="auto"/>
        </w:rPr>
      </w:pPr>
    </w:p>
    <w:p>
      <w:pPr>
        <w:ind w:left="700" w:right="20" w:hanging="693"/>
        <w:spacing w:after="0" w:line="290"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Michael Irusalimsky is the trustee of Michael &amp; Sandra Irusalimsky 2000 Trust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9,375 shares of common stock issuable upon the exercise of warrants.</w:t>
      </w:r>
    </w:p>
    <w:p>
      <w:pPr>
        <w:spacing w:after="0" w:line="206" w:lineRule="exact"/>
        <w:rPr>
          <w:rFonts w:ascii="Arial" w:cs="Arial" w:eastAsia="Arial" w:hAnsi="Arial"/>
          <w:sz w:val="14"/>
          <w:szCs w:val="14"/>
          <w:color w:val="auto"/>
        </w:rPr>
      </w:pPr>
    </w:p>
    <w:p>
      <w:pPr>
        <w:ind w:left="700" w:right="80" w:hanging="693"/>
        <w:spacing w:after="0" w:line="290"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Robert S. London is the trustee of London Family Trust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33,333 shares of common stock issuable upon the exercise of warrants.</w:t>
      </w:r>
    </w:p>
    <w:p>
      <w:pPr>
        <w:spacing w:after="0" w:line="206"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1,250 shares of common stock issuable upon the exercise of warrants.</w:t>
      </w:r>
    </w:p>
    <w:p>
      <w:pPr>
        <w:spacing w:after="0" w:line="206"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25,000 shares of common stock issuable upon the exercise of warrants.</w:t>
      </w:r>
    </w:p>
    <w:p>
      <w:pPr>
        <w:spacing w:after="0" w:line="206"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1,875 shares of common stock issuable upon the exercise of warrants.</w:t>
      </w:r>
    </w:p>
    <w:p>
      <w:pPr>
        <w:spacing w:after="0" w:line="206" w:lineRule="exact"/>
        <w:rPr>
          <w:rFonts w:ascii="Arial" w:cs="Arial" w:eastAsia="Arial" w:hAnsi="Arial"/>
          <w:sz w:val="14"/>
          <w:szCs w:val="14"/>
          <w:color w:val="auto"/>
        </w:rPr>
      </w:pPr>
    </w:p>
    <w:p>
      <w:pPr>
        <w:ind w:left="700" w:right="40" w:hanging="693"/>
        <w:spacing w:after="0" w:line="290"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Rawleigh Ralls is a partner of Lacuna Hedge Fund, LLP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62,500 shares of common stock issuable upon the exercise of warrants.</w:t>
      </w:r>
    </w:p>
    <w:p>
      <w:pPr>
        <w:spacing w:after="0" w:line="206" w:lineRule="exact"/>
        <w:rPr>
          <w:rFonts w:ascii="Arial" w:cs="Arial" w:eastAsia="Arial" w:hAnsi="Arial"/>
          <w:sz w:val="14"/>
          <w:szCs w:val="14"/>
          <w:color w:val="auto"/>
        </w:rPr>
      </w:pPr>
    </w:p>
    <w:p>
      <w:pPr>
        <w:ind w:left="700" w:right="340" w:hanging="693"/>
        <w:spacing w:after="0" w:line="290"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Robert S. Colman is the trustee of Robert S. Colman Trust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18,750 shares of common stock issuable upon the exercise of warrants.</w:t>
      </w:r>
    </w:p>
    <w:p>
      <w:pPr>
        <w:spacing w:after="0" w:line="206"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3,125 shares of common stock issuable upon the exercise of warrants.</w:t>
      </w:r>
    </w:p>
    <w:p>
      <w:pPr>
        <w:spacing w:after="0" w:line="206" w:lineRule="exact"/>
        <w:rPr>
          <w:rFonts w:ascii="Arial" w:cs="Arial" w:eastAsia="Arial" w:hAnsi="Arial"/>
          <w:sz w:val="14"/>
          <w:szCs w:val="14"/>
          <w:color w:val="auto"/>
        </w:rPr>
      </w:pPr>
    </w:p>
    <w:p>
      <w:pPr>
        <w:ind w:left="700" w:right="420" w:hanging="693"/>
        <w:spacing w:after="0" w:line="274"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Stratum Wealth Management LLC has the discretionary right to make investment decisions with respect to the shares held by Chocolate Chip Investments LP. Charles B. Ganz is a principal of Stratum Wealth Management LLC and, in such capacity, may be deemed to have voting and dispositive power over the securities held for the account of this selling stockholder.</w:t>
      </w:r>
    </w:p>
    <w:p>
      <w:pPr>
        <w:spacing w:after="0" w:line="162"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5,000 shares of common stock issuable upon the exercise of warrants.</w:t>
      </w:r>
    </w:p>
    <w:p>
      <w:pPr>
        <w:spacing w:after="0" w:line="206" w:lineRule="exact"/>
        <w:rPr>
          <w:rFonts w:ascii="Arial" w:cs="Arial" w:eastAsia="Arial" w:hAnsi="Arial"/>
          <w:sz w:val="14"/>
          <w:szCs w:val="14"/>
          <w:color w:val="auto"/>
        </w:rPr>
      </w:pPr>
    </w:p>
    <w:p>
      <w:pPr>
        <w:ind w:left="700" w:right="360" w:hanging="693"/>
        <w:spacing w:after="0" w:line="330" w:lineRule="auto"/>
        <w:tabs>
          <w:tab w:leader="none" w:pos="7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Stratum Wealth Management LLC has the discretionary right to make investment decisions with respect to the shares held by Peddle Partners LLP. Charles B. Ganz is a principal of Stratum Wealth Management LLC and, in such capacity, may be deemed to have voting and dispositive power over the securities held for the account of this selling stockholder.</w:t>
      </w:r>
    </w:p>
    <w:p>
      <w:pPr>
        <w:spacing w:after="0" w:line="129" w:lineRule="exact"/>
        <w:rPr>
          <w:rFonts w:ascii="Arial" w:cs="Arial" w:eastAsia="Arial" w:hAnsi="Arial"/>
          <w:sz w:val="13"/>
          <w:szCs w:val="13"/>
          <w:color w:val="auto"/>
        </w:rPr>
      </w:pPr>
    </w:p>
    <w:p>
      <w:pPr>
        <w:ind w:left="700" w:hanging="693"/>
        <w:spacing w:after="0" w:line="268"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investment manager of DKR SoundShore Oasis Holding Fund Ltd. is DKR Oasis Management Company LP. DKR Oasis Management Company LP has the authority to do any and all acts on behalf of DKR SoundShore Oasis Holding Fund Ltd., including voting any shares held by DKR SoundShore Oasis Holding Fund Ltd. Mr. Seth Fischer is the managing partner of Oasis Management Holdings LLC, one of the general partners of DKR Oasis Management Company LP. Mr. Fischer has ultimate responsibility for investments with respect to DKR SoundShore Oasis Holding Fund Ltd.. Mr. Fischer disclaims beneficial ownership of the shares.</w:t>
      </w:r>
    </w:p>
    <w:p>
      <w:pPr>
        <w:spacing w:after="0" w:line="167" w:lineRule="exact"/>
        <w:rPr>
          <w:rFonts w:ascii="Arial" w:cs="Arial" w:eastAsia="Arial" w:hAnsi="Arial"/>
          <w:sz w:val="14"/>
          <w:szCs w:val="14"/>
          <w:color w:val="auto"/>
        </w:rPr>
      </w:pPr>
    </w:p>
    <w:p>
      <w:pPr>
        <w:ind w:left="700" w:right="640" w:hanging="693"/>
        <w:spacing w:after="0" w:line="290" w:lineRule="auto"/>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Robert S. Colman is the trustee of the Marshall &amp; Ilsley Trust Co., N.A Custodian Edwin W. Colman Children’s Trust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31,250 shares of common stock issuable upon the exercise of warrants.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5" w:name="page36"/>
    <w:bookmarkEnd w:id="35"/>
    <w:p>
      <w:pPr>
        <w:ind w:left="700" w:right="4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Robert Kammer is the trustee of the Robert J. Kammer Living Trust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right="10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Brian Mazzella is the chief financial officer of Whalehaven Capital Fund Limited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43,750 shares of common stock issuable upon the exercise of warrants.</w:t>
      </w:r>
    </w:p>
    <w:p>
      <w:pPr>
        <w:spacing w:after="0" w:line="206" w:lineRule="exact"/>
        <w:rPr>
          <w:rFonts w:ascii="Arial" w:cs="Arial" w:eastAsia="Arial" w:hAnsi="Arial"/>
          <w:sz w:val="14"/>
          <w:szCs w:val="14"/>
          <w:color w:val="auto"/>
        </w:rPr>
      </w:pPr>
    </w:p>
    <w:p>
      <w:pPr>
        <w:ind w:left="700" w:right="16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Rhodel A. Dacanay is the trustee of the Dacanay Ventures Inc. Defined Benefit Plan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right="8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Steven W. Winters is the manager of the Gemini Master Fund, Ltd.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hanging="69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50,000 shares of common stock issuable upon the exercise of warrants.</w:t>
      </w:r>
    </w:p>
    <w:p>
      <w:pPr>
        <w:spacing w:after="0" w:line="206" w:lineRule="exact"/>
        <w:rPr>
          <w:rFonts w:ascii="Arial" w:cs="Arial" w:eastAsia="Arial" w:hAnsi="Arial"/>
          <w:sz w:val="14"/>
          <w:szCs w:val="14"/>
          <w:color w:val="auto"/>
        </w:rPr>
      </w:pPr>
    </w:p>
    <w:p>
      <w:pPr>
        <w:ind w:left="700" w:right="120" w:hanging="693"/>
        <w:spacing w:after="0" w:line="274"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Joel Padowitz is the chief executive officer of Palladium Capital Advisors, LLC and, in such capacity, may be deemed to have voting and dispositive power over the securities held for the account of this selling stockholder. Palladium Capital Advisors, LLC is a registered broker-dealer and served as one of the placement agents in connection with our private offerings in September 2007 and October 2007.</w:t>
      </w:r>
    </w:p>
    <w:p>
      <w:pPr>
        <w:spacing w:after="0" w:line="162" w:lineRule="exact"/>
        <w:rPr>
          <w:rFonts w:ascii="Arial" w:cs="Arial" w:eastAsia="Arial" w:hAnsi="Arial"/>
          <w:sz w:val="14"/>
          <w:szCs w:val="14"/>
          <w:color w:val="auto"/>
        </w:rPr>
      </w:pPr>
    </w:p>
    <w:p>
      <w:pPr>
        <w:ind w:left="700" w:right="220" w:hanging="693"/>
        <w:spacing w:after="0" w:line="274"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3,000 shares of common stock issuable upon exercise of warrants issued to Palladium Capital Advisors, LLC as placement agent fees in connection with the September 2007 and October 2007 private placements, and also includes 7,000 shares of common stock and 1,750 shares of common stock issuable upon exercise of warrants that Palladium Capital Advisors, LLC purchased in the September 2007 and October 2007 private placements.</w:t>
      </w:r>
    </w:p>
    <w:p>
      <w:pPr>
        <w:spacing w:after="0" w:line="162" w:lineRule="exact"/>
        <w:rPr>
          <w:rFonts w:ascii="Arial" w:cs="Arial" w:eastAsia="Arial" w:hAnsi="Arial"/>
          <w:sz w:val="14"/>
          <w:szCs w:val="14"/>
          <w:color w:val="auto"/>
        </w:rPr>
      </w:pPr>
    </w:p>
    <w:p>
      <w:pPr>
        <w:ind w:left="70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3,000 shares of common stock issuable upon exercise of warrants issued to Palladium Capital Advisors, LLC as placement agent fees in connection with September 2007 and October 2007 private placements.</w:t>
      </w:r>
    </w:p>
    <w:p>
      <w:pPr>
        <w:spacing w:after="0" w:line="151" w:lineRule="exact"/>
        <w:rPr>
          <w:rFonts w:ascii="Arial" w:cs="Arial" w:eastAsia="Arial" w:hAnsi="Arial"/>
          <w:sz w:val="14"/>
          <w:szCs w:val="14"/>
          <w:color w:val="auto"/>
        </w:rPr>
      </w:pPr>
    </w:p>
    <w:p>
      <w:pPr>
        <w:jc w:val="both"/>
        <w:ind w:left="700" w:right="380" w:hanging="693"/>
        <w:spacing w:after="0" w:line="274"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Daniel J. Schreiber is the president of the Granite Financial Group, LLC and, in such capacity, may be deemed to have voting and dispositive power over the securities held for the account of this selling stockholder. Granite Financial Group, LLC is a registered broker-dealer and served as one of the placement agents in connection with our private offerings in September 2007 and October 2007.</w:t>
      </w:r>
    </w:p>
    <w:p>
      <w:pPr>
        <w:spacing w:after="0" w:line="162" w:lineRule="exact"/>
        <w:rPr>
          <w:rFonts w:ascii="Arial" w:cs="Arial" w:eastAsia="Arial" w:hAnsi="Arial"/>
          <w:sz w:val="14"/>
          <w:szCs w:val="14"/>
          <w:color w:val="auto"/>
        </w:rPr>
      </w:pPr>
    </w:p>
    <w:p>
      <w:pPr>
        <w:ind w:left="700" w:right="40" w:hanging="693"/>
        <w:spacing w:after="0" w:line="266"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6,000 shares of common stock issuable upon exercise of warrants issued to Granite Financial Group, LLC as placement agent fees in connection with the September 2007 and October 2007 private placements, and also includes 14,000 shares of common stock and 3,500 shares of common stock issuable upon exercise of warrants that Granite Financial Group, LLC purchased in the September 2007 and October 2007 private placements on the same terms as other investors. Granite Financial Group, LLC, a registered broker-dealer, is an underwriter with respect to the 14,000 shares of common stock and 3,500 shares of common stock issuable upon the exercise of warrants that Granite Financial Group, LLC purchased in the September 2007 and October 2007 private placements.</w:t>
      </w:r>
    </w:p>
    <w:p>
      <w:pPr>
        <w:spacing w:after="0" w:line="167" w:lineRule="exact"/>
        <w:rPr>
          <w:rFonts w:ascii="Arial" w:cs="Arial" w:eastAsia="Arial" w:hAnsi="Arial"/>
          <w:sz w:val="14"/>
          <w:szCs w:val="14"/>
          <w:color w:val="auto"/>
        </w:rPr>
      </w:pPr>
    </w:p>
    <w:p>
      <w:pPr>
        <w:ind w:left="700" w:hanging="69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Anthony S. Thornley is a member of our board of directors.</w:t>
      </w:r>
    </w:p>
    <w:p>
      <w:pPr>
        <w:spacing w:after="0" w:line="206" w:lineRule="exact"/>
        <w:rPr>
          <w:rFonts w:ascii="Arial" w:cs="Arial" w:eastAsia="Arial" w:hAnsi="Arial"/>
          <w:sz w:val="14"/>
          <w:szCs w:val="14"/>
          <w:color w:val="auto"/>
        </w:rPr>
      </w:pPr>
    </w:p>
    <w:p>
      <w:pPr>
        <w:ind w:left="700" w:right="16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Howard Sugarman is the manager of the Sugarman Investment, L.C.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right="8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Robert F. Kibble is the trustee of the Robert F. Kibble Living Trust Dated 12/28/1990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right="56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Glenn Kesner is the manager of Auracana LLC and, in such capacity,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right="22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Seth Farbman and Shai Stern are members of Egatniv, LLC and, in such capacity, each may be deemed to have voting and dispositive power over the securities held for the account of this selling stockholder.</w:t>
      </w:r>
    </w:p>
    <w:p>
      <w:pPr>
        <w:spacing w:after="0" w:line="151" w:lineRule="exact"/>
        <w:rPr>
          <w:rFonts w:ascii="Arial" w:cs="Arial" w:eastAsia="Arial" w:hAnsi="Arial"/>
          <w:sz w:val="14"/>
          <w:szCs w:val="14"/>
          <w:color w:val="auto"/>
        </w:rPr>
      </w:pPr>
    </w:p>
    <w:p>
      <w:pPr>
        <w:ind w:left="700" w:right="300" w:hanging="693"/>
        <w:spacing w:after="0" w:line="274"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Wilson Williams is the president of WFG Investments, Inc. and, in such capacity, may be deemed to have voting and dispositive power over the securities held for the account of this selling stockholder. WFG Investments, Inc. is a registered broker-dealer and served as one of the placement agents in connection with our private offerings in September 2007 and October 2007.</w:t>
      </w:r>
    </w:p>
    <w:p>
      <w:pPr>
        <w:spacing w:after="0" w:line="162" w:lineRule="exact"/>
        <w:rPr>
          <w:rFonts w:ascii="Arial" w:cs="Arial" w:eastAsia="Arial" w:hAnsi="Arial"/>
          <w:sz w:val="14"/>
          <w:szCs w:val="14"/>
          <w:color w:val="auto"/>
        </w:rPr>
      </w:pPr>
    </w:p>
    <w:p>
      <w:pPr>
        <w:ind w:left="700" w:right="34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24,750 shares of common stock issuable upon exercise of warrants issued to WFG Investments, Inc. as placement agent fees in connection with our September 2007 and October 2007 private placements.</w:t>
      </w:r>
    </w:p>
    <w:p>
      <w:pPr>
        <w:spacing w:after="0" w:line="151" w:lineRule="exact"/>
        <w:rPr>
          <w:rFonts w:ascii="Arial" w:cs="Arial" w:eastAsia="Arial" w:hAnsi="Arial"/>
          <w:sz w:val="14"/>
          <w:szCs w:val="14"/>
          <w:color w:val="auto"/>
        </w:rPr>
      </w:pPr>
    </w:p>
    <w:p>
      <w:pPr>
        <w:ind w:left="700" w:right="380" w:hanging="693"/>
        <w:spacing w:after="0" w:line="290" w:lineRule="auto"/>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Allen Sheinwald is a principal of Alliance Advisors, LLC and, in such capacity, may be deemed to have voting and dispositive power over the securities held for the account of this selling stockholder.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6" w:name="page37"/>
    <w:bookmarkEnd w:id="36"/>
    <w:p>
      <w:pPr>
        <w:ind w:left="700" w:right="180" w:hanging="693"/>
        <w:spacing w:after="0" w:line="304" w:lineRule="auto"/>
        <w:tabs>
          <w:tab w:leader="none" w:pos="7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Charles V. Baltic, III is a managing director of CRT Capital Group LLC and, in such capacity, may be deemed to have voting and dispositive power over the securities held for the account of this selling stockholder. CRT Capital Group LLC is a registered broker-dealer. CRT Capital Group LLC acquired our securities in the ordinary course of business, and at the time of the acquisition of the securities to be resold, had no agreements or understandings directly or indirectly with any person to distribute the securities.</w:t>
      </w:r>
    </w:p>
    <w:p>
      <w:pPr>
        <w:spacing w:after="0" w:line="145" w:lineRule="exact"/>
        <w:rPr>
          <w:rFonts w:ascii="Arial" w:cs="Arial" w:eastAsia="Arial" w:hAnsi="Arial"/>
          <w:sz w:val="13"/>
          <w:szCs w:val="13"/>
          <w:color w:val="auto"/>
        </w:rPr>
      </w:pPr>
    </w:p>
    <w:p>
      <w:pPr>
        <w:ind w:left="700" w:hanging="69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18,750 shares of common stock issuable upon the exercise of warrants.</w:t>
      </w:r>
    </w:p>
    <w:p>
      <w:pPr>
        <w:spacing w:after="0" w:line="206" w:lineRule="exact"/>
        <w:rPr>
          <w:rFonts w:ascii="Arial" w:cs="Arial" w:eastAsia="Arial" w:hAnsi="Arial"/>
          <w:sz w:val="14"/>
          <w:szCs w:val="14"/>
          <w:color w:val="auto"/>
        </w:rPr>
      </w:pPr>
    </w:p>
    <w:p>
      <w:pPr>
        <w:ind w:left="700" w:right="200" w:hanging="693"/>
        <w:spacing w:after="0" w:line="290" w:lineRule="auto"/>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Terry McGovern is a Managing Director of Vision Advisors, Inc. and, in such capacity, may be deemed to have voting and dispositive power over the securities held for the account of this selling stockholder.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SECURITIES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Authorized Capital Stock</w:t>
      </w:r>
    </w:p>
    <w:p>
      <w:pPr>
        <w:spacing w:after="0" w:line="232" w:lineRule="exact"/>
        <w:rPr>
          <w:sz w:val="20"/>
          <w:szCs w:val="20"/>
          <w:color w:val="auto"/>
        </w:rPr>
      </w:pPr>
    </w:p>
    <w:p>
      <w:pPr>
        <w:ind w:right="240" w:firstLine="519"/>
        <w:spacing w:after="0" w:line="290" w:lineRule="auto"/>
        <w:rPr>
          <w:sz w:val="20"/>
          <w:szCs w:val="20"/>
          <w:color w:val="auto"/>
        </w:rPr>
      </w:pPr>
      <w:r>
        <w:rPr>
          <w:rFonts w:ascii="Arial" w:cs="Arial" w:eastAsia="Arial" w:hAnsi="Arial"/>
          <w:sz w:val="14"/>
          <w:szCs w:val="14"/>
          <w:color w:val="auto"/>
        </w:rPr>
        <w:t>We have authorized 55,000,000 shares of capital stock, par value $0.001 per share, of which 50,000,000 are shares of common stock and 5,000,000 are shares of “blank-check” preferred stock, par value $0.001 per share.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32" w:lineRule="exact"/>
        <w:rPr>
          <w:sz w:val="20"/>
          <w:szCs w:val="20"/>
          <w:color w:val="auto"/>
        </w:rPr>
      </w:pPr>
    </w:p>
    <w:p>
      <w:pPr>
        <w:ind w:right="60" w:firstLine="519"/>
        <w:spacing w:after="0" w:line="262" w:lineRule="auto"/>
        <w:rPr>
          <w:sz w:val="20"/>
          <w:szCs w:val="20"/>
          <w:color w:val="auto"/>
        </w:rPr>
      </w:pPr>
      <w:r>
        <w:rPr>
          <w:rFonts w:ascii="Arial" w:cs="Arial" w:eastAsia="Arial" w:hAnsi="Arial"/>
          <w:sz w:val="14"/>
          <w:szCs w:val="14"/>
          <w:color w:val="auto"/>
        </w:rPr>
        <w:t>The holders of our common stock are entitled to one vote per share on all matters submitted to a vote of the stockholders, including the election of directors. Generally, all matters to be voted on by stockholders must be approved by a majority of the votes entitled to be cast by all shares of common stock that are present in person or represented by proxy, subject to any voting rights granted to holders of any preferred stock. Except as otherwise provided by law, and subject to any voting rights granted to holders of any preferred stock, amendments to our Amended and Restated Certificate of Incorporation generally must be approved by a majority of the votes entitled to be cast by all outstanding shares of common stock. Our Amended and Restated Certificate of Incorporation does not provide for cumulative voting in the election of directors. Subject to any preferential rights of any outstanding series of preferred stock created by the board of directors from time to time, the holders of common stock will be entitled to such cash dividends as may be declared, if any, by the board of directors from funds available. Subject to any preferential rights of any outstanding series of preferred stock, upon our liquidation, dissolution or winding up, the holders of common stock will be entitled to receive pro rata all assets available for distribution to such holders.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232" w:lineRule="exact"/>
        <w:rPr>
          <w:sz w:val="20"/>
          <w:szCs w:val="20"/>
          <w:color w:val="auto"/>
        </w:rPr>
      </w:pPr>
    </w:p>
    <w:p>
      <w:pPr>
        <w:ind w:firstLine="519"/>
        <w:spacing w:after="0" w:line="290" w:lineRule="auto"/>
        <w:rPr>
          <w:sz w:val="20"/>
          <w:szCs w:val="20"/>
          <w:color w:val="auto"/>
        </w:rPr>
      </w:pPr>
      <w:r>
        <w:rPr>
          <w:rFonts w:ascii="Arial" w:cs="Arial" w:eastAsia="Arial" w:hAnsi="Arial"/>
          <w:sz w:val="14"/>
          <w:szCs w:val="14"/>
          <w:color w:val="auto"/>
        </w:rPr>
        <w:t>Our board of directors is vested with authority to divide the shares of preferred stock into series and to fix and determine the relative designation, powers, preferences and rights of the shares of any such series and the qualifications, limitations, or restrictions or any unissued series of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Warrants</w:t>
      </w:r>
    </w:p>
    <w:p>
      <w:pPr>
        <w:spacing w:after="0" w:line="232" w:lineRule="exact"/>
        <w:rPr>
          <w:sz w:val="20"/>
          <w:szCs w:val="20"/>
          <w:color w:val="auto"/>
        </w:rPr>
      </w:pPr>
    </w:p>
    <w:p>
      <w:pPr>
        <w:ind w:right="60" w:firstLine="519"/>
        <w:spacing w:after="0" w:line="291" w:lineRule="auto"/>
        <w:rPr>
          <w:sz w:val="20"/>
          <w:szCs w:val="20"/>
          <w:color w:val="auto"/>
        </w:rPr>
      </w:pPr>
      <w:r>
        <w:rPr>
          <w:rFonts w:ascii="Arial" w:cs="Arial" w:eastAsia="Arial" w:hAnsi="Arial"/>
          <w:sz w:val="13"/>
          <w:szCs w:val="13"/>
          <w:color w:val="auto"/>
        </w:rPr>
        <w:t>We issued five-year warrants to purchase 517,958 shares of our common stock, at an initial cash exercise price of $4.00 per share and an initial cashless exercise price of $5.00 per share, to investors at the September 2007 and October 2007 private offerings. In addition, we also issued a three-year warrant to certain placement agents to purchase an aggregate of 33,750 shares of our common stock, at an initial cash exercise price of $4.00 per share and an initial cashless exercise price of $5.00 per share, in connection with its efforts as a placement agent in connection with the September 2007 and October 2007 private offerings. We also have outstanding a five-year warrant to purchase 18,750 shares of our common stock, at an initial cash exercise price of $4.00 per share and an initial cashless exercise price of $5.00 per share. Prior to exercise, the warrants do not confer upon holders any voting or other rights as a stockholder.</w:t>
      </w:r>
    </w:p>
    <w:p>
      <w:pPr>
        <w:spacing w:after="0" w:line="175" w:lineRule="exact"/>
        <w:rPr>
          <w:sz w:val="20"/>
          <w:szCs w:val="20"/>
          <w:color w:val="auto"/>
        </w:rPr>
      </w:pPr>
    </w:p>
    <w:p>
      <w:pPr>
        <w:ind w:right="200" w:firstLine="519"/>
        <w:spacing w:after="0" w:line="290" w:lineRule="auto"/>
        <w:rPr>
          <w:sz w:val="20"/>
          <w:szCs w:val="20"/>
          <w:color w:val="auto"/>
        </w:rPr>
      </w:pPr>
      <w:r>
        <w:rPr>
          <w:rFonts w:ascii="Arial" w:cs="Arial" w:eastAsia="Arial" w:hAnsi="Arial"/>
          <w:sz w:val="14"/>
          <w:szCs w:val="14"/>
          <w:color w:val="auto"/>
        </w:rPr>
        <w:t>The exercise price and number of shares of our common stock issuable on exercise of the warrants may be adjusted in certain circumstances, including in the event of a stock dividend, or our recapitalization, reorganization, merger or consolidation.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37" w:name="page38"/>
    <w:bookmarkEnd w:id="37"/>
    <w:p>
      <w:pPr>
        <w:ind w:right="80" w:firstLine="519"/>
        <w:spacing w:after="0" w:line="274" w:lineRule="auto"/>
        <w:rPr>
          <w:sz w:val="20"/>
          <w:szCs w:val="20"/>
          <w:color w:val="auto"/>
        </w:rPr>
      </w:pPr>
      <w:r>
        <w:rPr>
          <w:rFonts w:ascii="Arial" w:cs="Arial" w:eastAsia="Arial" w:hAnsi="Arial"/>
          <w:sz w:val="14"/>
          <w:szCs w:val="14"/>
          <w:color w:val="auto"/>
        </w:rPr>
        <w:t>No fractional shares will be issued upon exercise of the warrants. If, upon exercise of the warrants, a holder would be entitled to receive a fractional interest in a share, we may, in our discretion, upon exercise, round up to the nearest whole number the number of shares of our common stock to be issued to the warrant holder or otherwise equitably adjust the exercise and exercise price per share.</w:t>
      </w:r>
    </w:p>
    <w:p>
      <w:pPr>
        <w:spacing w:after="0" w:line="184" w:lineRule="exact"/>
        <w:rPr>
          <w:sz w:val="20"/>
          <w:szCs w:val="20"/>
          <w:color w:val="auto"/>
        </w:rPr>
      </w:pPr>
    </w:p>
    <w:p>
      <w:pPr>
        <w:ind w:right="80" w:firstLine="519"/>
        <w:spacing w:after="0" w:line="266" w:lineRule="auto"/>
        <w:rPr>
          <w:sz w:val="20"/>
          <w:szCs w:val="20"/>
          <w:color w:val="auto"/>
        </w:rPr>
      </w:pPr>
      <w:r>
        <w:rPr>
          <w:rFonts w:ascii="Arial" w:cs="Arial" w:eastAsia="Arial" w:hAnsi="Arial"/>
          <w:sz w:val="14"/>
          <w:szCs w:val="14"/>
          <w:color w:val="auto"/>
        </w:rPr>
        <w:t>We may redeem all, but not less than all, of the unexercised warrants sold in the September 2007 and October 2007 private offerings, for $0.001 per share of common stock underlying the warrants, upon 10 days prior written notice to the holders; provided that (i) the closing sale price of our common stock on the principal trading market where the common stock is approved for quotation or principal national securities exchange where the common stock is listed exceeds $6.00 per share for 10 consecutive trading days and (ii) there is an effective registration statement covering the resale of the shares of common stock underlying the warrants. Upon redemption of the warrants, the holders will have no further rights with respect to the unexercised warrants, except the right to receive the redemption price.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September 2007 and October 2007 Private Offering</w:t>
      </w:r>
    </w:p>
    <w:p>
      <w:pPr>
        <w:spacing w:after="0" w:line="228" w:lineRule="exact"/>
        <w:rPr>
          <w:sz w:val="20"/>
          <w:szCs w:val="20"/>
          <w:color w:val="auto"/>
        </w:rPr>
      </w:pPr>
    </w:p>
    <w:p>
      <w:pPr>
        <w:ind w:right="40" w:firstLine="519"/>
        <w:spacing w:after="0" w:line="263" w:lineRule="auto"/>
        <w:rPr>
          <w:sz w:val="20"/>
          <w:szCs w:val="20"/>
          <w:color w:val="auto"/>
        </w:rPr>
      </w:pPr>
      <w:r>
        <w:rPr>
          <w:rFonts w:ascii="Arial" w:cs="Arial" w:eastAsia="Arial" w:hAnsi="Arial"/>
          <w:sz w:val="14"/>
          <w:szCs w:val="14"/>
          <w:color w:val="auto"/>
        </w:rPr>
        <w:t>We have agreed to file, a registration statement (of which this prospectus forms a part) with the Securities and Exchange Commission registering for resale the shares of common stock and the shares of common stock issuable upon exercise of the related warrants issued to the investors and the placement agents in the September 2007 and October 2007 private offerings pursuant to the registration rights agreement entered into in connection with the September 2007 and October 2007 private offerings. We are required to use our best efforts to cause this registration statement to be declared effective by the Securities and Exchange Commission no later than 90 days following the initial filing of the registration statement. We have agreed to maintain the effectiveness of the registration statement until the earlier of (i) the date on which all of the registrable shares may be resold by the selling stockholders thereunder without registration and without regard to any volume limitations by reason of Rule 144(e) under the Securities Act of 1933, as amended, or any other rule of similar effect, (iii) the date that all shares of common stock have been sold or (iii) April 10, 2009.</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Convertible Promissory Notes</w:t>
      </w:r>
    </w:p>
    <w:p>
      <w:pPr>
        <w:spacing w:after="0" w:line="228" w:lineRule="exact"/>
        <w:rPr>
          <w:sz w:val="20"/>
          <w:szCs w:val="20"/>
          <w:color w:val="auto"/>
        </w:rPr>
      </w:pPr>
    </w:p>
    <w:p>
      <w:pPr>
        <w:ind w:right="60" w:firstLine="519"/>
        <w:spacing w:after="0" w:line="274" w:lineRule="auto"/>
        <w:rPr>
          <w:sz w:val="20"/>
          <w:szCs w:val="20"/>
          <w:color w:val="auto"/>
        </w:rPr>
      </w:pPr>
      <w:r>
        <w:rPr>
          <w:rFonts w:ascii="Arial" w:cs="Arial" w:eastAsia="Arial" w:hAnsi="Arial"/>
          <w:sz w:val="14"/>
          <w:szCs w:val="14"/>
          <w:color w:val="auto"/>
        </w:rPr>
        <w:t>We granted “piggyback” registration rights to the holders of the convertible promissory notes, whereby we will register for resale the common stock issuable upon conversion of such notes on any registration statement we filed under the Securities Act of 1933, as amended at any time on or before May 25, 2012, (except with respect to registration statements on Forms S-4 or S-8 or another similar form).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232" w:lineRule="exact"/>
        <w:rPr>
          <w:sz w:val="20"/>
          <w:szCs w:val="20"/>
          <w:color w:val="auto"/>
        </w:rPr>
      </w:pPr>
    </w:p>
    <w:p>
      <w:pPr>
        <w:ind w:right="320" w:firstLine="519"/>
        <w:spacing w:after="0" w:line="290" w:lineRule="auto"/>
        <w:rPr>
          <w:sz w:val="20"/>
          <w:szCs w:val="20"/>
          <w:color w:val="auto"/>
        </w:rPr>
      </w:pPr>
      <w:r>
        <w:rPr>
          <w:rFonts w:ascii="Arial" w:cs="Arial" w:eastAsia="Arial" w:hAnsi="Arial"/>
          <w:sz w:val="14"/>
          <w:szCs w:val="14"/>
          <w:color w:val="auto"/>
        </w:rPr>
        <w:t>All shares of our common stock held by Transdel Pharmaceuticals Holdings, Inc.’s former stockholders and our current officers, directors and 10% stockholders, are subject to lock-up agreements. These lock-up agreements provide that such stockholders may not, sell or otherwise transfer any shares of our common stock until April 10, 2009.</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of Directors and Officers</w:t>
      </w:r>
    </w:p>
    <w:p>
      <w:pPr>
        <w:spacing w:after="0" w:line="232" w:lineRule="exact"/>
        <w:rPr>
          <w:sz w:val="20"/>
          <w:szCs w:val="20"/>
          <w:color w:val="auto"/>
        </w:rPr>
      </w:pPr>
    </w:p>
    <w:p>
      <w:pPr>
        <w:ind w:firstLine="519"/>
        <w:spacing w:after="0" w:line="283" w:lineRule="auto"/>
        <w:rPr>
          <w:sz w:val="20"/>
          <w:szCs w:val="20"/>
          <w:color w:val="auto"/>
        </w:rPr>
      </w:pPr>
      <w:r>
        <w:rPr>
          <w:rFonts w:ascii="Arial" w:cs="Arial" w:eastAsia="Arial" w:hAnsi="Arial"/>
          <w:sz w:val="13"/>
          <w:szCs w:val="13"/>
          <w:color w:val="auto"/>
        </w:rPr>
        <w:t>Section 145 of the Delaware General Corporation Law, or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20"/>
          </w:cols>
          <w:pgMar w:left="220" w:top="345" w:right="259" w:bottom="1440" w:gutter="0" w:footer="0" w:header="0"/>
        </w:sectPr>
      </w:pPr>
    </w:p>
    <w:bookmarkStart w:id="38" w:name="page39"/>
    <w:bookmarkEnd w:id="38"/>
    <w:p>
      <w:pPr>
        <w:ind w:firstLine="519"/>
        <w:spacing w:after="0" w:line="274"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right="40" w:firstLine="519"/>
        <w:spacing w:after="0" w:line="268" w:lineRule="auto"/>
        <w:rPr>
          <w:sz w:val="20"/>
          <w:szCs w:val="20"/>
          <w:color w:val="auto"/>
        </w:rPr>
      </w:pPr>
      <w:r>
        <w:rPr>
          <w:rFonts w:ascii="Arial" w:cs="Arial" w:eastAsia="Arial" w:hAnsi="Arial"/>
          <w:sz w:val="14"/>
          <w:szCs w:val="14"/>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“claim” (as such term is defined in the agreement) initiated by the indemnitee against us or our directors or officers unless we join or consent to the initiation of such claim, or the purchase and sale of securities by the indemnitee in violation of Section 16(b) of the Securities Exchange Act of 1934, as amended.</w:t>
      </w:r>
    </w:p>
    <w:p>
      <w:pPr>
        <w:spacing w:after="0" w:line="190" w:lineRule="exact"/>
        <w:rPr>
          <w:sz w:val="20"/>
          <w:szCs w:val="20"/>
          <w:color w:val="auto"/>
        </w:rPr>
      </w:pPr>
    </w:p>
    <w:p>
      <w:pPr>
        <w:ind w:right="180" w:firstLine="519"/>
        <w:spacing w:after="0" w:line="290" w:lineRule="auto"/>
        <w:rPr>
          <w:sz w:val="20"/>
          <w:szCs w:val="20"/>
          <w:color w:val="auto"/>
        </w:rPr>
      </w:pPr>
      <w:r>
        <w:rPr>
          <w:rFonts w:ascii="Arial" w:cs="Arial" w:eastAsia="Arial" w:hAnsi="Arial"/>
          <w:sz w:val="14"/>
          <w:szCs w:val="14"/>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3" w:lineRule="exact"/>
        <w:rPr>
          <w:sz w:val="20"/>
          <w:szCs w:val="20"/>
          <w:color w:val="auto"/>
        </w:rPr>
      </w:pPr>
    </w:p>
    <w:p>
      <w:pPr>
        <w:ind w:right="440" w:firstLine="519"/>
        <w:spacing w:after="0" w:line="290" w:lineRule="auto"/>
        <w:rPr>
          <w:sz w:val="20"/>
          <w:szCs w:val="20"/>
          <w:color w:val="auto"/>
        </w:rPr>
      </w:pPr>
      <w:r>
        <w:rPr>
          <w:rFonts w:ascii="Arial" w:cs="Arial" w:eastAsia="Arial" w:hAnsi="Arial"/>
          <w:sz w:val="14"/>
          <w:szCs w:val="14"/>
          <w:color w:val="auto"/>
        </w:rPr>
        <w:t>We are also permitted to apply for insurance on behalf of any director, officer, employee or other agent for liability arising out of his actions, whether or not the DGCL would permit indemnification.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Effect of Delaware Law</w:t>
      </w:r>
    </w:p>
    <w:p>
      <w:pPr>
        <w:spacing w:after="0" w:line="232" w:lineRule="exact"/>
        <w:rPr>
          <w:sz w:val="20"/>
          <w:szCs w:val="20"/>
          <w:color w:val="auto"/>
        </w:rPr>
      </w:pPr>
    </w:p>
    <w:p>
      <w:pPr>
        <w:ind w:right="240" w:firstLine="519"/>
        <w:spacing w:after="0" w:line="295" w:lineRule="auto"/>
        <w:rPr>
          <w:sz w:val="20"/>
          <w:szCs w:val="20"/>
          <w:color w:val="auto"/>
        </w:rPr>
      </w:pPr>
      <w:r>
        <w:rPr>
          <w:rFonts w:ascii="Arial" w:cs="Arial" w:eastAsia="Arial" w:hAnsi="Arial"/>
          <w:sz w:val="13"/>
          <w:szCs w:val="13"/>
          <w:color w:val="auto"/>
        </w:rPr>
        <w:t>We are subject to the provisions of Section 203 of the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transfer agent for our common stock is American Registrar &amp; Transfer Co., 342 East 900 South, Salt Lake City, UT 84111. We will serve as warrant agent for our outstanding warrants.</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PLAN OF DISTRIBUTION</w:t>
      </w:r>
    </w:p>
    <w:p>
      <w:pPr>
        <w:spacing w:after="0" w:line="232" w:lineRule="exact"/>
        <w:rPr>
          <w:sz w:val="20"/>
          <w:szCs w:val="20"/>
          <w:color w:val="auto"/>
        </w:rPr>
      </w:pPr>
    </w:p>
    <w:p>
      <w:pPr>
        <w:ind w:right="340" w:firstLine="519"/>
        <w:spacing w:after="0" w:line="295" w:lineRule="auto"/>
        <w:rPr>
          <w:sz w:val="20"/>
          <w:szCs w:val="20"/>
          <w:color w:val="auto"/>
        </w:rPr>
      </w:pPr>
      <w:r>
        <w:rPr>
          <w:rFonts w:ascii="Arial" w:cs="Arial" w:eastAsia="Arial" w:hAnsi="Arial"/>
          <w:sz w:val="13"/>
          <w:szCs w:val="13"/>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w:t>
      </w:r>
    </w:p>
    <w:p>
      <w:pPr>
        <w:spacing w:after="0" w:line="174" w:lineRule="exact"/>
        <w:rPr>
          <w:sz w:val="20"/>
          <w:szCs w:val="20"/>
          <w:color w:val="auto"/>
        </w:rPr>
      </w:pPr>
    </w:p>
    <w:p>
      <w:pPr>
        <w:ind w:left="5660" w:right="3280" w:hanging="4875"/>
        <w:spacing w:after="0" w:line="644" w:lineRule="auto"/>
        <w:tabs>
          <w:tab w:leader="none" w:pos="1043" w:val="left"/>
        </w:tabs>
        <w:numPr>
          <w:ilvl w:val="0"/>
          <w:numId w:val="21"/>
        </w:numPr>
        <w:rPr>
          <w:rFonts w:ascii="Arial" w:cs="Arial" w:eastAsia="Arial" w:hAnsi="Arial"/>
          <w:sz w:val="14"/>
          <w:szCs w:val="14"/>
          <w:color w:val="auto"/>
        </w:rPr>
      </w:pPr>
      <w:r>
        <w:rPr>
          <w:rFonts w:ascii="Arial" w:cs="Arial" w:eastAsia="Arial" w:hAnsi="Arial"/>
          <w:sz w:val="14"/>
          <w:szCs w:val="14"/>
          <w:color w:val="auto"/>
        </w:rPr>
        <w:t>on any national securities exchange or quotation service on which the securities may be listed or quoted at the time of sale;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7964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00"/>
          </w:cols>
          <w:pgMar w:left="220" w:top="345" w:right="279" w:bottom="1440" w:gutter="0" w:footer="0" w:header="0"/>
        </w:sectPr>
      </w:pPr>
    </w:p>
    <w:bookmarkStart w:id="39" w:name="page40"/>
    <w:bookmarkEnd w:id="39"/>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the over-the-counter market;</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transactions otherwise than on these exchanges or systems or in the over-the-counter market;</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through the writing of options, whether such options are listed on an options exchange or otherwise;</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ordinary brokerage transactions and transactions in which the broker-dealer solicits purchasers;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block trades in which the broker-dealer will attempt to sell the shares as agent but may position and resell a portion of the block as principal to facilitate the transaction;</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by a broker-dealer as principal and resale by the broker-dealer for its account;</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 exchange distribution in accordance with the rules of the applicable exchange;</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privately negotiated transactions;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short sales;</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sales pursuant to Rule 144 under the Securities Act of 1933, as amended;</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broker-dealers may agree with the selling stockholders to sell a specified number of such shares at a stipulated price per share;</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combination of any such methods of sale; and</w:t>
      </w:r>
    </w:p>
    <w:p>
      <w:pPr>
        <w:spacing w:after="0" w:line="55" w:lineRule="exact"/>
        <w:rPr>
          <w:rFonts w:ascii="Arial" w:cs="Arial" w:eastAsia="Arial" w:hAnsi="Arial"/>
          <w:sz w:val="14"/>
          <w:szCs w:val="14"/>
          <w:color w:val="auto"/>
        </w:rPr>
      </w:pPr>
    </w:p>
    <w:p>
      <w:pPr>
        <w:ind w:left="1040" w:hanging="255"/>
        <w:spacing w:after="0"/>
        <w:tabs>
          <w:tab w:leader="none" w:pos="10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any other method permitted by applicable law.</w:t>
      </w:r>
    </w:p>
    <w:p>
      <w:pPr>
        <w:spacing w:after="0" w:line="272" w:lineRule="exact"/>
        <w:rPr>
          <w:sz w:val="20"/>
          <w:szCs w:val="20"/>
          <w:color w:val="auto"/>
        </w:rPr>
      </w:pPr>
    </w:p>
    <w:p>
      <w:pPr>
        <w:ind w:firstLine="519"/>
        <w:spacing w:after="0" w:line="263" w:lineRule="auto"/>
        <w:rPr>
          <w:sz w:val="20"/>
          <w:szCs w:val="20"/>
          <w:color w:val="auto"/>
        </w:rPr>
      </w:pPr>
      <w:r>
        <w:rPr>
          <w:rFonts w:ascii="Arial" w:cs="Arial" w:eastAsia="Arial" w:hAnsi="Arial"/>
          <w:sz w:val="14"/>
          <w:szCs w:val="14"/>
          <w:color w:val="auto"/>
        </w:rPr>
        <w:t>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These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who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93" w:lineRule="exact"/>
        <w:rPr>
          <w:sz w:val="20"/>
          <w:szCs w:val="20"/>
          <w:color w:val="auto"/>
        </w:rPr>
      </w:pPr>
    </w:p>
    <w:p>
      <w:pPr>
        <w:ind w:right="20" w:firstLine="519"/>
        <w:spacing w:after="0" w:line="266" w:lineRule="auto"/>
        <w:rPr>
          <w:sz w:val="20"/>
          <w:szCs w:val="20"/>
          <w:color w:val="auto"/>
        </w:rPr>
      </w:pPr>
      <w:r>
        <w:rPr>
          <w:rFonts w:ascii="Arial" w:cs="Arial" w:eastAsia="Arial" w:hAnsi="Arial"/>
          <w:sz w:val="14"/>
          <w:szCs w:val="14"/>
          <w:color w:val="auto"/>
        </w:rPr>
        <w:t>The selling stockholders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90" w:lineRule="exact"/>
        <w:rPr>
          <w:sz w:val="20"/>
          <w:szCs w:val="20"/>
          <w:color w:val="auto"/>
        </w:rPr>
      </w:pPr>
    </w:p>
    <w:p>
      <w:pPr>
        <w:jc w:val="both"/>
        <w:ind w:right="20" w:firstLine="519"/>
        <w:spacing w:after="0" w:line="262" w:lineRule="auto"/>
        <w:rPr>
          <w:sz w:val="20"/>
          <w:szCs w:val="20"/>
          <w:color w:val="auto"/>
        </w:rPr>
      </w:pPr>
      <w:r>
        <w:rPr>
          <w:rFonts w:ascii="Arial" w:cs="Arial" w:eastAsia="Arial" w:hAnsi="Arial"/>
          <w:sz w:val="14"/>
          <w:szCs w:val="14"/>
          <w:color w:val="auto"/>
        </w:rPr>
        <w:t>The selling stockholders and any broker-dealer participating in the distribution of the shares of common stock may be deemed to be “underwriters” within the meaning of the Securities Act of 1933, as amended, and any commission paid, or any discounts or concessions allowed to, any such broker-dealer may be deemed to be underwriting commissions or discounts under the Securities Act of 1933, as amended.</w:t>
      </w:r>
    </w:p>
    <w:p>
      <w:pPr>
        <w:spacing w:after="0" w:line="1" w:lineRule="exact"/>
        <w:rPr>
          <w:sz w:val="20"/>
          <w:szCs w:val="20"/>
          <w:color w:val="auto"/>
        </w:rPr>
      </w:pPr>
    </w:p>
    <w:p>
      <w:pPr>
        <w:ind w:right="100"/>
        <w:spacing w:after="0" w:line="287" w:lineRule="auto"/>
        <w:rPr>
          <w:sz w:val="20"/>
          <w:szCs w:val="20"/>
          <w:color w:val="auto"/>
        </w:rPr>
      </w:pPr>
      <w:r>
        <w:rPr>
          <w:rFonts w:ascii="Arial" w:cs="Arial" w:eastAsia="Arial" w:hAnsi="Arial"/>
          <w:sz w:val="13"/>
          <w:szCs w:val="13"/>
          <w:color w:val="auto"/>
        </w:rPr>
        <w:t>Granite Financial Group, LLC, a registered broker-dealer, is an underwriter with respect to 14,000 shares of our common stock and 3,500 shares of common stock issuable upon the exercise of warrants that Granite Financial Group, LLC purchased in the September 2007 and October 2007 private placements that the Granite Financial Group, LLC is offering for resale pursuant to the registration statement of which this prospectus forms a part.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8" w:lineRule="exact"/>
        <w:rPr>
          <w:sz w:val="20"/>
          <w:szCs w:val="20"/>
          <w:color w:val="auto"/>
        </w:rPr>
      </w:pPr>
    </w:p>
    <w:p>
      <w:pPr>
        <w:ind w:right="80" w:firstLine="519"/>
        <w:spacing w:after="0" w:line="378" w:lineRule="auto"/>
        <w:rPr>
          <w:sz w:val="20"/>
          <w:szCs w:val="20"/>
          <w:color w:val="auto"/>
        </w:rPr>
      </w:pPr>
      <w:r>
        <w:rPr>
          <w:rFonts w:ascii="Arial" w:cs="Arial" w:eastAsia="Arial" w:hAnsi="Arial"/>
          <w:sz w:val="12"/>
          <w:szCs w:val="12"/>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There can be no assurance that any selling stockholder will sell any or all of the shares of common stock registered by the registration statement of which this prospectus forms a part.</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45" w:right="239" w:bottom="1440" w:gutter="0" w:footer="0" w:header="0"/>
        </w:sectPr>
      </w:pPr>
    </w:p>
    <w:bookmarkStart w:id="40" w:name="page41"/>
    <w:bookmarkEnd w:id="40"/>
    <w:p>
      <w:pPr>
        <w:ind w:firstLine="519"/>
        <w:spacing w:after="0" w:line="266" w:lineRule="auto"/>
        <w:rPr>
          <w:sz w:val="20"/>
          <w:szCs w:val="20"/>
          <w:color w:val="auto"/>
        </w:rPr>
      </w:pPr>
      <w:r>
        <w:rPr>
          <w:rFonts w:ascii="Arial" w:cs="Arial" w:eastAsia="Arial" w:hAnsi="Arial"/>
          <w:sz w:val="14"/>
          <w:szCs w:val="14"/>
          <w:color w:val="auto"/>
        </w:rPr>
        <w:t>The selling stockholders and any other person participating in such distribution will be subject to applicable provisions of the Securities Exchange Act of 1934, as amended, and the rules and regulations thereunder, including, without limitation, Regulation M of the Securities Exchange Act of 1934, as amended, which may limit the timing of purchases and sales of any of the shares of common stock by the selling stockholders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0" w:lineRule="exact"/>
        <w:rPr>
          <w:sz w:val="20"/>
          <w:szCs w:val="20"/>
          <w:color w:val="auto"/>
        </w:rPr>
      </w:pPr>
    </w:p>
    <w:p>
      <w:pPr>
        <w:ind w:right="380" w:firstLine="519"/>
        <w:spacing w:after="0" w:line="290" w:lineRule="auto"/>
        <w:rPr>
          <w:sz w:val="20"/>
          <w:szCs w:val="20"/>
          <w:color w:val="auto"/>
        </w:rPr>
      </w:pPr>
      <w:r>
        <w:rPr>
          <w:rFonts w:ascii="Arial" w:cs="Arial" w:eastAsia="Arial" w:hAnsi="Arial"/>
          <w:sz w:val="14"/>
          <w:szCs w:val="14"/>
          <w:color w:val="auto"/>
        </w:rPr>
        <w:t>We will pay all expenses of the registration of the shares of common stock pursuant to the registration rights agreement that we entered into with the selling stockholders; however, the selling stockholders will pay all underwriting discounts and selling commissions, if any.</w:t>
      </w:r>
    </w:p>
    <w:p>
      <w:pPr>
        <w:spacing w:after="0" w:line="173" w:lineRule="exact"/>
        <w:rPr>
          <w:sz w:val="20"/>
          <w:szCs w:val="20"/>
          <w:color w:val="auto"/>
        </w:rPr>
      </w:pPr>
    </w:p>
    <w:p>
      <w:pPr>
        <w:ind w:right="200" w:firstLine="519"/>
        <w:spacing w:after="0" w:line="290" w:lineRule="auto"/>
        <w:rPr>
          <w:sz w:val="20"/>
          <w:szCs w:val="20"/>
          <w:color w:val="auto"/>
        </w:rPr>
      </w:pPr>
      <w:r>
        <w:rPr>
          <w:rFonts w:ascii="Arial" w:cs="Arial" w:eastAsia="Arial" w:hAnsi="Arial"/>
          <w:sz w:val="14"/>
          <w:szCs w:val="14"/>
          <w:color w:val="auto"/>
        </w:rPr>
        <w:t>We will indemnify the selling stockholders and we may be indemnified by the selling stockholders against liabilities, including liabilities under the Securities Act of 1933, as amended, in accordance with the registration rights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DISCLOSURE OF COMMISSION POSITION ON INDEMNIFICATION FOR SECURITIES ACT LIABILITIES</w:t>
      </w:r>
    </w:p>
    <w:p>
      <w:pPr>
        <w:spacing w:after="0" w:line="232" w:lineRule="exact"/>
        <w:rPr>
          <w:sz w:val="20"/>
          <w:szCs w:val="20"/>
          <w:color w:val="auto"/>
        </w:rPr>
      </w:pPr>
    </w:p>
    <w:p>
      <w:pPr>
        <w:ind w:right="160" w:firstLine="519"/>
        <w:spacing w:after="0" w:line="274" w:lineRule="auto"/>
        <w:rPr>
          <w:sz w:val="20"/>
          <w:szCs w:val="20"/>
          <w:color w:val="auto"/>
        </w:rPr>
      </w:pPr>
      <w:r>
        <w:rPr>
          <w:rFonts w:ascii="Arial" w:cs="Arial" w:eastAsia="Arial" w:hAnsi="Arial"/>
          <w:sz w:val="14"/>
          <w:szCs w:val="14"/>
          <w:color w:val="auto"/>
        </w:rPr>
        <w:t>Insofar as indemnification for liabilities arising under the Securities Act of 1933, as amended, may be permitted to our directors, officers and persons controlling us, we have been advised that it is the Securities and Exchange Commission’s opinion that such indemnification is against public policy as expressed in the Securities Act of 1933, as amended, and is, therefore, unenforceable.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Haynes and Boone, LLP, New York, New York, will pass upon the validity of the shares of our common stock offered by the selling stockholders under this prospectus.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EXPERTS</w:t>
      </w:r>
    </w:p>
    <w:p>
      <w:pPr>
        <w:spacing w:after="0" w:line="232" w:lineRule="exact"/>
        <w:rPr>
          <w:sz w:val="20"/>
          <w:szCs w:val="20"/>
          <w:color w:val="auto"/>
        </w:rPr>
      </w:pPr>
    </w:p>
    <w:p>
      <w:pPr>
        <w:jc w:val="both"/>
        <w:ind w:right="20" w:firstLine="519"/>
        <w:spacing w:after="0" w:line="274" w:lineRule="auto"/>
        <w:rPr>
          <w:sz w:val="20"/>
          <w:szCs w:val="20"/>
          <w:color w:val="auto"/>
        </w:rPr>
      </w:pPr>
      <w:r>
        <w:rPr>
          <w:rFonts w:ascii="Arial" w:cs="Arial" w:eastAsia="Arial" w:hAnsi="Arial"/>
          <w:sz w:val="14"/>
          <w:szCs w:val="14"/>
          <w:color w:val="auto"/>
        </w:rPr>
        <w:t>The financial statements for the fiscal years ended December 31, 2006 and 2005 included in this prospectus have been audited by KMJ Corbin &amp; Company, an independent registered public accounting firm, as stated in their report appearing herein and elsewhere in the registration statement, and are included in reliance upon the report of such firm given upon their authority as experts in accounting and auditing.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232" w:lineRule="exact"/>
        <w:rPr>
          <w:sz w:val="20"/>
          <w:szCs w:val="20"/>
          <w:color w:val="auto"/>
        </w:rPr>
      </w:pPr>
    </w:p>
    <w:p>
      <w:pPr>
        <w:ind w:right="240" w:firstLine="519"/>
        <w:spacing w:after="0" w:line="330" w:lineRule="auto"/>
        <w:rPr>
          <w:sz w:val="20"/>
          <w:szCs w:val="20"/>
          <w:color w:val="auto"/>
        </w:rPr>
      </w:pPr>
      <w:r>
        <w:rPr>
          <w:rFonts w:ascii="Arial" w:cs="Arial" w:eastAsia="Arial" w:hAnsi="Arial"/>
          <w:sz w:val="13"/>
          <w:szCs w:val="13"/>
          <w:color w:val="auto"/>
        </w:rPr>
        <w:t>We have filed with the Securities and Exchange Commission a registration statement on Form SB-2, under the Securities Act of 1933, as amended, with respect to our shares of common stock offered by this prospectus. The registration statement contains additional information about us and our shares of common stock that the selling stockholders are offering in this prospectus.</w:t>
      </w:r>
    </w:p>
    <w:p>
      <w:pPr>
        <w:spacing w:after="0" w:line="151" w:lineRule="exact"/>
        <w:rPr>
          <w:sz w:val="20"/>
          <w:szCs w:val="20"/>
          <w:color w:val="auto"/>
        </w:rPr>
      </w:pPr>
    </w:p>
    <w:p>
      <w:pPr>
        <w:ind w:right="20" w:firstLine="519"/>
        <w:spacing w:after="0" w:line="285" w:lineRule="auto"/>
        <w:rPr>
          <w:sz w:val="20"/>
          <w:szCs w:val="20"/>
          <w:color w:val="auto"/>
        </w:rPr>
      </w:pPr>
      <w:r>
        <w:rPr>
          <w:rFonts w:ascii="Arial" w:cs="Arial" w:eastAsia="Arial" w:hAnsi="Arial"/>
          <w:sz w:val="13"/>
          <w:szCs w:val="13"/>
          <w:color w:val="auto"/>
        </w:rPr>
        <w:t>We file annual, quarterly and current reports and other information with the Securities and Exchange Commission under the Securities Exchange Act of 1934, as amended. Our Securities and Exchange Commission filings are available to the public over the Internet at the Securities and Exchange Commission’s website at http://www.sec.gov. You may also read and copy any document we file at the Securities and Exchange Commission’s public reference room located at 100 F Street, N.E., Washington, D.C. 20549. Please call the Securities and Exchange Commission at 1-800-SEC-0330 for further information on the public reference rooms and their copy charges. In addition, through our website, http://www.trans-pharma.com, you can access electronic copies of documents we file with the Securities and Exchange Commission, including our Annual Report on Form 10-KSB, our Quarterly Reports on Form 10-QSB, and Current Reports on Form 8-K and any amendments to those reports. Information on our website is not incorporated by reference in this prospectus. Access to those electronic filings is available as soon as practicable after filing with the Securities and Exchange Commission. You may also request a copy of those filings, excluding exhibits, from us at no cost. Any such request should be addressed to us at: 4225 Executive Square, Suite 460, La Jolla, California 92037, Attention: John T. Lomoro, Chief Financial Officer.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2"/>
        </w:trPr>
        <w:tc>
          <w:tcPr>
            <w:tcW w:w="9760" w:type="dxa"/>
            <w:vAlign w:val="bottom"/>
          </w:tcPr>
          <w:p>
            <w:pPr>
              <w:jc w:val="center"/>
              <w:ind w:left="1648"/>
              <w:spacing w:after="0"/>
              <w:rPr>
                <w:sz w:val="20"/>
                <w:szCs w:val="20"/>
                <w:color w:val="auto"/>
              </w:rPr>
            </w:pPr>
            <w:r>
              <w:rPr>
                <w:rFonts w:ascii="Arial" w:cs="Arial" w:eastAsia="Arial" w:hAnsi="Arial"/>
                <w:sz w:val="14"/>
                <w:szCs w:val="14"/>
                <w:color w:val="auto"/>
              </w:rPr>
              <w:t>TRANSDEL PHARMACEUTICALS, INC.</w:t>
            </w:r>
          </w:p>
        </w:tc>
        <w:tc>
          <w:tcPr>
            <w:tcW w:w="1700" w:type="dxa"/>
            <w:vAlign w:val="bottom"/>
          </w:tcPr>
          <w:p>
            <w:pPr>
              <w:spacing w:after="0"/>
              <w:rPr>
                <w:sz w:val="15"/>
                <w:szCs w:val="15"/>
                <w:color w:val="auto"/>
              </w:rPr>
            </w:pPr>
          </w:p>
        </w:tc>
      </w:tr>
      <w:tr>
        <w:trPr>
          <w:trHeight w:val="389"/>
        </w:trPr>
        <w:tc>
          <w:tcPr>
            <w:tcW w:w="9760" w:type="dxa"/>
            <w:vAlign w:val="bottom"/>
          </w:tcPr>
          <w:p>
            <w:pPr>
              <w:jc w:val="center"/>
              <w:ind w:left="1648"/>
              <w:spacing w:after="0"/>
              <w:rPr>
                <w:sz w:val="20"/>
                <w:szCs w:val="20"/>
                <w:color w:val="auto"/>
              </w:rPr>
            </w:pPr>
            <w:r>
              <w:rPr>
                <w:rFonts w:ascii="Arial" w:cs="Arial" w:eastAsia="Arial" w:hAnsi="Arial"/>
                <w:sz w:val="14"/>
                <w:szCs w:val="14"/>
                <w:color w:val="auto"/>
              </w:rPr>
              <w:t>INDEX TO FINANCIAL STATEMENTS</w:t>
            </w:r>
          </w:p>
        </w:tc>
        <w:tc>
          <w:tcPr>
            <w:tcW w:w="1700" w:type="dxa"/>
            <w:vAlign w:val="bottom"/>
          </w:tcPr>
          <w:p>
            <w:pPr>
              <w:spacing w:after="0"/>
              <w:rPr>
                <w:sz w:val="24"/>
                <w:szCs w:val="24"/>
                <w:color w:val="auto"/>
              </w:rPr>
            </w:pPr>
          </w:p>
        </w:tc>
      </w:tr>
      <w:tr>
        <w:trPr>
          <w:trHeight w:val="218"/>
        </w:trPr>
        <w:tc>
          <w:tcPr>
            <w:tcW w:w="97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5"/>
        </w:trPr>
        <w:tc>
          <w:tcPr>
            <w:tcW w:w="976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Financial Statements of Transdel Pharmaceuticals, Inc. For the period ended September 30, 2007 (Unaudited)</w:t>
            </w:r>
          </w:p>
        </w:tc>
        <w:tc>
          <w:tcPr>
            <w:tcW w:w="1700" w:type="dxa"/>
            <w:vAlign w:val="bottom"/>
            <w:shd w:val="clear" w:color="auto" w:fill="CCFFCC"/>
          </w:tcPr>
          <w:p>
            <w:pPr>
              <w:spacing w:after="0"/>
              <w:rPr>
                <w:sz w:val="16"/>
                <w:szCs w:val="16"/>
                <w:color w:val="auto"/>
              </w:rPr>
            </w:pP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Condensed Consolidated Balance Sheet at September 30, 2007</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F-2</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Consolidated Statements of Operations for the three months and nine months ended</w:t>
            </w:r>
          </w:p>
        </w:tc>
        <w:tc>
          <w:tcPr>
            <w:tcW w:w="1700" w:type="dxa"/>
            <w:vAlign w:val="bottom"/>
            <w:shd w:val="clear" w:color="auto" w:fill="CCFFCC"/>
          </w:tcPr>
          <w:p>
            <w:pPr>
              <w:spacing w:after="0"/>
              <w:rPr>
                <w:sz w:val="16"/>
                <w:szCs w:val="16"/>
                <w:color w:val="auto"/>
              </w:rPr>
            </w:pPr>
          </w:p>
        </w:tc>
      </w:tr>
      <w:tr>
        <w:trPr>
          <w:trHeight w:val="196"/>
        </w:trPr>
        <w:tc>
          <w:tcPr>
            <w:tcW w:w="9760" w:type="dxa"/>
            <w:vAlign w:val="bottom"/>
            <w:shd w:val="clear" w:color="auto" w:fill="CCFFCC"/>
          </w:tcPr>
          <w:p>
            <w:pPr>
              <w:ind w:left="520"/>
              <w:spacing w:after="0"/>
              <w:rPr>
                <w:sz w:val="20"/>
                <w:szCs w:val="20"/>
                <w:color w:val="auto"/>
              </w:rPr>
            </w:pPr>
            <w:r>
              <w:rPr>
                <w:rFonts w:ascii="Arial" w:cs="Arial" w:eastAsia="Arial" w:hAnsi="Arial"/>
                <w:sz w:val="14"/>
                <w:szCs w:val="14"/>
                <w:color w:val="auto"/>
              </w:rPr>
              <w:t>September 30, 2007 and 2006</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F-3</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Condensed Consolidated Statements of Stockholders’ Equity for the</w:t>
            </w:r>
          </w:p>
        </w:tc>
        <w:tc>
          <w:tcPr>
            <w:tcW w:w="1700" w:type="dxa"/>
            <w:vAlign w:val="bottom"/>
            <w:shd w:val="clear" w:color="auto" w:fill="CCFFCC"/>
          </w:tcPr>
          <w:p>
            <w:pPr>
              <w:spacing w:after="0"/>
              <w:rPr>
                <w:sz w:val="16"/>
                <w:szCs w:val="16"/>
                <w:color w:val="auto"/>
              </w:rPr>
            </w:pPr>
          </w:p>
        </w:tc>
      </w:tr>
      <w:tr>
        <w:trPr>
          <w:trHeight w:val="196"/>
        </w:trPr>
        <w:tc>
          <w:tcPr>
            <w:tcW w:w="9760" w:type="dxa"/>
            <w:vAlign w:val="bottom"/>
            <w:shd w:val="clear" w:color="auto" w:fill="CCFFCC"/>
          </w:tcPr>
          <w:p>
            <w:pPr>
              <w:ind w:left="520"/>
              <w:spacing w:after="0"/>
              <w:rPr>
                <w:sz w:val="20"/>
                <w:szCs w:val="20"/>
                <w:color w:val="auto"/>
              </w:rPr>
            </w:pPr>
            <w:r>
              <w:rPr>
                <w:rFonts w:ascii="Arial" w:cs="Arial" w:eastAsia="Arial" w:hAnsi="Arial"/>
                <w:sz w:val="14"/>
                <w:szCs w:val="14"/>
                <w:color w:val="auto"/>
              </w:rPr>
              <w:t>nine months ended September 30, 2007</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F-4</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3"/>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Condensed Consolidated Statements of Cash Flows for the nine months</w:t>
            </w:r>
          </w:p>
        </w:tc>
        <w:tc>
          <w:tcPr>
            <w:tcW w:w="1700" w:type="dxa"/>
            <w:vAlign w:val="bottom"/>
            <w:shd w:val="clear" w:color="auto" w:fill="CCFFCC"/>
          </w:tcPr>
          <w:p>
            <w:pPr>
              <w:spacing w:after="0"/>
              <w:rPr>
                <w:sz w:val="16"/>
                <w:szCs w:val="16"/>
                <w:color w:val="auto"/>
              </w:rPr>
            </w:pPr>
          </w:p>
        </w:tc>
      </w:tr>
      <w:tr>
        <w:trPr>
          <w:trHeight w:val="196"/>
        </w:trPr>
        <w:tc>
          <w:tcPr>
            <w:tcW w:w="9760" w:type="dxa"/>
            <w:vAlign w:val="bottom"/>
            <w:shd w:val="clear" w:color="auto" w:fill="CCFFCC"/>
          </w:tcPr>
          <w:p>
            <w:pPr>
              <w:ind w:left="520"/>
              <w:spacing w:after="0"/>
              <w:rPr>
                <w:sz w:val="20"/>
                <w:szCs w:val="20"/>
                <w:color w:val="auto"/>
              </w:rPr>
            </w:pPr>
            <w:r>
              <w:rPr>
                <w:rFonts w:ascii="Arial" w:cs="Arial" w:eastAsia="Arial" w:hAnsi="Arial"/>
                <w:sz w:val="14"/>
                <w:szCs w:val="14"/>
                <w:color w:val="auto"/>
              </w:rPr>
              <w:t>ended September 30, 2007</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F-5</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Notes to Condensed Consolidated Financial Statements</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F-6</w:t>
            </w:r>
          </w:p>
        </w:tc>
      </w:tr>
      <w:tr>
        <w:trPr>
          <w:trHeight w:val="389"/>
        </w:trPr>
        <w:tc>
          <w:tcPr>
            <w:tcW w:w="97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58"/>
        </w:trPr>
        <w:tc>
          <w:tcPr>
            <w:tcW w:w="9760" w:type="dxa"/>
            <w:vAlign w:val="bottom"/>
            <w:shd w:val="clear" w:color="auto" w:fill="CCFFCC"/>
          </w:tcPr>
          <w:p>
            <w:pPr>
              <w:spacing w:after="0" w:line="159" w:lineRule="exact"/>
              <w:rPr>
                <w:sz w:val="20"/>
                <w:szCs w:val="20"/>
                <w:color w:val="auto"/>
              </w:rPr>
            </w:pPr>
            <w:r>
              <w:rPr>
                <w:rFonts w:ascii="Arial" w:cs="Arial" w:eastAsia="Arial" w:hAnsi="Arial"/>
                <w:sz w:val="14"/>
                <w:szCs w:val="14"/>
                <w:b w:val="1"/>
                <w:bCs w:val="1"/>
                <w:color w:val="auto"/>
                <w:w w:val="95"/>
              </w:rPr>
              <w:t>Financial Statements of Trans-Pharma Corporation (now known as Transdel Pharmaceuticals Holdings, Inc.) for the fiscal years ended December 31, 2006</w:t>
            </w:r>
          </w:p>
        </w:tc>
        <w:tc>
          <w:tcPr>
            <w:tcW w:w="1700" w:type="dxa"/>
            <w:vAlign w:val="bottom"/>
            <w:shd w:val="clear" w:color="auto" w:fill="CCFFCC"/>
          </w:tcPr>
          <w:p>
            <w:pPr>
              <w:spacing w:after="0"/>
              <w:rPr>
                <w:sz w:val="13"/>
                <w:szCs w:val="13"/>
                <w:color w:val="auto"/>
              </w:rPr>
            </w:pPr>
          </w:p>
        </w:tc>
      </w:tr>
      <w:tr>
        <w:trPr>
          <w:trHeight w:val="188"/>
        </w:trPr>
        <w:tc>
          <w:tcPr>
            <w:tcW w:w="9760" w:type="dxa"/>
            <w:vAlign w:val="bottom"/>
            <w:shd w:val="clear" w:color="auto" w:fill="CCFFCC"/>
          </w:tcPr>
          <w:p>
            <w:pPr>
              <w:ind w:left="140"/>
              <w:spacing w:after="0"/>
              <w:rPr>
                <w:sz w:val="20"/>
                <w:szCs w:val="20"/>
                <w:color w:val="auto"/>
              </w:rPr>
            </w:pPr>
            <w:r>
              <w:rPr>
                <w:rFonts w:ascii="Arial" w:cs="Arial" w:eastAsia="Arial" w:hAnsi="Arial"/>
                <w:sz w:val="14"/>
                <w:szCs w:val="14"/>
                <w:b w:val="1"/>
                <w:bCs w:val="1"/>
                <w:color w:val="auto"/>
              </w:rPr>
              <w:t>and 2005 (Audited)</w:t>
            </w:r>
          </w:p>
        </w:tc>
        <w:tc>
          <w:tcPr>
            <w:tcW w:w="1700" w:type="dxa"/>
            <w:vAlign w:val="bottom"/>
            <w:shd w:val="clear" w:color="auto" w:fill="CCFFCC"/>
          </w:tcPr>
          <w:p>
            <w:pPr>
              <w:spacing w:after="0"/>
              <w:rPr>
                <w:sz w:val="16"/>
                <w:szCs w:val="16"/>
                <w:color w:val="auto"/>
              </w:rPr>
            </w:pP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Report of Independent Registered Public Accounting Firm</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F-15</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Consolidated Balance Sheets at December 31, 2006</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F-16</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Consolidated Statements of Operations for the years ended December 31, 2006 and 2005</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F-17</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Consolidated Statements of Stockholders’ Deficit for the years ended December 31, 2006 and 2005</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F-18</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Consolidated Statements of Cash Flows for the years ended December 31, 2006 and 2005</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F-21</w:t>
            </w:r>
          </w:p>
        </w:tc>
      </w:tr>
      <w:tr>
        <w:trPr>
          <w:trHeight w:val="195"/>
        </w:trPr>
        <w:tc>
          <w:tcPr>
            <w:tcW w:w="97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95"/>
        </w:trPr>
        <w:tc>
          <w:tcPr>
            <w:tcW w:w="9760" w:type="dxa"/>
            <w:vAlign w:val="bottom"/>
            <w:shd w:val="clear" w:color="auto" w:fill="CCFFCC"/>
          </w:tcPr>
          <w:p>
            <w:pPr>
              <w:ind w:left="260"/>
              <w:spacing w:after="0"/>
              <w:rPr>
                <w:sz w:val="20"/>
                <w:szCs w:val="20"/>
                <w:color w:val="auto"/>
              </w:rPr>
            </w:pPr>
            <w:r>
              <w:rPr>
                <w:rFonts w:ascii="Arial" w:cs="Arial" w:eastAsia="Arial" w:hAnsi="Arial"/>
                <w:sz w:val="14"/>
                <w:szCs w:val="14"/>
                <w:color w:val="auto"/>
              </w:rPr>
              <w:t>Notes to Consolidated Financial Statements</w:t>
            </w:r>
          </w:p>
        </w:tc>
        <w:tc>
          <w:tcPr>
            <w:tcW w:w="170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F-22</w:t>
            </w:r>
          </w:p>
        </w:tc>
      </w:tr>
      <w:tr>
        <w:trPr>
          <w:trHeight w:val="367"/>
        </w:trPr>
        <w:tc>
          <w:tcPr>
            <w:tcW w:w="9760" w:type="dxa"/>
            <w:vAlign w:val="bottom"/>
          </w:tcPr>
          <w:p>
            <w:pPr>
              <w:jc w:val="center"/>
              <w:ind w:left="1648"/>
              <w:spacing w:after="0"/>
              <w:rPr>
                <w:sz w:val="20"/>
                <w:szCs w:val="20"/>
                <w:color w:val="auto"/>
              </w:rPr>
            </w:pPr>
            <w:r>
              <w:rPr>
                <w:rFonts w:ascii="Arial" w:cs="Arial" w:eastAsia="Arial" w:hAnsi="Arial"/>
                <w:sz w:val="14"/>
                <w:szCs w:val="14"/>
                <w:color w:val="auto"/>
                <w:w w:val="95"/>
              </w:rPr>
              <w:t>F-1</w:t>
            </w:r>
          </w:p>
        </w:tc>
        <w:tc>
          <w:tcPr>
            <w:tcW w:w="1700" w:type="dxa"/>
            <w:vAlign w:val="bottom"/>
          </w:tcPr>
          <w:p>
            <w:pPr>
              <w:spacing w:after="0"/>
              <w:rPr>
                <w:sz w:val="24"/>
                <w:szCs w:val="24"/>
                <w:color w:val="auto"/>
              </w:rPr>
            </w:pPr>
          </w:p>
        </w:tc>
      </w:tr>
      <w:tr>
        <w:trPr>
          <w:trHeight w:val="94"/>
        </w:trPr>
        <w:tc>
          <w:tcPr>
            <w:tcW w:w="976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24" w:right="219" w:bottom="1440" w:gutter="0" w:footer="0" w:header="0"/>
        </w:sectPr>
      </w:pPr>
    </w:p>
    <w:bookmarkStart w:id="42" w:name="page43"/>
    <w:bookmarkEnd w:id="42"/>
    <w:p>
      <w:pPr>
        <w:jc w:val="center"/>
        <w:ind w:left="2590"/>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ind w:left="2590"/>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ind w:left="2590"/>
        <w:spacing w:after="0"/>
        <w:rPr>
          <w:sz w:val="20"/>
          <w:szCs w:val="20"/>
          <w:color w:val="auto"/>
        </w:rPr>
      </w:pPr>
      <w:r>
        <w:rPr>
          <w:rFonts w:ascii="Arial" w:cs="Arial" w:eastAsia="Arial" w:hAnsi="Arial"/>
          <w:sz w:val="14"/>
          <w:szCs w:val="14"/>
          <w:b w:val="1"/>
          <w:bCs w:val="1"/>
          <w:color w:val="auto"/>
        </w:rPr>
        <w:t>UNAUDITED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7273925" cy="1098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925" cy="1098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73925" cy="1098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925" cy="1098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Prepaid consulting fees</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73925" cy="13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925" cy="130810"/>
                    </a:xfrm>
                    <a:prstGeom prst="rect">
                      <a:avLst/>
                    </a:prstGeom>
                    <a:noFill/>
                  </pic:spPr>
                </pic:pic>
              </a:graphicData>
            </a:graphic>
          </wp:anchor>
        </w:drawing>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273925" cy="109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925" cy="1098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73925" cy="1098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925" cy="1098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Accounts payable</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Accrued expenses and payroll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273925" cy="130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925" cy="130810"/>
                    </a:xfrm>
                    <a:prstGeom prst="rect">
                      <a:avLst/>
                    </a:prstGeom>
                    <a:noFill/>
                  </pic:spPr>
                </pic:pic>
              </a:graphicData>
            </a:graphic>
          </wp:anchor>
        </w:drawing>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273925" cy="109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925" cy="1098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392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925"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Preferred stock, $0.001 par value; 5,000,000 shares authorized, none outstanding</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Common stock, $0.001 par value; 50,000,000 shares authorized, 13,652,004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3925" cy="123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925" cy="123825"/>
                    </a:xfrm>
                    <a:prstGeom prst="rect">
                      <a:avLst/>
                    </a:prstGeom>
                    <a:noFill/>
                  </pic:spPr>
                </pic:pic>
              </a:graphicData>
            </a:graphic>
          </wp:anchor>
        </w:drawing>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Additional paid-in capital</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Deficit accumulated during the development stage</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273925" cy="1308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925" cy="130810"/>
                    </a:xfrm>
                    <a:prstGeom prst="rect">
                      <a:avLst/>
                    </a:prstGeom>
                    <a:noFill/>
                  </pic:spPr>
                </pic:pic>
              </a:graphicData>
            </a:graphic>
          </wp:anchor>
        </w:drawing>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liabilities and stockholders’ equity</w:t>
      </w:r>
    </w:p>
    <w:p>
      <w:pPr>
        <w:spacing w:after="0" w:line="261"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0"/>
        <w:spacing w:after="0"/>
        <w:rPr>
          <w:sz w:val="20"/>
          <w:szCs w:val="20"/>
          <w:color w:val="auto"/>
        </w:rPr>
      </w:pPr>
      <w:r>
        <w:rPr>
          <w:rFonts w:ascii="Arial" w:cs="Arial" w:eastAsia="Arial" w:hAnsi="Arial"/>
          <w:sz w:val="14"/>
          <w:szCs w:val="14"/>
          <w:b w:val="1"/>
          <w:bCs w:val="1"/>
          <w:color w:val="auto"/>
        </w:rPr>
        <w:t>September 30,</w:t>
      </w:r>
    </w:p>
    <w:p>
      <w:pPr>
        <w:spacing w:after="0" w:line="34" w:lineRule="exact"/>
        <w:rPr>
          <w:sz w:val="20"/>
          <w:szCs w:val="20"/>
          <w:color w:val="auto"/>
        </w:rPr>
      </w:pPr>
    </w:p>
    <w:p>
      <w:pPr>
        <w:jc w:val="center"/>
        <w:ind w:right="3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86550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790" w:hanging="790"/>
        <w:spacing w:after="0"/>
        <w:tabs>
          <w:tab w:leader="none" w:pos="790" w:val="left"/>
        </w:tabs>
        <w:numPr>
          <w:ilvl w:val="0"/>
          <w:numId w:val="23"/>
        </w:numPr>
        <w:rPr>
          <w:rFonts w:ascii="Arial" w:cs="Arial" w:eastAsia="Arial" w:hAnsi="Arial"/>
          <w:sz w:val="13"/>
          <w:szCs w:val="13"/>
          <w:color w:val="auto"/>
        </w:rPr>
      </w:pPr>
      <w:r>
        <w:rPr>
          <w:rFonts w:ascii="Arial" w:cs="Arial" w:eastAsia="Arial" w:hAnsi="Arial"/>
          <w:sz w:val="13"/>
          <w:szCs w:val="13"/>
          <w:color w:val="auto"/>
        </w:rPr>
        <w:t>4,298,092</w:t>
      </w:r>
    </w:p>
    <w:p>
      <w:pPr>
        <w:spacing w:after="0" w:line="32" w:lineRule="exact"/>
        <w:rPr>
          <w:rFonts w:ascii="Arial" w:cs="Arial" w:eastAsia="Arial" w:hAnsi="Arial"/>
          <w:sz w:val="13"/>
          <w:szCs w:val="13"/>
          <w:color w:val="auto"/>
        </w:rPr>
      </w:pPr>
    </w:p>
    <w:p>
      <w:pPr>
        <w:ind w:left="890"/>
        <w:spacing w:after="0"/>
        <w:rPr>
          <w:rFonts w:ascii="Arial" w:cs="Arial" w:eastAsia="Arial" w:hAnsi="Arial"/>
          <w:sz w:val="13"/>
          <w:szCs w:val="13"/>
          <w:color w:val="auto"/>
        </w:rPr>
      </w:pPr>
      <w:r>
        <w:rPr>
          <w:rFonts w:ascii="Arial" w:cs="Arial" w:eastAsia="Arial" w:hAnsi="Arial"/>
          <w:sz w:val="14"/>
          <w:szCs w:val="14"/>
          <w:color w:val="auto"/>
        </w:rPr>
        <w:t>661,248</w:t>
      </w:r>
    </w:p>
    <w:p>
      <w:pPr>
        <w:spacing w:after="0" w:line="24" w:lineRule="exact"/>
        <w:rPr>
          <w:sz w:val="20"/>
          <w:szCs w:val="20"/>
          <w:color w:val="auto"/>
        </w:rPr>
      </w:pPr>
    </w:p>
    <w:p>
      <w:pPr>
        <w:ind w:left="970"/>
        <w:spacing w:after="0"/>
        <w:rPr>
          <w:sz w:val="20"/>
          <w:szCs w:val="20"/>
          <w:color w:val="auto"/>
        </w:rPr>
      </w:pPr>
      <w:r>
        <w:rPr>
          <w:rFonts w:ascii="Arial" w:cs="Arial" w:eastAsia="Arial" w:hAnsi="Arial"/>
          <w:sz w:val="14"/>
          <w:szCs w:val="14"/>
          <w:color w:val="auto"/>
        </w:rPr>
        <w:t>49,828</w:t>
      </w:r>
    </w:p>
    <w:p>
      <w:pPr>
        <w:spacing w:after="0" w:line="23" w:lineRule="exact"/>
        <w:rPr>
          <w:sz w:val="20"/>
          <w:szCs w:val="20"/>
          <w:color w:val="auto"/>
        </w:rPr>
      </w:pPr>
    </w:p>
    <w:p>
      <w:pPr>
        <w:ind w:left="790" w:hanging="790"/>
        <w:spacing w:after="0"/>
        <w:tabs>
          <w:tab w:leader="none" w:pos="790" w:val="left"/>
        </w:tabs>
        <w:numPr>
          <w:ilvl w:val="0"/>
          <w:numId w:val="24"/>
        </w:numPr>
        <w:rPr>
          <w:rFonts w:ascii="Arial" w:cs="Arial" w:eastAsia="Arial" w:hAnsi="Arial"/>
          <w:sz w:val="13"/>
          <w:szCs w:val="13"/>
          <w:color w:val="auto"/>
        </w:rPr>
      </w:pPr>
      <w:r>
        <w:rPr>
          <w:rFonts w:ascii="Arial" w:cs="Arial" w:eastAsia="Arial" w:hAnsi="Arial"/>
          <w:sz w:val="13"/>
          <w:szCs w:val="13"/>
          <w:color w:val="auto"/>
        </w:rPr>
        <w:t>5,009,168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86550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55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35560</wp:posOffset>
            </wp:positionV>
            <wp:extent cx="86550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890" w:hanging="890"/>
        <w:spacing w:after="0"/>
        <w:tabs>
          <w:tab w:leader="none" w:pos="890" w:val="left"/>
        </w:tabs>
        <w:numPr>
          <w:ilvl w:val="0"/>
          <w:numId w:val="25"/>
        </w:numPr>
        <w:rPr>
          <w:rFonts w:ascii="Arial" w:cs="Arial" w:eastAsia="Arial" w:hAnsi="Arial"/>
          <w:sz w:val="14"/>
          <w:szCs w:val="14"/>
          <w:color w:val="auto"/>
        </w:rPr>
      </w:pPr>
      <w:r>
        <w:rPr>
          <w:rFonts w:ascii="Arial" w:cs="Arial" w:eastAsia="Arial" w:hAnsi="Arial"/>
          <w:sz w:val="14"/>
          <w:szCs w:val="14"/>
          <w:color w:val="auto"/>
        </w:rPr>
        <w:t>200,880</w:t>
      </w:r>
    </w:p>
    <w:p>
      <w:pPr>
        <w:spacing w:after="0" w:line="33" w:lineRule="exact"/>
        <w:rPr>
          <w:rFonts w:ascii="Arial" w:cs="Arial" w:eastAsia="Arial" w:hAnsi="Arial"/>
          <w:sz w:val="14"/>
          <w:szCs w:val="14"/>
          <w:color w:val="auto"/>
        </w:rPr>
      </w:pPr>
    </w:p>
    <w:p>
      <w:pPr>
        <w:ind w:left="970"/>
        <w:spacing w:after="0"/>
        <w:rPr>
          <w:rFonts w:ascii="Arial" w:cs="Arial" w:eastAsia="Arial" w:hAnsi="Arial"/>
          <w:sz w:val="14"/>
          <w:szCs w:val="14"/>
          <w:color w:val="auto"/>
        </w:rPr>
      </w:pPr>
      <w:r>
        <w:rPr>
          <w:rFonts w:ascii="Arial" w:cs="Arial" w:eastAsia="Arial" w:hAnsi="Arial"/>
          <w:sz w:val="14"/>
          <w:szCs w:val="14"/>
          <w:color w:val="auto"/>
        </w:rPr>
        <w:t>42,128</w:t>
      </w:r>
    </w:p>
    <w:p>
      <w:pPr>
        <w:spacing w:after="0" w:line="45" w:lineRule="exact"/>
        <w:rPr>
          <w:sz w:val="20"/>
          <w:szCs w:val="20"/>
          <w:color w:val="auto"/>
        </w:rPr>
      </w:pPr>
    </w:p>
    <w:p>
      <w:pPr>
        <w:ind w:left="890"/>
        <w:spacing w:after="0"/>
        <w:rPr>
          <w:sz w:val="20"/>
          <w:szCs w:val="20"/>
          <w:color w:val="auto"/>
        </w:rPr>
      </w:pPr>
      <w:r>
        <w:rPr>
          <w:rFonts w:ascii="Arial" w:cs="Arial" w:eastAsia="Arial" w:hAnsi="Arial"/>
          <w:sz w:val="14"/>
          <w:szCs w:val="14"/>
          <w:color w:val="auto"/>
        </w:rPr>
        <w:t>243,008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550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pacing w:after="0" w:line="354" w:lineRule="exact"/>
        <w:rPr>
          <w:sz w:val="20"/>
          <w:szCs w:val="20"/>
          <w:color w:val="auto"/>
        </w:rPr>
      </w:pPr>
    </w:p>
    <w:p>
      <w:pPr>
        <w:ind w:left="1310"/>
        <w:spacing w:after="0"/>
        <w:rPr>
          <w:sz w:val="20"/>
          <w:szCs w:val="20"/>
          <w:color w:val="auto"/>
        </w:rPr>
      </w:pPr>
      <w:r>
        <w:rPr>
          <w:rFonts w:ascii="Arial" w:cs="Arial" w:eastAsia="Arial" w:hAnsi="Arial"/>
          <w:sz w:val="17"/>
          <w:szCs w:val="17"/>
          <w:color w:val="auto"/>
        </w:rPr>
        <w:t>-</w:t>
      </w:r>
    </w:p>
    <w:p>
      <w:pPr>
        <w:spacing w:after="0" w:line="38" w:lineRule="exact"/>
        <w:rPr>
          <w:sz w:val="20"/>
          <w:szCs w:val="20"/>
          <w:color w:val="auto"/>
        </w:rPr>
      </w:pPr>
    </w:p>
    <w:p>
      <w:pPr>
        <w:ind w:left="970"/>
        <w:spacing w:after="0"/>
        <w:rPr>
          <w:sz w:val="20"/>
          <w:szCs w:val="20"/>
          <w:color w:val="auto"/>
        </w:rPr>
      </w:pPr>
      <w:r>
        <w:rPr>
          <w:rFonts w:ascii="Arial" w:cs="Arial" w:eastAsia="Arial" w:hAnsi="Arial"/>
          <w:sz w:val="14"/>
          <w:szCs w:val="14"/>
          <w:color w:val="auto"/>
        </w:rPr>
        <w:t>13,652</w:t>
      </w:r>
    </w:p>
    <w:p>
      <w:pPr>
        <w:spacing w:after="0" w:line="34" w:lineRule="exact"/>
        <w:rPr>
          <w:sz w:val="20"/>
          <w:szCs w:val="20"/>
          <w:color w:val="auto"/>
        </w:rPr>
      </w:pPr>
    </w:p>
    <w:p>
      <w:pPr>
        <w:ind w:left="710"/>
        <w:spacing w:after="0"/>
        <w:rPr>
          <w:sz w:val="20"/>
          <w:szCs w:val="20"/>
          <w:color w:val="auto"/>
        </w:rPr>
      </w:pPr>
      <w:r>
        <w:rPr>
          <w:rFonts w:ascii="Arial" w:cs="Arial" w:eastAsia="Arial" w:hAnsi="Arial"/>
          <w:sz w:val="13"/>
          <w:szCs w:val="13"/>
          <w:color w:val="auto"/>
        </w:rPr>
        <w:t>10,310,278</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(5,557,770)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550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pacing w:after="0" w:line="25" w:lineRule="exact"/>
        <w:rPr>
          <w:sz w:val="20"/>
          <w:szCs w:val="20"/>
          <w:color w:val="auto"/>
        </w:rPr>
      </w:pPr>
    </w:p>
    <w:p>
      <w:pPr>
        <w:ind w:left="790"/>
        <w:spacing w:after="0"/>
        <w:rPr>
          <w:sz w:val="20"/>
          <w:szCs w:val="20"/>
          <w:color w:val="auto"/>
        </w:rPr>
      </w:pPr>
      <w:r>
        <w:rPr>
          <w:rFonts w:ascii="Arial" w:cs="Arial" w:eastAsia="Arial" w:hAnsi="Arial"/>
          <w:sz w:val="13"/>
          <w:szCs w:val="13"/>
          <w:color w:val="auto"/>
        </w:rPr>
        <w:t>4,766,160</w:t>
      </w:r>
    </w:p>
    <w:p>
      <w:pPr>
        <w:spacing w:after="0" w:line="56" w:lineRule="exact"/>
        <w:rPr>
          <w:sz w:val="20"/>
          <w:szCs w:val="20"/>
          <w:color w:val="auto"/>
        </w:rPr>
      </w:pPr>
    </w:p>
    <w:p>
      <w:pPr>
        <w:ind w:left="790" w:hanging="790"/>
        <w:spacing w:after="0"/>
        <w:tabs>
          <w:tab w:leader="none" w:pos="790" w:val="left"/>
        </w:tabs>
        <w:numPr>
          <w:ilvl w:val="0"/>
          <w:numId w:val="26"/>
        </w:numPr>
        <w:rPr>
          <w:rFonts w:ascii="Arial" w:cs="Arial" w:eastAsia="Arial" w:hAnsi="Arial"/>
          <w:sz w:val="13"/>
          <w:szCs w:val="13"/>
          <w:color w:val="auto"/>
        </w:rPr>
      </w:pPr>
      <w:r>
        <w:rPr>
          <w:rFonts w:ascii="Arial" w:cs="Arial" w:eastAsia="Arial" w:hAnsi="Arial"/>
          <w:sz w:val="13"/>
          <w:szCs w:val="13"/>
          <w:color w:val="auto"/>
        </w:rPr>
        <w:t>5,009,168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86550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55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35560</wp:posOffset>
            </wp:positionV>
            <wp:extent cx="86550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ectPr>
          <w:pgSz w:w="11900" w:h="16838" w:orient="portrait"/>
          <w:cols w:equalWidth="0" w:num="2">
            <w:col w:w="9270" w:space="720"/>
            <w:col w:w="1410"/>
          </w:cols>
          <w:pgMar w:left="220" w:top="341" w:right="279" w:bottom="1440" w:gutter="0" w:footer="0" w:header="0"/>
        </w:sectPr>
      </w:pPr>
    </w:p>
    <w:bookmarkStart w:id="43" w:name="page44"/>
    <w:bookmarkEnd w:id="43"/>
    <w:p>
      <w:pPr>
        <w:jc w:val="center"/>
        <w:ind w:left="400"/>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UNAUDITED CONDENSED CONSOLIDATED STATEMENTS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Period</w:t>
            </w:r>
          </w:p>
        </w:tc>
      </w:tr>
      <w:tr>
        <w:trPr>
          <w:trHeight w:val="17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From July 24,</w:t>
            </w:r>
          </w:p>
        </w:tc>
      </w:tr>
      <w:tr>
        <w:trPr>
          <w:trHeight w:val="17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1998 (Inception)</w:t>
            </w:r>
          </w:p>
        </w:tc>
      </w:tr>
      <w:tr>
        <w:trPr>
          <w:trHeight w:val="173"/>
        </w:trPr>
        <w:tc>
          <w:tcPr>
            <w:tcW w:w="4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5"/>
                <w:szCs w:val="15"/>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Through</w:t>
            </w:r>
          </w:p>
        </w:tc>
      </w:tr>
      <w:tr>
        <w:trPr>
          <w:trHeight w:val="187"/>
        </w:trPr>
        <w:tc>
          <w:tcPr>
            <w:tcW w:w="4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r>
      <w:tr>
        <w:trPr>
          <w:trHeight w:val="207"/>
        </w:trPr>
        <w:tc>
          <w:tcPr>
            <w:tcW w:w="4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8"/>
                <w:szCs w:val="18"/>
                <w:color w:val="auto"/>
              </w:rPr>
            </w:pPr>
          </w:p>
        </w:tc>
      </w:tr>
      <w:tr>
        <w:trPr>
          <w:trHeight w:val="165"/>
        </w:trPr>
        <w:tc>
          <w:tcPr>
            <w:tcW w:w="4940" w:type="dxa"/>
            <w:vAlign w:val="bottom"/>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26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100" w:type="dxa"/>
            <w:vAlign w:val="bottom"/>
            <w:tcBorders>
              <w:right w:val="single" w:sz="8" w:color="CCFFCC"/>
            </w:tcBorders>
            <w:shd w:val="clear" w:color="auto" w:fill="CCFFCC"/>
          </w:tcPr>
          <w:p>
            <w:pPr>
              <w:spacing w:after="0"/>
              <w:rPr>
                <w:sz w:val="14"/>
                <w:szCs w:val="14"/>
                <w:color w:val="auto"/>
              </w:rPr>
            </w:pPr>
          </w:p>
        </w:tc>
        <w:tc>
          <w:tcPr>
            <w:tcW w:w="42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73"/>
        </w:trPr>
        <w:tc>
          <w:tcPr>
            <w:tcW w:w="4940" w:type="dxa"/>
            <w:vAlign w:val="bottom"/>
          </w:tcPr>
          <w:p>
            <w:pPr>
              <w:ind w:left="26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247,891</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67,316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499,227</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271,748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2,556,164</w:t>
            </w:r>
          </w:p>
        </w:tc>
      </w:tr>
      <w:tr>
        <w:trPr>
          <w:trHeight w:val="194"/>
        </w:trPr>
        <w:tc>
          <w:tcPr>
            <w:tcW w:w="49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721,253</w:t>
            </w:r>
          </w:p>
        </w:tc>
        <w:tc>
          <w:tcPr>
            <w:tcW w:w="42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37,500</w:t>
            </w:r>
          </w:p>
        </w:tc>
        <w:tc>
          <w:tcPr>
            <w:tcW w:w="26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806,300</w:t>
            </w:r>
          </w:p>
        </w:tc>
        <w:tc>
          <w:tcPr>
            <w:tcW w:w="42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112,500</w:t>
            </w:r>
          </w:p>
        </w:tc>
        <w:tc>
          <w:tcPr>
            <w:tcW w:w="100" w:type="dxa"/>
            <w:vAlign w:val="bottom"/>
            <w:shd w:val="clear" w:color="auto" w:fill="CCFFCC"/>
          </w:tcPr>
          <w:p>
            <w:pPr>
              <w:spacing w:after="0"/>
              <w:rPr>
                <w:sz w:val="16"/>
                <w:szCs w:val="16"/>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1,531,300</w:t>
            </w:r>
          </w:p>
        </w:tc>
      </w:tr>
      <w:tr>
        <w:trPr>
          <w:trHeight w:val="20"/>
        </w:trPr>
        <w:tc>
          <w:tcPr>
            <w:tcW w:w="494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86"/>
        </w:trPr>
        <w:tc>
          <w:tcPr>
            <w:tcW w:w="4940" w:type="dxa"/>
            <w:vAlign w:val="bottom"/>
          </w:tcPr>
          <w:p>
            <w:pPr>
              <w:spacing w:after="0"/>
              <w:rPr>
                <w:sz w:val="20"/>
                <w:szCs w:val="20"/>
                <w:color w:val="auto"/>
              </w:rPr>
            </w:pPr>
            <w:r>
              <w:rPr>
                <w:rFonts w:ascii="Arial" w:cs="Arial" w:eastAsia="Arial" w:hAnsi="Arial"/>
                <w:sz w:val="14"/>
                <w:szCs w:val="14"/>
                <w:color w:val="auto"/>
              </w:rPr>
              <w:t>Operating loss</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969,144</w:t>
            </w:r>
          </w:p>
        </w:tc>
        <w:tc>
          <w:tcPr>
            <w:tcW w:w="4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104,816</w:t>
            </w:r>
          </w:p>
        </w:tc>
        <w:tc>
          <w:tcPr>
            <w:tcW w:w="26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1,305,527</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384,248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4,087,464</w:t>
            </w:r>
          </w:p>
        </w:tc>
      </w:tr>
      <w:tr>
        <w:trPr>
          <w:trHeight w:val="165"/>
        </w:trPr>
        <w:tc>
          <w:tcPr>
            <w:tcW w:w="4940" w:type="dxa"/>
            <w:vAlign w:val="bottom"/>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20" w:type="dxa"/>
            <w:vAlign w:val="bottom"/>
            <w:tcBorders>
              <w:top w:val="single" w:sz="8" w:color="auto"/>
            </w:tcBorders>
            <w:shd w:val="clear" w:color="auto" w:fill="CCFFCC"/>
          </w:tcPr>
          <w:p>
            <w:pPr>
              <w:spacing w:after="0"/>
              <w:rPr>
                <w:sz w:val="14"/>
                <w:szCs w:val="14"/>
                <w:color w:val="auto"/>
              </w:rPr>
            </w:pPr>
          </w:p>
        </w:tc>
        <w:tc>
          <w:tcPr>
            <w:tcW w:w="74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00" w:type="dxa"/>
            <w:vAlign w:val="bottom"/>
            <w:tcBorders>
              <w:right w:val="single" w:sz="8" w:color="CCFFCC"/>
            </w:tcBorders>
            <w:shd w:val="clear" w:color="auto" w:fill="CCFFCC"/>
          </w:tcPr>
          <w:p>
            <w:pPr>
              <w:spacing w:after="0"/>
              <w:rPr>
                <w:sz w:val="14"/>
                <w:szCs w:val="14"/>
                <w:color w:val="auto"/>
              </w:rPr>
            </w:pPr>
          </w:p>
        </w:tc>
        <w:tc>
          <w:tcPr>
            <w:tcW w:w="420" w:type="dxa"/>
            <w:vAlign w:val="bottom"/>
            <w:tcBorders>
              <w:top w:val="single" w:sz="8" w:color="auto"/>
            </w:tcBorders>
            <w:shd w:val="clear" w:color="auto" w:fill="CCFFCC"/>
          </w:tcPr>
          <w:p>
            <w:pPr>
              <w:spacing w:after="0"/>
              <w:rPr>
                <w:sz w:val="14"/>
                <w:szCs w:val="14"/>
                <w:color w:val="auto"/>
              </w:rPr>
            </w:pPr>
          </w:p>
        </w:tc>
        <w:tc>
          <w:tcPr>
            <w:tcW w:w="72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1260" w:type="dxa"/>
            <w:vAlign w:val="bottom"/>
            <w:tcBorders>
              <w:top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73"/>
        </w:trPr>
        <w:tc>
          <w:tcPr>
            <w:tcW w:w="4940" w:type="dxa"/>
            <w:vAlign w:val="bottom"/>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9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(1,552,903)</w:t>
            </w:r>
          </w:p>
        </w:tc>
        <w:tc>
          <w:tcPr>
            <w:tcW w:w="420" w:type="dxa"/>
            <w:vAlign w:val="bottom"/>
            <w:shd w:val="clear" w:color="auto" w:fill="CCFFCC"/>
          </w:tcPr>
          <w:p>
            <w:pPr>
              <w:spacing w:after="0"/>
              <w:rPr>
                <w:sz w:val="15"/>
                <w:szCs w:val="15"/>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(5,394)</w:t>
            </w:r>
          </w:p>
        </w:tc>
        <w:tc>
          <w:tcPr>
            <w:tcW w:w="260" w:type="dxa"/>
            <w:vAlign w:val="bottom"/>
            <w:shd w:val="clear" w:color="auto" w:fill="CCFFCC"/>
          </w:tcPr>
          <w:p>
            <w:pPr>
              <w:spacing w:after="0"/>
              <w:rPr>
                <w:sz w:val="15"/>
                <w:szCs w:val="15"/>
                <w:color w:val="auto"/>
              </w:rPr>
            </w:pPr>
          </w:p>
        </w:tc>
        <w:tc>
          <w:tcPr>
            <w:tcW w:w="9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(1,563,504)</w:t>
            </w:r>
          </w:p>
        </w:tc>
        <w:tc>
          <w:tcPr>
            <w:tcW w:w="420" w:type="dxa"/>
            <w:vAlign w:val="bottom"/>
            <w:shd w:val="clear" w:color="auto" w:fill="CCFFCC"/>
          </w:tcPr>
          <w:p>
            <w:pPr>
              <w:spacing w:after="0"/>
              <w:rPr>
                <w:sz w:val="15"/>
                <w:szCs w:val="15"/>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(9,920)</w:t>
            </w:r>
          </w:p>
        </w:tc>
        <w:tc>
          <w:tcPr>
            <w:tcW w:w="10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(1,575,755)</w:t>
            </w:r>
          </w:p>
        </w:tc>
      </w:tr>
      <w:tr>
        <w:trPr>
          <w:trHeight w:val="173"/>
        </w:trPr>
        <w:tc>
          <w:tcPr>
            <w:tcW w:w="4940" w:type="dxa"/>
            <w:vAlign w:val="bottom"/>
          </w:tcPr>
          <w:p>
            <w:pPr>
              <w:ind w:left="260"/>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12,983</w:t>
            </w:r>
          </w:p>
        </w:tc>
        <w:tc>
          <w:tcPr>
            <w:tcW w:w="42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14,352</w:t>
            </w: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15,535</w:t>
            </w:r>
          </w:p>
        </w:tc>
      </w:tr>
      <w:tr>
        <w:trPr>
          <w:trHeight w:val="194"/>
        </w:trPr>
        <w:tc>
          <w:tcPr>
            <w:tcW w:w="49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Gain on forgiveness of liabilities</w:t>
            </w:r>
          </w:p>
        </w:tc>
        <w:tc>
          <w:tcPr>
            <w:tcW w:w="26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89,914</w:t>
            </w:r>
          </w:p>
        </w:tc>
        <w:tc>
          <w:tcPr>
            <w:tcW w:w="420" w:type="dxa"/>
            <w:vAlign w:val="bottom"/>
            <w:shd w:val="clear" w:color="auto" w:fill="CCFFCC"/>
          </w:tcPr>
          <w:p>
            <w:pPr>
              <w:spacing w:after="0"/>
              <w:rPr>
                <w:sz w:val="16"/>
                <w:szCs w:val="16"/>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89,914</w:t>
            </w:r>
          </w:p>
        </w:tc>
      </w:tr>
      <w:tr>
        <w:trPr>
          <w:trHeight w:val="165"/>
        </w:trPr>
        <w:tc>
          <w:tcPr>
            <w:tcW w:w="4940" w:type="dxa"/>
            <w:vAlign w:val="bottom"/>
            <w:tcBorders>
              <w:top w:val="single" w:sz="8" w:color="CCFFC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r>
      <w:tr>
        <w:trPr>
          <w:trHeight w:val="194"/>
        </w:trPr>
        <w:tc>
          <w:tcPr>
            <w:tcW w:w="49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Total other income (expense), net</w:t>
            </w:r>
          </w:p>
        </w:tc>
        <w:tc>
          <w:tcPr>
            <w:tcW w:w="260" w:type="dxa"/>
            <w:vAlign w:val="bottom"/>
            <w:shd w:val="clear" w:color="auto" w:fill="CCFFCC"/>
          </w:tcPr>
          <w:p>
            <w:pPr>
              <w:spacing w:after="0"/>
              <w:rPr>
                <w:sz w:val="16"/>
                <w:szCs w:val="16"/>
                <w:color w:val="auto"/>
              </w:rPr>
            </w:pP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(1,539,920)</w:t>
            </w:r>
          </w:p>
        </w:tc>
        <w:tc>
          <w:tcPr>
            <w:tcW w:w="420" w:type="dxa"/>
            <w:vAlign w:val="bottom"/>
            <w:shd w:val="clear" w:color="auto" w:fill="CCFFCC"/>
          </w:tcPr>
          <w:p>
            <w:pPr>
              <w:spacing w:after="0"/>
              <w:rPr>
                <w:sz w:val="16"/>
                <w:szCs w:val="16"/>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(5,394)</w:t>
            </w:r>
          </w:p>
        </w:tc>
        <w:tc>
          <w:tcPr>
            <w:tcW w:w="260" w:type="dxa"/>
            <w:vAlign w:val="bottom"/>
            <w:shd w:val="clear" w:color="auto" w:fill="CCFFCC"/>
          </w:tcPr>
          <w:p>
            <w:pPr>
              <w:spacing w:after="0"/>
              <w:rPr>
                <w:sz w:val="16"/>
                <w:szCs w:val="16"/>
                <w:color w:val="auto"/>
              </w:rPr>
            </w:pPr>
          </w:p>
        </w:tc>
        <w:tc>
          <w:tcPr>
            <w:tcW w:w="9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(1,459,238)</w:t>
            </w:r>
          </w:p>
        </w:tc>
        <w:tc>
          <w:tcPr>
            <w:tcW w:w="42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(9,920)</w:t>
            </w:r>
          </w:p>
        </w:tc>
        <w:tc>
          <w:tcPr>
            <w:tcW w:w="100" w:type="dxa"/>
            <w:vAlign w:val="bottom"/>
            <w:shd w:val="clear" w:color="auto" w:fill="CCFFCC"/>
          </w:tcPr>
          <w:p>
            <w:pPr>
              <w:spacing w:after="0"/>
              <w:rPr>
                <w:sz w:val="16"/>
                <w:szCs w:val="16"/>
                <w:color w:val="auto"/>
              </w:rPr>
            </w:pP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(1,470,306)</w:t>
            </w:r>
          </w:p>
        </w:tc>
      </w:tr>
      <w:tr>
        <w:trPr>
          <w:trHeight w:val="165"/>
        </w:trPr>
        <w:tc>
          <w:tcPr>
            <w:tcW w:w="4940" w:type="dxa"/>
            <w:vAlign w:val="bottom"/>
            <w:tcBorders>
              <w:top w:val="single" w:sz="8" w:color="CCFFC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r>
      <w:tr>
        <w:trPr>
          <w:trHeight w:val="213"/>
        </w:trPr>
        <w:tc>
          <w:tcPr>
            <w:tcW w:w="4940" w:type="dxa"/>
            <w:vAlign w:val="bottom"/>
            <w:shd w:val="clear" w:color="auto" w:fill="CCFFCC"/>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(2,509,064)</w:t>
            </w:r>
          </w:p>
        </w:tc>
        <w:tc>
          <w:tcPr>
            <w:tcW w:w="42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(110,210)</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(2,764,765)</w:t>
            </w:r>
          </w:p>
        </w:tc>
        <w:tc>
          <w:tcPr>
            <w:tcW w:w="42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(394,168)</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(5,557,770)</w:t>
            </w:r>
          </w:p>
        </w:tc>
      </w:tr>
      <w:tr>
        <w:trPr>
          <w:trHeight w:val="146"/>
        </w:trPr>
        <w:tc>
          <w:tcPr>
            <w:tcW w:w="494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193"/>
        </w:trPr>
        <w:tc>
          <w:tcPr>
            <w:tcW w:w="4940" w:type="dxa"/>
            <w:vAlign w:val="bottom"/>
            <w:shd w:val="clear" w:color="auto" w:fill="CCFFCC"/>
          </w:tcPr>
          <w:p>
            <w:pPr>
              <w:spacing w:after="0"/>
              <w:rPr>
                <w:sz w:val="20"/>
                <w:szCs w:val="20"/>
                <w:color w:val="auto"/>
              </w:rPr>
            </w:pPr>
            <w:r>
              <w:rPr>
                <w:rFonts w:ascii="Arial" w:cs="Arial" w:eastAsia="Arial" w:hAnsi="Arial"/>
                <w:sz w:val="14"/>
                <w:szCs w:val="14"/>
                <w:color w:val="auto"/>
              </w:rPr>
              <w:t>Basic and diluted loss per common shares</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(0.29)</w:t>
            </w:r>
          </w:p>
        </w:tc>
        <w:tc>
          <w:tcPr>
            <w:tcW w:w="42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(0.03)</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(0.38)</w:t>
            </w:r>
          </w:p>
        </w:tc>
        <w:tc>
          <w:tcPr>
            <w:tcW w:w="420" w:type="dxa"/>
            <w:vAlign w:val="bottom"/>
            <w:shd w:val="clear" w:color="auto" w:fill="CCFFCC"/>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(0.11)</w:t>
            </w:r>
          </w:p>
        </w:tc>
        <w:tc>
          <w:tcPr>
            <w:tcW w:w="10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0"/>
        </w:trPr>
        <w:tc>
          <w:tcPr>
            <w:tcW w:w="49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67"/>
        </w:trPr>
        <w:tc>
          <w:tcPr>
            <w:tcW w:w="4940" w:type="dxa"/>
            <w:vAlign w:val="bottom"/>
          </w:tcPr>
          <w:p>
            <w:pPr>
              <w:spacing w:after="0"/>
              <w:rPr>
                <w:sz w:val="20"/>
                <w:szCs w:val="20"/>
                <w:color w:val="auto"/>
              </w:rPr>
            </w:pPr>
            <w:r>
              <w:rPr>
                <w:rFonts w:ascii="Arial" w:cs="Arial" w:eastAsia="Arial" w:hAnsi="Arial"/>
                <w:sz w:val="14"/>
                <w:szCs w:val="14"/>
                <w:color w:val="auto"/>
              </w:rPr>
              <w:t>Weighted average common shares outstanding</w:t>
            </w:r>
          </w:p>
        </w:tc>
        <w:tc>
          <w:tcPr>
            <w:tcW w:w="2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8,745,363</w:t>
            </w:r>
          </w:p>
        </w:tc>
        <w:tc>
          <w:tcPr>
            <w:tcW w:w="4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3,754,076</w:t>
            </w: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7,204,663</w:t>
            </w: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3,523,695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1"/>
        </w:trPr>
        <w:tc>
          <w:tcPr>
            <w:tcW w:w="4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F-3</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49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4" w:name="page45"/>
    <w:bookmarkEnd w:id="44"/>
    <w:p>
      <w:pPr>
        <w:jc w:val="center"/>
        <w:ind w:left="520"/>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UNAUDITED CONDENSED CONSOLIDATED STATEMENT OF STOCKHOLDERS’ EQUITY</w:t>
      </w:r>
    </w:p>
    <w:p>
      <w:pPr>
        <w:spacing w:after="0" w:line="12"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auto"/>
        </w:rPr>
        <w:t>FOR THE NINE MONTHS ENDED SEPTEMBER 30, 2007</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2300" w:type="dxa"/>
            <w:vAlign w:val="bottom"/>
            <w:gridSpan w:val="4"/>
          </w:tcPr>
          <w:p>
            <w:pPr>
              <w:ind w:left="920"/>
              <w:spacing w:after="0"/>
              <w:rPr>
                <w:sz w:val="20"/>
                <w:szCs w:val="20"/>
                <w:color w:val="auto"/>
              </w:rPr>
            </w:pPr>
            <w:r>
              <w:rPr>
                <w:rFonts w:ascii="Arial" w:cs="Arial" w:eastAsia="Arial" w:hAnsi="Arial"/>
                <w:sz w:val="14"/>
                <w:szCs w:val="14"/>
                <w:b w:val="1"/>
                <w:bCs w:val="1"/>
                <w:color w:val="auto"/>
              </w:rPr>
              <w:t>Common Stock</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During the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36"/>
        </w:trPr>
        <w:tc>
          <w:tcPr>
            <w:tcW w:w="31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Development</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180" w:type="dxa"/>
            <w:vAlign w:val="bottom"/>
          </w:tcPr>
          <w:p>
            <w:pPr>
              <w:spacing w:after="0"/>
              <w:rPr>
                <w:sz w:val="16"/>
                <w:szCs w:val="16"/>
                <w:color w:val="auto"/>
              </w:rPr>
            </w:pPr>
          </w:p>
        </w:tc>
        <w:tc>
          <w:tcPr>
            <w:tcW w:w="1460" w:type="dxa"/>
            <w:vAlign w:val="bottom"/>
            <w:gridSpan w:val="2"/>
          </w:tcPr>
          <w:p>
            <w:pPr>
              <w:ind w:left="42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Stage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Balance as of January 1, 2007</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3,781,250</w:t>
            </w:r>
          </w:p>
        </w:tc>
        <w:tc>
          <w:tcPr>
            <w:tcW w:w="200" w:type="dxa"/>
            <w:vAlign w:val="bottom"/>
            <w:shd w:val="clear" w:color="auto" w:fill="CCFFCC"/>
          </w:tcPr>
          <w:p>
            <w:pPr>
              <w:spacing w:after="0"/>
              <w:rPr>
                <w:sz w:val="16"/>
                <w:szCs w:val="16"/>
                <w:color w:val="auto"/>
              </w:rPr>
            </w:pPr>
          </w:p>
        </w:tc>
        <w:tc>
          <w:tcPr>
            <w:tcW w:w="840" w:type="dxa"/>
            <w:vAlign w:val="bottom"/>
            <w:gridSpan w:val="2"/>
            <w:shd w:val="clear" w:color="auto" w:fill="CCFFCC"/>
          </w:tcPr>
          <w:p>
            <w:pPr>
              <w:ind w:lef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3,781</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2,383,219</w:t>
            </w:r>
          </w:p>
        </w:tc>
        <w:tc>
          <w:tcPr>
            <w:tcW w:w="240" w:type="dxa"/>
            <w:vAlign w:val="bottom"/>
            <w:shd w:val="clear" w:color="auto" w:fill="CCFFCC"/>
          </w:tcPr>
          <w:p>
            <w:pPr>
              <w:spacing w:after="0"/>
              <w:rPr>
                <w:sz w:val="16"/>
                <w:szCs w:val="16"/>
                <w:color w:val="auto"/>
              </w:rPr>
            </w:pP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(2,793,005)</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FFCC"/>
          </w:tcPr>
          <w:p>
            <w:pPr>
              <w:jc w:val="right"/>
              <w:ind w:right="380"/>
              <w:spacing w:after="0"/>
              <w:rPr>
                <w:sz w:val="20"/>
                <w:szCs w:val="20"/>
                <w:color w:val="auto"/>
              </w:rPr>
            </w:pPr>
            <w:r>
              <w:rPr>
                <w:rFonts w:ascii="Arial" w:cs="Arial" w:eastAsia="Arial" w:hAnsi="Arial"/>
                <w:sz w:val="14"/>
                <w:szCs w:val="14"/>
                <w:color w:val="auto"/>
              </w:rPr>
              <w:t>(406,005)</w:t>
            </w:r>
          </w:p>
        </w:tc>
        <w:tc>
          <w:tcPr>
            <w:tcW w:w="0" w:type="dxa"/>
            <w:vAlign w:val="bottom"/>
          </w:tcPr>
          <w:p>
            <w:pPr>
              <w:spacing w:after="0"/>
              <w:rPr>
                <w:sz w:val="1"/>
                <w:szCs w:val="1"/>
                <w:color w:val="auto"/>
              </w:rPr>
            </w:pPr>
          </w:p>
        </w:tc>
      </w:tr>
      <w:tr>
        <w:trPr>
          <w:trHeight w:val="194"/>
        </w:trPr>
        <w:tc>
          <w:tcPr>
            <w:tcW w:w="3180" w:type="dxa"/>
            <w:vAlign w:val="bottom"/>
          </w:tcPr>
          <w:p>
            <w:pPr>
              <w:spacing w:after="0"/>
              <w:rPr>
                <w:sz w:val="20"/>
                <w:szCs w:val="20"/>
                <w:color w:val="auto"/>
              </w:rPr>
            </w:pPr>
            <w:r>
              <w:rPr>
                <w:rFonts w:ascii="Arial" w:cs="Arial" w:eastAsia="Arial" w:hAnsi="Arial"/>
                <w:sz w:val="14"/>
                <w:szCs w:val="14"/>
                <w:color w:val="auto"/>
              </w:rPr>
              <w:t>Issuance of common stock for cash</w:t>
            </w:r>
          </w:p>
        </w:tc>
        <w:tc>
          <w:tcPr>
            <w:tcW w:w="1260" w:type="dxa"/>
            <w:vAlign w:val="bottom"/>
          </w:tcPr>
          <w:p>
            <w:pPr>
              <w:jc w:val="right"/>
              <w:spacing w:after="0"/>
              <w:rPr>
                <w:sz w:val="20"/>
                <w:szCs w:val="20"/>
                <w:color w:val="auto"/>
              </w:rPr>
            </w:pPr>
            <w:r>
              <w:rPr>
                <w:rFonts w:ascii="Arial" w:cs="Arial" w:eastAsia="Arial" w:hAnsi="Arial"/>
                <w:sz w:val="14"/>
                <w:szCs w:val="14"/>
                <w:color w:val="auto"/>
              </w:rPr>
              <w:t>3,984,374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3,985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21,515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25,500</w:t>
            </w:r>
          </w:p>
        </w:tc>
        <w:tc>
          <w:tcPr>
            <w:tcW w:w="0" w:type="dxa"/>
            <w:vAlign w:val="bottom"/>
          </w:tcPr>
          <w:p>
            <w:pPr>
              <w:spacing w:after="0"/>
              <w:rPr>
                <w:sz w:val="1"/>
                <w:szCs w:val="1"/>
                <w:color w:val="auto"/>
              </w:rPr>
            </w:pPr>
          </w:p>
        </w:tc>
      </w:tr>
      <w:tr>
        <w:trPr>
          <w:trHeight w:val="195"/>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Exercise of warrants and stock options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39,063</w:t>
            </w:r>
          </w:p>
        </w:tc>
        <w:tc>
          <w:tcPr>
            <w:tcW w:w="220" w:type="dxa"/>
            <w:vAlign w:val="bottom"/>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39</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3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211</w:t>
            </w: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56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4"/>
        </w:trPr>
        <w:tc>
          <w:tcPr>
            <w:tcW w:w="3180" w:type="dxa"/>
            <w:vAlign w:val="bottom"/>
          </w:tcPr>
          <w:p>
            <w:pPr>
              <w:spacing w:after="0"/>
              <w:rPr>
                <w:sz w:val="20"/>
                <w:szCs w:val="20"/>
                <w:color w:val="auto"/>
              </w:rPr>
            </w:pPr>
            <w:r>
              <w:rPr>
                <w:rFonts w:ascii="Arial" w:cs="Arial" w:eastAsia="Arial" w:hAnsi="Arial"/>
                <w:sz w:val="14"/>
                <w:szCs w:val="14"/>
                <w:color w:val="auto"/>
              </w:rPr>
              <w:t>Capital contributions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105,907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105,907</w:t>
            </w:r>
          </w:p>
        </w:tc>
        <w:tc>
          <w:tcPr>
            <w:tcW w:w="0" w:type="dxa"/>
            <w:vAlign w:val="bottom"/>
          </w:tcPr>
          <w:p>
            <w:pPr>
              <w:spacing w:after="0"/>
              <w:rPr>
                <w:sz w:val="1"/>
                <w:szCs w:val="1"/>
                <w:color w:val="auto"/>
              </w:rPr>
            </w:pPr>
          </w:p>
        </w:tc>
      </w:tr>
      <w:tr>
        <w:trPr>
          <w:trHeight w:val="163"/>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w:t>
            </w:r>
          </w:p>
        </w:tc>
        <w:tc>
          <w:tcPr>
            <w:tcW w:w="1260" w:type="dxa"/>
            <w:vAlign w:val="bottom"/>
            <w:vMerge w:val="restart"/>
            <w:shd w:val="clear" w:color="auto" w:fill="CCFFCC"/>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720" w:type="dxa"/>
            <w:vAlign w:val="bottom"/>
            <w:gridSpan w:val="2"/>
            <w:vMerge w:val="restart"/>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34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stockholders</w:t>
            </w:r>
          </w:p>
        </w:tc>
        <w:tc>
          <w:tcPr>
            <w:tcW w:w="1260" w:type="dxa"/>
            <w:vAlign w:val="bottom"/>
            <w:vMerge w:val="continue"/>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720" w:type="dxa"/>
            <w:vAlign w:val="bottom"/>
            <w:gridSpan w:val="2"/>
            <w:vMerge w:val="continue"/>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175,000</w:t>
            </w:r>
          </w:p>
        </w:tc>
        <w:tc>
          <w:tcPr>
            <w:tcW w:w="24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340" w:type="dxa"/>
            <w:vAlign w:val="bottom"/>
            <w:gridSpan w:val="2"/>
            <w:vMerge w:val="continue"/>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56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94"/>
        </w:trPr>
        <w:tc>
          <w:tcPr>
            <w:tcW w:w="3180" w:type="dxa"/>
            <w:vAlign w:val="bottom"/>
          </w:tcPr>
          <w:p>
            <w:pPr>
              <w:spacing w:after="0"/>
              <w:rPr>
                <w:sz w:val="20"/>
                <w:szCs w:val="20"/>
                <w:color w:val="auto"/>
              </w:rPr>
            </w:pPr>
            <w:r>
              <w:rPr>
                <w:rFonts w:ascii="Arial" w:cs="Arial" w:eastAsia="Arial" w:hAnsi="Arial"/>
                <w:sz w:val="14"/>
                <w:szCs w:val="14"/>
                <w:color w:val="auto"/>
              </w:rPr>
              <w:t>Forgiveness of notes payable and interest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241,701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241,701</w:t>
            </w:r>
          </w:p>
        </w:tc>
        <w:tc>
          <w:tcPr>
            <w:tcW w:w="0" w:type="dxa"/>
            <w:vAlign w:val="bottom"/>
          </w:tcPr>
          <w:p>
            <w:pPr>
              <w:spacing w:after="0"/>
              <w:rPr>
                <w:sz w:val="1"/>
                <w:szCs w:val="1"/>
                <w:color w:val="auto"/>
              </w:rPr>
            </w:pPr>
          </w:p>
        </w:tc>
      </w:tr>
      <w:tr>
        <w:trPr>
          <w:trHeight w:val="195"/>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Issuance of restricted stock</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195,313</w:t>
            </w:r>
          </w:p>
        </w:tc>
        <w:tc>
          <w:tcPr>
            <w:tcW w:w="20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195</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(195)</w:t>
            </w: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56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180" w:type="dxa"/>
            <w:vAlign w:val="bottom"/>
          </w:tcPr>
          <w:p>
            <w:pPr>
              <w:spacing w:after="0"/>
              <w:rPr>
                <w:sz w:val="20"/>
                <w:szCs w:val="20"/>
                <w:color w:val="auto"/>
              </w:rPr>
            </w:pPr>
            <w:r>
              <w:rPr>
                <w:rFonts w:ascii="Arial" w:cs="Arial" w:eastAsia="Arial" w:hAnsi="Arial"/>
                <w:sz w:val="14"/>
                <w:szCs w:val="14"/>
                <w:color w:val="auto"/>
              </w:rPr>
              <w:t>Net proceeds from private placement offering</w:t>
            </w:r>
          </w:p>
        </w:tc>
        <w:tc>
          <w:tcPr>
            <w:tcW w:w="1260" w:type="dxa"/>
            <w:vAlign w:val="bottom"/>
          </w:tcPr>
          <w:p>
            <w:pPr>
              <w:jc w:val="right"/>
              <w:spacing w:after="0"/>
              <w:rPr>
                <w:sz w:val="20"/>
                <w:szCs w:val="20"/>
                <w:color w:val="auto"/>
              </w:rPr>
            </w:pPr>
            <w:r>
              <w:rPr>
                <w:rFonts w:ascii="Arial" w:cs="Arial" w:eastAsia="Arial" w:hAnsi="Arial"/>
                <w:sz w:val="14"/>
                <w:szCs w:val="14"/>
                <w:color w:val="auto"/>
              </w:rPr>
              <w:t>1,996,834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1,997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3,733,170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3,735,167</w:t>
            </w:r>
          </w:p>
        </w:tc>
        <w:tc>
          <w:tcPr>
            <w:tcW w:w="0" w:type="dxa"/>
            <w:vAlign w:val="bottom"/>
          </w:tcPr>
          <w:p>
            <w:pPr>
              <w:spacing w:after="0"/>
              <w:rPr>
                <w:sz w:val="1"/>
                <w:szCs w:val="1"/>
                <w:color w:val="auto"/>
              </w:rPr>
            </w:pPr>
          </w:p>
        </w:tc>
      </w:tr>
      <w:tr>
        <w:trPr>
          <w:trHeight w:val="163"/>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Transdel Pharmaceuticals, Inc. upon merger on</w:t>
            </w:r>
          </w:p>
        </w:tc>
        <w:tc>
          <w:tcPr>
            <w:tcW w:w="12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340" w:type="dxa"/>
            <w:vAlign w:val="bottom"/>
            <w:gridSpan w:val="2"/>
            <w:vMerge w:val="restart"/>
            <w:shd w:val="clear" w:color="auto" w:fill="CCFFCC"/>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560" w:type="dxa"/>
            <w:vAlign w:val="bottom"/>
            <w:gridSpan w:val="2"/>
            <w:vMerge w:val="restart"/>
            <w:shd w:val="clear" w:color="auto" w:fill="CCFFCC"/>
          </w:tcPr>
          <w:p>
            <w:pPr>
              <w:jc w:val="right"/>
              <w:ind w:right="4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September 17, 2007</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1,849,993</w:t>
            </w:r>
          </w:p>
        </w:tc>
        <w:tc>
          <w:tcPr>
            <w:tcW w:w="2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1,850</w:t>
            </w:r>
          </w:p>
        </w:tc>
        <w:tc>
          <w:tcPr>
            <w:tcW w:w="2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(1,850)</w:t>
            </w:r>
          </w:p>
        </w:tc>
        <w:tc>
          <w:tcPr>
            <w:tcW w:w="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340" w:type="dxa"/>
            <w:vAlign w:val="bottom"/>
            <w:gridSpan w:val="2"/>
            <w:vMerge w:val="continue"/>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560" w:type="dxa"/>
            <w:vAlign w:val="bottom"/>
            <w:gridSpan w:val="2"/>
            <w:vMerge w:val="continue"/>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Issuance of common stock related to</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80" w:type="dxa"/>
            <w:vAlign w:val="bottom"/>
          </w:tcPr>
          <w:p>
            <w:pPr>
              <w:ind w:left="140"/>
              <w:spacing w:after="0"/>
              <w:rPr>
                <w:sz w:val="20"/>
                <w:szCs w:val="20"/>
                <w:color w:val="auto"/>
              </w:rPr>
            </w:pPr>
            <w:r>
              <w:rPr>
                <w:rFonts w:ascii="Arial" w:cs="Arial" w:eastAsia="Arial" w:hAnsi="Arial"/>
                <w:sz w:val="14"/>
                <w:szCs w:val="14"/>
                <w:color w:val="auto"/>
              </w:rPr>
              <w:t>conversion of Senior Convertible notes</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140"/>
              <w:spacing w:after="0"/>
              <w:rPr>
                <w:sz w:val="20"/>
                <w:szCs w:val="20"/>
                <w:color w:val="auto"/>
              </w:rPr>
            </w:pPr>
            <w:r>
              <w:rPr>
                <w:rFonts w:ascii="Arial" w:cs="Arial" w:eastAsia="Arial" w:hAnsi="Arial"/>
                <w:sz w:val="14"/>
                <w:szCs w:val="14"/>
                <w:color w:val="auto"/>
              </w:rPr>
              <w:t>payable and accrued interest</w:t>
            </w:r>
          </w:p>
        </w:tc>
        <w:tc>
          <w:tcPr>
            <w:tcW w:w="1260" w:type="dxa"/>
            <w:vAlign w:val="bottom"/>
          </w:tcPr>
          <w:p>
            <w:pPr>
              <w:jc w:val="right"/>
              <w:spacing w:after="0"/>
              <w:rPr>
                <w:sz w:val="20"/>
                <w:szCs w:val="20"/>
                <w:color w:val="auto"/>
              </w:rPr>
            </w:pPr>
            <w:r>
              <w:rPr>
                <w:rFonts w:ascii="Arial" w:cs="Arial" w:eastAsia="Arial" w:hAnsi="Arial"/>
                <w:sz w:val="14"/>
                <w:szCs w:val="14"/>
                <w:color w:val="auto"/>
              </w:rPr>
              <w:t>1,530,177</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1,530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1,528,647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1,530,177</w:t>
            </w:r>
          </w:p>
        </w:tc>
        <w:tc>
          <w:tcPr>
            <w:tcW w:w="0" w:type="dxa"/>
            <w:vAlign w:val="bottom"/>
          </w:tcPr>
          <w:p>
            <w:pPr>
              <w:spacing w:after="0"/>
              <w:rPr>
                <w:sz w:val="1"/>
                <w:szCs w:val="1"/>
                <w:color w:val="auto"/>
              </w:rPr>
            </w:pPr>
          </w:p>
        </w:tc>
      </w:tr>
      <w:tr>
        <w:trPr>
          <w:trHeight w:val="163"/>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Beneficial conversion feature upon conversion</w:t>
            </w:r>
          </w:p>
        </w:tc>
        <w:tc>
          <w:tcPr>
            <w:tcW w:w="126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620" w:type="dxa"/>
            <w:vAlign w:val="bottom"/>
            <w:shd w:val="clear" w:color="auto" w:fill="CCFFCC"/>
          </w:tcPr>
          <w:p>
            <w:pPr>
              <w:spacing w:after="0"/>
              <w:rPr>
                <w:sz w:val="14"/>
                <w:szCs w:val="14"/>
                <w:color w:val="auto"/>
              </w:rPr>
            </w:pPr>
          </w:p>
        </w:tc>
        <w:tc>
          <w:tcPr>
            <w:tcW w:w="50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10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4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80" w:type="dxa"/>
            <w:vAlign w:val="bottom"/>
            <w:shd w:val="clear" w:color="auto" w:fill="CCFFCC"/>
          </w:tcPr>
          <w:p>
            <w:pPr>
              <w:ind w:left="140"/>
              <w:spacing w:after="0"/>
              <w:rPr>
                <w:sz w:val="20"/>
                <w:szCs w:val="20"/>
                <w:color w:val="auto"/>
              </w:rPr>
            </w:pPr>
            <w:r>
              <w:rPr>
                <w:rFonts w:ascii="Arial" w:cs="Arial" w:eastAsia="Arial" w:hAnsi="Arial"/>
                <w:sz w:val="14"/>
                <w:szCs w:val="14"/>
                <w:color w:val="auto"/>
              </w:rPr>
              <w:t>of Senior Convertible notes</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20" w:type="dxa"/>
            <w:vAlign w:val="bottom"/>
            <w:shd w:val="clear" w:color="auto" w:fill="CCFFCC"/>
          </w:tcPr>
          <w:p>
            <w:pPr>
              <w:spacing w:after="0"/>
              <w:rPr>
                <w:sz w:val="15"/>
                <w:szCs w:val="15"/>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1,530,177</w:t>
            </w:r>
          </w:p>
        </w:tc>
        <w:tc>
          <w:tcPr>
            <w:tcW w:w="24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56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1,530,177</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20"/>
                <w:szCs w:val="20"/>
                <w:color w:val="auto"/>
              </w:rPr>
            </w:pPr>
            <w:r>
              <w:rPr>
                <w:rFonts w:ascii="Arial" w:cs="Arial" w:eastAsia="Arial" w:hAnsi="Arial"/>
                <w:sz w:val="14"/>
                <w:szCs w:val="14"/>
                <w:color w:val="auto"/>
              </w:rPr>
              <w:t>Issuance of common stock and warrants for</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80" w:type="dxa"/>
            <w:vAlign w:val="bottom"/>
          </w:tcPr>
          <w:p>
            <w:pPr>
              <w:ind w:left="140"/>
              <w:spacing w:after="0"/>
              <w:rPr>
                <w:sz w:val="20"/>
                <w:szCs w:val="20"/>
                <w:color w:val="auto"/>
              </w:rPr>
            </w:pPr>
            <w:r>
              <w:rPr>
                <w:rFonts w:ascii="Arial" w:cs="Arial" w:eastAsia="Arial" w:hAnsi="Arial"/>
                <w:sz w:val="14"/>
                <w:szCs w:val="14"/>
                <w:color w:val="auto"/>
              </w:rPr>
              <w:t>consulting services</w:t>
            </w:r>
          </w:p>
        </w:tc>
        <w:tc>
          <w:tcPr>
            <w:tcW w:w="1260" w:type="dxa"/>
            <w:vAlign w:val="bottom"/>
          </w:tcPr>
          <w:p>
            <w:pPr>
              <w:jc w:val="right"/>
              <w:spacing w:after="0"/>
              <w:rPr>
                <w:sz w:val="20"/>
                <w:szCs w:val="20"/>
                <w:color w:val="auto"/>
              </w:rPr>
            </w:pPr>
            <w:r>
              <w:rPr>
                <w:rFonts w:ascii="Arial" w:cs="Arial" w:eastAsia="Arial" w:hAnsi="Arial"/>
                <w:sz w:val="14"/>
                <w:szCs w:val="14"/>
                <w:color w:val="auto"/>
              </w:rPr>
              <w:t>275,000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275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549,725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color w:val="auto"/>
              </w:rPr>
              <w:t>550,000</w:t>
            </w:r>
          </w:p>
        </w:tc>
        <w:tc>
          <w:tcPr>
            <w:tcW w:w="0" w:type="dxa"/>
            <w:vAlign w:val="bottom"/>
          </w:tcPr>
          <w:p>
            <w:pPr>
              <w:spacing w:after="0"/>
              <w:rPr>
                <w:sz w:val="1"/>
                <w:szCs w:val="1"/>
                <w:color w:val="auto"/>
              </w:rPr>
            </w:pPr>
          </w:p>
        </w:tc>
      </w:tr>
      <w:tr>
        <w:trPr>
          <w:trHeight w:val="195"/>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3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43,051</w:t>
            </w: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56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43,051</w:t>
            </w:r>
          </w:p>
        </w:tc>
        <w:tc>
          <w:tcPr>
            <w:tcW w:w="0" w:type="dxa"/>
            <w:vAlign w:val="bottom"/>
          </w:tcPr>
          <w:p>
            <w:pPr>
              <w:spacing w:after="0"/>
              <w:rPr>
                <w:sz w:val="1"/>
                <w:szCs w:val="1"/>
                <w:color w:val="auto"/>
              </w:rPr>
            </w:pPr>
          </w:p>
        </w:tc>
      </w:tr>
      <w:tr>
        <w:trPr>
          <w:trHeight w:val="194"/>
        </w:trPr>
        <w:tc>
          <w:tcPr>
            <w:tcW w:w="318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(2,764,765)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color w:val="auto"/>
              </w:rPr>
              <w:t>(2,764,765)</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180" w:type="dxa"/>
            <w:vAlign w:val="bottom"/>
            <w:shd w:val="clear" w:color="auto" w:fill="CCFFCC"/>
          </w:tcPr>
          <w:p>
            <w:pPr>
              <w:spacing w:after="0"/>
              <w:rPr>
                <w:sz w:val="20"/>
                <w:szCs w:val="20"/>
                <w:color w:val="auto"/>
              </w:rPr>
            </w:pPr>
            <w:r>
              <w:rPr>
                <w:rFonts w:ascii="Arial" w:cs="Arial" w:eastAsia="Arial" w:hAnsi="Arial"/>
                <w:sz w:val="14"/>
                <w:szCs w:val="14"/>
                <w:color w:val="auto"/>
              </w:rPr>
              <w:t>Balance as of September 30, 2007</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13,652,004</w:t>
            </w:r>
          </w:p>
        </w:tc>
        <w:tc>
          <w:tcPr>
            <w:tcW w:w="20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13,652</w:t>
            </w:r>
          </w:p>
        </w:tc>
        <w:tc>
          <w:tcPr>
            <w:tcW w:w="4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10,310,278</w:t>
            </w:r>
          </w:p>
        </w:tc>
        <w:tc>
          <w:tcPr>
            <w:tcW w:w="240" w:type="dxa"/>
            <w:vAlign w:val="bottom"/>
            <w:shd w:val="clear" w:color="auto" w:fill="CCFFCC"/>
          </w:tcPr>
          <w:p>
            <w:pPr>
              <w:spacing w:after="0"/>
              <w:rPr>
                <w:sz w:val="19"/>
                <w:szCs w:val="19"/>
                <w:color w:val="auto"/>
              </w:rPr>
            </w:pPr>
          </w:p>
        </w:tc>
        <w:tc>
          <w:tcPr>
            <w:tcW w:w="34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(5,557,770)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4,766,160</w:t>
            </w:r>
          </w:p>
        </w:tc>
        <w:tc>
          <w:tcPr>
            <w:tcW w:w="0" w:type="dxa"/>
            <w:vAlign w:val="bottom"/>
          </w:tcPr>
          <w:p>
            <w:pPr>
              <w:spacing w:after="0"/>
              <w:rPr>
                <w:sz w:val="1"/>
                <w:szCs w:val="1"/>
                <w:color w:val="auto"/>
              </w:rPr>
            </w:pPr>
          </w:p>
        </w:tc>
      </w:tr>
      <w:tr>
        <w:trPr>
          <w:trHeight w:val="361"/>
        </w:trPr>
        <w:tc>
          <w:tcPr>
            <w:tcW w:w="3180" w:type="dxa"/>
            <w:vAlign w:val="bottom"/>
            <w:tcBorders>
              <w:top w:val="single" w:sz="8" w:color="CCFFC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F-4</w:t>
            </w:r>
          </w:p>
        </w:tc>
        <w:tc>
          <w:tcPr>
            <w:tcW w:w="22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CONDENSED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From July 24,</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1998 (Inception)</w:t>
            </w:r>
          </w:p>
        </w:tc>
        <w:tc>
          <w:tcPr>
            <w:tcW w:w="0" w:type="dxa"/>
            <w:vAlign w:val="bottom"/>
          </w:tcPr>
          <w:p>
            <w:pPr>
              <w:spacing w:after="0"/>
              <w:rPr>
                <w:sz w:val="1"/>
                <w:szCs w:val="1"/>
                <w:color w:val="auto"/>
              </w:rPr>
            </w:pPr>
          </w:p>
        </w:tc>
      </w:tr>
      <w:tr>
        <w:trPr>
          <w:trHeight w:val="76"/>
        </w:trPr>
        <w:tc>
          <w:tcPr>
            <w:tcW w:w="54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4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97"/>
        </w:trPr>
        <w:tc>
          <w:tcPr>
            <w:tcW w:w="54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4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gridSpan w:val="3"/>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63"/>
        </w:trPr>
        <w:tc>
          <w:tcPr>
            <w:tcW w:w="54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68"/>
              <w:spacing w:after="0"/>
              <w:rPr>
                <w:sz w:val="20"/>
                <w:szCs w:val="20"/>
                <w:color w:val="auto"/>
              </w:rPr>
            </w:pPr>
            <w:r>
              <w:rPr>
                <w:rFonts w:ascii="Arial" w:cs="Arial" w:eastAsia="Arial" w:hAnsi="Arial"/>
                <w:sz w:val="14"/>
                <w:szCs w:val="14"/>
                <w:b w:val="1"/>
                <w:bCs w:val="1"/>
                <w:color w:val="auto"/>
                <w:w w:val="89"/>
              </w:rPr>
              <w:t>2006</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Cash from operating activities:</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(2,764,765)</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(394,168)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(5,557,770)</w:t>
            </w: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ind w:left="140"/>
              <w:spacing w:after="0"/>
              <w:rPr>
                <w:sz w:val="20"/>
                <w:szCs w:val="20"/>
                <w:color w:val="auto"/>
              </w:rPr>
            </w:pPr>
            <w:r>
              <w:rPr>
                <w:rFonts w:ascii="Arial" w:cs="Arial" w:eastAsia="Arial" w:hAnsi="Arial"/>
                <w:sz w:val="14"/>
                <w:szCs w:val="14"/>
                <w:color w:val="auto"/>
              </w:rPr>
              <w:t>Estimated fair value of contributed services</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175,000</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2,475,000</w:t>
            </w: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rPr>
              <w:t>Gain on forgiveness of liabilities</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(89,914)</w:t>
            </w: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(89,914)</w:t>
            </w:r>
          </w:p>
        </w:tc>
        <w:tc>
          <w:tcPr>
            <w:tcW w:w="0" w:type="dxa"/>
            <w:vAlign w:val="bottom"/>
          </w:tcPr>
          <w:p>
            <w:pPr>
              <w:spacing w:after="0"/>
              <w:rPr>
                <w:sz w:val="1"/>
                <w:szCs w:val="1"/>
                <w:color w:val="auto"/>
              </w:rPr>
            </w:pPr>
          </w:p>
        </w:tc>
      </w:tr>
      <w:tr>
        <w:trPr>
          <w:trHeight w:val="173"/>
        </w:trPr>
        <w:tc>
          <w:tcPr>
            <w:tcW w:w="5400" w:type="dxa"/>
            <w:vAlign w:val="bottom"/>
          </w:tcPr>
          <w:p>
            <w:pPr>
              <w:ind w:left="140"/>
              <w:spacing w:after="0"/>
              <w:rPr>
                <w:sz w:val="20"/>
                <w:szCs w:val="20"/>
                <w:color w:val="auto"/>
              </w:rPr>
            </w:pPr>
            <w:r>
              <w:rPr>
                <w:rFonts w:ascii="Arial" w:cs="Arial" w:eastAsia="Arial" w:hAnsi="Arial"/>
                <w:sz w:val="14"/>
                <w:szCs w:val="14"/>
                <w:color w:val="auto"/>
              </w:rPr>
              <w:t>Amortization of prepaid consulting fees</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28,752</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28,752</w:t>
            </w: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rPr>
              <w:t>Non-cash interest on notes payable</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1,563,504</w:t>
            </w:r>
          </w:p>
        </w:tc>
        <w:tc>
          <w:tcPr>
            <w:tcW w:w="2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9,920</w:t>
            </w: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1,575,755</w:t>
            </w:r>
          </w:p>
        </w:tc>
        <w:tc>
          <w:tcPr>
            <w:tcW w:w="0" w:type="dxa"/>
            <w:vAlign w:val="bottom"/>
          </w:tcPr>
          <w:p>
            <w:pPr>
              <w:spacing w:after="0"/>
              <w:rPr>
                <w:sz w:val="1"/>
                <w:szCs w:val="1"/>
                <w:color w:val="auto"/>
              </w:rPr>
            </w:pPr>
          </w:p>
        </w:tc>
      </w:tr>
      <w:tr>
        <w:trPr>
          <w:trHeight w:val="173"/>
        </w:trPr>
        <w:tc>
          <w:tcPr>
            <w:tcW w:w="54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43,051</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43,051</w:t>
            </w: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ind w:left="400"/>
              <w:spacing w:after="0"/>
              <w:rPr>
                <w:sz w:val="20"/>
                <w:szCs w:val="20"/>
                <w:color w:val="auto"/>
              </w:rPr>
            </w:pPr>
            <w:r>
              <w:rPr>
                <w:rFonts w:ascii="Arial" w:cs="Arial" w:eastAsia="Arial" w:hAnsi="Arial"/>
                <w:sz w:val="14"/>
                <w:szCs w:val="14"/>
                <w:color w:val="auto"/>
              </w:rPr>
              <w:t>Prepaid consulting costs</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(140,000)</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(140,000)</w:t>
            </w: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ind w:left="400"/>
              <w:spacing w:after="0"/>
              <w:rPr>
                <w:sz w:val="20"/>
                <w:szCs w:val="20"/>
                <w:color w:val="auto"/>
              </w:rPr>
            </w:pPr>
            <w:r>
              <w:rPr>
                <w:rFonts w:ascii="Arial" w:cs="Arial" w:eastAsia="Arial" w:hAnsi="Arial"/>
                <w:sz w:val="14"/>
                <w:szCs w:val="14"/>
                <w:color w:val="auto"/>
              </w:rPr>
              <w:t>Prepaid expenses and other current assets</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(44,132)</w:t>
            </w: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3,060</w:t>
            </w: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(49,828)</w:t>
            </w:r>
          </w:p>
        </w:tc>
        <w:tc>
          <w:tcPr>
            <w:tcW w:w="0" w:type="dxa"/>
            <w:vAlign w:val="bottom"/>
          </w:tcPr>
          <w:p>
            <w:pPr>
              <w:spacing w:after="0"/>
              <w:rPr>
                <w:sz w:val="1"/>
                <w:szCs w:val="1"/>
                <w:color w:val="auto"/>
              </w:rPr>
            </w:pPr>
          </w:p>
        </w:tc>
      </w:tr>
      <w:tr>
        <w:trPr>
          <w:trHeight w:val="173"/>
        </w:trPr>
        <w:tc>
          <w:tcPr>
            <w:tcW w:w="5400" w:type="dxa"/>
            <w:vAlign w:val="bottom"/>
          </w:tcPr>
          <w:p>
            <w:pPr>
              <w:ind w:left="400"/>
              <w:spacing w:after="0"/>
              <w:rPr>
                <w:sz w:val="20"/>
                <w:szCs w:val="20"/>
                <w:color w:val="auto"/>
              </w:rPr>
            </w:pPr>
            <w:r>
              <w:rPr>
                <w:rFonts w:ascii="Arial" w:cs="Arial" w:eastAsia="Arial" w:hAnsi="Arial"/>
                <w:sz w:val="14"/>
                <w:szCs w:val="14"/>
                <w:color w:val="auto"/>
              </w:rPr>
              <w:t>Accounts payable</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117,102</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38,303</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290,794</w:t>
            </w:r>
          </w:p>
        </w:tc>
        <w:tc>
          <w:tcPr>
            <w:tcW w:w="0" w:type="dxa"/>
            <w:vAlign w:val="bottom"/>
          </w:tcPr>
          <w:p>
            <w:pPr>
              <w:spacing w:after="0"/>
              <w:rPr>
                <w:sz w:val="1"/>
                <w:szCs w:val="1"/>
                <w:color w:val="auto"/>
              </w:rPr>
            </w:pPr>
          </w:p>
        </w:tc>
      </w:tr>
      <w:tr>
        <w:trPr>
          <w:trHeight w:val="194"/>
        </w:trPr>
        <w:tc>
          <w:tcPr>
            <w:tcW w:w="540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4"/>
                <w:szCs w:val="14"/>
                <w:color w:val="auto"/>
              </w:rPr>
              <w:t>Accrued expenses and payroll liabilities</w:t>
            </w:r>
          </w:p>
        </w:tc>
        <w:tc>
          <w:tcPr>
            <w:tcW w:w="1400" w:type="dxa"/>
            <w:vAlign w:val="bottom"/>
            <w:tcBorders>
              <w:bottom w:val="single" w:sz="8" w:color="CCFFCC"/>
              <w:right w:val="single" w:sz="8" w:color="CCFFCC"/>
            </w:tcBorders>
            <w:shd w:val="clear" w:color="auto" w:fill="CCFFCC"/>
          </w:tcPr>
          <w:p>
            <w:pPr>
              <w:spacing w:after="0"/>
              <w:rPr>
                <w:sz w:val="16"/>
                <w:szCs w:val="16"/>
                <w:color w:val="auto"/>
              </w:rPr>
            </w:pPr>
          </w:p>
        </w:tc>
        <w:tc>
          <w:tcPr>
            <w:tcW w:w="280" w:type="dxa"/>
            <w:vAlign w:val="bottom"/>
            <w:tcBorders>
              <w:bottom w:val="single" w:sz="8" w:color="auto"/>
            </w:tcBorders>
            <w:shd w:val="clear" w:color="auto" w:fill="CCFFCC"/>
          </w:tcPr>
          <w:p>
            <w:pPr>
              <w:spacing w:after="0"/>
              <w:rPr>
                <w:sz w:val="16"/>
                <w:szCs w:val="16"/>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42,128</w:t>
            </w:r>
          </w:p>
        </w:tc>
        <w:tc>
          <w:tcPr>
            <w:tcW w:w="240" w:type="dxa"/>
            <w:vAlign w:val="bottom"/>
            <w:tcBorders>
              <w:bottom w:val="single" w:sz="8" w:color="CCFFCC"/>
            </w:tcBorders>
            <w:shd w:val="clear" w:color="auto" w:fill="CCFFCC"/>
          </w:tcPr>
          <w:p>
            <w:pPr>
              <w:spacing w:after="0"/>
              <w:rPr>
                <w:sz w:val="16"/>
                <w:szCs w:val="16"/>
                <w:color w:val="auto"/>
              </w:rPr>
            </w:pPr>
          </w:p>
        </w:tc>
        <w:tc>
          <w:tcPr>
            <w:tcW w:w="520" w:type="dxa"/>
            <w:vAlign w:val="bottom"/>
            <w:tcBorders>
              <w:bottom w:val="single" w:sz="8" w:color="auto"/>
            </w:tcBorders>
            <w:shd w:val="clear" w:color="auto" w:fill="CCFFCC"/>
          </w:tcPr>
          <w:p>
            <w:pPr>
              <w:spacing w:after="0"/>
              <w:rPr>
                <w:sz w:val="16"/>
                <w:szCs w:val="16"/>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auto"/>
            </w:tcBorders>
            <w:shd w:val="clear" w:color="auto" w:fill="CCFFCC"/>
          </w:tcPr>
          <w:p>
            <w:pPr>
              <w:spacing w:after="0"/>
              <w:rPr>
                <w:sz w:val="16"/>
                <w:szCs w:val="16"/>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42,128</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4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CCFFCC"/>
          </w:tcPr>
          <w:p>
            <w:pPr>
              <w:spacing w:after="0"/>
              <w:rPr>
                <w:sz w:val="20"/>
                <w:szCs w:val="20"/>
                <w:color w:val="auto"/>
              </w:rPr>
            </w:pPr>
            <w:r>
              <w:rPr>
                <w:rFonts w:ascii="Arial" w:cs="Arial" w:eastAsia="Arial" w:hAnsi="Arial"/>
                <w:sz w:val="14"/>
                <w:szCs w:val="14"/>
                <w:color w:val="auto"/>
              </w:rPr>
              <w:t>Net cash used in operating activities</w:t>
            </w:r>
          </w:p>
        </w:tc>
        <w:tc>
          <w:tcPr>
            <w:tcW w:w="1400" w:type="dxa"/>
            <w:vAlign w:val="bottom"/>
            <w:tcBorders>
              <w:right w:val="single" w:sz="8" w:color="CCFFCC"/>
            </w:tcBorders>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(1,069,274)</w:t>
            </w:r>
          </w:p>
        </w:tc>
        <w:tc>
          <w:tcPr>
            <w:tcW w:w="520" w:type="dxa"/>
            <w:vAlign w:val="bottom"/>
            <w:shd w:val="clear" w:color="auto" w:fill="CCFFCC"/>
          </w:tcPr>
          <w:p>
            <w:pPr>
              <w:spacing w:after="0"/>
              <w:rPr>
                <w:sz w:val="16"/>
                <w:szCs w:val="16"/>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(42,885)</w:t>
            </w:r>
          </w:p>
        </w:tc>
        <w:tc>
          <w:tcPr>
            <w:tcW w:w="12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(1,382,032)</w:t>
            </w:r>
          </w:p>
        </w:tc>
        <w:tc>
          <w:tcPr>
            <w:tcW w:w="0" w:type="dxa"/>
            <w:vAlign w:val="bottom"/>
          </w:tcPr>
          <w:p>
            <w:pPr>
              <w:spacing w:after="0"/>
              <w:rPr>
                <w:sz w:val="1"/>
                <w:szCs w:val="1"/>
                <w:color w:val="auto"/>
              </w:rPr>
            </w:pPr>
          </w:p>
        </w:tc>
      </w:tr>
      <w:tr>
        <w:trPr>
          <w:trHeight w:val="165"/>
        </w:trPr>
        <w:tc>
          <w:tcPr>
            <w:tcW w:w="5400" w:type="dxa"/>
            <w:vAlign w:val="bottom"/>
            <w:tcBorders>
              <w:top w:val="single" w:sz="8" w:color="CCFFCC"/>
            </w:tcBorders>
          </w:tcPr>
          <w:p>
            <w:pPr>
              <w:spacing w:after="0"/>
              <w:rPr>
                <w:sz w:val="14"/>
                <w:szCs w:val="14"/>
                <w:color w:val="auto"/>
              </w:rPr>
            </w:pPr>
          </w:p>
        </w:tc>
        <w:tc>
          <w:tcPr>
            <w:tcW w:w="1400" w:type="dxa"/>
            <w:vAlign w:val="bottom"/>
            <w:tcBorders>
              <w:top w:val="single" w:sz="8" w:color="CCFFC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ind w:left="140"/>
              <w:spacing w:after="0"/>
              <w:rPr>
                <w:sz w:val="20"/>
                <w:szCs w:val="20"/>
                <w:color w:val="auto"/>
              </w:rPr>
            </w:pPr>
            <w:r>
              <w:rPr>
                <w:rFonts w:ascii="Arial" w:cs="Arial" w:eastAsia="Arial" w:hAnsi="Arial"/>
                <w:sz w:val="14"/>
                <w:szCs w:val="14"/>
                <w:color w:val="auto"/>
              </w:rPr>
              <w:t>Proceeds from notes payable to stockholders</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226,300</w:t>
            </w:r>
          </w:p>
        </w:tc>
        <w:tc>
          <w:tcPr>
            <w:tcW w:w="0" w:type="dxa"/>
            <w:vAlign w:val="bottom"/>
          </w:tcPr>
          <w:p>
            <w:pPr>
              <w:spacing w:after="0"/>
              <w:rPr>
                <w:sz w:val="1"/>
                <w:szCs w:val="1"/>
                <w:color w:val="auto"/>
              </w:rPr>
            </w:pPr>
          </w:p>
        </w:tc>
      </w:tr>
      <w:tr>
        <w:trPr>
          <w:trHeight w:val="173"/>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rPr>
              <w:t>Proceeds from notes payable</w:t>
            </w:r>
          </w:p>
        </w:tc>
        <w:tc>
          <w:tcPr>
            <w:tcW w:w="14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240" w:type="dxa"/>
            <w:vAlign w:val="bottom"/>
            <w:shd w:val="clear" w:color="auto" w:fill="CCFFCC"/>
          </w:tcPr>
          <w:p>
            <w:pPr>
              <w:spacing w:after="0"/>
              <w:rPr>
                <w:sz w:val="15"/>
                <w:szCs w:val="15"/>
                <w:color w:val="auto"/>
              </w:rPr>
            </w:pPr>
          </w:p>
        </w:tc>
        <w:tc>
          <w:tcPr>
            <w:tcW w:w="520" w:type="dxa"/>
            <w:vAlign w:val="bottom"/>
            <w:shd w:val="clear" w:color="auto" w:fill="CCFFCC"/>
          </w:tcPr>
          <w:p>
            <w:pPr>
              <w:spacing w:after="0"/>
              <w:rPr>
                <w:sz w:val="15"/>
                <w:szCs w:val="15"/>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73"/>
        </w:trPr>
        <w:tc>
          <w:tcPr>
            <w:tcW w:w="5400" w:type="dxa"/>
            <w:vAlign w:val="bottom"/>
          </w:tcPr>
          <w:p>
            <w:pPr>
              <w:ind w:left="140"/>
              <w:spacing w:after="0"/>
              <w:rPr>
                <w:sz w:val="20"/>
                <w:szCs w:val="20"/>
                <w:color w:val="auto"/>
              </w:rPr>
            </w:pPr>
            <w:r>
              <w:rPr>
                <w:rFonts w:ascii="Arial" w:cs="Arial" w:eastAsia="Arial" w:hAnsi="Arial"/>
                <w:sz w:val="14"/>
                <w:szCs w:val="14"/>
                <w:color w:val="auto"/>
              </w:rPr>
              <w:t>Capital contributions</w:t>
            </w: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105,907</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48,600</w:t>
            </w:r>
          </w:p>
        </w:tc>
        <w:tc>
          <w:tcPr>
            <w:tcW w:w="120" w:type="dxa"/>
            <w:vAlign w:val="bottom"/>
          </w:tcPr>
          <w:p>
            <w:pPr>
              <w:spacing w:after="0"/>
              <w:rPr>
                <w:sz w:val="15"/>
                <w:szCs w:val="15"/>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168,707</w:t>
            </w:r>
          </w:p>
        </w:tc>
        <w:tc>
          <w:tcPr>
            <w:tcW w:w="0" w:type="dxa"/>
            <w:vAlign w:val="bottom"/>
          </w:tcPr>
          <w:p>
            <w:pPr>
              <w:spacing w:after="0"/>
              <w:rPr>
                <w:sz w:val="1"/>
                <w:szCs w:val="1"/>
                <w:color w:val="auto"/>
              </w:rPr>
            </w:pPr>
          </w:p>
        </w:tc>
      </w:tr>
      <w:tr>
        <w:trPr>
          <w:trHeight w:val="195"/>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w w:val="98"/>
              </w:rPr>
              <w:t>Proceeds from purchase of common stock and exercise of warrants and stock options</w:t>
            </w:r>
          </w:p>
        </w:tc>
        <w:tc>
          <w:tcPr>
            <w:tcW w:w="1400" w:type="dxa"/>
            <w:vAlign w:val="bottom"/>
            <w:tcBorders>
              <w:right w:val="single" w:sz="8" w:color="CCFFCC"/>
            </w:tcBorders>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25,750</w:t>
            </w:r>
          </w:p>
        </w:tc>
        <w:tc>
          <w:tcPr>
            <w:tcW w:w="2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2,400</w:t>
            </w:r>
          </w:p>
        </w:tc>
        <w:tc>
          <w:tcPr>
            <w:tcW w:w="2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49,950</w:t>
            </w:r>
          </w:p>
        </w:tc>
        <w:tc>
          <w:tcPr>
            <w:tcW w:w="0" w:type="dxa"/>
            <w:vAlign w:val="bottom"/>
          </w:tcPr>
          <w:p>
            <w:pPr>
              <w:spacing w:after="0"/>
              <w:rPr>
                <w:sz w:val="1"/>
                <w:szCs w:val="1"/>
                <w:color w:val="auto"/>
              </w:rPr>
            </w:pPr>
          </w:p>
        </w:tc>
      </w:tr>
      <w:tr>
        <w:trPr>
          <w:trHeight w:val="194"/>
        </w:trPr>
        <w:tc>
          <w:tcPr>
            <w:tcW w:w="5400" w:type="dxa"/>
            <w:vAlign w:val="bottom"/>
          </w:tcPr>
          <w:p>
            <w:pPr>
              <w:ind w:left="140"/>
              <w:spacing w:after="0"/>
              <w:rPr>
                <w:sz w:val="20"/>
                <w:szCs w:val="20"/>
                <w:color w:val="auto"/>
              </w:rPr>
            </w:pPr>
            <w:r>
              <w:rPr>
                <w:rFonts w:ascii="Arial" w:cs="Arial" w:eastAsia="Arial" w:hAnsi="Arial"/>
                <w:sz w:val="14"/>
                <w:szCs w:val="14"/>
                <w:color w:val="auto"/>
              </w:rPr>
              <w:t>Proceeds from Private Placement</w:t>
            </w: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3,735,167</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3,735,167</w:t>
            </w:r>
          </w:p>
        </w:tc>
        <w:tc>
          <w:tcPr>
            <w:tcW w:w="0" w:type="dxa"/>
            <w:vAlign w:val="bottom"/>
          </w:tcPr>
          <w:p>
            <w:pPr>
              <w:spacing w:after="0"/>
              <w:rPr>
                <w:sz w:val="1"/>
                <w:szCs w:val="1"/>
                <w:color w:val="auto"/>
              </w:rPr>
            </w:pPr>
          </w:p>
        </w:tc>
      </w:tr>
      <w:tr>
        <w:trPr>
          <w:trHeight w:val="186"/>
        </w:trPr>
        <w:tc>
          <w:tcPr>
            <w:tcW w:w="5400" w:type="dxa"/>
            <w:vAlign w:val="bottom"/>
            <w:shd w:val="clear" w:color="auto" w:fill="CCFFCC"/>
          </w:tcPr>
          <w:p>
            <w:pPr>
              <w:spacing w:after="0"/>
              <w:rPr>
                <w:sz w:val="16"/>
                <w:szCs w:val="16"/>
                <w:color w:val="auto"/>
              </w:rPr>
            </w:pPr>
          </w:p>
        </w:tc>
        <w:tc>
          <w:tcPr>
            <w:tcW w:w="1400" w:type="dxa"/>
            <w:vAlign w:val="bottom"/>
            <w:tcBorders>
              <w:right w:val="single" w:sz="8" w:color="CCFFCC"/>
            </w:tcBorders>
            <w:shd w:val="clear" w:color="auto" w:fill="CCFFCC"/>
          </w:tcPr>
          <w:p>
            <w:pPr>
              <w:spacing w:after="0"/>
              <w:rPr>
                <w:sz w:val="16"/>
                <w:szCs w:val="16"/>
                <w:color w:val="auto"/>
              </w:rPr>
            </w:pPr>
          </w:p>
        </w:tc>
        <w:tc>
          <w:tcPr>
            <w:tcW w:w="280" w:type="dxa"/>
            <w:vAlign w:val="bottom"/>
            <w:tcBorders>
              <w:top w:val="single" w:sz="8" w:color="auto"/>
            </w:tcBorders>
            <w:shd w:val="clear" w:color="auto" w:fill="CCFFCC"/>
          </w:tcPr>
          <w:p>
            <w:pPr>
              <w:spacing w:after="0"/>
              <w:rPr>
                <w:sz w:val="16"/>
                <w:szCs w:val="16"/>
                <w:color w:val="auto"/>
              </w:rPr>
            </w:pPr>
          </w:p>
        </w:tc>
        <w:tc>
          <w:tcPr>
            <w:tcW w:w="108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4"/>
                <w:szCs w:val="14"/>
                <w:color w:val="auto"/>
              </w:rPr>
              <w:t>Net cash provided by financing activities</w:t>
            </w: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5,366,824</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51,000</w:t>
            </w: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5,680,124</w:t>
            </w:r>
          </w:p>
        </w:tc>
        <w:tc>
          <w:tcPr>
            <w:tcW w:w="0" w:type="dxa"/>
            <w:vAlign w:val="bottom"/>
          </w:tcPr>
          <w:p>
            <w:pPr>
              <w:spacing w:after="0"/>
              <w:rPr>
                <w:sz w:val="1"/>
                <w:szCs w:val="1"/>
                <w:color w:val="auto"/>
              </w:rPr>
            </w:pPr>
          </w:p>
        </w:tc>
      </w:tr>
      <w:tr>
        <w:trPr>
          <w:trHeight w:val="186"/>
        </w:trPr>
        <w:tc>
          <w:tcPr>
            <w:tcW w:w="5400" w:type="dxa"/>
            <w:vAlign w:val="bottom"/>
            <w:shd w:val="clear" w:color="auto" w:fill="CCFFCC"/>
          </w:tcPr>
          <w:p>
            <w:pPr>
              <w:spacing w:after="0"/>
              <w:rPr>
                <w:sz w:val="16"/>
                <w:szCs w:val="16"/>
                <w:color w:val="auto"/>
              </w:rPr>
            </w:pPr>
          </w:p>
        </w:tc>
        <w:tc>
          <w:tcPr>
            <w:tcW w:w="1400" w:type="dxa"/>
            <w:vAlign w:val="bottom"/>
            <w:tcBorders>
              <w:right w:val="single" w:sz="8" w:color="CCFFCC"/>
            </w:tcBorders>
            <w:shd w:val="clear" w:color="auto" w:fill="CCFFCC"/>
          </w:tcPr>
          <w:p>
            <w:pPr>
              <w:spacing w:after="0"/>
              <w:rPr>
                <w:sz w:val="16"/>
                <w:szCs w:val="16"/>
                <w:color w:val="auto"/>
              </w:rPr>
            </w:pPr>
          </w:p>
        </w:tc>
        <w:tc>
          <w:tcPr>
            <w:tcW w:w="280" w:type="dxa"/>
            <w:vAlign w:val="bottom"/>
            <w:tcBorders>
              <w:top w:val="single" w:sz="8" w:color="auto"/>
            </w:tcBorders>
            <w:shd w:val="clear" w:color="auto" w:fill="CCFFCC"/>
          </w:tcPr>
          <w:p>
            <w:pPr>
              <w:spacing w:after="0"/>
              <w:rPr>
                <w:sz w:val="16"/>
                <w:szCs w:val="16"/>
                <w:color w:val="auto"/>
              </w:rPr>
            </w:pPr>
          </w:p>
        </w:tc>
        <w:tc>
          <w:tcPr>
            <w:tcW w:w="108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4"/>
                <w:szCs w:val="14"/>
                <w:b w:val="1"/>
                <w:bCs w:val="1"/>
                <w:color w:val="auto"/>
              </w:rPr>
              <w:t>Net change in cash</w:t>
            </w: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4,297,550</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8,115</w:t>
            </w: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4,298,092</w:t>
            </w:r>
          </w:p>
        </w:tc>
        <w:tc>
          <w:tcPr>
            <w:tcW w:w="0" w:type="dxa"/>
            <w:vAlign w:val="bottom"/>
          </w:tcPr>
          <w:p>
            <w:pPr>
              <w:spacing w:after="0"/>
              <w:rPr>
                <w:sz w:val="1"/>
                <w:szCs w:val="1"/>
                <w:color w:val="auto"/>
              </w:rPr>
            </w:pPr>
          </w:p>
        </w:tc>
      </w:tr>
      <w:tr>
        <w:trPr>
          <w:trHeight w:val="195"/>
        </w:trPr>
        <w:tc>
          <w:tcPr>
            <w:tcW w:w="5400" w:type="dxa"/>
            <w:vAlign w:val="bottom"/>
            <w:shd w:val="clear" w:color="auto" w:fill="CCFFCC"/>
          </w:tcPr>
          <w:p>
            <w:pPr>
              <w:spacing w:after="0"/>
              <w:rPr>
                <w:sz w:val="16"/>
                <w:szCs w:val="16"/>
                <w:color w:val="auto"/>
              </w:rPr>
            </w:pPr>
          </w:p>
        </w:tc>
        <w:tc>
          <w:tcPr>
            <w:tcW w:w="1400" w:type="dxa"/>
            <w:vAlign w:val="bottom"/>
            <w:tcBorders>
              <w:right w:val="single" w:sz="8" w:color="CCFFCC"/>
            </w:tcBorders>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4"/>
                <w:szCs w:val="14"/>
                <w:b w:val="1"/>
                <w:bCs w:val="1"/>
                <w:color w:val="auto"/>
              </w:rPr>
              <w:t>Cash, beginning of period</w:t>
            </w: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542</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5,204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5400" w:type="dxa"/>
            <w:vAlign w:val="bottom"/>
            <w:shd w:val="clear" w:color="auto" w:fill="CCFFCC"/>
          </w:tcPr>
          <w:p>
            <w:pPr>
              <w:spacing w:after="0"/>
              <w:rPr>
                <w:sz w:val="16"/>
                <w:szCs w:val="16"/>
                <w:color w:val="auto"/>
              </w:rPr>
            </w:pPr>
          </w:p>
        </w:tc>
        <w:tc>
          <w:tcPr>
            <w:tcW w:w="1400" w:type="dxa"/>
            <w:vAlign w:val="bottom"/>
            <w:tcBorders>
              <w:right w:val="single" w:sz="8" w:color="CCFFCC"/>
            </w:tcBorders>
            <w:shd w:val="clear" w:color="auto" w:fill="CCFFCC"/>
          </w:tcPr>
          <w:p>
            <w:pPr>
              <w:spacing w:after="0"/>
              <w:rPr>
                <w:sz w:val="16"/>
                <w:szCs w:val="16"/>
                <w:color w:val="auto"/>
              </w:rPr>
            </w:pPr>
          </w:p>
        </w:tc>
        <w:tc>
          <w:tcPr>
            <w:tcW w:w="280" w:type="dxa"/>
            <w:vAlign w:val="bottom"/>
            <w:tcBorders>
              <w:top w:val="single" w:sz="8" w:color="auto"/>
            </w:tcBorders>
            <w:shd w:val="clear" w:color="auto" w:fill="CCFFCC"/>
          </w:tcPr>
          <w:p>
            <w:pPr>
              <w:spacing w:after="0"/>
              <w:rPr>
                <w:sz w:val="16"/>
                <w:szCs w:val="16"/>
                <w:color w:val="auto"/>
              </w:rPr>
            </w:pPr>
          </w:p>
        </w:tc>
        <w:tc>
          <w:tcPr>
            <w:tcW w:w="108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4"/>
                <w:szCs w:val="14"/>
                <w:b w:val="1"/>
                <w:bCs w:val="1"/>
                <w:color w:val="auto"/>
              </w:rPr>
              <w:t>Cash, end of period</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4,298,092</w:t>
            </w:r>
          </w:p>
        </w:tc>
        <w:tc>
          <w:tcPr>
            <w:tcW w:w="24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13,319</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4,298,092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00" w:type="dxa"/>
            <w:vAlign w:val="bottom"/>
            <w:shd w:val="clear" w:color="auto" w:fill="CCFFCC"/>
          </w:tcPr>
          <w:p>
            <w:pPr>
              <w:spacing w:after="0"/>
              <w:rPr>
                <w:sz w:val="14"/>
                <w:szCs w:val="14"/>
                <w:color w:val="auto"/>
              </w:rPr>
            </w:pPr>
          </w:p>
        </w:tc>
        <w:tc>
          <w:tcPr>
            <w:tcW w:w="1400" w:type="dxa"/>
            <w:vAlign w:val="bottom"/>
            <w:tcBorders>
              <w:right w:val="single" w:sz="8" w:color="CCFFCC"/>
            </w:tcBorders>
            <w:shd w:val="clear" w:color="auto" w:fill="CCFFCC"/>
          </w:tcPr>
          <w:p>
            <w:pPr>
              <w:spacing w:after="0"/>
              <w:rPr>
                <w:sz w:val="14"/>
                <w:szCs w:val="14"/>
                <w:color w:val="auto"/>
              </w:rPr>
            </w:pPr>
          </w:p>
        </w:tc>
        <w:tc>
          <w:tcPr>
            <w:tcW w:w="28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w w:val="97"/>
              </w:rPr>
              <w:t>Issuance of common stock and warrants to consulting firms for prepaid consulting fees</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550,000</w:t>
            </w: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550,000</w:t>
            </w:r>
          </w:p>
        </w:tc>
        <w:tc>
          <w:tcPr>
            <w:tcW w:w="0" w:type="dxa"/>
            <w:vAlign w:val="bottom"/>
          </w:tcPr>
          <w:p>
            <w:pPr>
              <w:spacing w:after="0"/>
              <w:rPr>
                <w:sz w:val="1"/>
                <w:szCs w:val="1"/>
                <w:color w:val="auto"/>
              </w:rPr>
            </w:pPr>
          </w:p>
        </w:tc>
      </w:tr>
      <w:tr>
        <w:trPr>
          <w:trHeight w:val="20"/>
        </w:trPr>
        <w:tc>
          <w:tcPr>
            <w:tcW w:w="540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tcPr>
          <w:p>
            <w:pPr>
              <w:ind w:left="140"/>
              <w:spacing w:after="0"/>
              <w:rPr>
                <w:sz w:val="20"/>
                <w:szCs w:val="20"/>
                <w:color w:val="auto"/>
              </w:rPr>
            </w:pPr>
            <w:r>
              <w:rPr>
                <w:rFonts w:ascii="Arial" w:cs="Arial" w:eastAsia="Arial" w:hAnsi="Arial"/>
                <w:sz w:val="14"/>
                <w:szCs w:val="14"/>
                <w:color w:val="auto"/>
              </w:rPr>
              <w:t>Conversion of notes payable and accrued interest into common stock</w:t>
            </w: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1,530,177</w:t>
            </w:r>
          </w:p>
        </w:tc>
        <w:tc>
          <w:tcPr>
            <w:tcW w:w="240" w:type="dxa"/>
            <w:vAlign w:val="bottom"/>
          </w:tcPr>
          <w:p>
            <w:pPr>
              <w:spacing w:after="0"/>
              <w:rPr>
                <w:sz w:val="14"/>
                <w:szCs w:val="14"/>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1,530,177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00" w:type="dxa"/>
            <w:vAlign w:val="bottom"/>
            <w:shd w:val="clear" w:color="auto" w:fill="CCFFCC"/>
          </w:tcPr>
          <w:p>
            <w:pPr>
              <w:ind w:left="140"/>
              <w:spacing w:after="0"/>
              <w:rPr>
                <w:sz w:val="20"/>
                <w:szCs w:val="20"/>
                <w:color w:val="auto"/>
              </w:rPr>
            </w:pPr>
            <w:r>
              <w:rPr>
                <w:rFonts w:ascii="Arial" w:cs="Arial" w:eastAsia="Arial" w:hAnsi="Arial"/>
                <w:sz w:val="14"/>
                <w:szCs w:val="14"/>
                <w:color w:val="auto"/>
              </w:rPr>
              <w:t>Forgiveness of notes payable and accrued interest to shareholders</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241,701</w:t>
            </w:r>
          </w:p>
        </w:tc>
        <w:tc>
          <w:tcPr>
            <w:tcW w:w="24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241,701</w:t>
            </w:r>
          </w:p>
        </w:tc>
        <w:tc>
          <w:tcPr>
            <w:tcW w:w="0" w:type="dxa"/>
            <w:vAlign w:val="bottom"/>
          </w:tcPr>
          <w:p>
            <w:pPr>
              <w:spacing w:after="0"/>
              <w:rPr>
                <w:sz w:val="1"/>
                <w:szCs w:val="1"/>
                <w:color w:val="auto"/>
              </w:rPr>
            </w:pPr>
          </w:p>
        </w:tc>
      </w:tr>
      <w:tr>
        <w:trPr>
          <w:trHeight w:val="361"/>
        </w:trPr>
        <w:tc>
          <w:tcPr>
            <w:tcW w:w="5400" w:type="dxa"/>
            <w:vAlign w:val="bottom"/>
            <w:tcBorders>
              <w:top w:val="single" w:sz="8" w:color="CCFFCC"/>
            </w:tcBorders>
          </w:tcPr>
          <w:p>
            <w:pPr>
              <w:spacing w:after="0"/>
              <w:rPr>
                <w:sz w:val="24"/>
                <w:szCs w:val="24"/>
                <w:color w:val="auto"/>
              </w:rPr>
            </w:pPr>
          </w:p>
        </w:tc>
        <w:tc>
          <w:tcPr>
            <w:tcW w:w="1400" w:type="dxa"/>
            <w:vAlign w:val="bottom"/>
            <w:tcBorders>
              <w:top w:val="single" w:sz="8" w:color="CCFFCC"/>
            </w:tcBorders>
          </w:tcPr>
          <w:p>
            <w:pPr>
              <w:ind w:left="240"/>
              <w:spacing w:after="0"/>
              <w:rPr>
                <w:sz w:val="20"/>
                <w:szCs w:val="20"/>
                <w:color w:val="auto"/>
              </w:rPr>
            </w:pPr>
            <w:r>
              <w:rPr>
                <w:rFonts w:ascii="Arial" w:cs="Arial" w:eastAsia="Arial" w:hAnsi="Arial"/>
                <w:sz w:val="14"/>
                <w:szCs w:val="14"/>
                <w:color w:val="auto"/>
              </w:rPr>
              <w:t>F-5</w:t>
            </w: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4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1.</w:t>
      </w:r>
      <w:r>
        <w:rPr>
          <w:sz w:val="20"/>
          <w:szCs w:val="20"/>
          <w:color w:val="auto"/>
        </w:rPr>
        <w:tab/>
      </w:r>
      <w:r>
        <w:rPr>
          <w:rFonts w:ascii="Arial" w:cs="Arial" w:eastAsia="Arial" w:hAnsi="Arial"/>
          <w:sz w:val="12"/>
          <w:szCs w:val="12"/>
          <w:b w:val="1"/>
          <w:bCs w:val="1"/>
          <w:color w:val="auto"/>
        </w:rPr>
        <w:t>Business Description</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 xml:space="preserve">Transdel Pharmaceuticals, Inc. (“Transdel” or the “Company”) is a specialty pharmaceutical company focused on the development and commercialization of non-invasive topically delivered medications. The Company's lead topical drug, Ketotransdel </w:t>
      </w:r>
      <w:r>
        <w:rPr>
          <w:rFonts w:ascii="Arial" w:cs="Arial" w:eastAsia="Arial" w:hAnsi="Arial"/>
          <w:sz w:val="22"/>
          <w:szCs w:val="22"/>
          <w:color w:val="auto"/>
          <w:vertAlign w:val="superscript"/>
        </w:rPr>
        <w:t>TM</w:t>
      </w:r>
      <w:r>
        <w:rPr>
          <w:rFonts w:ascii="Arial" w:cs="Arial" w:eastAsia="Arial" w:hAnsi="Arial"/>
          <w:sz w:val="13"/>
          <w:szCs w:val="13"/>
          <w:color w:val="auto"/>
        </w:rPr>
        <w:t xml:space="preserve">, utilizes the Company's innovative proprietary Transdel </w:t>
      </w:r>
      <w:r>
        <w:rPr>
          <w:rFonts w:ascii="Arial" w:cs="Arial" w:eastAsia="Arial" w:hAnsi="Arial"/>
          <w:sz w:val="22"/>
          <w:szCs w:val="22"/>
          <w:color w:val="auto"/>
          <w:vertAlign w:val="superscript"/>
        </w:rPr>
        <w:t>TM</w:t>
      </w:r>
      <w:r>
        <w:rPr>
          <w:rFonts w:ascii="Arial" w:cs="Arial" w:eastAsia="Arial" w:hAnsi="Arial"/>
          <w:sz w:val="13"/>
          <w:szCs w:val="13"/>
          <w:color w:val="auto"/>
        </w:rPr>
        <w:t xml:space="preserve"> cream formulation to facilitate the passage of ketoprofen, a non-steroidal anti-inflammatory drug (“NSAID”), through the skin barrier to reach targeted underlying tissue where the drug exerts its prolonged localized anti-inflammatory and analgesic effect. The Company is also investigating other drug candidates and treatments for transdermal delivery using the Transdel</w:t>
      </w:r>
      <w:r>
        <w:rPr>
          <w:rFonts w:ascii="Arial" w:cs="Arial" w:eastAsia="Arial" w:hAnsi="Arial"/>
          <w:sz w:val="22"/>
          <w:szCs w:val="22"/>
          <w:color w:val="auto"/>
          <w:vertAlign w:val="superscript"/>
        </w:rPr>
        <w:t>TM</w:t>
      </w:r>
      <w:r>
        <w:rPr>
          <w:rFonts w:ascii="Arial" w:cs="Arial" w:eastAsia="Arial" w:hAnsi="Arial"/>
          <w:sz w:val="13"/>
          <w:szCs w:val="13"/>
          <w:color w:val="auto"/>
        </w:rPr>
        <w:t xml:space="preserve"> platform technology for products in pain management and other therapeutic areas.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Basis of Presentation</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condensed consolidated financial statements have been prepared in accordance with accounting principles generally accepted in the United States of America for interim financial statements and with Form 10-QSB and Item 310(b) of Regulation S-B of the Securities and Exchange Commission. Accordingly, they do not contain all the information and footnotes required by accounting principles generally accepted in the United States of America for annual financial statements. The consolidated financial statements include the accounts of Transdel and its wholly owned subsidiary, Transdel Pharmaceuticals Holdings, Inc. (formally known as Trans-Pharma Corporation). All significant intercompany balances and transactions have been eliminated in consolidation. In the opinion of the Company’s management, the accompanying condensed consolidated financial statements contain all the adjustments necessary (consisting only of normal recurring accruals) to make the financial position of the Company as of September 30, 2007, the results of operations for three and nine months ended September 30, 2007 and 2006, and cash flows for the nine months ended September 30, 2007 and 2006 not misleading. The condensed consolidated financial statements should be read in conjunction with the audited financial statements for the years ended December 31, 2006 and 2005 contained in Form 8-K filed on September 21, 2007.</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Merger with Public Company and Reorganization</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 owned Delaware subsidiary of Transdel (“Acquisition Sub”). Upon closing of the merger transaction contemplated under the Merger Agreement (the “Merger”), Acquisition Sub merged with and into Transdel Holdings, and Transdel Holdings, as the surviving corporation, became a wholly owned subsidiary of Transdel.</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are subject to forfeiture,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Merger with Public Company and Reorganization</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232"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Effective on September 17, 2007, and for all reporting periods thereafter, Transdel’s operating activities, including any prior comparative period, will include only those of Transdel Holdings. All references to shares and per share amounts in the accompanying condensed consolidated financial statements have been restated to reflect the aforementioned share exchange.</w:t>
      </w:r>
    </w:p>
    <w:p>
      <w:pPr>
        <w:spacing w:after="0" w:line="14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2"/>
          <w:szCs w:val="12"/>
          <w:b w:val="1"/>
          <w:bCs w:val="1"/>
          <w:color w:val="auto"/>
        </w:rPr>
        <w:t>Summary of Significant Accounting Policies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Going Concern</w:t>
      </w:r>
      <w:r>
        <w:rPr>
          <w:rFonts w:ascii="Arial" w:cs="Arial" w:eastAsia="Arial" w:hAnsi="Arial"/>
          <w:sz w:val="14"/>
          <w:szCs w:val="14"/>
          <w:color w:val="auto"/>
        </w:rPr>
        <w:t>. The accompanying condensed consolidated financial statements have been prepared on a going-concern basis, which contemplates the realization of assets and the satisfaction of</w:t>
      </w:r>
      <w:r>
        <w:rPr>
          <w:rFonts w:ascii="Arial" w:cs="Arial" w:eastAsia="Arial" w:hAnsi="Arial"/>
          <w:sz w:val="14"/>
          <w:szCs w:val="14"/>
          <w:i w:val="1"/>
          <w:iCs w:val="1"/>
          <w:color w:val="auto"/>
        </w:rPr>
        <w:t xml:space="preserve"> </w:t>
      </w:r>
      <w:r>
        <w:rPr>
          <w:rFonts w:ascii="Arial" w:cs="Arial" w:eastAsia="Arial" w:hAnsi="Arial"/>
          <w:sz w:val="14"/>
          <w:szCs w:val="14"/>
          <w:color w:val="auto"/>
        </w:rPr>
        <w:t>liabilities in the normal course of business. The Company has incurred recurring operating losses, had negative operating cash flows and has not recognized any revenues since Inception. In addition, the Company had a deficit accumulated during the development stage of $5,557,770 at September 30, 2007. These factors, among others, raise substantial doubt about the Company’s ability to continue as a going concern.</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Company's continuation as a going concern is dependent on its ability to obtain additional financing to fund operations, implement its business model, and ultimately, to attain profitable operations. The Company intends to raise additional financing to fund its operations. However, there is no assurance that sufficient financing will be available or, if available, on terms that would be acceptable to the Company.</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condensed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4"/>
          <w:szCs w:val="14"/>
          <w:i w:val="1"/>
          <w:iCs w:val="1"/>
          <w:color w:val="auto"/>
        </w:rPr>
        <w:t xml:space="preserve">Development Stage Enterprise. </w:t>
      </w:r>
      <w:r>
        <w:rPr>
          <w:rFonts w:ascii="Arial" w:cs="Arial" w:eastAsia="Arial" w:hAnsi="Arial"/>
          <w:sz w:val="14"/>
          <w:szCs w:val="14"/>
          <w:color w:val="auto"/>
        </w:rPr>
        <w:t>The Company is a development stage company as defined in Statement of Financial Accounting Standards (“SFAS”) No. 7,</w:t>
      </w:r>
      <w:r>
        <w:rPr>
          <w:rFonts w:ascii="Arial" w:cs="Arial" w:eastAsia="Arial" w:hAnsi="Arial"/>
          <w:sz w:val="14"/>
          <w:szCs w:val="14"/>
          <w:i w:val="1"/>
          <w:iCs w:val="1"/>
          <w:color w:val="auto"/>
        </w:rPr>
        <w:t xml:space="preserve"> Accounting and Reporting by Development Stage Enterprises</w:t>
      </w:r>
      <w:r>
        <w:rPr>
          <w:rFonts w:ascii="Arial" w:cs="Arial" w:eastAsia="Arial" w:hAnsi="Arial"/>
          <w:sz w:val="14"/>
          <w:szCs w:val="14"/>
          <w:color w:val="auto"/>
        </w:rPr>
        <w:t>. The Company is devoting substantially all of its present efforts to establish a new business, and its planned principal operations have not yet commenced. All losses</w:t>
      </w:r>
      <w:r>
        <w:rPr>
          <w:rFonts w:ascii="Arial" w:cs="Arial" w:eastAsia="Arial" w:hAnsi="Arial"/>
          <w:sz w:val="14"/>
          <w:szCs w:val="14"/>
          <w:i w:val="1"/>
          <w:iCs w:val="1"/>
          <w:color w:val="auto"/>
        </w:rPr>
        <w:t xml:space="preserve"> </w:t>
      </w:r>
      <w:r>
        <w:rPr>
          <w:rFonts w:ascii="Arial" w:cs="Arial" w:eastAsia="Arial" w:hAnsi="Arial"/>
          <w:sz w:val="14"/>
          <w:szCs w:val="14"/>
          <w:color w:val="auto"/>
        </w:rPr>
        <w:t>accumulated since inception have been considered as part of the Company’s development stage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Research and Development. </w:t>
      </w:r>
      <w:r>
        <w:rPr>
          <w:rFonts w:ascii="Arial" w:cs="Arial" w:eastAsia="Arial" w:hAnsi="Arial"/>
          <w:sz w:val="14"/>
          <w:szCs w:val="14"/>
          <w:color w:val="auto"/>
        </w:rPr>
        <w:t>Research and development costs are charged to expense when incurred.</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Concentrations of Credit Risk. </w:t>
      </w:r>
      <w:r>
        <w:rPr>
          <w:rFonts w:ascii="Arial" w:cs="Arial" w:eastAsia="Arial" w:hAnsi="Arial"/>
          <w:sz w:val="14"/>
          <w:szCs w:val="14"/>
          <w:color w:val="auto"/>
        </w:rPr>
        <w:t>Financial instruments that potentially subject the Company to significant concentration of credit risk consist primarily of cash and cash equivalents.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maintains its cash balances at a high-quality institution that is insured by the Federal Deposit Insurance Corporation (“FDIC”) up to $100,000.</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Fair Value of Financial Instruments. </w:t>
      </w:r>
      <w:r>
        <w:rPr>
          <w:rFonts w:ascii="Arial" w:cs="Arial" w:eastAsia="Arial" w:hAnsi="Arial"/>
          <w:sz w:val="14"/>
          <w:szCs w:val="14"/>
          <w:color w:val="auto"/>
        </w:rPr>
        <w:t>The Company has determined the fair value of its financial instruments. The amounts reported for prepaid consulting fees, accounts payable and accrued</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approximate the fair value because of their short maturities.</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3"/>
          <w:szCs w:val="13"/>
          <w:i w:val="1"/>
          <w:iCs w:val="1"/>
          <w:color w:val="auto"/>
        </w:rPr>
        <w:t xml:space="preserve">Revenue Recognition. </w:t>
      </w:r>
      <w:r>
        <w:rPr>
          <w:rFonts w:ascii="Arial" w:cs="Arial" w:eastAsia="Arial" w:hAnsi="Arial"/>
          <w:sz w:val="13"/>
          <w:szCs w:val="13"/>
          <w:color w:val="auto"/>
        </w:rPr>
        <w:t>The Company will recognize revenues in accordance with the Securities and Exchange Commission Staff Accounting Bulletin (“SAB”) No. 101,</w:t>
      </w:r>
      <w:r>
        <w:rPr>
          <w:rFonts w:ascii="Arial" w:cs="Arial" w:eastAsia="Arial" w:hAnsi="Arial"/>
          <w:sz w:val="13"/>
          <w:szCs w:val="13"/>
          <w:i w:val="1"/>
          <w:iCs w:val="1"/>
          <w:color w:val="auto"/>
        </w:rPr>
        <w:t xml:space="preserve"> Revenue Recognition</w:t>
      </w:r>
      <w:r>
        <w:rPr>
          <w:rFonts w:ascii="Arial" w:cs="Arial" w:eastAsia="Arial" w:hAnsi="Arial"/>
          <w:sz w:val="13"/>
          <w:szCs w:val="13"/>
          <w:color w:val="auto"/>
        </w:rPr>
        <w:t>, as</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by SAB No. 104. SAB No. 104 requires that four basic criteria must be met before revenue can be recognized: (1) persuasive evidence of an arrangement exists; (2) delivery has occurred;</w:t>
      </w:r>
    </w:p>
    <w:p>
      <w:pPr>
        <w:jc w:val="both"/>
        <w:ind w:firstLine="7"/>
        <w:spacing w:after="0" w:line="290" w:lineRule="auto"/>
        <w:tabs>
          <w:tab w:leader="none" w:pos="204"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2"/>
          <w:szCs w:val="12"/>
          <w:b w:val="1"/>
          <w:bCs w:val="1"/>
          <w:color w:val="auto"/>
        </w:rPr>
        <w:t>Summary of Significant Accounting Policies, continued</w:t>
      </w:r>
    </w:p>
    <w:p>
      <w:pPr>
        <w:spacing w:after="0" w:line="232" w:lineRule="exact"/>
        <w:rPr>
          <w:sz w:val="20"/>
          <w:szCs w:val="20"/>
          <w:color w:val="auto"/>
        </w:rPr>
      </w:pPr>
    </w:p>
    <w:p>
      <w:pPr>
        <w:jc w:val="both"/>
        <w:spacing w:after="0" w:line="378" w:lineRule="auto"/>
        <w:rPr>
          <w:sz w:val="20"/>
          <w:szCs w:val="20"/>
          <w:color w:val="auto"/>
        </w:rPr>
      </w:pPr>
      <w:r>
        <w:rPr>
          <w:rFonts w:ascii="Arial" w:cs="Arial" w:eastAsia="Arial" w:hAnsi="Arial"/>
          <w:sz w:val="12"/>
          <w:szCs w:val="12"/>
          <w:color w:val="auto"/>
        </w:rPr>
        <w:t>As of September 30, 2007, the Company had not generated any revenues and the Company does not anticipate that it will generate any revenues until one or more of its drug candidates are approved by the FDA and effective sales and marketing support are in place. The FDA approval process is highly uncertain and the Company cannot estimate when it will generate revenues at this time.</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 xml:space="preserve">Stock-Based Compensation. </w:t>
      </w:r>
      <w:r>
        <w:rPr>
          <w:rFonts w:ascii="Arial" w:cs="Arial" w:eastAsia="Arial" w:hAnsi="Arial"/>
          <w:sz w:val="14"/>
          <w:szCs w:val="14"/>
          <w:color w:val="auto"/>
        </w:rPr>
        <w:t>Effective January 1, 2006, the Company adopted Statement of Financial Accounting Standards No. 123 (revised 2004),</w:t>
      </w:r>
      <w:r>
        <w:rPr>
          <w:rFonts w:ascii="Arial" w:cs="Arial" w:eastAsia="Arial" w:hAnsi="Arial"/>
          <w:sz w:val="14"/>
          <w:szCs w:val="14"/>
          <w:i w:val="1"/>
          <w:iCs w:val="1"/>
          <w:color w:val="auto"/>
        </w:rPr>
        <w:t xml:space="preserve"> Share-Based Payment</w:t>
      </w:r>
      <w:r>
        <w:rPr>
          <w:rFonts w:ascii="Arial" w:cs="Arial" w:eastAsia="Arial" w:hAnsi="Arial"/>
          <w:sz w:val="14"/>
          <w:szCs w:val="14"/>
          <w:color w:val="auto"/>
        </w:rPr>
        <w:t>, (‘‘SFAS 123R’’), which 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 revision of SFAS No. 123, </w:t>
      </w:r>
      <w:r>
        <w:rPr>
          <w:rFonts w:ascii="Arial" w:cs="Arial" w:eastAsia="Arial" w:hAnsi="Arial"/>
          <w:sz w:val="14"/>
          <w:szCs w:val="14"/>
          <w:i w:val="1"/>
          <w:iCs w:val="1"/>
          <w:color w:val="auto"/>
        </w:rPr>
        <w:t>Accounting for Stock-Based Compensation</w:t>
      </w:r>
      <w:r>
        <w:rPr>
          <w:rFonts w:ascii="Arial" w:cs="Arial" w:eastAsia="Arial" w:hAnsi="Arial"/>
          <w:sz w:val="14"/>
          <w:szCs w:val="14"/>
          <w:color w:val="auto"/>
        </w:rPr>
        <w:t xml:space="preserve">. SFAS 123R supersedes APB No. 25, </w:t>
      </w:r>
      <w:r>
        <w:rPr>
          <w:rFonts w:ascii="Arial" w:cs="Arial" w:eastAsia="Arial" w:hAnsi="Arial"/>
          <w:sz w:val="14"/>
          <w:szCs w:val="14"/>
          <w:i w:val="1"/>
          <w:iCs w:val="1"/>
          <w:color w:val="auto"/>
        </w:rPr>
        <w:t>Accounting for Stock Issued to Employees</w:t>
      </w:r>
      <w:r>
        <w:rPr>
          <w:rFonts w:ascii="Arial" w:cs="Arial" w:eastAsia="Arial" w:hAnsi="Arial"/>
          <w:sz w:val="14"/>
          <w:szCs w:val="14"/>
          <w:color w:val="auto"/>
        </w:rPr>
        <w:t xml:space="preserve">, and amends SFAS No. 95, </w:t>
      </w:r>
      <w:r>
        <w:rPr>
          <w:rFonts w:ascii="Arial" w:cs="Arial" w:eastAsia="Arial" w:hAnsi="Arial"/>
          <w:sz w:val="14"/>
          <w:szCs w:val="14"/>
          <w:i w:val="1"/>
          <w:iCs w:val="1"/>
          <w:color w:val="auto"/>
        </w:rPr>
        <w:t>Statement of</w:t>
      </w:r>
      <w:r>
        <w:rPr>
          <w:rFonts w:ascii="Arial" w:cs="Arial" w:eastAsia="Arial" w:hAnsi="Arial"/>
          <w:sz w:val="14"/>
          <w:szCs w:val="14"/>
          <w:color w:val="auto"/>
        </w:rPr>
        <w:t xml:space="preserve"> </w:t>
      </w:r>
      <w:r>
        <w:rPr>
          <w:rFonts w:ascii="Arial" w:cs="Arial" w:eastAsia="Arial" w:hAnsi="Arial"/>
          <w:sz w:val="14"/>
          <w:szCs w:val="14"/>
          <w:i w:val="1"/>
          <w:iCs w:val="1"/>
          <w:color w:val="auto"/>
        </w:rPr>
        <w:t>Cash Flows</w:t>
      </w:r>
      <w:r>
        <w:rPr>
          <w:rFonts w:ascii="Arial" w:cs="Arial" w:eastAsia="Arial" w:hAnsi="Arial"/>
          <w:sz w:val="14"/>
          <w:szCs w:val="14"/>
          <w:color w:val="auto"/>
        </w:rPr>
        <w:t>. SFAS 123R requires all share-based payments to employees, including grants of employee stock options and restricted stock grants, to be recognized in the financial statements based</w:t>
      </w:r>
      <w:r>
        <w:rPr>
          <w:rFonts w:ascii="Arial" w:cs="Arial" w:eastAsia="Arial" w:hAnsi="Arial"/>
          <w:sz w:val="14"/>
          <w:szCs w:val="14"/>
          <w:i w:val="1"/>
          <w:iCs w:val="1"/>
          <w:color w:val="auto"/>
        </w:rPr>
        <w:t xml:space="preserve"> </w:t>
      </w:r>
      <w:r>
        <w:rPr>
          <w:rFonts w:ascii="Arial" w:cs="Arial" w:eastAsia="Arial" w:hAnsi="Arial"/>
          <w:sz w:val="14"/>
          <w:szCs w:val="14"/>
          <w:color w:val="auto"/>
        </w:rPr>
        <w:t>upon their fair values. The Company recorded total stock-based compensation of $43,051 and $0 for the nine months ended September 30, 2007 and 2006, respectively, for options and restricted stock granted and vested which is included in operating expenses. The fair value of the unvested stock options and restricted stock grants amounted to approximately $1,232,000 as of September 30, 2007.</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 xml:space="preserve">The Company's accounting policy for equity instruments issued to consultants and vendors in exchange for goods and services follows the provisions of SFAS No. 123, EITF 96-18, </w:t>
      </w:r>
      <w:r>
        <w:rPr>
          <w:rFonts w:ascii="Arial" w:cs="Arial" w:eastAsia="Arial" w:hAnsi="Arial"/>
          <w:sz w:val="13"/>
          <w:szCs w:val="13"/>
          <w:i w:val="1"/>
          <w:iCs w:val="1"/>
          <w:color w:val="auto"/>
        </w:rPr>
        <w:t>Accounting for</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Equity Instruments That are Issued to Other Than Employees for Acquiring, or in Conjunction with Selling, Goods or Services </w:t>
      </w:r>
      <w:r>
        <w:rPr>
          <w:rFonts w:ascii="Arial" w:cs="Arial" w:eastAsia="Arial" w:hAnsi="Arial"/>
          <w:sz w:val="13"/>
          <w:szCs w:val="13"/>
          <w:color w:val="auto"/>
        </w:rPr>
        <w:t>and EITF 00-18,</w:t>
      </w:r>
      <w:r>
        <w:rPr>
          <w:rFonts w:ascii="Arial" w:cs="Arial" w:eastAsia="Arial" w:hAnsi="Arial"/>
          <w:sz w:val="13"/>
          <w:szCs w:val="13"/>
          <w:i w:val="1"/>
          <w:iCs w:val="1"/>
          <w:color w:val="auto"/>
        </w:rPr>
        <w:t xml:space="preserve"> Accounting Recognition for Certain Transactions Involving Equity Instruments Granted to Other Than Employees. </w:t>
      </w:r>
      <w:r>
        <w:rPr>
          <w:rFonts w:ascii="Arial" w:cs="Arial" w:eastAsia="Arial" w:hAnsi="Arial"/>
          <w:sz w:val="13"/>
          <w:szCs w:val="13"/>
          <w:color w:val="auto"/>
        </w:rPr>
        <w:t>As such, the value of the applicable stock-based compensation is periodically remeasured and income or expense is recognized</w:t>
      </w:r>
      <w:r>
        <w:rPr>
          <w:rFonts w:ascii="Arial" w:cs="Arial" w:eastAsia="Arial" w:hAnsi="Arial"/>
          <w:sz w:val="13"/>
          <w:szCs w:val="13"/>
          <w:i w:val="1"/>
          <w:iCs w:val="1"/>
          <w:color w:val="auto"/>
        </w:rPr>
        <w:t xml:space="preserve"> </w:t>
      </w:r>
      <w:r>
        <w:rPr>
          <w:rFonts w:ascii="Arial" w:cs="Arial" w:eastAsia="Arial" w:hAnsi="Arial"/>
          <w:sz w:val="13"/>
          <w:szCs w:val="13"/>
          <w:color w:val="auto"/>
        </w:rPr>
        <w:t>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In accordance with EITF 00-18,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recorded the fair value of the common stock issued for future consulting services as prepaid consulting fees in its condensed consolidated balance sheet (see Note 6).</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i w:val="1"/>
          <w:iCs w:val="1"/>
          <w:color w:val="auto"/>
        </w:rPr>
        <w:t>Basic and Diluted Loss per Common Share</w:t>
      </w:r>
      <w:r>
        <w:rPr>
          <w:rFonts w:ascii="Arial" w:cs="Arial" w:eastAsia="Arial" w:hAnsi="Arial"/>
          <w:sz w:val="14"/>
          <w:szCs w:val="14"/>
          <w:color w:val="auto"/>
        </w:rPr>
        <w:t>. In accordance with SFAS No. 128,</w:t>
      </w:r>
      <w:r>
        <w:rPr>
          <w:rFonts w:ascii="Arial" w:cs="Arial" w:eastAsia="Arial" w:hAnsi="Arial"/>
          <w:sz w:val="14"/>
          <w:szCs w:val="14"/>
          <w:i w:val="1"/>
          <w:iCs w:val="1"/>
          <w:color w:val="auto"/>
        </w:rPr>
        <w:t xml:space="preserve"> Earnings Per Share</w:t>
      </w:r>
      <w:r>
        <w:rPr>
          <w:rFonts w:ascii="Arial" w:cs="Arial" w:eastAsia="Arial" w:hAnsi="Arial"/>
          <w:sz w:val="14"/>
          <w:szCs w:val="14"/>
          <w:color w:val="auto"/>
        </w:rPr>
        <w:t>, and SAB No. 98, basic net loss per common share is computed by dividing net loss for the period</w:t>
      </w:r>
      <w:r>
        <w:rPr>
          <w:rFonts w:ascii="Arial" w:cs="Arial" w:eastAsia="Arial" w:hAnsi="Arial"/>
          <w:sz w:val="14"/>
          <w:szCs w:val="14"/>
          <w:i w:val="1"/>
          <w:iCs w:val="1"/>
          <w:color w:val="auto"/>
        </w:rPr>
        <w:t xml:space="preserve"> </w:t>
      </w:r>
      <w:r>
        <w:rPr>
          <w:rFonts w:ascii="Arial" w:cs="Arial" w:eastAsia="Arial" w:hAnsi="Arial"/>
          <w:sz w:val="14"/>
          <w:szCs w:val="14"/>
          <w:color w:val="auto"/>
        </w:rPr>
        <w:t>by the weighted average number of common shares outstanding during the period. Under SFAS No. 128, diluted net loss per share is computed by dividing the net loss for the period by the weighted average number of common and common equivalent shares, such as stock options and warrants outstanding during the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4.</w:t>
      </w:r>
      <w:r>
        <w:rPr>
          <w:sz w:val="20"/>
          <w:szCs w:val="20"/>
          <w:color w:val="auto"/>
        </w:rPr>
        <w:tab/>
      </w:r>
      <w:r>
        <w:rPr>
          <w:rFonts w:ascii="Arial" w:cs="Arial" w:eastAsia="Arial" w:hAnsi="Arial"/>
          <w:sz w:val="12"/>
          <w:szCs w:val="12"/>
          <w:b w:val="1"/>
          <w:bCs w:val="1"/>
          <w:color w:val="auto"/>
        </w:rPr>
        <w:t>Summary of Significant Accounting Policies, continued</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Basic and diluted net loss applicable to common stock per share is computed using the weighted average number of common shares outstanding during the period. Common stock equivalents (prior to application of the treasury stock, if converted method) from stock options, warrants and convertible notes were 1,151,708 and 68,664 for the nine months ended September 30, 2007 and 2006, respectively, are excluded from the calculation of diluted net loss per share for all periods presented because the effect is anti-dilutive.</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Use of Estimates. </w:t>
      </w:r>
      <w:r>
        <w:rPr>
          <w:rFonts w:ascii="Arial" w:cs="Arial" w:eastAsia="Arial" w:hAnsi="Arial"/>
          <w:sz w:val="14"/>
          <w:szCs w:val="14"/>
          <w:color w:val="auto"/>
        </w:rPr>
        <w:t>The preparation of financial statements in conformity with Generally Accepted Accounting Principles (“GAAP”) requires management to make estimates and judgments that affect</w:t>
      </w:r>
      <w:r>
        <w:rPr>
          <w:rFonts w:ascii="Arial" w:cs="Arial" w:eastAsia="Arial" w:hAnsi="Arial"/>
          <w:sz w:val="14"/>
          <w:szCs w:val="14"/>
          <w:i w:val="1"/>
          <w:iCs w:val="1"/>
          <w:color w:val="auto"/>
        </w:rPr>
        <w:t xml:space="preserve"> </w:t>
      </w:r>
      <w:r>
        <w:rPr>
          <w:rFonts w:ascii="Arial" w:cs="Arial" w:eastAsia="Arial" w:hAnsi="Arial"/>
          <w:sz w:val="14"/>
          <w:szCs w:val="14"/>
          <w:color w:val="auto"/>
        </w:rPr>
        <w:t>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non-employees.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Notes Payable</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35,359 shares of the Company’s common stock. The warrants were determined to have an insignificant fair value.</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$3,150, $9,920 and $15,401 for the nine months ended September 30, 2007 and 2006 and the period from Inception to September 30, 2007, respectively.</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May and June 2007, the Company issued convertible notes payable to various lenders for an aggregate amount of $1,500,000 (collectively, the “2007 Notes”).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$30,177 for the nine months ended September 30, 2007 and the period from Inception to September 30, 2007.</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Common Stock and Capital Contributions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Prior to the Merger, Transdel Holdings issued 25,700,000 shares of its common stock at a price of $0.001 per share for proceeds of $25,700, which includes the issuance of 200,000 shares upon the exercise of a warrant (see below). These shares were exchanged for 4,015,624 shares of the Company's common stock upon the closing of the Merger (see Note 3). Also, prior to the Merger, Transdel Holdings received capital contributions of $105,907 from Transdel Holdings'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727964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Common Stock and Capital Contributions, continued</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Concurrent with the Merger, the Company sold 1,996,834 shares of common stock for gross proceeds of $3,993,667 through a private placement (the “Private Placement”). In addition, the investors received warrants to purchase 499,208 shares of common stock for a period of five years at a cash and cashless exercise price of $4.00 and $5.00 per share, respectively.</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Private Placement, the Company incurred placement agent fees totaling approximately $157,500 ($258,500 in the aggregate, including other costs) and issued warrants to purchase up to 33,750 shares of common stock for a period of three years at cash and cashless exercise price of $4.00 and $5.00 per share, respectively.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September 2007, the Company entered into three, one-year consulting agreements with three separate firms to provide services related to investor communications. The terms per one of the agreements, among other items, include monthly payments of $7,500 plus expenses and for another agreement a non-refundable fee of $140,000. Also,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will be amortized over the one-year terms. For the three and nine months ended September 30, 2007, the Company amortized $28,752 which is included as part of selling,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Stock Option Plans</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Transdel Holdings' 2005 Stock Plan provided for grant of options to employees, directors and consultants of Transdel Holdings to purchase Transdel Holdings' shares, as determined by management and the board of directors, at the fair value of such shares on the grant date. As of January 1, 2007, there were options to purchase 100,000 shares of Transdel Holdings' common stock outstanding at an exercise price of $0.001. In August 2007, 50,000 options were exercised for the issuance of Transdel Holdings' common stock for total proceeds of $50. Subsequent to this exercise, the remaining 50,000 options were cancelled. The shares of Transdel Holdings issued in relation to the exercise of the stock option were exchanged for 7,813 shares of the Company's common stock upon the closing of the merger (see Note 3).</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September 17, 2007, the Company’s Board of Directors and stockholders adopted the 2007 Incentive Stock and Awards Plan (the “Plan”), which provides for the issuance of a maximum of an aggregate of 1,500,000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Stock Option Plans</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Pursuant to the terms of the Private Placement, for one year following the initial closing of the Private Placement the Company may not issue options to purchase shares of common stock at an exercise price below $2.00 per share. In addition, for a period of 18 months following the initial closing of the Private Placement, the Company may not file a registration statement, including, without limitation, a registration statement on Form S-8, covering the resale of any shares of common stock issued pursuant to an employee benefit plan.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40" w:type="dxa"/>
            <w:vAlign w:val="bottom"/>
            <w:gridSpan w:val="2"/>
          </w:tcPr>
          <w:p>
            <w:pPr>
              <w:spacing w:after="0"/>
              <w:rPr>
                <w:sz w:val="20"/>
                <w:szCs w:val="20"/>
                <w:color w:val="auto"/>
              </w:rPr>
            </w:pPr>
            <w:r>
              <w:rPr>
                <w:rFonts w:ascii="Arial" w:cs="Arial" w:eastAsia="Arial" w:hAnsi="Arial"/>
                <w:sz w:val="14"/>
                <w:szCs w:val="14"/>
                <w:color w:val="auto"/>
              </w:rPr>
              <w:t>A summary of the status of the Plan for the nine months ended September 30, 2007 is as follows: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80" w:type="dxa"/>
            <w:vAlign w:val="bottom"/>
            <w:vMerge w:val="restart"/>
          </w:tcPr>
          <w:p>
            <w:pPr>
              <w:spacing w:after="0"/>
              <w:rPr>
                <w:sz w:val="18"/>
                <w:szCs w:val="18"/>
                <w:color w:val="auto"/>
              </w:rPr>
            </w:pPr>
          </w:p>
        </w:tc>
        <w:tc>
          <w:tcPr>
            <w:tcW w:w="9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0" w:type="dxa"/>
            <w:vAlign w:val="bottom"/>
            <w:vMerge w:val="continue"/>
          </w:tcPr>
          <w:p>
            <w:pPr>
              <w:spacing w:after="0"/>
              <w:rPr>
                <w:sz w:val="15"/>
                <w:szCs w:val="15"/>
                <w:color w:val="auto"/>
              </w:rPr>
            </w:pPr>
          </w:p>
        </w:tc>
        <w:tc>
          <w:tcPr>
            <w:tcW w:w="9160" w:type="dxa"/>
            <w:vAlign w:val="bottom"/>
            <w:shd w:val="clear" w:color="auto" w:fill="CCFFCC"/>
          </w:tcPr>
          <w:p>
            <w:pPr>
              <w:spacing w:after="0"/>
              <w:rPr>
                <w:sz w:val="20"/>
                <w:szCs w:val="20"/>
                <w:color w:val="auto"/>
              </w:rPr>
            </w:pPr>
            <w:r>
              <w:rPr>
                <w:rFonts w:ascii="Arial" w:cs="Arial" w:eastAsia="Arial" w:hAnsi="Arial"/>
                <w:sz w:val="14"/>
                <w:szCs w:val="14"/>
                <w:color w:val="auto"/>
              </w:rPr>
              <w:t>Options outstanding – Beginning of Period</w:t>
            </w:r>
          </w:p>
        </w:tc>
        <w:tc>
          <w:tcPr>
            <w:tcW w:w="380" w:type="dxa"/>
            <w:vAlign w:val="bottom"/>
            <w:shd w:val="clear" w:color="auto" w:fill="CCFFCC"/>
          </w:tcPr>
          <w:p>
            <w:pPr>
              <w:spacing w:after="0"/>
              <w:rPr>
                <w:sz w:val="15"/>
                <w:szCs w:val="15"/>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color w:val="auto"/>
              </w:rPr>
              <w:t>Granted</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80" w:type="dxa"/>
            <w:vAlign w:val="bottom"/>
          </w:tcPr>
          <w:p>
            <w:pPr>
              <w:spacing w:after="0"/>
              <w:rPr>
                <w:sz w:val="16"/>
                <w:szCs w:val="16"/>
                <w:color w:val="auto"/>
              </w:rPr>
            </w:pPr>
          </w:p>
        </w:tc>
        <w:tc>
          <w:tcPr>
            <w:tcW w:w="9160" w:type="dxa"/>
            <w:vAlign w:val="bottom"/>
            <w:shd w:val="clear" w:color="auto" w:fill="CCFFCC"/>
          </w:tcPr>
          <w:p>
            <w:pPr>
              <w:spacing w:after="0"/>
              <w:rPr>
                <w:sz w:val="20"/>
                <w:szCs w:val="20"/>
                <w:color w:val="auto"/>
              </w:rPr>
            </w:pPr>
            <w:r>
              <w:rPr>
                <w:rFonts w:ascii="Arial" w:cs="Arial" w:eastAsia="Arial" w:hAnsi="Arial"/>
                <w:sz w:val="14"/>
                <w:szCs w:val="14"/>
                <w:color w:val="auto"/>
              </w:rPr>
              <w:t>Exercised</w:t>
            </w:r>
          </w:p>
        </w:tc>
        <w:tc>
          <w:tcPr>
            <w:tcW w:w="38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9160" w:type="dxa"/>
            <w:vAlign w:val="bottom"/>
          </w:tcPr>
          <w:p>
            <w:pPr>
              <w:spacing w:after="0"/>
              <w:rPr>
                <w:sz w:val="20"/>
                <w:szCs w:val="20"/>
                <w:color w:val="auto"/>
              </w:rPr>
            </w:pPr>
            <w:r>
              <w:rPr>
                <w:rFonts w:ascii="Arial" w:cs="Arial" w:eastAsia="Arial" w:hAnsi="Arial"/>
                <w:sz w:val="14"/>
                <w:szCs w:val="14"/>
                <w:color w:val="auto"/>
              </w:rPr>
              <w:t>Cancelled</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9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Options outstanding – End of Period</w:t>
            </w:r>
          </w:p>
        </w:tc>
        <w:tc>
          <w:tcPr>
            <w:tcW w:w="38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600,000</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160" w:type="dxa"/>
            <w:vAlign w:val="bottom"/>
          </w:tcPr>
          <w:p>
            <w:pPr>
              <w:spacing w:after="0" w:line="145" w:lineRule="exact"/>
              <w:rPr>
                <w:sz w:val="20"/>
                <w:szCs w:val="20"/>
                <w:color w:val="auto"/>
              </w:rPr>
            </w:pPr>
            <w:r>
              <w:rPr>
                <w:rFonts w:ascii="Arial" w:cs="Arial" w:eastAsia="Arial" w:hAnsi="Arial"/>
                <w:sz w:val="14"/>
                <w:szCs w:val="14"/>
                <w:color w:val="auto"/>
              </w:rPr>
              <w:t>Options exercisable – End of Period</w:t>
            </w: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64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 w:type="dxa"/>
            <w:vAlign w:val="bottom"/>
          </w:tcPr>
          <w:p>
            <w:pPr>
              <w:spacing w:after="0"/>
              <w:rPr>
                <w:sz w:val="16"/>
                <w:szCs w:val="16"/>
                <w:color w:val="auto"/>
              </w:rPr>
            </w:pPr>
          </w:p>
        </w:tc>
        <w:tc>
          <w:tcPr>
            <w:tcW w:w="9160" w:type="dxa"/>
            <w:vAlign w:val="bottom"/>
            <w:tcBorders>
              <w:bottom w:val="single" w:sz="8" w:color="CCFFCC"/>
            </w:tcBorders>
            <w:shd w:val="clear" w:color="auto" w:fill="CCFFCC"/>
          </w:tcPr>
          <w:p>
            <w:pPr>
              <w:spacing w:after="0" w:line="145" w:lineRule="exact"/>
              <w:rPr>
                <w:sz w:val="20"/>
                <w:szCs w:val="20"/>
                <w:color w:val="auto"/>
              </w:rPr>
            </w:pPr>
            <w:r>
              <w:rPr>
                <w:rFonts w:ascii="Arial" w:cs="Arial" w:eastAsia="Arial" w:hAnsi="Arial"/>
                <w:sz w:val="14"/>
                <w:szCs w:val="14"/>
                <w:color w:val="auto"/>
              </w:rPr>
              <w:t>Weighted average fair value of the options granted</w:t>
            </w:r>
          </w:p>
        </w:tc>
        <w:tc>
          <w:tcPr>
            <w:tcW w:w="380" w:type="dxa"/>
            <w:vAlign w:val="bottom"/>
            <w:tcBorders>
              <w:bottom w:val="single" w:sz="8" w:color="auto"/>
            </w:tcBorders>
            <w:shd w:val="clear" w:color="auto" w:fill="CCFFCC"/>
          </w:tcPr>
          <w:p>
            <w:pPr>
              <w:jc w:val="right"/>
              <w:ind w:right="228"/>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FFCC"/>
          </w:tcPr>
          <w:p>
            <w:pPr>
              <w:jc w:val="right"/>
              <w:spacing w:after="0" w:line="145" w:lineRule="exact"/>
              <w:rPr>
                <w:sz w:val="20"/>
                <w:szCs w:val="20"/>
                <w:color w:val="auto"/>
              </w:rPr>
            </w:pPr>
            <w:r>
              <w:rPr>
                <w:rFonts w:ascii="Arial" w:cs="Arial" w:eastAsia="Arial" w:hAnsi="Arial"/>
                <w:sz w:val="14"/>
                <w:szCs w:val="14"/>
                <w:color w:val="auto"/>
              </w:rPr>
              <w:t>1.47</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80" w:type="dxa"/>
            <w:vAlign w:val="bottom"/>
          </w:tcPr>
          <w:p>
            <w:pPr>
              <w:spacing w:after="0"/>
              <w:rPr>
                <w:sz w:val="12"/>
                <w:szCs w:val="12"/>
                <w:color w:val="auto"/>
              </w:rPr>
            </w:pPr>
          </w:p>
        </w:tc>
        <w:tc>
          <w:tcPr>
            <w:tcW w:w="9160" w:type="dxa"/>
            <w:vAlign w:val="bottom"/>
          </w:tcPr>
          <w:p>
            <w:pPr>
              <w:spacing w:after="0" w:line="145" w:lineRule="exact"/>
              <w:rPr>
                <w:sz w:val="20"/>
                <w:szCs w:val="20"/>
                <w:color w:val="auto"/>
              </w:rPr>
            </w:pPr>
            <w:r>
              <w:rPr>
                <w:rFonts w:ascii="Arial" w:cs="Arial" w:eastAsia="Arial" w:hAnsi="Arial"/>
                <w:sz w:val="14"/>
                <w:szCs w:val="14"/>
                <w:color w:val="auto"/>
              </w:rPr>
              <w:t>Weighted average remaining contractual life of the outstanding options – End of period</w:t>
            </w:r>
          </w:p>
        </w:tc>
        <w:tc>
          <w:tcPr>
            <w:tcW w:w="380" w:type="dxa"/>
            <w:vAlign w:val="bottom"/>
          </w:tcPr>
          <w:p>
            <w:pPr>
              <w:spacing w:after="0"/>
              <w:rPr>
                <w:sz w:val="12"/>
                <w:szCs w:val="12"/>
                <w:color w:val="auto"/>
              </w:rPr>
            </w:pPr>
          </w:p>
        </w:tc>
        <w:tc>
          <w:tcPr>
            <w:tcW w:w="98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10.0 years</w:t>
            </w:r>
          </w:p>
        </w:tc>
        <w:tc>
          <w:tcPr>
            <w:tcW w:w="0" w:type="dxa"/>
            <w:vAlign w:val="bottom"/>
          </w:tcPr>
          <w:p>
            <w:pPr>
              <w:spacing w:after="0"/>
              <w:rPr>
                <w:sz w:val="1"/>
                <w:szCs w:val="1"/>
                <w:color w:val="auto"/>
              </w:rPr>
            </w:pPr>
          </w:p>
        </w:tc>
      </w:tr>
      <w:tr>
        <w:trPr>
          <w:trHeight w:val="20"/>
        </w:trPr>
        <w:tc>
          <w:tcPr>
            <w:tcW w:w="964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0" w:type="dxa"/>
            <w:vAlign w:val="bottom"/>
          </w:tcPr>
          <w:p>
            <w:pPr>
              <w:spacing w:after="0"/>
              <w:rPr>
                <w:sz w:val="16"/>
                <w:szCs w:val="16"/>
                <w:color w:val="auto"/>
              </w:rPr>
            </w:pPr>
          </w:p>
        </w:tc>
        <w:tc>
          <w:tcPr>
            <w:tcW w:w="9160" w:type="dxa"/>
            <w:vAlign w:val="bottom"/>
            <w:tcBorders>
              <w:bottom w:val="single" w:sz="8" w:color="CCFFCC"/>
            </w:tcBorders>
            <w:shd w:val="clear" w:color="auto" w:fill="CCFFCC"/>
          </w:tcPr>
          <w:p>
            <w:pPr>
              <w:spacing w:after="0" w:line="145" w:lineRule="exact"/>
              <w:rPr>
                <w:sz w:val="20"/>
                <w:szCs w:val="20"/>
                <w:color w:val="auto"/>
              </w:rPr>
            </w:pPr>
            <w:r>
              <w:rPr>
                <w:rFonts w:ascii="Arial" w:cs="Arial" w:eastAsia="Arial" w:hAnsi="Arial"/>
                <w:sz w:val="14"/>
                <w:szCs w:val="14"/>
                <w:color w:val="auto"/>
              </w:rPr>
              <w:t>Aggregate intrinsic value – End of Period</w:t>
            </w:r>
          </w:p>
        </w:tc>
        <w:tc>
          <w:tcPr>
            <w:tcW w:w="380" w:type="dxa"/>
            <w:vAlign w:val="bottom"/>
            <w:tcBorders>
              <w:bottom w:val="single" w:sz="8" w:color="auto"/>
            </w:tcBorders>
            <w:shd w:val="clear" w:color="auto" w:fill="CCFFCC"/>
          </w:tcPr>
          <w:p>
            <w:pPr>
              <w:jc w:val="right"/>
              <w:ind w:right="228"/>
              <w:spacing w:after="0" w:line="14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FFCC"/>
          </w:tcPr>
          <w:p>
            <w:pPr>
              <w:jc w:val="right"/>
              <w:spacing w:after="0" w:line="145" w:lineRule="exact"/>
              <w:rPr>
                <w:sz w:val="20"/>
                <w:szCs w:val="20"/>
                <w:color w:val="auto"/>
              </w:rPr>
            </w:pPr>
            <w:r>
              <w:rPr>
                <w:rFonts w:ascii="Arial" w:cs="Arial" w:eastAsia="Arial" w:hAnsi="Arial"/>
                <w:sz w:val="14"/>
                <w:szCs w:val="14"/>
                <w:color w:val="auto"/>
              </w:rPr>
              <w:t>600,000</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All of the options granted to the employees and directors were issued at an exercise price of $2.00, the estimated fair market value of the common stock on the date of issuance. The Company uses the Black-Scholes option pricing model to estimate the grant-date fair value of share-based awards under SFAS 123R.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defined by SEC Staff Accounting Bulletin No. 107, </w:t>
      </w:r>
      <w:r>
        <w:rPr>
          <w:rFonts w:ascii="Arial" w:cs="Arial" w:eastAsia="Arial" w:hAnsi="Arial"/>
          <w:sz w:val="13"/>
          <w:szCs w:val="13"/>
          <w:i w:val="1"/>
          <w:iCs w:val="1"/>
          <w:color w:val="auto"/>
        </w:rPr>
        <w:t>Share-Based Payment</w:t>
      </w:r>
      <w:r>
        <w:rPr>
          <w:rFonts w:ascii="Arial" w:cs="Arial" w:eastAsia="Arial" w:hAnsi="Arial"/>
          <w:sz w:val="13"/>
          <w:szCs w:val="13"/>
          <w:color w:val="auto"/>
        </w:rPr>
        <w:t>,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accordance with SFAS 123R, the financial statement effect of forfeitures is estimated at the time of grant and revised, if necessary, if the actual effect differs from those estimates. As of September 30, 2007, management estimates that the effect of forfeitures on the financial statements will be insignificant.</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September 30, 2007, there was approximately $873,000 of total unrecognized compensation expense related to unvested stock-based compensation under the Plan. That expense is expected to be recognized over the weighted-average period of 2.9 years.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Stock Option Plans</w:t>
      </w:r>
      <w:r>
        <w:rPr>
          <w:rFonts w:ascii="Arial" w:cs="Arial" w:eastAsia="Arial" w:hAnsi="Arial"/>
          <w:sz w:val="14"/>
          <w:szCs w:val="14"/>
          <w:color w:val="auto"/>
        </w:rPr>
        <w:t>,</w:t>
      </w:r>
      <w:r>
        <w:rPr>
          <w:rFonts w:ascii="Arial" w:cs="Arial" w:eastAsia="Arial" w:hAnsi="Arial"/>
          <w:sz w:val="14"/>
          <w:szCs w:val="14"/>
          <w:b w:val="1"/>
          <w:bCs w:val="1"/>
          <w:color w:val="auto"/>
        </w:rPr>
        <w:t xml:space="preserve"> continued</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3"/>
          <w:szCs w:val="13"/>
          <w:color w:val="auto"/>
        </w:rPr>
        <w:t>Furthermore, in August 2007, Transdel Holdings issued a restricted stock grant to an executive of the Company for 1,250,000 shares of Transdel Holdings' common stock. The restricted stock grant was exchanged for a restricted stock grant of 195,313 shares of the Company's common stock upon closing of the Merger (see Note 3). The restricted stock grant will vest 100% on March 17, 2009 (18 months subsequent to the closing of the Merger). Also, all of these shares are subject to forfeiture in the event that the executive’s employment is terminated for cause or the executive resigns without good reason prior to March 17, 2009. The fair value of the grant was determined to be approximately $391,000 and will be amortized over the period of time prior to the vesting date. As of September 30, 2007, there was approximately $360,000 of total unrecognized compensation expense related to the unvested restricted stock grant.</w:t>
      </w:r>
    </w:p>
    <w:p>
      <w:pPr>
        <w:spacing w:after="0" w:line="171"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auto"/>
        </w:rPr>
        <w:t>Note 8.</w:t>
      </w:r>
      <w:r>
        <w:rPr>
          <w:sz w:val="20"/>
          <w:szCs w:val="20"/>
          <w:color w:val="auto"/>
        </w:rPr>
        <w:tab/>
      </w:r>
      <w:r>
        <w:rPr>
          <w:rFonts w:ascii="Arial" w:cs="Arial" w:eastAsia="Arial" w:hAnsi="Arial"/>
          <w:sz w:val="13"/>
          <w:szCs w:val="13"/>
          <w:b w:val="1"/>
          <w:bCs w:val="1"/>
          <w:color w:val="auto"/>
        </w:rPr>
        <w:t>Stock Warrants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On February 27, 2007, Transdel Holdings granted a warrant to purchase 200,000 shares of its common stock in connection with services rendered. The warrant was determined to have an insignificant fair value. The warrant vested upon grant, had an exercise price of $0.001 per share and expired in February 2012. In April 2007, Transdel Holdings issued 200,000 shares of its common stock for proceeds of $200 upon exercise of the warrant. The shares issued in relation to the exercise of the warrant were exchanged for 31,250 shares of Transdel common stock upon the closing of the merger (see Note 3).</w:t>
      </w:r>
    </w:p>
    <w:p>
      <w:pPr>
        <w:spacing w:after="0" w:line="190"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In addition to the warrants issued in conjunction with the Private Placement, the Company issued a warrant to purchase shares of its common stock to a firm in connection with a consulting agreement at an exercise price of $4.00 (or cashless exercise price of $5.00). The expiration of the outstanding warrants occurs through September 2012 at various periods (see Note 6).</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gridSpan w:val="2"/>
          </w:tcPr>
          <w:p>
            <w:pPr>
              <w:spacing w:after="0"/>
              <w:rPr>
                <w:sz w:val="20"/>
                <w:szCs w:val="20"/>
                <w:color w:val="auto"/>
              </w:rPr>
            </w:pPr>
            <w:r>
              <w:rPr>
                <w:rFonts w:ascii="Arial" w:cs="Arial" w:eastAsia="Arial" w:hAnsi="Arial"/>
                <w:sz w:val="14"/>
                <w:szCs w:val="14"/>
                <w:color w:val="auto"/>
              </w:rPr>
              <w:t>A summary of the status of the warrants for the period ended September 30, 2007, is as follows: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76"/>
        </w:trPr>
        <w:tc>
          <w:tcPr>
            <w:tcW w:w="14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144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r>
      <w:tr>
        <w:trPr>
          <w:trHeight w:val="173"/>
        </w:trPr>
        <w:tc>
          <w:tcPr>
            <w:tcW w:w="144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Subject to</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73"/>
        </w:trPr>
        <w:tc>
          <w:tcPr>
            <w:tcW w:w="144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Warrants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r>
      <w:tr>
        <w:trPr>
          <w:trHeight w:val="186"/>
        </w:trPr>
        <w:tc>
          <w:tcPr>
            <w:tcW w:w="14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r>
      <w:tr>
        <w:trPr>
          <w:trHeight w:val="174"/>
        </w:trPr>
        <w:tc>
          <w:tcPr>
            <w:tcW w:w="1440" w:type="dxa"/>
            <w:vAlign w:val="bottom"/>
          </w:tcPr>
          <w:p>
            <w:pPr>
              <w:spacing w:after="0"/>
              <w:rPr>
                <w:sz w:val="15"/>
                <w:szCs w:val="15"/>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4"/>
                <w:szCs w:val="14"/>
                <w:color w:val="auto"/>
              </w:rPr>
              <w:t>Warrants outstanding – Beginning of Period</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35,359</w:t>
            </w:r>
          </w:p>
        </w:tc>
        <w:tc>
          <w:tcPr>
            <w:tcW w:w="100" w:type="dxa"/>
            <w:vAlign w:val="bottom"/>
            <w:shd w:val="clear" w:color="auto" w:fill="CCFFCC"/>
          </w:tcPr>
          <w:p>
            <w:pPr>
              <w:spacing w:after="0"/>
              <w:rPr>
                <w:sz w:val="15"/>
                <w:szCs w:val="15"/>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0.006</w:t>
            </w:r>
          </w:p>
        </w:tc>
        <w:tc>
          <w:tcPr>
            <w:tcW w:w="80" w:type="dxa"/>
            <w:vAlign w:val="bottom"/>
            <w:shd w:val="clear" w:color="auto" w:fill="CCFFCC"/>
          </w:tcPr>
          <w:p>
            <w:pPr>
              <w:spacing w:after="0"/>
              <w:rPr>
                <w:sz w:val="15"/>
                <w:szCs w:val="15"/>
                <w:color w:val="auto"/>
              </w:rPr>
            </w:pPr>
          </w:p>
        </w:tc>
      </w:tr>
      <w:tr>
        <w:trPr>
          <w:trHeight w:val="194"/>
        </w:trPr>
        <w:tc>
          <w:tcPr>
            <w:tcW w:w="7720" w:type="dxa"/>
            <w:vAlign w:val="bottom"/>
            <w:gridSpan w:val="2"/>
          </w:tcPr>
          <w:p>
            <w:pPr>
              <w:ind w:left="14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582,958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3.786</w:t>
            </w:r>
          </w:p>
        </w:tc>
        <w:tc>
          <w:tcPr>
            <w:tcW w:w="80" w:type="dxa"/>
            <w:vAlign w:val="bottom"/>
          </w:tcPr>
          <w:p>
            <w:pPr>
              <w:spacing w:after="0"/>
              <w:rPr>
                <w:sz w:val="16"/>
                <w:szCs w:val="16"/>
                <w:color w:val="auto"/>
              </w:rPr>
            </w:pPr>
          </w:p>
        </w:tc>
      </w:tr>
      <w:tr>
        <w:trPr>
          <w:trHeight w:val="217"/>
        </w:trPr>
        <w:tc>
          <w:tcPr>
            <w:tcW w:w="1440" w:type="dxa"/>
            <w:vAlign w:val="bottom"/>
          </w:tcPr>
          <w:p>
            <w:pPr>
              <w:spacing w:after="0"/>
              <w:rPr>
                <w:sz w:val="18"/>
                <w:szCs w:val="18"/>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4"/>
                <w:szCs w:val="14"/>
                <w:color w:val="auto"/>
              </w:rPr>
              <w:t>Exercised</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(31,250</w:t>
            </w:r>
            <w:r>
              <w:rPr>
                <w:rFonts w:ascii="Arial" w:cs="Arial" w:eastAsia="Arial" w:hAnsi="Arial"/>
                <w:sz w:val="17"/>
                <w:szCs w:val="17"/>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0.006</w:t>
            </w:r>
          </w:p>
        </w:tc>
        <w:tc>
          <w:tcPr>
            <w:tcW w:w="80" w:type="dxa"/>
            <w:vAlign w:val="bottom"/>
            <w:shd w:val="clear" w:color="auto" w:fill="CCFFCC"/>
          </w:tcPr>
          <w:p>
            <w:pPr>
              <w:spacing w:after="0"/>
              <w:rPr>
                <w:sz w:val="18"/>
                <w:szCs w:val="18"/>
                <w:color w:val="auto"/>
              </w:rPr>
            </w:pPr>
          </w:p>
        </w:tc>
      </w:tr>
      <w:tr>
        <w:trPr>
          <w:trHeight w:val="194"/>
        </w:trPr>
        <w:tc>
          <w:tcPr>
            <w:tcW w:w="1440" w:type="dxa"/>
            <w:vAlign w:val="bottom"/>
          </w:tcPr>
          <w:p>
            <w:pPr>
              <w:spacing w:after="0"/>
              <w:rPr>
                <w:sz w:val="16"/>
                <w:szCs w:val="16"/>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Expired</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(35,359)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0.006</w:t>
            </w:r>
          </w:p>
        </w:tc>
        <w:tc>
          <w:tcPr>
            <w:tcW w:w="80" w:type="dxa"/>
            <w:vAlign w:val="bottom"/>
          </w:tcPr>
          <w:p>
            <w:pPr>
              <w:spacing w:after="0"/>
              <w:rPr>
                <w:sz w:val="16"/>
                <w:szCs w:val="16"/>
                <w:color w:val="auto"/>
              </w:rPr>
            </w:pPr>
          </w:p>
        </w:tc>
      </w:tr>
      <w:tr>
        <w:trPr>
          <w:trHeight w:val="20"/>
        </w:trPr>
        <w:tc>
          <w:tcPr>
            <w:tcW w:w="14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6"/>
        </w:trPr>
        <w:tc>
          <w:tcPr>
            <w:tcW w:w="1440" w:type="dxa"/>
            <w:vAlign w:val="bottom"/>
          </w:tcPr>
          <w:p>
            <w:pPr>
              <w:spacing w:after="0"/>
              <w:rPr>
                <w:sz w:val="17"/>
                <w:szCs w:val="17"/>
                <w:color w:val="auto"/>
              </w:rPr>
            </w:pPr>
          </w:p>
        </w:tc>
        <w:tc>
          <w:tcPr>
            <w:tcW w:w="6280" w:type="dxa"/>
            <w:vAlign w:val="bottom"/>
            <w:shd w:val="clear" w:color="auto" w:fill="CCFFCC"/>
          </w:tcPr>
          <w:p>
            <w:pPr>
              <w:spacing w:after="0"/>
              <w:rPr>
                <w:sz w:val="20"/>
                <w:szCs w:val="20"/>
                <w:color w:val="auto"/>
              </w:rPr>
            </w:pPr>
            <w:r>
              <w:rPr>
                <w:rFonts w:ascii="Arial" w:cs="Arial" w:eastAsia="Arial" w:hAnsi="Arial"/>
                <w:sz w:val="14"/>
                <w:szCs w:val="14"/>
                <w:color w:val="auto"/>
              </w:rPr>
              <w:t>Warrants outstanding – End of Period</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551,708</w:t>
            </w:r>
          </w:p>
        </w:tc>
        <w:tc>
          <w:tcPr>
            <w:tcW w:w="10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4.000</w:t>
            </w:r>
          </w:p>
        </w:tc>
        <w:tc>
          <w:tcPr>
            <w:tcW w:w="80" w:type="dxa"/>
            <w:vAlign w:val="bottom"/>
            <w:shd w:val="clear" w:color="auto" w:fill="CCFFCC"/>
          </w:tcPr>
          <w:p>
            <w:pPr>
              <w:spacing w:after="0"/>
              <w:rPr>
                <w:sz w:val="17"/>
                <w:szCs w:val="17"/>
                <w:color w:val="auto"/>
              </w:rPr>
            </w:pPr>
          </w:p>
        </w:tc>
      </w:tr>
      <w:tr>
        <w:trPr>
          <w:trHeight w:val="20"/>
        </w:trPr>
        <w:tc>
          <w:tcPr>
            <w:tcW w:w="1440" w:type="dxa"/>
            <w:vAlign w:val="bottom"/>
          </w:tcPr>
          <w:p>
            <w:pPr>
              <w:spacing w:after="0" w:line="20" w:lineRule="exact"/>
              <w:rPr>
                <w:sz w:val="1"/>
                <w:szCs w:val="1"/>
                <w:color w:val="auto"/>
              </w:rPr>
            </w:pPr>
          </w:p>
        </w:tc>
        <w:tc>
          <w:tcPr>
            <w:tcW w:w="628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67"/>
        </w:trPr>
        <w:tc>
          <w:tcPr>
            <w:tcW w:w="7720" w:type="dxa"/>
            <w:vAlign w:val="bottom"/>
            <w:gridSpan w:val="2"/>
          </w:tcPr>
          <w:p>
            <w:pPr>
              <w:ind w:left="1440"/>
              <w:spacing w:after="0"/>
              <w:rPr>
                <w:sz w:val="20"/>
                <w:szCs w:val="20"/>
                <w:color w:val="auto"/>
              </w:rPr>
            </w:pPr>
            <w:r>
              <w:rPr>
                <w:rFonts w:ascii="Arial" w:cs="Arial" w:eastAsia="Arial" w:hAnsi="Arial"/>
                <w:sz w:val="14"/>
                <w:szCs w:val="14"/>
                <w:color w:val="auto"/>
              </w:rPr>
              <w:t>Weighted average remaining contractual life of the outstanding warrants - End of period</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4.78 years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Recent Accounting Pronouncements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pronouncements have been issued by the Financial Accounting Standards Board (“FASB”):</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In July 2006, the FASB issued FASB Interpretation No. 48, </w:t>
      </w:r>
      <w:r>
        <w:rPr>
          <w:rFonts w:ascii="Arial" w:cs="Arial" w:eastAsia="Arial" w:hAnsi="Arial"/>
          <w:sz w:val="13"/>
          <w:szCs w:val="13"/>
          <w:i w:val="1"/>
          <w:iCs w:val="1"/>
          <w:color w:val="auto"/>
        </w:rPr>
        <w:t>Accounting for Uncertainty in Income Taxes—an interpretation of FASB Statement No. 109</w:t>
      </w:r>
      <w:r>
        <w:rPr>
          <w:rFonts w:ascii="Arial" w:cs="Arial" w:eastAsia="Arial" w:hAnsi="Arial"/>
          <w:sz w:val="13"/>
          <w:szCs w:val="13"/>
          <w:color w:val="auto"/>
        </w:rPr>
        <w:t xml:space="preserve"> (“FIN No. 48”), which clarifies the accounting and disclosure for uncertainty in tax positions, as defined. FIN No. 48 seeks to reduce the diversity in practice associated with certain aspects of the recognition and measurement related to accounting for income taxes. The Company is subject to the provisions of FIN No. 48 as of January 1, 2007. The Company believes that its income tax filing positions and deductions will be sustained on audit and does not anticipate any adjustments that will result in a material change to its consolidated financial position. Therefore, no reserves for uncertain income tax positions have been recorded pursuant to FIN No. 48. The cumulative effect, if any, of applying FIN No. 48 is to be reported as an adjustment to the opening balance of retained earnings in the year of adoption. The Company did not record a cumulative effect adjustment related to the adoption of FIN No. 48. Tax years since 1992 remain subject to examination by the major tax jurisdictions in which the Company is subject to tax. The Company’s policy for recording interest and penalties associated with income-based tax audits is to record such items as a component of income taxes.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Recent Accounting Pronouncements, continued</w:t>
      </w:r>
    </w:p>
    <w:p>
      <w:pPr>
        <w:spacing w:after="0" w:line="232"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In September 2006, the FASB issued SFAS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SFAS No. 157 defines fair value, establishes a framework for measuring fair value in GAAP and expands disclosures about fair value measurements. This Statement applies under other accounting pronouncements that require or permit fair value measurements, the FASB having previously concluded in those accounting pronouncements that fair value is the relevant measurement attribute. Accordingly, this Statement does not require any new fair value measurements. SFAS No. 157 is effective for fiscal years beginning after December 15, 2007. The Company plans to adopt SFAS No. 157 beginning in the first quarter of 2008. The Company is currently evaluating the impact, if any, that adoption of SFAS No. 157 will have on its operating income (loss) or net earnings (loss).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On February 15, 2007, the FASB issued SFAS No. 159, </w:t>
      </w:r>
      <w:r>
        <w:rPr>
          <w:rFonts w:ascii="Arial" w:cs="Arial" w:eastAsia="Arial" w:hAnsi="Arial"/>
          <w:sz w:val="14"/>
          <w:szCs w:val="14"/>
          <w:i w:val="1"/>
          <w:iCs w:val="1"/>
          <w:color w:val="auto"/>
        </w:rPr>
        <w:t>The Fair Value Option for Financial Assets and Financial Liabilities - Including an Amendment of FASB Statement No. 115.</w:t>
      </w:r>
      <w:r>
        <w:rPr>
          <w:rFonts w:ascii="Arial" w:cs="Arial" w:eastAsia="Arial" w:hAnsi="Arial"/>
          <w:sz w:val="14"/>
          <w:szCs w:val="14"/>
          <w:color w:val="auto"/>
        </w:rPr>
        <w:t xml:space="preserve"> SFAS No. 159 permits an entity to choose to measure many financial instruments and certain other items at fair value. Most of the provisions in SFAS No. 159 are elective; however, the amendment to FASB Statement No. 115, </w:t>
      </w:r>
      <w:r>
        <w:rPr>
          <w:rFonts w:ascii="Arial" w:cs="Arial" w:eastAsia="Arial" w:hAnsi="Arial"/>
          <w:sz w:val="14"/>
          <w:szCs w:val="14"/>
          <w:i w:val="1"/>
          <w:iCs w:val="1"/>
          <w:color w:val="auto"/>
        </w:rPr>
        <w:t>Accounting for Certain Investments in Debt and Equity Securities</w:t>
      </w:r>
      <w:r>
        <w:rPr>
          <w:rFonts w:ascii="Arial" w:cs="Arial" w:eastAsia="Arial" w:hAnsi="Arial"/>
          <w:sz w:val="14"/>
          <w:szCs w:val="14"/>
          <w:color w:val="auto"/>
        </w:rPr>
        <w:t xml:space="preserve">, applies to all entities with available-for-sale and trading securities. Some requirements apply differently to entities that do not report net income. The fair value option established by SFAS No. 159 permits all entities to choose to measure eligible items at fair value at specified election dates. A business entity will report unrealized gains and losses on items for which the fair value option has been elected in earnings at each subsequent reporting date. SFAS No.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FASB Statement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The adoption of this pronouncement is not expected to have material effect on the Company’s consolidated financial statements</w:t>
      </w:r>
      <w:r>
        <w:rPr>
          <w:rFonts w:ascii="Arial" w:cs="Arial" w:eastAsia="Arial" w:hAnsi="Arial"/>
          <w:sz w:val="14"/>
          <w:szCs w:val="14"/>
          <w:i w:val="1"/>
          <w:iCs w:val="1"/>
          <w:color w:val="auto"/>
        </w:rPr>
        <w:t>.</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In June 2007, the FASB ratified a consensus opinion reached on EITF Issue No. 07-3, </w:t>
      </w:r>
      <w:r>
        <w:rPr>
          <w:rFonts w:ascii="Arial" w:cs="Arial" w:eastAsia="Arial" w:hAnsi="Arial"/>
          <w:sz w:val="13"/>
          <w:szCs w:val="13"/>
          <w:i w:val="1"/>
          <w:iCs w:val="1"/>
          <w:color w:val="auto"/>
        </w:rPr>
        <w:t>Accounting for Nonrefundable Advance Payments for Goods or Services Received for Use in Future Research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Development Activities. </w:t>
      </w:r>
      <w:r>
        <w:rPr>
          <w:rFonts w:ascii="Arial" w:cs="Arial" w:eastAsia="Arial" w:hAnsi="Arial"/>
          <w:sz w:val="13"/>
          <w:szCs w:val="13"/>
          <w:color w:val="auto"/>
        </w:rPr>
        <w:t>The guidance in EITF Issue No. 07-3 requires the Company to defer and capitalize nonrefundable advance payments made for goods or services to be used in research</w:t>
      </w:r>
      <w:r>
        <w:rPr>
          <w:rFonts w:ascii="Arial" w:cs="Arial" w:eastAsia="Arial" w:hAnsi="Arial"/>
          <w:sz w:val="13"/>
          <w:szCs w:val="13"/>
          <w:i w:val="1"/>
          <w:iCs w:val="1"/>
          <w:color w:val="auto"/>
        </w:rPr>
        <w:t xml:space="preserve"> </w:t>
      </w:r>
      <w:r>
        <w:rPr>
          <w:rFonts w:ascii="Arial" w:cs="Arial" w:eastAsia="Arial" w:hAnsi="Arial"/>
          <w:sz w:val="13"/>
          <w:szCs w:val="13"/>
          <w:color w:val="auto"/>
        </w:rPr>
        <w:t>and development activities until the goods have been delivered or the related services have been performed. If the goods are no longer expected to be delivered nor the services expected to be performed, the Company would be required to expense the related capitalized advance payments. The consensus in EITF Issue No. 07-3 is effective for fiscal years, and interim periods within those fiscal years, beginning after December 15, 2007 and is to be applied prospectively to new contracts entered into on or after December 15, 2007. Early adoption is not permitted. Retrospective application of EITF Issue No. 07-3 is also not permitted. The Company intends to adopt EITF Issue No. 07-3 effective January 1, 2008. The impact of applying this consensus will depend on the terms of the Company’s future research and development contractual arrangements entered into on or after December 15, 2007.</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recent accounting pronouncements issued by the FASB (including the EITF) and the American Institute of Certified Public Accountants did not or are not believed by management to have a material impact on the Company’s present or future consolidated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4" w:name="page55"/>
    <w:bookmarkEnd w:id="54"/>
    <w:p>
      <w:pPr>
        <w:jc w:val="center"/>
        <w:spacing w:after="0"/>
        <w:rPr>
          <w:sz w:val="20"/>
          <w:szCs w:val="20"/>
          <w:color w:val="auto"/>
        </w:rPr>
      </w:pPr>
      <w:r>
        <w:rPr>
          <w:rFonts w:ascii="Arial" w:cs="Arial" w:eastAsia="Arial" w:hAnsi="Arial"/>
          <w:sz w:val="14"/>
          <w:szCs w:val="14"/>
          <w:b w:val="1"/>
          <w:bCs w:val="1"/>
          <w:color w:val="auto"/>
        </w:rPr>
        <w:t>TRANSDEL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 Development Stage Company)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THE UNAUDITED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Commitments and Contingencies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Indemnities and Guarantees</w:t>
      </w:r>
    </w:p>
    <w:p>
      <w:pPr>
        <w:spacing w:after="0" w:line="22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has made certain indemnities and guarantees, under which it may be required to make payments to a guaranteed or indemnified party, in relation to certain actions or transactions. The Company indemnifies its directors, officers, employees and agents, as permitted under the laws of the State of Delaware. The duration of the guarantees and indemnities varies, and is generally tied to the life of the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Subsequent Event</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October 10, 2007, the Company sold an additional 75,000 shares of common stock for gross proceeds of $150,000 related to the Private Placement. In addition, the investors received warrants to purchase 18,750 shares of common stock for a period of five years at a cash and cashless exercise price of $4.00 and $5.00 per share,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55" w:name="page56"/>
    <w:bookmarkEnd w:id="55"/>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5473700</wp:posOffset>
            </wp:positionH>
            <wp:positionV relativeFrom="page">
              <wp:posOffset>212725</wp:posOffset>
            </wp:positionV>
            <wp:extent cx="1943735" cy="6457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943735" cy="64579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Trans-Pharma Corporation</w:t>
      </w:r>
    </w:p>
    <w:p>
      <w:pPr>
        <w:spacing w:after="0" w:line="219"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We have audited the accompanying balance sheet of Trans-Pharma Corporation (a development stage company) (the “Company”) as of December 31, 2006 and the related statements of operations, stockholders’ deficit and cash flows for each of the years in the two-year period then ended, and the period from July 24, 1998 (inception) to December 31, 2006. These financial statements are the responsibility of the Company’s management. Our responsibility is to express an opinion on the financial statements based on our audits.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our opinion, the financial statements referred to above present fairly, in all material respects, the financial position of Trans-Pharma Corporation (a development stage company) as of December 31, 2006 and the results of its operations and its cash flows for each of the years in the two-year period then ended, and the period from July 24, 1998 (inception) to December 31, 2006 in conformity with accounting principles generally accepted in the United States of America.</w:t>
      </w:r>
    </w:p>
    <w:p>
      <w:pPr>
        <w:spacing w:after="0" w:line="184"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The accompanying financial statements have been prepared assuming the Company will continue as a going concern. As discussed in Note 2 to the financial statements, the Company has incurred recurring operating losses, has a deficit accumulated during the development stage and has not recognized any revenue as of December 31, 2006. These factors, among others, raise substantial doubt about the Company’s ability to continue as a going concern. Management’s plans in regard to these matters are also described in Note 2. The financial statements do not include any adjustments to reflect the possible future effects on the recoverability and classification of assets or the amount and classification of liabilities that may result form the outcome of this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116840</wp:posOffset>
            </wp:positionV>
            <wp:extent cx="1380490" cy="2406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0490" cy="24066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KMJ Corbin &amp; Company LLP</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July 27, 2007, except for Note 7, as to which the date is September 11, 2007</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ind w:left="260"/>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949 296 9700</w:t>
            </w:r>
          </w:p>
        </w:tc>
        <w:tc>
          <w:tcPr>
            <w:tcW w:w="1080" w:type="dxa"/>
            <w:vAlign w:val="bottom"/>
          </w:tcPr>
          <w:p>
            <w:pPr>
              <w:ind w:left="100"/>
              <w:spacing w:after="0"/>
              <w:rPr>
                <w:sz w:val="20"/>
                <w:szCs w:val="20"/>
                <w:color w:val="auto"/>
              </w:rPr>
            </w:pPr>
            <w:r>
              <w:rPr>
                <w:rFonts w:ascii="Arial" w:cs="Arial" w:eastAsia="Arial" w:hAnsi="Arial"/>
                <w:sz w:val="14"/>
                <w:szCs w:val="14"/>
                <w:color w:val="auto"/>
              </w:rPr>
              <w:t xml:space="preserve">f </w:t>
            </w:r>
            <w:r>
              <w:rPr>
                <w:rFonts w:ascii="Arial" w:cs="Arial" w:eastAsia="Arial" w:hAnsi="Arial"/>
                <w:sz w:val="14"/>
                <w:szCs w:val="14"/>
                <w:b w:val="1"/>
                <w:bCs w:val="1"/>
                <w:color w:val="auto"/>
              </w:rPr>
              <w:t>949 296 9701</w:t>
            </w:r>
          </w:p>
        </w:tc>
        <w:tc>
          <w:tcPr>
            <w:tcW w:w="420" w:type="dxa"/>
            <w:vAlign w:val="bottom"/>
          </w:tcPr>
          <w:p>
            <w:pPr>
              <w:jc w:val="right"/>
              <w:spacing w:after="0"/>
              <w:rPr>
                <w:sz w:val="20"/>
                <w:szCs w:val="20"/>
                <w:color w:val="auto"/>
              </w:rPr>
            </w:pPr>
            <w:r>
              <w:rPr>
                <w:rFonts w:ascii="Arial" w:cs="Arial" w:eastAsia="Arial" w:hAnsi="Arial"/>
                <w:sz w:val="14"/>
                <w:szCs w:val="14"/>
                <w:color w:val="auto"/>
              </w:rPr>
              <w:t>2603</w:t>
            </w:r>
          </w:p>
        </w:tc>
        <w:tc>
          <w:tcPr>
            <w:tcW w:w="8680" w:type="dxa"/>
            <w:vAlign w:val="bottom"/>
          </w:tcPr>
          <w:p>
            <w:pPr>
              <w:ind w:left="20"/>
              <w:spacing w:after="0"/>
              <w:rPr>
                <w:sz w:val="20"/>
                <w:szCs w:val="20"/>
                <w:color w:val="auto"/>
              </w:rPr>
            </w:pPr>
            <w:r>
              <w:rPr>
                <w:rFonts w:ascii="Arial" w:cs="Arial" w:eastAsia="Arial" w:hAnsi="Arial"/>
                <w:sz w:val="14"/>
                <w:szCs w:val="14"/>
                <w:color w:val="auto"/>
              </w:rPr>
              <w:t>Main Street, Suite 600 Irvine CA 92614 kmjpartnerscpa.com</w:t>
            </w:r>
          </w:p>
        </w:tc>
      </w:tr>
      <w:tr>
        <w:trPr>
          <w:trHeight w:val="186"/>
        </w:trPr>
        <w:tc>
          <w:tcPr>
            <w:tcW w:w="1280" w:type="dxa"/>
            <w:vAlign w:val="bottom"/>
          </w:tcPr>
          <w:p>
            <w:pPr>
              <w:ind w:left="260"/>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760 431 5465</w:t>
            </w:r>
          </w:p>
        </w:tc>
        <w:tc>
          <w:tcPr>
            <w:tcW w:w="1080" w:type="dxa"/>
            <w:vAlign w:val="bottom"/>
          </w:tcPr>
          <w:p>
            <w:pPr>
              <w:ind w:left="100"/>
              <w:spacing w:after="0"/>
              <w:rPr>
                <w:sz w:val="20"/>
                <w:szCs w:val="20"/>
                <w:color w:val="auto"/>
              </w:rPr>
            </w:pPr>
            <w:r>
              <w:rPr>
                <w:rFonts w:ascii="Arial" w:cs="Arial" w:eastAsia="Arial" w:hAnsi="Arial"/>
                <w:sz w:val="14"/>
                <w:szCs w:val="14"/>
                <w:color w:val="auto"/>
              </w:rPr>
              <w:t xml:space="preserve">f </w:t>
            </w:r>
            <w:r>
              <w:rPr>
                <w:rFonts w:ascii="Arial" w:cs="Arial" w:eastAsia="Arial" w:hAnsi="Arial"/>
                <w:sz w:val="14"/>
                <w:szCs w:val="14"/>
                <w:b w:val="1"/>
                <w:bCs w:val="1"/>
                <w:color w:val="auto"/>
              </w:rPr>
              <w:t>760 431 5466</w:t>
            </w:r>
          </w:p>
        </w:tc>
        <w:tc>
          <w:tcPr>
            <w:tcW w:w="420" w:type="dxa"/>
            <w:vAlign w:val="bottom"/>
          </w:tcPr>
          <w:p>
            <w:pPr>
              <w:jc w:val="right"/>
              <w:spacing w:after="0"/>
              <w:rPr>
                <w:sz w:val="20"/>
                <w:szCs w:val="20"/>
                <w:color w:val="auto"/>
              </w:rPr>
            </w:pPr>
            <w:r>
              <w:rPr>
                <w:rFonts w:ascii="Arial" w:cs="Arial" w:eastAsia="Arial" w:hAnsi="Arial"/>
                <w:sz w:val="14"/>
                <w:szCs w:val="14"/>
                <w:color w:val="auto"/>
              </w:rPr>
              <w:t>2768</w:t>
            </w:r>
          </w:p>
        </w:tc>
        <w:tc>
          <w:tcPr>
            <w:tcW w:w="8680" w:type="dxa"/>
            <w:vAlign w:val="bottom"/>
          </w:tcPr>
          <w:p>
            <w:pPr>
              <w:ind w:left="20"/>
              <w:spacing w:after="0"/>
              <w:rPr>
                <w:sz w:val="20"/>
                <w:szCs w:val="20"/>
                <w:color w:val="auto"/>
              </w:rPr>
            </w:pPr>
            <w:r>
              <w:rPr>
                <w:rFonts w:ascii="Arial" w:cs="Arial" w:eastAsia="Arial" w:hAnsi="Arial"/>
                <w:sz w:val="14"/>
                <w:szCs w:val="14"/>
                <w:color w:val="auto"/>
              </w:rPr>
              <w:t>Loker Avenue West Suite 101 Carlsbad CA 92010</w:t>
            </w:r>
          </w:p>
        </w:tc>
      </w:tr>
      <w:tr>
        <w:trPr>
          <w:trHeight w:val="573"/>
        </w:trPr>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80" w:type="dxa"/>
            <w:vAlign w:val="bottom"/>
          </w:tcPr>
          <w:p>
            <w:pPr>
              <w:ind w:left="2820"/>
              <w:spacing w:after="0"/>
              <w:rPr>
                <w:sz w:val="20"/>
                <w:szCs w:val="20"/>
                <w:color w:val="auto"/>
              </w:rPr>
            </w:pPr>
            <w:r>
              <w:rPr>
                <w:rFonts w:ascii="Arial" w:cs="Arial" w:eastAsia="Arial" w:hAnsi="Arial"/>
                <w:sz w:val="14"/>
                <w:szCs w:val="14"/>
                <w:color w:val="auto"/>
              </w:rPr>
              <w:t>F-15</w:t>
            </w:r>
          </w:p>
        </w:tc>
      </w:tr>
      <w:tr>
        <w:trPr>
          <w:trHeight w:val="94"/>
        </w:trPr>
        <w:tc>
          <w:tcPr>
            <w:tcW w:w="1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-434975</wp:posOffset>
            </wp:positionV>
            <wp:extent cx="1435735" cy="130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35735" cy="13081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5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TRANS-PHARMA CORPORATION</w:t>
            </w:r>
          </w:p>
        </w:tc>
      </w:tr>
      <w:tr>
        <w:trPr>
          <w:trHeight w:val="186"/>
        </w:trPr>
        <w:tc>
          <w:tcPr>
            <w:tcW w:w="5980" w:type="dxa"/>
            <w:vAlign w:val="bottom"/>
          </w:tcPr>
          <w:p>
            <w:pPr>
              <w:spacing w:after="0"/>
              <w:rPr>
                <w:sz w:val="16"/>
                <w:szCs w:val="16"/>
                <w:color w:val="auto"/>
              </w:rPr>
            </w:pPr>
          </w:p>
        </w:tc>
        <w:tc>
          <w:tcPr>
            <w:tcW w:w="550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(A DEVELOPMENT STAGE COMPANY)</w:t>
            </w:r>
          </w:p>
        </w:tc>
      </w:tr>
      <w:tr>
        <w:trPr>
          <w:trHeight w:val="389"/>
        </w:trPr>
        <w:tc>
          <w:tcPr>
            <w:tcW w:w="59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BALANCE SHEET</w:t>
            </w:r>
          </w:p>
        </w:tc>
      </w:tr>
      <w:tr>
        <w:trPr>
          <w:trHeight w:val="83"/>
        </w:trPr>
        <w:tc>
          <w:tcPr>
            <w:tcW w:w="598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3"/>
        </w:trPr>
        <w:tc>
          <w:tcPr>
            <w:tcW w:w="598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57"/>
        </w:trPr>
        <w:tc>
          <w:tcPr>
            <w:tcW w:w="59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w:t>
            </w:r>
          </w:p>
        </w:tc>
      </w:tr>
      <w:tr>
        <w:trPr>
          <w:trHeight w:val="187"/>
        </w:trPr>
        <w:tc>
          <w:tcPr>
            <w:tcW w:w="59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598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ASSETS</w:t>
            </w:r>
          </w:p>
        </w:tc>
        <w:tc>
          <w:tcPr>
            <w:tcW w:w="40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5980" w:type="dxa"/>
            <w:vAlign w:val="bottom"/>
          </w:tcPr>
          <w:p>
            <w:pPr>
              <w:spacing w:after="0"/>
              <w:rPr>
                <w:sz w:val="20"/>
                <w:szCs w:val="20"/>
                <w:color w:val="auto"/>
              </w:rPr>
            </w:pPr>
            <w:r>
              <w:rPr>
                <w:rFonts w:ascii="Arial" w:cs="Arial" w:eastAsia="Arial" w:hAnsi="Arial"/>
                <w:sz w:val="14"/>
                <w:szCs w:val="14"/>
                <w:color w:val="auto"/>
              </w:rPr>
              <w:t>Current assets:</w:t>
            </w:r>
          </w:p>
        </w:tc>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598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Cash</w:t>
            </w:r>
          </w:p>
        </w:tc>
        <w:tc>
          <w:tcPr>
            <w:tcW w:w="41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542</w:t>
            </w:r>
          </w:p>
        </w:tc>
        <w:tc>
          <w:tcPr>
            <w:tcW w:w="20" w:type="dxa"/>
            <w:vAlign w:val="bottom"/>
          </w:tcPr>
          <w:p>
            <w:pPr>
              <w:spacing w:after="0"/>
              <w:rPr>
                <w:sz w:val="16"/>
                <w:szCs w:val="16"/>
                <w:color w:val="auto"/>
              </w:rPr>
            </w:pPr>
          </w:p>
        </w:tc>
      </w:tr>
      <w:tr>
        <w:trPr>
          <w:trHeight w:val="216"/>
        </w:trPr>
        <w:tc>
          <w:tcPr>
            <w:tcW w:w="598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5,696</w:t>
            </w:r>
          </w:p>
        </w:tc>
        <w:tc>
          <w:tcPr>
            <w:tcW w:w="20" w:type="dxa"/>
            <w:vAlign w:val="bottom"/>
          </w:tcPr>
          <w:p>
            <w:pPr>
              <w:spacing w:after="0"/>
              <w:rPr>
                <w:sz w:val="18"/>
                <w:szCs w:val="18"/>
                <w:color w:val="auto"/>
              </w:rPr>
            </w:pPr>
          </w:p>
        </w:tc>
      </w:tr>
      <w:tr>
        <w:trPr>
          <w:trHeight w:val="186"/>
        </w:trPr>
        <w:tc>
          <w:tcPr>
            <w:tcW w:w="5980" w:type="dxa"/>
            <w:vAlign w:val="bottom"/>
            <w:shd w:val="clear" w:color="auto" w:fill="CCFFCC"/>
          </w:tcPr>
          <w:p>
            <w:pPr>
              <w:spacing w:after="0"/>
              <w:rPr>
                <w:sz w:val="16"/>
                <w:szCs w:val="16"/>
                <w:color w:val="auto"/>
              </w:rPr>
            </w:pPr>
          </w:p>
        </w:tc>
        <w:tc>
          <w:tcPr>
            <w:tcW w:w="4020" w:type="dxa"/>
            <w:vAlign w:val="bottom"/>
            <w:shd w:val="clear" w:color="auto" w:fill="CCFFCC"/>
          </w:tcPr>
          <w:p>
            <w:pPr>
              <w:spacing w:after="0"/>
              <w:rPr>
                <w:sz w:val="16"/>
                <w:szCs w:val="16"/>
                <w:color w:val="auto"/>
              </w:rPr>
            </w:pPr>
          </w:p>
        </w:tc>
        <w:tc>
          <w:tcPr>
            <w:tcW w:w="160" w:type="dxa"/>
            <w:vAlign w:val="bottom"/>
            <w:tcBorders>
              <w:top w:val="single" w:sz="8" w:color="auto"/>
            </w:tcBorders>
            <w:shd w:val="clear" w:color="auto" w:fill="CCFFCC"/>
          </w:tcPr>
          <w:p>
            <w:pPr>
              <w:spacing w:after="0"/>
              <w:rPr>
                <w:sz w:val="16"/>
                <w:szCs w:val="16"/>
                <w:color w:val="auto"/>
              </w:rPr>
            </w:pPr>
          </w:p>
        </w:tc>
        <w:tc>
          <w:tcPr>
            <w:tcW w:w="12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4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6,238</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5980" w:type="dxa"/>
            <w:vAlign w:val="bottom"/>
            <w:shd w:val="clear" w:color="auto" w:fill="CCFFCC"/>
          </w:tcPr>
          <w:p>
            <w:pPr>
              <w:spacing w:after="0"/>
              <w:rPr>
                <w:sz w:val="14"/>
                <w:szCs w:val="14"/>
                <w:color w:val="auto"/>
              </w:rPr>
            </w:pPr>
          </w:p>
        </w:tc>
        <w:tc>
          <w:tcPr>
            <w:tcW w:w="40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 w:type="dxa"/>
            <w:vAlign w:val="bottom"/>
          </w:tcPr>
          <w:p>
            <w:pPr>
              <w:spacing w:after="0"/>
              <w:rPr>
                <w:sz w:val="14"/>
                <w:szCs w:val="14"/>
                <w:color w:val="auto"/>
              </w:rPr>
            </w:pPr>
          </w:p>
        </w:tc>
      </w:tr>
      <w:tr>
        <w:trPr>
          <w:trHeight w:val="194"/>
        </w:trPr>
        <w:tc>
          <w:tcPr>
            <w:tcW w:w="5980" w:type="dxa"/>
            <w:vAlign w:val="bottom"/>
          </w:tcPr>
          <w:p>
            <w:pPr>
              <w:spacing w:after="0"/>
              <w:rPr>
                <w:sz w:val="20"/>
                <w:szCs w:val="20"/>
                <w:color w:val="auto"/>
              </w:rPr>
            </w:pPr>
            <w:r>
              <w:rPr>
                <w:rFonts w:ascii="Arial" w:cs="Arial" w:eastAsia="Arial" w:hAnsi="Arial"/>
                <w:sz w:val="14"/>
                <w:szCs w:val="14"/>
                <w:b w:val="1"/>
                <w:bCs w:val="1"/>
                <w:color w:val="auto"/>
              </w:rPr>
              <w:t>LIABILITIES AND STOCKHOLDERS’ DEFICIT</w:t>
            </w:r>
          </w:p>
        </w:tc>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5980" w:type="dxa"/>
            <w:vAlign w:val="bottom"/>
            <w:shd w:val="clear" w:color="auto" w:fill="CCFFCC"/>
          </w:tcPr>
          <w:p>
            <w:pPr>
              <w:spacing w:after="0"/>
              <w:rPr>
                <w:sz w:val="16"/>
                <w:szCs w:val="16"/>
                <w:color w:val="auto"/>
              </w:rPr>
            </w:pPr>
          </w:p>
        </w:tc>
        <w:tc>
          <w:tcPr>
            <w:tcW w:w="40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r>
    </w:tbl>
    <w:p>
      <w:pPr>
        <w:spacing w:after="0" w:line="11" w:lineRule="exact"/>
        <w:rPr>
          <w:sz w:val="20"/>
          <w:szCs w:val="20"/>
          <w:color w:val="auto"/>
        </w:rPr>
      </w:pPr>
    </w:p>
    <w:p>
      <w:pPr>
        <w:sectPr>
          <w:pgSz w:w="11900" w:h="16838" w:orient="portrait"/>
          <w:cols w:equalWidth="0" w:num="1">
            <w:col w:w="11480"/>
          </w:cols>
          <w:pgMar w:left="220" w:top="320" w:right="199" w:bottom="1440" w:gutter="0" w:footer="0" w:header="0"/>
        </w:sectPr>
      </w:pPr>
    </w:p>
    <w:p>
      <w:pPr>
        <w:spacing w:after="0"/>
        <w:rPr>
          <w:sz w:val="20"/>
          <w:szCs w:val="20"/>
          <w:color w:val="auto"/>
        </w:rPr>
      </w:pPr>
      <w:r>
        <w:rPr>
          <w:rFonts w:ascii="Arial" w:cs="Arial" w:eastAsia="Arial" w:hAnsi="Arial"/>
          <w:sz w:val="14"/>
          <w:szCs w:val="14"/>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3925" cy="1238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3925" cy="123825"/>
                    </a:xfrm>
                    <a:prstGeom prst="rect">
                      <a:avLst/>
                    </a:prstGeom>
                    <a:noFill/>
                  </pic:spPr>
                </pic:pic>
              </a:graphicData>
            </a:graphic>
          </wp:anchor>
        </w:drawing>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Accounts payable</w:t>
      </w:r>
    </w:p>
    <w:p>
      <w:pPr>
        <w:spacing w:after="0" w:line="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3925" cy="144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3925" cy="144145"/>
                    </a:xfrm>
                    <a:prstGeom prst="rect">
                      <a:avLst/>
                    </a:prstGeom>
                    <a:noFill/>
                  </pic:spPr>
                </pic:pic>
              </a:graphicData>
            </a:graphic>
          </wp:anchor>
        </w:drawing>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Notes payable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273925" cy="144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3925" cy="144145"/>
                    </a:xfrm>
                    <a:prstGeom prst="rect">
                      <a:avLst/>
                    </a:prstGeom>
                    <a:noFill/>
                  </pic:spPr>
                </pic:pic>
              </a:graphicData>
            </a:graphic>
          </wp:anchor>
        </w:drawing>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273925" cy="1238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3925" cy="12382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7273925" cy="1238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3925" cy="12382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273925" cy="1238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3925" cy="123825"/>
                    </a:xfrm>
                    <a:prstGeom prst="rect">
                      <a:avLst/>
                    </a:prstGeom>
                    <a:noFill/>
                  </pic:spPr>
                </pic:pic>
              </a:graphicData>
            </a:graphic>
          </wp:anchor>
        </w:drawing>
      </w:r>
    </w:p>
    <w:p>
      <w:pPr>
        <w:spacing w:after="0" w:line="230" w:lineRule="exact"/>
        <w:rPr>
          <w:sz w:val="20"/>
          <w:szCs w:val="20"/>
          <w:color w:val="auto"/>
        </w:rPr>
      </w:pPr>
    </w:p>
    <w:p>
      <w:pPr>
        <w:ind w:left="260" w:right="3430"/>
        <w:spacing w:after="0" w:line="290" w:lineRule="auto"/>
        <w:rPr>
          <w:sz w:val="20"/>
          <w:szCs w:val="20"/>
          <w:color w:val="auto"/>
        </w:rPr>
      </w:pPr>
      <w:r>
        <w:rPr>
          <w:rFonts w:ascii="Arial" w:cs="Arial" w:eastAsia="Arial" w:hAnsi="Arial"/>
          <w:sz w:val="14"/>
          <w:szCs w:val="14"/>
          <w:color w:val="auto"/>
        </w:rPr>
        <w:t>Common stock, $0.001 par value; 100,000,000 shares authorized, 24,200,000 shares outstanding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273925" cy="144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3925" cy="144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4"/>
          <w:szCs w:val="14"/>
          <w:color w:val="auto"/>
        </w:rPr>
        <w:t>Deficit accumulated during the development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273925" cy="144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3925" cy="144145"/>
                    </a:xfrm>
                    <a:prstGeom prst="rect">
                      <a:avLst/>
                    </a:prstGeom>
                    <a:noFill/>
                  </pic:spPr>
                </pic:pic>
              </a:graphicData>
            </a:graphic>
          </wp:anchor>
        </w:drawing>
      </w:r>
    </w:p>
    <w:p>
      <w:pPr>
        <w:spacing w:after="0" w:line="2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273925" cy="144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3925" cy="144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left="890" w:hanging="890"/>
        <w:spacing w:after="0"/>
        <w:tabs>
          <w:tab w:leader="none" w:pos="890" w:val="left"/>
        </w:tabs>
        <w:numPr>
          <w:ilvl w:val="0"/>
          <w:numId w:val="28"/>
        </w:numPr>
        <w:rPr>
          <w:rFonts w:ascii="Arial" w:cs="Arial" w:eastAsia="Arial" w:hAnsi="Arial"/>
          <w:sz w:val="14"/>
          <w:szCs w:val="14"/>
          <w:color w:val="auto"/>
        </w:rPr>
      </w:pPr>
      <w:r>
        <w:rPr>
          <w:rFonts w:ascii="Arial" w:cs="Arial" w:eastAsia="Arial" w:hAnsi="Arial"/>
          <w:sz w:val="14"/>
          <w:szCs w:val="14"/>
          <w:color w:val="auto"/>
        </w:rPr>
        <w:t>173,692</w:t>
      </w:r>
    </w:p>
    <w:p>
      <w:pPr>
        <w:spacing w:after="0" w:line="33" w:lineRule="exact"/>
        <w:rPr>
          <w:rFonts w:ascii="Arial" w:cs="Arial" w:eastAsia="Arial" w:hAnsi="Arial"/>
          <w:sz w:val="14"/>
          <w:szCs w:val="14"/>
          <w:color w:val="auto"/>
        </w:rPr>
      </w:pPr>
    </w:p>
    <w:p>
      <w:pPr>
        <w:ind w:left="970"/>
        <w:spacing w:after="0"/>
        <w:rPr>
          <w:rFonts w:ascii="Arial" w:cs="Arial" w:eastAsia="Arial" w:hAnsi="Arial"/>
          <w:sz w:val="14"/>
          <w:szCs w:val="14"/>
          <w:color w:val="auto"/>
        </w:rPr>
      </w:pPr>
      <w:r>
        <w:rPr>
          <w:rFonts w:ascii="Arial" w:cs="Arial" w:eastAsia="Arial" w:hAnsi="Arial"/>
          <w:sz w:val="14"/>
          <w:szCs w:val="14"/>
          <w:color w:val="auto"/>
        </w:rPr>
        <w:t>12,251</w:t>
      </w:r>
    </w:p>
    <w:p>
      <w:pPr>
        <w:spacing w:after="0" w:line="55" w:lineRule="exact"/>
        <w:rPr>
          <w:sz w:val="20"/>
          <w:szCs w:val="20"/>
          <w:color w:val="auto"/>
        </w:rPr>
      </w:pPr>
    </w:p>
    <w:p>
      <w:pPr>
        <w:ind w:left="890"/>
        <w:spacing w:after="0"/>
        <w:rPr>
          <w:sz w:val="20"/>
          <w:szCs w:val="20"/>
          <w:color w:val="auto"/>
        </w:rPr>
      </w:pPr>
      <w:r>
        <w:rPr>
          <w:rFonts w:ascii="Arial" w:cs="Arial" w:eastAsia="Arial" w:hAnsi="Arial"/>
          <w:sz w:val="14"/>
          <w:szCs w:val="14"/>
          <w:color w:val="auto"/>
        </w:rPr>
        <w:t>226,300</w:t>
      </w:r>
    </w:p>
    <w:p>
      <w:pPr>
        <w:spacing w:after="0" w:line="261" w:lineRule="exact"/>
        <w:rPr>
          <w:sz w:val="20"/>
          <w:szCs w:val="20"/>
          <w:color w:val="auto"/>
        </w:rPr>
      </w:pPr>
    </w:p>
    <w:p>
      <w:pPr>
        <w:ind w:left="890"/>
        <w:spacing w:after="0"/>
        <w:rPr>
          <w:sz w:val="20"/>
          <w:szCs w:val="20"/>
          <w:color w:val="auto"/>
        </w:rPr>
      </w:pPr>
      <w:r>
        <w:rPr>
          <w:rFonts w:ascii="Arial" w:cs="Arial" w:eastAsia="Arial" w:hAnsi="Arial"/>
          <w:sz w:val="14"/>
          <w:szCs w:val="14"/>
          <w:color w:val="auto"/>
        </w:rPr>
        <w:t>412,243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70"/>
        <w:spacing w:after="0"/>
        <w:rPr>
          <w:sz w:val="20"/>
          <w:szCs w:val="20"/>
          <w:color w:val="auto"/>
        </w:rPr>
      </w:pPr>
      <w:r>
        <w:rPr>
          <w:rFonts w:ascii="Arial" w:cs="Arial" w:eastAsia="Arial" w:hAnsi="Arial"/>
          <w:sz w:val="14"/>
          <w:szCs w:val="14"/>
          <w:color w:val="auto"/>
        </w:rPr>
        <w:t>24,200</w:t>
      </w:r>
    </w:p>
    <w:p>
      <w:pPr>
        <w:spacing w:after="0" w:line="34" w:lineRule="exact"/>
        <w:rPr>
          <w:sz w:val="20"/>
          <w:szCs w:val="20"/>
          <w:color w:val="auto"/>
        </w:rPr>
      </w:pPr>
    </w:p>
    <w:p>
      <w:pPr>
        <w:ind w:left="790"/>
        <w:spacing w:after="0"/>
        <w:rPr>
          <w:sz w:val="20"/>
          <w:szCs w:val="20"/>
          <w:color w:val="auto"/>
        </w:rPr>
      </w:pPr>
      <w:r>
        <w:rPr>
          <w:rFonts w:ascii="Arial" w:cs="Arial" w:eastAsia="Arial" w:hAnsi="Arial"/>
          <w:sz w:val="13"/>
          <w:szCs w:val="13"/>
          <w:color w:val="auto"/>
        </w:rPr>
        <w:t>2,362,800</w:t>
      </w:r>
    </w:p>
    <w:p>
      <w:pPr>
        <w:spacing w:after="0" w:line="45"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(2,793,005)</w:t>
      </w:r>
    </w:p>
    <w:p>
      <w:pPr>
        <w:spacing w:after="0" w:line="261"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(406,005)</w:t>
      </w:r>
    </w:p>
    <w:p>
      <w:pPr>
        <w:spacing w:after="0" w:line="200" w:lineRule="exact"/>
        <w:rPr>
          <w:sz w:val="20"/>
          <w:szCs w:val="20"/>
          <w:color w:val="auto"/>
        </w:rPr>
      </w:pPr>
    </w:p>
    <w:p>
      <w:pPr>
        <w:sectPr>
          <w:pgSz w:w="11900" w:h="16838" w:orient="portrait"/>
          <w:cols w:equalWidth="0" w:num="2">
            <w:col w:w="9270" w:space="720"/>
            <w:col w:w="1490"/>
          </w:cols>
          <w:pgMar w:left="220" w:top="320" w:right="199" w:bottom="1440" w:gutter="0" w:footer="0" w:header="0"/>
          <w:type w:val="continuous"/>
        </w:sectPr>
      </w:pPr>
    </w:p>
    <w:p>
      <w:pPr>
        <w:spacing w:after="0" w:line="61" w:lineRule="exact"/>
        <w:rPr>
          <w:sz w:val="20"/>
          <w:szCs w:val="20"/>
          <w:color w:val="auto"/>
        </w:rPr>
      </w:pPr>
    </w:p>
    <w:p>
      <w:pPr>
        <w:ind w:left="10000"/>
        <w:spacing w:after="0"/>
        <w:tabs>
          <w:tab w:leader="none" w:pos="110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6,238</w:t>
      </w:r>
    </w:p>
    <w:p>
      <w:pPr>
        <w:spacing w:after="0" w:line="261" w:lineRule="exact"/>
        <w:rPr>
          <w:sz w:val="20"/>
          <w:szCs w:val="20"/>
          <w:color w:val="auto"/>
        </w:rPr>
      </w:pPr>
    </w:p>
    <w:p>
      <w:pPr>
        <w:jc w:val="right"/>
        <w:ind w:right="20"/>
        <w:spacing w:after="0"/>
        <w:rPr>
          <w:sz w:val="20"/>
          <w:szCs w:val="20"/>
          <w:color w:val="auto"/>
        </w:rPr>
      </w:pPr>
      <w:r>
        <w:rPr>
          <w:rFonts w:ascii="Arial" w:cs="Arial" w:eastAsia="Arial" w:hAnsi="Arial"/>
          <w:sz w:val="14"/>
          <w:szCs w:val="14"/>
          <w:i w:val="1"/>
          <w:iCs w:val="1"/>
          <w:color w:val="auto"/>
        </w:rPr>
        <w:t>See report of independent registered public accounting firm and</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4"/>
          <w:szCs w:val="14"/>
          <w:i w:val="1"/>
          <w:iCs w:val="1"/>
          <w:color w:val="auto"/>
        </w:rPr>
        <w:t>accompanying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7964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80"/>
          </w:cols>
          <w:pgMar w:left="220" w:top="320" w:right="199" w:bottom="1440" w:gutter="0" w:footer="0" w:header="0"/>
          <w:type w:val="continuous"/>
        </w:sectPr>
      </w:pPr>
    </w:p>
    <w:bookmarkStart w:id="57" w:name="page58"/>
    <w:bookmarkEnd w:id="57"/>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729361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For The</w:t>
            </w:r>
          </w:p>
        </w:tc>
      </w:tr>
      <w:tr>
        <w:trPr>
          <w:trHeight w:val="173"/>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r>
      <w:tr>
        <w:trPr>
          <w:trHeight w:val="173"/>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July 24, 1998</w:t>
            </w:r>
          </w:p>
        </w:tc>
      </w:tr>
      <w:tr>
        <w:trPr>
          <w:trHeight w:val="173"/>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(Inception)</w:t>
            </w:r>
          </w:p>
        </w:tc>
      </w:tr>
      <w:tr>
        <w:trPr>
          <w:trHeight w:val="173"/>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Through</w:t>
            </w:r>
          </w:p>
        </w:tc>
      </w:tr>
      <w:tr>
        <w:trPr>
          <w:trHeight w:val="187"/>
        </w:trPr>
        <w:tc>
          <w:tcPr>
            <w:tcW w:w="4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207"/>
        </w:trPr>
        <w:tc>
          <w:tcPr>
            <w:tcW w:w="4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8"/>
                <w:szCs w:val="18"/>
                <w:color w:val="auto"/>
              </w:rPr>
            </w:pPr>
          </w:p>
        </w:tc>
      </w:tr>
      <w:tr>
        <w:trPr>
          <w:trHeight w:val="186"/>
        </w:trPr>
        <w:tc>
          <w:tcPr>
            <w:tcW w:w="4140" w:type="dxa"/>
            <w:vAlign w:val="bottom"/>
            <w:shd w:val="clear" w:color="auto" w:fill="CCFFCC"/>
          </w:tcPr>
          <w:p>
            <w:pPr>
              <w:spacing w:after="0"/>
              <w:rPr>
                <w:sz w:val="20"/>
                <w:szCs w:val="20"/>
                <w:color w:val="auto"/>
              </w:rPr>
            </w:pPr>
            <w:r>
              <w:rPr>
                <w:rFonts w:ascii="Arial" w:cs="Arial" w:eastAsia="Arial" w:hAnsi="Arial"/>
                <w:sz w:val="14"/>
                <w:szCs w:val="14"/>
                <w:color w:val="auto"/>
              </w:rPr>
              <w:t>Operating expenses:</w:t>
            </w:r>
          </w:p>
        </w:tc>
        <w:tc>
          <w:tcPr>
            <w:tcW w:w="264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4140" w:type="dxa"/>
            <w:vAlign w:val="bottom"/>
          </w:tcPr>
          <w:p>
            <w:pPr>
              <w:ind w:left="260"/>
              <w:spacing w:after="0"/>
              <w:rPr>
                <w:sz w:val="20"/>
                <w:szCs w:val="20"/>
                <w:color w:val="auto"/>
              </w:rPr>
            </w:pPr>
            <w:r>
              <w:rPr>
                <w:rFonts w:ascii="Arial" w:cs="Arial" w:eastAsia="Arial" w:hAnsi="Arial"/>
                <w:sz w:val="14"/>
                <w:szCs w:val="14"/>
                <w:color w:val="auto"/>
              </w:rPr>
              <w:t>Payroll and related</w:t>
            </w:r>
          </w:p>
        </w:tc>
        <w:tc>
          <w:tcPr>
            <w:tcW w:w="2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400,000</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tcPr>
          <w:p>
            <w:pPr>
              <w:spacing w:after="0"/>
              <w:rPr>
                <w:sz w:val="16"/>
                <w:szCs w:val="16"/>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2,300,000</w:t>
            </w:r>
          </w:p>
        </w:tc>
      </w:tr>
      <w:tr>
        <w:trPr>
          <w:trHeight w:val="222"/>
        </w:trPr>
        <w:tc>
          <w:tcPr>
            <w:tcW w:w="41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4"/>
                <w:szCs w:val="14"/>
                <w:color w:val="auto"/>
              </w:rPr>
              <w:t>Selling, general and administrative</w:t>
            </w:r>
          </w:p>
        </w:tc>
        <w:tc>
          <w:tcPr>
            <w:tcW w:w="26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3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175,180</w:t>
            </w:r>
          </w:p>
        </w:tc>
        <w:tc>
          <w:tcPr>
            <w:tcW w:w="54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136,423</w:t>
            </w:r>
          </w:p>
        </w:tc>
        <w:tc>
          <w:tcPr>
            <w:tcW w:w="2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481,937</w:t>
            </w:r>
          </w:p>
        </w:tc>
      </w:tr>
      <w:tr>
        <w:trPr>
          <w:trHeight w:val="186"/>
        </w:trPr>
        <w:tc>
          <w:tcPr>
            <w:tcW w:w="4140" w:type="dxa"/>
            <w:vAlign w:val="bottom"/>
            <w:tcBorders>
              <w:top w:val="single" w:sz="8" w:color="CCFFCC"/>
            </w:tcBorders>
          </w:tcPr>
          <w:p>
            <w:pPr>
              <w:spacing w:after="0"/>
              <w:rPr>
                <w:sz w:val="16"/>
                <w:szCs w:val="16"/>
                <w:color w:val="auto"/>
              </w:rPr>
            </w:pPr>
          </w:p>
        </w:tc>
        <w:tc>
          <w:tcPr>
            <w:tcW w:w="2640" w:type="dxa"/>
            <w:vAlign w:val="bottom"/>
            <w:tcBorders>
              <w:top w:val="single" w:sz="8" w:color="CCFFC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221"/>
        </w:trPr>
        <w:tc>
          <w:tcPr>
            <w:tcW w:w="41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4"/>
                <w:szCs w:val="14"/>
                <w:color w:val="auto"/>
              </w:rPr>
              <w:t>Operating loss</w:t>
            </w:r>
          </w:p>
        </w:tc>
        <w:tc>
          <w:tcPr>
            <w:tcW w:w="26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(575,180)</w:t>
            </w:r>
          </w:p>
        </w:tc>
        <w:tc>
          <w:tcPr>
            <w:tcW w:w="54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(536,423)</w:t>
            </w:r>
          </w:p>
        </w:tc>
        <w:tc>
          <w:tcPr>
            <w:tcW w:w="16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(2,781,937)</w:t>
            </w:r>
          </w:p>
        </w:tc>
      </w:tr>
      <w:tr>
        <w:trPr>
          <w:trHeight w:val="186"/>
        </w:trPr>
        <w:tc>
          <w:tcPr>
            <w:tcW w:w="4140" w:type="dxa"/>
            <w:vAlign w:val="bottom"/>
            <w:tcBorders>
              <w:top w:val="single" w:sz="8" w:color="CCFFCC"/>
            </w:tcBorders>
          </w:tcPr>
          <w:p>
            <w:pPr>
              <w:spacing w:after="0"/>
              <w:rPr>
                <w:sz w:val="16"/>
                <w:szCs w:val="16"/>
                <w:color w:val="auto"/>
              </w:rPr>
            </w:pPr>
          </w:p>
        </w:tc>
        <w:tc>
          <w:tcPr>
            <w:tcW w:w="2640" w:type="dxa"/>
            <w:vAlign w:val="bottom"/>
            <w:tcBorders>
              <w:top w:val="single" w:sz="8" w:color="CCFFC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4140" w:type="dxa"/>
            <w:vAlign w:val="bottom"/>
            <w:shd w:val="clear" w:color="auto" w:fill="CCFFCC"/>
          </w:tcPr>
          <w:p>
            <w:pPr>
              <w:spacing w:after="0"/>
              <w:rPr>
                <w:sz w:val="20"/>
                <w:szCs w:val="20"/>
                <w:color w:val="auto"/>
              </w:rPr>
            </w:pPr>
            <w:r>
              <w:rPr>
                <w:rFonts w:ascii="Arial" w:cs="Arial" w:eastAsia="Arial" w:hAnsi="Arial"/>
                <w:sz w:val="14"/>
                <w:szCs w:val="14"/>
                <w:color w:val="auto"/>
              </w:rPr>
              <w:t>Other income (expense):</w:t>
            </w:r>
          </w:p>
        </w:tc>
        <w:tc>
          <w:tcPr>
            <w:tcW w:w="264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10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2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41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2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(9,052)</w:t>
            </w:r>
          </w:p>
        </w:tc>
        <w:tc>
          <w:tcPr>
            <w:tcW w:w="5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(3,199)</w:t>
            </w:r>
          </w:p>
        </w:tc>
        <w:tc>
          <w:tcPr>
            <w:tcW w:w="160" w:type="dxa"/>
            <w:vAlign w:val="bottom"/>
          </w:tcPr>
          <w:p>
            <w:pPr>
              <w:spacing w:after="0"/>
              <w:rPr>
                <w:sz w:val="16"/>
                <w:szCs w:val="16"/>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(12,251)</w:t>
            </w:r>
          </w:p>
        </w:tc>
      </w:tr>
      <w:tr>
        <w:trPr>
          <w:trHeight w:val="222"/>
        </w:trPr>
        <w:tc>
          <w:tcPr>
            <w:tcW w:w="41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4"/>
                <w:szCs w:val="14"/>
                <w:color w:val="auto"/>
              </w:rPr>
              <w:t>Interest income</w:t>
            </w:r>
          </w:p>
        </w:tc>
        <w:tc>
          <w:tcPr>
            <w:tcW w:w="26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3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1,183</w:t>
            </w:r>
          </w:p>
        </w:tc>
      </w:tr>
      <w:tr>
        <w:trPr>
          <w:trHeight w:val="186"/>
        </w:trPr>
        <w:tc>
          <w:tcPr>
            <w:tcW w:w="4140" w:type="dxa"/>
            <w:vAlign w:val="bottom"/>
            <w:tcBorders>
              <w:top w:val="single" w:sz="8" w:color="CCFFCC"/>
            </w:tcBorders>
          </w:tcPr>
          <w:p>
            <w:pPr>
              <w:spacing w:after="0"/>
              <w:rPr>
                <w:sz w:val="16"/>
                <w:szCs w:val="16"/>
                <w:color w:val="auto"/>
              </w:rPr>
            </w:pPr>
          </w:p>
        </w:tc>
        <w:tc>
          <w:tcPr>
            <w:tcW w:w="2640" w:type="dxa"/>
            <w:vAlign w:val="bottom"/>
            <w:tcBorders>
              <w:top w:val="single" w:sz="8" w:color="CCFFC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221"/>
        </w:trPr>
        <w:tc>
          <w:tcPr>
            <w:tcW w:w="4140" w:type="dxa"/>
            <w:vAlign w:val="bottom"/>
            <w:tcBorders>
              <w:bottom w:val="single" w:sz="8" w:color="CCFFCC"/>
            </w:tcBorders>
            <w:shd w:val="clear" w:color="auto" w:fill="CCFFCC"/>
          </w:tcPr>
          <w:p>
            <w:pPr>
              <w:ind w:left="260"/>
              <w:spacing w:after="0"/>
              <w:rPr>
                <w:sz w:val="20"/>
                <w:szCs w:val="20"/>
                <w:color w:val="auto"/>
              </w:rPr>
            </w:pPr>
            <w:r>
              <w:rPr>
                <w:rFonts w:ascii="Arial" w:cs="Arial" w:eastAsia="Arial" w:hAnsi="Arial"/>
                <w:sz w:val="14"/>
                <w:szCs w:val="14"/>
                <w:color w:val="auto"/>
              </w:rPr>
              <w:t>Total other expense, net</w:t>
            </w:r>
          </w:p>
        </w:tc>
        <w:tc>
          <w:tcPr>
            <w:tcW w:w="264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bottom w:val="single" w:sz="8" w:color="CCFFCC"/>
            </w:tcBorders>
            <w:shd w:val="clear" w:color="auto" w:fill="CCFFCC"/>
          </w:tcPr>
          <w:p>
            <w:pPr>
              <w:spacing w:after="0"/>
              <w:rPr>
                <w:sz w:val="18"/>
                <w:szCs w:val="18"/>
                <w:color w:val="auto"/>
              </w:rPr>
            </w:pPr>
          </w:p>
        </w:tc>
        <w:tc>
          <w:tcPr>
            <w:tcW w:w="13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(9,052)</w:t>
            </w:r>
          </w:p>
        </w:tc>
        <w:tc>
          <w:tcPr>
            <w:tcW w:w="54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(3,199)</w:t>
            </w:r>
          </w:p>
        </w:tc>
        <w:tc>
          <w:tcPr>
            <w:tcW w:w="16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(11,068)</w:t>
            </w:r>
          </w:p>
        </w:tc>
      </w:tr>
      <w:tr>
        <w:trPr>
          <w:trHeight w:val="186"/>
        </w:trPr>
        <w:tc>
          <w:tcPr>
            <w:tcW w:w="4140" w:type="dxa"/>
            <w:vAlign w:val="bottom"/>
            <w:tcBorders>
              <w:top w:val="single" w:sz="8" w:color="CCFFCC"/>
            </w:tcBorders>
          </w:tcPr>
          <w:p>
            <w:pPr>
              <w:spacing w:after="0"/>
              <w:rPr>
                <w:sz w:val="16"/>
                <w:szCs w:val="16"/>
                <w:color w:val="auto"/>
              </w:rPr>
            </w:pPr>
          </w:p>
        </w:tc>
        <w:tc>
          <w:tcPr>
            <w:tcW w:w="2640" w:type="dxa"/>
            <w:vAlign w:val="bottom"/>
            <w:tcBorders>
              <w:top w:val="single" w:sz="8" w:color="CCFFC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234"/>
        </w:trPr>
        <w:tc>
          <w:tcPr>
            <w:tcW w:w="4140" w:type="dxa"/>
            <w:vAlign w:val="bottom"/>
            <w:shd w:val="clear" w:color="auto" w:fill="CCFFCC"/>
          </w:tcPr>
          <w:p>
            <w:pPr>
              <w:spacing w:after="0"/>
              <w:rPr>
                <w:sz w:val="20"/>
                <w:szCs w:val="20"/>
                <w:color w:val="auto"/>
              </w:rPr>
            </w:pPr>
            <w:r>
              <w:rPr>
                <w:rFonts w:ascii="Arial" w:cs="Arial" w:eastAsia="Arial" w:hAnsi="Arial"/>
                <w:sz w:val="14"/>
                <w:szCs w:val="14"/>
                <w:color w:val="auto"/>
              </w:rPr>
              <w:t>Net loss</w:t>
            </w:r>
          </w:p>
        </w:tc>
        <w:tc>
          <w:tcPr>
            <w:tcW w:w="29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(584,232)</w:t>
            </w:r>
          </w:p>
        </w:tc>
        <w:tc>
          <w:tcPr>
            <w:tcW w:w="540" w:type="dxa"/>
            <w:vAlign w:val="bottom"/>
            <w:shd w:val="clear" w:color="auto" w:fill="CCFFCC"/>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(539,622)</w:t>
            </w:r>
          </w:p>
        </w:tc>
        <w:tc>
          <w:tcPr>
            <w:tcW w:w="160" w:type="dxa"/>
            <w:vAlign w:val="bottom"/>
            <w:shd w:val="clear" w:color="auto" w:fill="CCFFCC"/>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(2,793,005)</w:t>
            </w:r>
          </w:p>
        </w:tc>
      </w:tr>
      <w:tr>
        <w:trPr>
          <w:trHeight w:val="168"/>
        </w:trPr>
        <w:tc>
          <w:tcPr>
            <w:tcW w:w="4140" w:type="dxa"/>
            <w:vAlign w:val="bottom"/>
            <w:tcBorders>
              <w:top w:val="single" w:sz="8" w:color="CCFFCC"/>
            </w:tcBorders>
          </w:tcPr>
          <w:p>
            <w:pPr>
              <w:spacing w:after="0"/>
              <w:rPr>
                <w:sz w:val="14"/>
                <w:szCs w:val="14"/>
                <w:color w:val="auto"/>
              </w:rPr>
            </w:pPr>
          </w:p>
        </w:tc>
        <w:tc>
          <w:tcPr>
            <w:tcW w:w="2640" w:type="dxa"/>
            <w:vAlign w:val="bottom"/>
            <w:tcBorders>
              <w:top w:val="single" w:sz="8" w:color="CCFFC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r>
      <w:tr>
        <w:trPr>
          <w:trHeight w:val="234"/>
        </w:trPr>
        <w:tc>
          <w:tcPr>
            <w:tcW w:w="4140" w:type="dxa"/>
            <w:vAlign w:val="bottom"/>
            <w:shd w:val="clear" w:color="auto" w:fill="CCFFCC"/>
          </w:tcPr>
          <w:p>
            <w:pPr>
              <w:spacing w:after="0"/>
              <w:rPr>
                <w:sz w:val="20"/>
                <w:szCs w:val="20"/>
                <w:color w:val="auto"/>
              </w:rPr>
            </w:pPr>
            <w:r>
              <w:rPr>
                <w:rFonts w:ascii="Arial" w:cs="Arial" w:eastAsia="Arial" w:hAnsi="Arial"/>
                <w:sz w:val="14"/>
                <w:szCs w:val="14"/>
                <w:color w:val="auto"/>
              </w:rPr>
              <w:t>Basic and diluted loss per common share</w:t>
            </w:r>
          </w:p>
        </w:tc>
        <w:tc>
          <w:tcPr>
            <w:tcW w:w="29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(0.03)</w:t>
            </w:r>
          </w:p>
        </w:tc>
        <w:tc>
          <w:tcPr>
            <w:tcW w:w="540" w:type="dxa"/>
            <w:vAlign w:val="bottom"/>
            <w:shd w:val="clear" w:color="auto" w:fill="CCFFCC"/>
          </w:tcPr>
          <w:p>
            <w:pPr>
              <w:jc w:val="right"/>
              <w:ind w:right="38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(0.05)</w:t>
            </w:r>
          </w:p>
        </w:tc>
        <w:tc>
          <w:tcPr>
            <w:tcW w:w="160" w:type="dxa"/>
            <w:vAlign w:val="bottom"/>
            <w:shd w:val="clear" w:color="auto" w:fill="CCFFCC"/>
          </w:tcPr>
          <w:p>
            <w:pPr>
              <w:jc w:val="right"/>
              <w:ind w:right="4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(2,793,005)</w:t>
            </w:r>
          </w:p>
        </w:tc>
      </w:tr>
      <w:tr>
        <w:trPr>
          <w:trHeight w:val="168"/>
        </w:trPr>
        <w:tc>
          <w:tcPr>
            <w:tcW w:w="4140" w:type="dxa"/>
            <w:vAlign w:val="bottom"/>
            <w:tcBorders>
              <w:top w:val="single" w:sz="8" w:color="CCFFCC"/>
            </w:tcBorders>
          </w:tcPr>
          <w:p>
            <w:pPr>
              <w:spacing w:after="0"/>
              <w:rPr>
                <w:sz w:val="14"/>
                <w:szCs w:val="14"/>
                <w:color w:val="auto"/>
              </w:rPr>
            </w:pPr>
          </w:p>
        </w:tc>
        <w:tc>
          <w:tcPr>
            <w:tcW w:w="2640" w:type="dxa"/>
            <w:vAlign w:val="bottom"/>
            <w:tcBorders>
              <w:top w:val="single" w:sz="8" w:color="CCFFC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Borders>
              <w:top w:val="single" w:sz="8" w:color="CCFFC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CCFFCC"/>
            </w:tcBorders>
          </w:tcPr>
          <w:p>
            <w:pPr>
              <w:spacing w:after="0"/>
              <w:rPr>
                <w:sz w:val="14"/>
                <w:szCs w:val="14"/>
                <w:color w:val="auto"/>
              </w:rPr>
            </w:pPr>
          </w:p>
        </w:tc>
      </w:tr>
      <w:tr>
        <w:trPr>
          <w:trHeight w:val="214"/>
        </w:trPr>
        <w:tc>
          <w:tcPr>
            <w:tcW w:w="4140" w:type="dxa"/>
            <w:vAlign w:val="bottom"/>
            <w:shd w:val="clear" w:color="auto" w:fill="CCFFCC"/>
          </w:tcPr>
          <w:p>
            <w:pPr>
              <w:spacing w:after="0"/>
              <w:rPr>
                <w:sz w:val="20"/>
                <w:szCs w:val="20"/>
                <w:color w:val="auto"/>
              </w:rPr>
            </w:pPr>
            <w:r>
              <w:rPr>
                <w:rFonts w:ascii="Arial" w:cs="Arial" w:eastAsia="Arial" w:hAnsi="Arial"/>
                <w:sz w:val="14"/>
                <w:szCs w:val="14"/>
                <w:color w:val="auto"/>
              </w:rPr>
              <w:t>Weighted average common shares outstanding</w:t>
            </w:r>
          </w:p>
        </w:tc>
        <w:tc>
          <w:tcPr>
            <w:tcW w:w="26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22,967,123</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10,549,597</w:t>
            </w:r>
          </w:p>
        </w:tc>
        <w:tc>
          <w:tcPr>
            <w:tcW w:w="16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
        </w:trPr>
        <w:tc>
          <w:tcPr>
            <w:tcW w:w="4140" w:type="dxa"/>
            <w:vAlign w:val="bottom"/>
            <w:tcBorders>
              <w:top w:val="single" w:sz="8" w:color="CCFFCC"/>
            </w:tcBorders>
            <w:shd w:val="clear" w:color="auto" w:fill="CCFFCC"/>
          </w:tcPr>
          <w:p>
            <w:pPr>
              <w:spacing w:after="0" w:line="20" w:lineRule="exact"/>
              <w:rPr>
                <w:sz w:val="1"/>
                <w:szCs w:val="1"/>
                <w:color w:val="auto"/>
              </w:rPr>
            </w:pPr>
          </w:p>
        </w:tc>
        <w:tc>
          <w:tcPr>
            <w:tcW w:w="26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352"/>
        </w:trPr>
        <w:tc>
          <w:tcPr>
            <w:tcW w:w="4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8"/>
          </w:tcPr>
          <w:p>
            <w:pPr>
              <w:jc w:val="right"/>
              <w:spacing w:after="0"/>
              <w:rPr>
                <w:sz w:val="20"/>
                <w:szCs w:val="20"/>
                <w:color w:val="auto"/>
              </w:rPr>
            </w:pPr>
            <w:r>
              <w:rPr>
                <w:rFonts w:ascii="Arial" w:cs="Arial" w:eastAsia="Arial" w:hAnsi="Arial"/>
                <w:sz w:val="14"/>
                <w:szCs w:val="14"/>
                <w:i w:val="1"/>
                <w:iCs w:val="1"/>
                <w:color w:val="auto"/>
              </w:rPr>
              <w:t>See report of independent registered public accounting firm and</w:t>
            </w:r>
          </w:p>
        </w:tc>
      </w:tr>
      <w:tr>
        <w:trPr>
          <w:trHeight w:val="182"/>
        </w:trPr>
        <w:tc>
          <w:tcPr>
            <w:tcW w:w="41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gridSpan w:val="5"/>
          </w:tcPr>
          <w:p>
            <w:pPr>
              <w:spacing w:after="0"/>
              <w:rPr>
                <w:sz w:val="20"/>
                <w:szCs w:val="20"/>
                <w:color w:val="auto"/>
              </w:rPr>
            </w:pPr>
            <w:r>
              <w:rPr>
                <w:rFonts w:ascii="Arial" w:cs="Arial" w:eastAsia="Arial" w:hAnsi="Arial"/>
                <w:sz w:val="14"/>
                <w:szCs w:val="14"/>
                <w:i w:val="1"/>
                <w:iCs w:val="1"/>
                <w:color w:val="auto"/>
                <w:w w:val="92"/>
              </w:rPr>
              <w:t>accompanying notes to financial statements</w:t>
            </w:r>
          </w:p>
        </w:tc>
      </w:tr>
      <w:tr>
        <w:trPr>
          <w:trHeight w:val="368"/>
        </w:trPr>
        <w:tc>
          <w:tcPr>
            <w:tcW w:w="4140" w:type="dxa"/>
            <w:vAlign w:val="bottom"/>
          </w:tcPr>
          <w:p>
            <w:pPr>
              <w:spacing w:after="0"/>
              <w:rPr>
                <w:sz w:val="24"/>
                <w:szCs w:val="24"/>
                <w:color w:val="auto"/>
              </w:rPr>
            </w:pPr>
          </w:p>
        </w:tc>
        <w:tc>
          <w:tcPr>
            <w:tcW w:w="2940" w:type="dxa"/>
            <w:vAlign w:val="bottom"/>
            <w:gridSpan w:val="2"/>
          </w:tcPr>
          <w:p>
            <w:pPr>
              <w:jc w:val="right"/>
              <w:ind w:right="1200"/>
              <w:spacing w:after="0"/>
              <w:rPr>
                <w:sz w:val="20"/>
                <w:szCs w:val="20"/>
                <w:color w:val="auto"/>
              </w:rPr>
            </w:pPr>
            <w:r>
              <w:rPr>
                <w:rFonts w:ascii="Arial" w:cs="Arial" w:eastAsia="Arial" w:hAnsi="Arial"/>
                <w:sz w:val="14"/>
                <w:szCs w:val="14"/>
                <w:color w:val="auto"/>
              </w:rPr>
              <w:t>F-17</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4140" w:type="dxa"/>
            <w:vAlign w:val="bottom"/>
            <w:tcBorders>
              <w:bottom w:val="single" w:sz="8" w:color="808080"/>
            </w:tcBorders>
          </w:tcPr>
          <w:p>
            <w:pPr>
              <w:spacing w:after="0"/>
              <w:rPr>
                <w:sz w:val="8"/>
                <w:szCs w:val="8"/>
                <w:color w:val="auto"/>
              </w:rPr>
            </w:pPr>
          </w:p>
        </w:tc>
        <w:tc>
          <w:tcPr>
            <w:tcW w:w="2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58" w:name="page59"/>
    <w:bookmarkEnd w:id="58"/>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STATEMENTS OF STOCKHOLDERS’ DEFICIT</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9361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5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Deficit Accumulated</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17"/>
        </w:trPr>
        <w:tc>
          <w:tcPr>
            <w:tcW w:w="5140" w:type="dxa"/>
            <w:vAlign w:val="bottom"/>
          </w:tcPr>
          <w:p>
            <w:pPr>
              <w:spacing w:after="0"/>
              <w:rPr>
                <w:sz w:val="18"/>
                <w:szCs w:val="18"/>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gridSpan w:val="2"/>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During the</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r>
      <w:tr>
        <w:trPr>
          <w:trHeight w:val="207"/>
        </w:trPr>
        <w:tc>
          <w:tcPr>
            <w:tcW w:w="5140" w:type="dxa"/>
            <w:vAlign w:val="bottom"/>
          </w:tcPr>
          <w:p>
            <w:pPr>
              <w:spacing w:after="0"/>
              <w:rPr>
                <w:sz w:val="18"/>
                <w:szCs w:val="18"/>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Development Stage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8"/>
                <w:szCs w:val="18"/>
                <w:color w:val="auto"/>
              </w:rPr>
            </w:pPr>
          </w:p>
        </w:tc>
      </w:tr>
      <w:tr>
        <w:trPr>
          <w:trHeight w:val="186"/>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July 24, 1998 (Inception)</w:t>
            </w:r>
          </w:p>
        </w:tc>
        <w:tc>
          <w:tcPr>
            <w:tcW w:w="1440" w:type="dxa"/>
            <w:vAlign w:val="bottom"/>
            <w:gridSpan w:val="3"/>
            <w:shd w:val="clear" w:color="auto" w:fill="CCFFCC"/>
          </w:tcPr>
          <w:p>
            <w:pPr>
              <w:jc w:val="right"/>
              <w:ind w:right="140"/>
              <w:spacing w:after="0"/>
              <w:rPr>
                <w:sz w:val="20"/>
                <w:szCs w:val="20"/>
                <w:color w:val="auto"/>
              </w:rPr>
            </w:pPr>
            <w:r>
              <w:rPr>
                <w:rFonts w:ascii="Arial" w:cs="Arial" w:eastAsia="Arial" w:hAnsi="Arial"/>
                <w:sz w:val="14"/>
                <w:szCs w:val="14"/>
                <w:color w:val="auto"/>
              </w:rPr>
              <w:t>-  $</w:t>
            </w:r>
          </w:p>
        </w:tc>
        <w:tc>
          <w:tcPr>
            <w:tcW w:w="1200" w:type="dxa"/>
            <w:vAlign w:val="bottom"/>
            <w:gridSpan w:val="3"/>
            <w:shd w:val="clear" w:color="auto" w:fill="CCFFCC"/>
          </w:tcPr>
          <w:p>
            <w:pPr>
              <w:jc w:val="right"/>
              <w:ind w:right="80"/>
              <w:spacing w:after="0"/>
              <w:rPr>
                <w:sz w:val="20"/>
                <w:szCs w:val="20"/>
                <w:color w:val="auto"/>
              </w:rPr>
            </w:pPr>
            <w:r>
              <w:rPr>
                <w:rFonts w:ascii="Arial" w:cs="Arial" w:eastAsia="Arial" w:hAnsi="Arial"/>
                <w:sz w:val="14"/>
                <w:szCs w:val="14"/>
                <w:color w:val="auto"/>
              </w:rPr>
              <w:t>-  $</w:t>
            </w: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6"/>
                <w:szCs w:val="16"/>
                <w:color w:val="auto"/>
              </w:rPr>
            </w:pPr>
          </w:p>
        </w:tc>
        <w:tc>
          <w:tcPr>
            <w:tcW w:w="220" w:type="dxa"/>
            <w:vAlign w:val="bottom"/>
            <w:gridSpan w:val="2"/>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CFFCC"/>
          </w:tcPr>
          <w:p>
            <w:pPr>
              <w:jc w:val="right"/>
              <w:ind w:right="4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(100,000)</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1998</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(204,000)</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(204,000)</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1999</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(304,000)</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Issuance of common stock for cash</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FFCC"/>
          </w:tcPr>
          <w:p>
            <w:pPr>
              <w:spacing w:after="0"/>
              <w:rPr>
                <w:sz w:val="16"/>
                <w:szCs w:val="16"/>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6"/>
                <w:szCs w:val="16"/>
                <w:color w:val="auto"/>
              </w:rPr>
            </w:pP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(213,092)</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(213,092)</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2000</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(517,092)</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(11,092)</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CCFFCC"/>
            </w:tcBorders>
            <w:shd w:val="clear" w:color="auto" w:fill="CCFFCC"/>
          </w:tcPr>
          <w:p>
            <w:pPr>
              <w:spacing w:after="0"/>
              <w:rPr>
                <w:sz w:val="18"/>
                <w:szCs w:val="18"/>
                <w:color w:val="auto"/>
              </w:rPr>
            </w:pPr>
          </w:p>
        </w:tc>
        <w:tc>
          <w:tcPr>
            <w:tcW w:w="11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(208,420)</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(208,420)</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2001</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700,000</w:t>
            </w:r>
          </w:p>
        </w:tc>
        <w:tc>
          <w:tcPr>
            <w:tcW w:w="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(725,512)</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(19,512)</w:t>
            </w:r>
          </w:p>
        </w:tc>
      </w:tr>
      <w:tr>
        <w:trPr>
          <w:trHeight w:val="388"/>
        </w:trPr>
        <w:tc>
          <w:tcPr>
            <w:tcW w:w="5140" w:type="dxa"/>
            <w:vAlign w:val="bottom"/>
          </w:tcPr>
          <w:p>
            <w:pPr>
              <w:spacing w:after="0"/>
              <w:rPr>
                <w:sz w:val="20"/>
                <w:szCs w:val="20"/>
                <w:color w:val="auto"/>
              </w:rPr>
            </w:pPr>
            <w:r>
              <w:rPr>
                <w:rFonts w:ascii="Arial" w:cs="Arial" w:eastAsia="Arial" w:hAnsi="Arial"/>
                <w:sz w:val="14"/>
                <w:szCs w:val="14"/>
                <w:i w:val="1"/>
                <w:iCs w:val="1"/>
                <w:color w:val="auto"/>
              </w:rPr>
              <w:t>Continued…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5140" w:type="dxa"/>
            <w:vAlign w:val="bottom"/>
          </w:tcPr>
          <w:p>
            <w:pPr>
              <w:spacing w:after="0"/>
              <w:rPr>
                <w:sz w:val="24"/>
                <w:szCs w:val="24"/>
                <w:color w:val="auto"/>
              </w:rPr>
            </w:pPr>
          </w:p>
        </w:tc>
        <w:tc>
          <w:tcPr>
            <w:tcW w:w="1440" w:type="dxa"/>
            <w:vAlign w:val="bottom"/>
            <w:gridSpan w:val="3"/>
          </w:tcPr>
          <w:p>
            <w:pPr>
              <w:ind w:left="460"/>
              <w:spacing w:after="0"/>
              <w:rPr>
                <w:sz w:val="20"/>
                <w:szCs w:val="20"/>
                <w:color w:val="auto"/>
              </w:rPr>
            </w:pPr>
            <w:r>
              <w:rPr>
                <w:rFonts w:ascii="Arial" w:cs="Arial" w:eastAsia="Arial" w:hAnsi="Arial"/>
                <w:sz w:val="14"/>
                <w:szCs w:val="14"/>
                <w:color w:val="auto"/>
              </w:rPr>
              <w:t>F-18</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5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59" w:name="page60"/>
    <w:bookmarkEnd w:id="59"/>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STATEMENTS OF STOCKHOLDERS’ DEFICIT - CONTINUED</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9361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Deficit Accumulated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217"/>
        </w:trPr>
        <w:tc>
          <w:tcPr>
            <w:tcW w:w="5140" w:type="dxa"/>
            <w:vAlign w:val="bottom"/>
          </w:tcPr>
          <w:p>
            <w:pPr>
              <w:spacing w:after="0"/>
              <w:rPr>
                <w:sz w:val="18"/>
                <w:szCs w:val="18"/>
                <w:color w:val="auto"/>
              </w:rPr>
            </w:pPr>
          </w:p>
        </w:tc>
        <w:tc>
          <w:tcPr>
            <w:tcW w:w="238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Paid-in</w:t>
            </w:r>
          </w:p>
        </w:tc>
        <w:tc>
          <w:tcPr>
            <w:tcW w:w="4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During the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Stockholders’</w:t>
            </w:r>
          </w:p>
        </w:tc>
      </w:tr>
      <w:tr>
        <w:trPr>
          <w:trHeight w:val="207"/>
        </w:trPr>
        <w:tc>
          <w:tcPr>
            <w:tcW w:w="5140" w:type="dxa"/>
            <w:vAlign w:val="bottom"/>
          </w:tcPr>
          <w:p>
            <w:pPr>
              <w:spacing w:after="0"/>
              <w:rPr>
                <w:sz w:val="18"/>
                <w:szCs w:val="18"/>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Development Stage</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8"/>
                <w:szCs w:val="18"/>
                <w:color w:val="auto"/>
              </w:rPr>
            </w:pPr>
          </w:p>
        </w:tc>
      </w:tr>
      <w:tr>
        <w:trPr>
          <w:trHeight w:val="186"/>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200,000</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3"/>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(228,217)</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(228,217)</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2002</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900,000</w:t>
            </w: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(953,729)</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(47,729)</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200,000</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3"/>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(207,196)</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(207,196)</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2003</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1,100,000</w:t>
            </w:r>
          </w:p>
        </w:tc>
        <w:tc>
          <w:tcPr>
            <w:tcW w:w="60" w:type="dxa"/>
            <w:vAlign w:val="bottom"/>
            <w:shd w:val="clear" w:color="auto" w:fill="CCFFCC"/>
          </w:tcPr>
          <w:p>
            <w:pPr>
              <w:spacing w:after="0"/>
              <w:rPr>
                <w:sz w:val="16"/>
                <w:szCs w:val="16"/>
                <w:color w:val="auto"/>
              </w:rPr>
            </w:pP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(1,160,925)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(54,925)</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400,000</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3"/>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(508,226)</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(508,226)</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2004</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6,000</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1,500,000</w:t>
            </w:r>
          </w:p>
        </w:tc>
        <w:tc>
          <w:tcPr>
            <w:tcW w:w="60" w:type="dxa"/>
            <w:vAlign w:val="bottom"/>
            <w:shd w:val="clear" w:color="auto" w:fill="CCFFCC"/>
          </w:tcPr>
          <w:p>
            <w:pPr>
              <w:spacing w:after="0"/>
              <w:rPr>
                <w:sz w:val="16"/>
                <w:szCs w:val="16"/>
                <w:color w:val="auto"/>
              </w:rPr>
            </w:pP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(1,669,151)</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(163,151)</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Capital contributions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14,200</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14,200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Issuance of common stock for cash</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15,700,000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15,700</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6"/>
                <w:szCs w:val="16"/>
                <w:color w:val="auto"/>
              </w:rPr>
            </w:pP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15,700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Exercise of stock options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6"/>
                <w:szCs w:val="16"/>
                <w:color w:val="auto"/>
              </w:rPr>
            </w:pP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400,000</w:t>
            </w:r>
          </w:p>
        </w:tc>
        <w:tc>
          <w:tcPr>
            <w:tcW w:w="1400" w:type="dxa"/>
            <w:vAlign w:val="bottom"/>
            <w:gridSpan w:val="3"/>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r>
      <w:tr>
        <w:trPr>
          <w:trHeight w:val="195"/>
        </w:trPr>
        <w:tc>
          <w:tcPr>
            <w:tcW w:w="5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gridSpan w:val="3"/>
          </w:tcPr>
          <w:p>
            <w:pPr>
              <w:spacing w:after="0"/>
              <w:rPr>
                <w:sz w:val="16"/>
                <w:szCs w:val="16"/>
                <w:color w:val="auto"/>
              </w:rPr>
            </w:pPr>
          </w:p>
        </w:tc>
        <w:tc>
          <w:tcPr>
            <w:tcW w:w="1240" w:type="dxa"/>
            <w:vAlign w:val="bottom"/>
            <w:gridSpan w:val="2"/>
          </w:tcPr>
          <w:p>
            <w:pPr>
              <w:spacing w:after="0"/>
              <w:rPr>
                <w:sz w:val="16"/>
                <w:szCs w:val="16"/>
                <w:color w:val="auto"/>
              </w:rPr>
            </w:pPr>
          </w:p>
        </w:tc>
      </w:tr>
      <w:tr>
        <w:trPr>
          <w:trHeight w:val="221"/>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FFCC"/>
            </w:tcBorders>
            <w:shd w:val="clear" w:color="auto" w:fill="CCFFCC"/>
          </w:tcPr>
          <w:p>
            <w:pPr>
              <w:spacing w:after="0"/>
              <w:rPr>
                <w:sz w:val="18"/>
                <w:szCs w:val="18"/>
                <w:color w:val="auto"/>
              </w:rPr>
            </w:pPr>
          </w:p>
        </w:tc>
        <w:tc>
          <w:tcPr>
            <w:tcW w:w="1400" w:type="dxa"/>
            <w:vAlign w:val="bottom"/>
            <w:tcBorders>
              <w:bottom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(539,622)</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(539,622)</w:t>
            </w:r>
          </w:p>
        </w:tc>
      </w:tr>
      <w:tr>
        <w:trPr>
          <w:trHeight w:val="186"/>
        </w:trPr>
        <w:tc>
          <w:tcPr>
            <w:tcW w:w="5140" w:type="dxa"/>
            <w:vAlign w:val="bottom"/>
            <w:tcBorders>
              <w:top w:val="single" w:sz="8" w:color="CCFFC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4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195"/>
        </w:trPr>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21,800,000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21,800</w:t>
            </w:r>
          </w:p>
        </w:tc>
        <w:tc>
          <w:tcPr>
            <w:tcW w:w="11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1,914,200</w:t>
            </w:r>
          </w:p>
        </w:tc>
        <w:tc>
          <w:tcPr>
            <w:tcW w:w="60" w:type="dxa"/>
            <w:vAlign w:val="bottom"/>
            <w:shd w:val="clear" w:color="auto" w:fill="CCFFCC"/>
          </w:tcPr>
          <w:p>
            <w:pPr>
              <w:spacing w:after="0"/>
              <w:rPr>
                <w:sz w:val="16"/>
                <w:szCs w:val="16"/>
                <w:color w:val="auto"/>
              </w:rPr>
            </w:pPr>
          </w:p>
        </w:tc>
        <w:tc>
          <w:tcPr>
            <w:tcW w:w="1400" w:type="dxa"/>
            <w:vAlign w:val="bottom"/>
            <w:gridSpan w:val="3"/>
            <w:shd w:val="clear" w:color="auto" w:fill="CCFFCC"/>
          </w:tcPr>
          <w:p>
            <w:pPr>
              <w:jc w:val="right"/>
              <w:ind w:right="60"/>
              <w:spacing w:after="0"/>
              <w:rPr>
                <w:sz w:val="20"/>
                <w:szCs w:val="20"/>
                <w:color w:val="auto"/>
              </w:rPr>
            </w:pPr>
            <w:r>
              <w:rPr>
                <w:rFonts w:ascii="Arial" w:cs="Arial" w:eastAsia="Arial" w:hAnsi="Arial"/>
                <w:sz w:val="14"/>
                <w:szCs w:val="14"/>
                <w:color w:val="auto"/>
              </w:rPr>
              <w:t>(2,208,773)</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(272,773)</w:t>
            </w:r>
          </w:p>
        </w:tc>
      </w:tr>
      <w:tr>
        <w:trPr>
          <w:trHeight w:val="388"/>
        </w:trPr>
        <w:tc>
          <w:tcPr>
            <w:tcW w:w="5140" w:type="dxa"/>
            <w:vAlign w:val="bottom"/>
          </w:tcPr>
          <w:p>
            <w:pPr>
              <w:spacing w:after="0"/>
              <w:rPr>
                <w:sz w:val="20"/>
                <w:szCs w:val="20"/>
                <w:color w:val="auto"/>
              </w:rPr>
            </w:pPr>
            <w:r>
              <w:rPr>
                <w:rFonts w:ascii="Arial" w:cs="Arial" w:eastAsia="Arial" w:hAnsi="Arial"/>
                <w:sz w:val="14"/>
                <w:szCs w:val="14"/>
                <w:i w:val="1"/>
                <w:iCs w:val="1"/>
                <w:color w:val="auto"/>
              </w:rPr>
              <w:t>Continued…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9"/>
        </w:trPr>
        <w:tc>
          <w:tcPr>
            <w:tcW w:w="514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F-19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51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60" w:name="page61"/>
    <w:bookmarkEnd w:id="60"/>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STATEMENTS OF STOCKHOLDERS’ DEFICIT - CONTINUED</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9361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Additional</w:t>
            </w: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Deficit Accumulated</w:t>
            </w: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17"/>
        </w:trPr>
        <w:tc>
          <w:tcPr>
            <w:tcW w:w="5020" w:type="dxa"/>
            <w:vAlign w:val="bottom"/>
          </w:tcPr>
          <w:p>
            <w:pPr>
              <w:spacing w:after="0"/>
              <w:rPr>
                <w:sz w:val="18"/>
                <w:szCs w:val="18"/>
                <w:color w:val="auto"/>
              </w:rPr>
            </w:pPr>
          </w:p>
        </w:tc>
        <w:tc>
          <w:tcPr>
            <w:tcW w:w="238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During the</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r>
      <w:tr>
        <w:trPr>
          <w:trHeight w:val="207"/>
        </w:trPr>
        <w:tc>
          <w:tcPr>
            <w:tcW w:w="5020" w:type="dxa"/>
            <w:vAlign w:val="bottom"/>
          </w:tcPr>
          <w:p>
            <w:pPr>
              <w:spacing w:after="0"/>
              <w:rPr>
                <w:sz w:val="18"/>
                <w:szCs w:val="18"/>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Capital</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Development Stage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8"/>
                <w:szCs w:val="18"/>
                <w:color w:val="auto"/>
              </w:rPr>
            </w:pPr>
          </w:p>
        </w:tc>
      </w:tr>
      <w:tr>
        <w:trPr>
          <w:trHeight w:val="186"/>
        </w:trPr>
        <w:tc>
          <w:tcPr>
            <w:tcW w:w="5020" w:type="dxa"/>
            <w:vAlign w:val="bottom"/>
            <w:shd w:val="clear" w:color="auto" w:fill="CCFFCC"/>
          </w:tcPr>
          <w:p>
            <w:pPr>
              <w:spacing w:after="0"/>
              <w:rPr>
                <w:sz w:val="20"/>
                <w:szCs w:val="20"/>
                <w:color w:val="auto"/>
              </w:rPr>
            </w:pPr>
            <w:r>
              <w:rPr>
                <w:rFonts w:ascii="Arial" w:cs="Arial" w:eastAsia="Arial" w:hAnsi="Arial"/>
                <w:sz w:val="14"/>
                <w:szCs w:val="14"/>
                <w:color w:val="auto"/>
              </w:rPr>
              <w:t>Capital contributions</w:t>
            </w:r>
          </w:p>
        </w:tc>
        <w:tc>
          <w:tcPr>
            <w:tcW w:w="124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48,600</w:t>
            </w:r>
          </w:p>
        </w:tc>
        <w:tc>
          <w:tcPr>
            <w:tcW w:w="18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48,600</w:t>
            </w:r>
          </w:p>
        </w:tc>
      </w:tr>
      <w:tr>
        <w:trPr>
          <w:trHeight w:val="195"/>
        </w:trPr>
        <w:tc>
          <w:tcPr>
            <w:tcW w:w="5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020" w:type="dxa"/>
            <w:vAlign w:val="bottom"/>
            <w:shd w:val="clear" w:color="auto" w:fill="CCFFCC"/>
          </w:tcPr>
          <w:p>
            <w:pPr>
              <w:spacing w:after="0"/>
              <w:rPr>
                <w:sz w:val="20"/>
                <w:szCs w:val="20"/>
                <w:color w:val="auto"/>
              </w:rPr>
            </w:pPr>
            <w:r>
              <w:rPr>
                <w:rFonts w:ascii="Arial" w:cs="Arial" w:eastAsia="Arial" w:hAnsi="Arial"/>
                <w:sz w:val="14"/>
                <w:szCs w:val="14"/>
                <w:color w:val="auto"/>
              </w:rPr>
              <w:t>Exercise of stock options</w:t>
            </w:r>
          </w:p>
        </w:tc>
        <w:tc>
          <w:tcPr>
            <w:tcW w:w="124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2,400,000</w:t>
            </w: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2,400</w:t>
            </w:r>
          </w:p>
        </w:tc>
        <w:tc>
          <w:tcPr>
            <w:tcW w:w="160" w:type="dxa"/>
            <w:vAlign w:val="bottom"/>
            <w:shd w:val="clear" w:color="auto" w:fill="CCFFCC"/>
          </w:tcPr>
          <w:p>
            <w:pPr>
              <w:spacing w:after="0"/>
              <w:rPr>
                <w:sz w:val="16"/>
                <w:szCs w:val="16"/>
                <w:color w:val="auto"/>
              </w:rPr>
            </w:pPr>
          </w:p>
        </w:tc>
        <w:tc>
          <w:tcPr>
            <w:tcW w:w="10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2,400</w:t>
            </w:r>
          </w:p>
        </w:tc>
      </w:tr>
      <w:tr>
        <w:trPr>
          <w:trHeight w:val="195"/>
        </w:trPr>
        <w:tc>
          <w:tcPr>
            <w:tcW w:w="5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5020" w:type="dxa"/>
            <w:vAlign w:val="bottom"/>
            <w:shd w:val="clear" w:color="auto" w:fill="CCFFCC"/>
          </w:tcPr>
          <w:p>
            <w:pPr>
              <w:spacing w:after="0"/>
              <w:rPr>
                <w:sz w:val="20"/>
                <w:szCs w:val="20"/>
                <w:color w:val="auto"/>
              </w:rPr>
            </w:pPr>
            <w:r>
              <w:rPr>
                <w:rFonts w:ascii="Arial" w:cs="Arial" w:eastAsia="Arial" w:hAnsi="Arial"/>
                <w:sz w:val="14"/>
                <w:szCs w:val="14"/>
                <w:color w:val="auto"/>
              </w:rPr>
              <w:t>Estimated fair value of services contributed by stockholders</w:t>
            </w:r>
          </w:p>
        </w:tc>
        <w:tc>
          <w:tcPr>
            <w:tcW w:w="124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6"/>
                <w:szCs w:val="16"/>
                <w:color w:val="auto"/>
              </w:rPr>
            </w:pPr>
          </w:p>
        </w:tc>
        <w:tc>
          <w:tcPr>
            <w:tcW w:w="10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400,000</w:t>
            </w:r>
          </w:p>
        </w:tc>
        <w:tc>
          <w:tcPr>
            <w:tcW w:w="180" w:type="dxa"/>
            <w:vAlign w:val="bottom"/>
            <w:shd w:val="clear" w:color="auto" w:fill="CCFFCC"/>
          </w:tcPr>
          <w:p>
            <w:pPr>
              <w:spacing w:after="0"/>
              <w:rPr>
                <w:sz w:val="16"/>
                <w:szCs w:val="16"/>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6"/>
                <w:szCs w:val="16"/>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r>
      <w:tr>
        <w:trPr>
          <w:trHeight w:val="195"/>
        </w:trPr>
        <w:tc>
          <w:tcPr>
            <w:tcW w:w="5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spacing w:after="0"/>
              <w:rPr>
                <w:sz w:val="16"/>
                <w:szCs w:val="16"/>
                <w:color w:val="auto"/>
              </w:rPr>
            </w:pPr>
          </w:p>
        </w:tc>
      </w:tr>
      <w:tr>
        <w:trPr>
          <w:trHeight w:val="221"/>
        </w:trPr>
        <w:tc>
          <w:tcPr>
            <w:tcW w:w="5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Net loss</w:t>
            </w:r>
          </w:p>
        </w:tc>
        <w:tc>
          <w:tcPr>
            <w:tcW w:w="1240" w:type="dxa"/>
            <w:vAlign w:val="bottom"/>
            <w:tcBorders>
              <w:bottom w:val="single" w:sz="8" w:color="CCFFCC"/>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080" w:type="dxa"/>
            <w:vAlign w:val="bottom"/>
            <w:tcBorders>
              <w:bottom w:val="single" w:sz="8" w:color="CCFFCC"/>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(584,232)</w:t>
            </w:r>
          </w:p>
        </w:tc>
        <w:tc>
          <w:tcPr>
            <w:tcW w:w="100" w:type="dxa"/>
            <w:vAlign w:val="bottom"/>
            <w:tcBorders>
              <w:bottom w:val="single" w:sz="8" w:color="CCFFCC"/>
            </w:tcBorders>
            <w:shd w:val="clear" w:color="auto" w:fill="CCFFCC"/>
          </w:tcPr>
          <w:p>
            <w:pPr>
              <w:spacing w:after="0"/>
              <w:rPr>
                <w:sz w:val="18"/>
                <w:szCs w:val="18"/>
                <w:color w:val="auto"/>
              </w:rPr>
            </w:pPr>
          </w:p>
        </w:tc>
        <w:tc>
          <w:tcPr>
            <w:tcW w:w="11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(584,232)</w:t>
            </w:r>
          </w:p>
        </w:tc>
      </w:tr>
      <w:tr>
        <w:trPr>
          <w:trHeight w:val="186"/>
        </w:trPr>
        <w:tc>
          <w:tcPr>
            <w:tcW w:w="502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FFC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r>
      <w:tr>
        <w:trPr>
          <w:trHeight w:val="214"/>
        </w:trPr>
        <w:tc>
          <w:tcPr>
            <w:tcW w:w="5020" w:type="dxa"/>
            <w:vAlign w:val="bottom"/>
            <w:shd w:val="clear" w:color="auto" w:fill="CCFFCC"/>
          </w:tcPr>
          <w:p>
            <w:pPr>
              <w:spacing w:after="0"/>
              <w:rPr>
                <w:sz w:val="20"/>
                <w:szCs w:val="20"/>
                <w:color w:val="auto"/>
              </w:rPr>
            </w:pPr>
            <w:r>
              <w:rPr>
                <w:rFonts w:ascii="Arial" w:cs="Arial" w:eastAsia="Arial" w:hAnsi="Arial"/>
                <w:sz w:val="14"/>
                <w:szCs w:val="14"/>
                <w:color w:val="auto"/>
              </w:rPr>
              <w:t>Balance, December 31, 2006</w:t>
            </w:r>
          </w:p>
        </w:tc>
        <w:tc>
          <w:tcPr>
            <w:tcW w:w="124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24,200,000</w:t>
            </w:r>
          </w:p>
        </w:tc>
        <w:tc>
          <w:tcPr>
            <w:tcW w:w="2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24,200</w:t>
            </w:r>
          </w:p>
        </w:tc>
        <w:tc>
          <w:tcPr>
            <w:tcW w:w="1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right w:val="single" w:sz="8" w:color="CCFFCC"/>
            </w:tcBorders>
            <w:shd w:val="clear" w:color="auto" w:fill="CCFFCC"/>
          </w:tcPr>
          <w:p>
            <w:pPr>
              <w:jc w:val="right"/>
              <w:ind w:right="28"/>
              <w:spacing w:after="0"/>
              <w:rPr>
                <w:sz w:val="20"/>
                <w:szCs w:val="20"/>
                <w:color w:val="auto"/>
              </w:rPr>
            </w:pPr>
            <w:r>
              <w:rPr>
                <w:rFonts w:ascii="Arial" w:cs="Arial" w:eastAsia="Arial" w:hAnsi="Arial"/>
                <w:sz w:val="14"/>
                <w:szCs w:val="14"/>
                <w:color w:val="auto"/>
              </w:rPr>
              <w:t>2,362,800</w:t>
            </w:r>
          </w:p>
        </w:tc>
        <w:tc>
          <w:tcPr>
            <w:tcW w:w="1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(2,793,005)</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(406,005)</w:t>
            </w:r>
          </w:p>
        </w:tc>
      </w:tr>
      <w:tr>
        <w:trPr>
          <w:trHeight w:val="20"/>
        </w:trPr>
        <w:tc>
          <w:tcPr>
            <w:tcW w:w="50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See report of independent registered public accounting firm and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accompanying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61" w:name="page62"/>
    <w:bookmarkEnd w:id="61"/>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729361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The Period</w:t>
            </w:r>
          </w:p>
        </w:tc>
      </w:t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From July 24,</w:t>
            </w:r>
          </w:p>
        </w:tc>
      </w:t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1998 (Inception)</w:t>
            </w:r>
          </w:p>
        </w:tc>
      </w:tr>
      <w:tr>
        <w:trPr>
          <w:trHeight w:val="173"/>
        </w:trPr>
        <w:tc>
          <w:tcPr>
            <w:tcW w:w="6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1"/>
              </w:rPr>
              <w:t>For The Years Ended</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Through</w:t>
            </w:r>
          </w:p>
        </w:tc>
      </w:tr>
      <w:tr>
        <w:trPr>
          <w:trHeight w:val="209"/>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207"/>
        </w:trPr>
        <w:tc>
          <w:tcPr>
            <w:tcW w:w="65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8"/>
                <w:szCs w:val="18"/>
                <w:color w:val="auto"/>
              </w:rPr>
            </w:pPr>
          </w:p>
        </w:tc>
      </w:tr>
      <w:tr>
        <w:trPr>
          <w:trHeight w:val="186"/>
        </w:trPr>
        <w:tc>
          <w:tcPr>
            <w:tcW w:w="6540" w:type="dxa"/>
            <w:vAlign w:val="bottom"/>
            <w:shd w:val="clear" w:color="auto" w:fill="CCFFCC"/>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65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(584,232)</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w w:val="93"/>
              </w:rPr>
              <w:t>(539,622)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(2,793,005)</w:t>
            </w:r>
          </w:p>
        </w:tc>
      </w:tr>
      <w:tr>
        <w:trPr>
          <w:trHeight w:val="195"/>
        </w:trPr>
        <w:tc>
          <w:tcPr>
            <w:tcW w:w="65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6540" w:type="dxa"/>
            <w:vAlign w:val="bottom"/>
          </w:tcPr>
          <w:p>
            <w:pPr>
              <w:ind w:left="260"/>
              <w:spacing w:after="0"/>
              <w:rPr>
                <w:sz w:val="20"/>
                <w:szCs w:val="20"/>
                <w:color w:val="auto"/>
              </w:rPr>
            </w:pPr>
            <w:r>
              <w:rPr>
                <w:rFonts w:ascii="Arial" w:cs="Arial" w:eastAsia="Arial" w:hAnsi="Arial"/>
                <w:sz w:val="14"/>
                <w:szCs w:val="14"/>
                <w:color w:val="auto"/>
              </w:rPr>
              <w:t>Estimated fair value of contributed services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400,000</w:t>
            </w:r>
          </w:p>
        </w:tc>
        <w:tc>
          <w:tcPr>
            <w:tcW w:w="8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400,000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2,300,000</w:t>
            </w:r>
          </w:p>
        </w:tc>
      </w:tr>
      <w:tr>
        <w:trPr>
          <w:trHeight w:val="195"/>
        </w:trPr>
        <w:tc>
          <w:tcPr>
            <w:tcW w:w="6540" w:type="dxa"/>
            <w:vAlign w:val="bottom"/>
            <w:shd w:val="clear" w:color="auto" w:fill="CCFFCC"/>
          </w:tcPr>
          <w:p>
            <w:pPr>
              <w:ind w:left="52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6540" w:type="dxa"/>
            <w:vAlign w:val="bottom"/>
          </w:tcPr>
          <w:p>
            <w:pPr>
              <w:ind w:left="780"/>
              <w:spacing w:after="0"/>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(1,998)</w:t>
            </w:r>
          </w:p>
        </w:tc>
        <w:tc>
          <w:tcPr>
            <w:tcW w:w="8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981</w:t>
            </w:r>
          </w:p>
        </w:tc>
        <w:tc>
          <w:tcPr>
            <w:tcW w:w="12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(5,696)</w:t>
            </w:r>
          </w:p>
        </w:tc>
      </w:tr>
      <w:tr>
        <w:trPr>
          <w:trHeight w:val="195"/>
        </w:trPr>
        <w:tc>
          <w:tcPr>
            <w:tcW w:w="6540" w:type="dxa"/>
            <w:vAlign w:val="bottom"/>
            <w:shd w:val="clear" w:color="auto" w:fill="CCFFCC"/>
          </w:tcPr>
          <w:p>
            <w:pPr>
              <w:ind w:left="78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121,516</w:t>
            </w:r>
          </w:p>
        </w:tc>
        <w:tc>
          <w:tcPr>
            <w:tcW w:w="8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46,650</w:t>
            </w:r>
          </w:p>
        </w:tc>
        <w:tc>
          <w:tcPr>
            <w:tcW w:w="12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173,692</w:t>
            </w:r>
          </w:p>
        </w:tc>
      </w:tr>
      <w:tr>
        <w:trPr>
          <w:trHeight w:val="216"/>
        </w:trPr>
        <w:tc>
          <w:tcPr>
            <w:tcW w:w="6540" w:type="dxa"/>
            <w:vAlign w:val="bottom"/>
          </w:tcPr>
          <w:p>
            <w:pPr>
              <w:ind w:left="78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9,052</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12,251</w:t>
            </w:r>
          </w:p>
        </w:tc>
      </w:tr>
      <w:tr>
        <w:trPr>
          <w:trHeight w:val="186"/>
        </w:trPr>
        <w:tc>
          <w:tcPr>
            <w:tcW w:w="6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6"/>
        </w:trPr>
        <w:tc>
          <w:tcPr>
            <w:tcW w:w="6540" w:type="dxa"/>
            <w:vAlign w:val="bottom"/>
          </w:tcPr>
          <w:p>
            <w:pPr>
              <w:ind w:left="26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(55,662)</w:t>
            </w:r>
          </w:p>
        </w:tc>
        <w:tc>
          <w:tcPr>
            <w:tcW w:w="8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(88,792)</w:t>
            </w:r>
          </w:p>
        </w:tc>
        <w:tc>
          <w:tcPr>
            <w:tcW w:w="1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4"/>
                <w:szCs w:val="14"/>
                <w:color w:val="auto"/>
              </w:rPr>
              <w:t>(312,758)</w:t>
            </w:r>
          </w:p>
        </w:tc>
      </w:tr>
      <w:tr>
        <w:trPr>
          <w:trHeight w:val="186"/>
        </w:trPr>
        <w:tc>
          <w:tcPr>
            <w:tcW w:w="6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65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65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Proceeds from notes payable to stockholders</w:t>
            </w: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226,300</w:t>
            </w:r>
          </w:p>
        </w:tc>
      </w:tr>
      <w:tr>
        <w:trPr>
          <w:trHeight w:val="194"/>
        </w:trPr>
        <w:tc>
          <w:tcPr>
            <w:tcW w:w="6540" w:type="dxa"/>
            <w:vAlign w:val="bottom"/>
          </w:tcPr>
          <w:p>
            <w:pPr>
              <w:ind w:left="260"/>
              <w:spacing w:after="0"/>
              <w:rPr>
                <w:sz w:val="20"/>
                <w:szCs w:val="20"/>
                <w:color w:val="auto"/>
              </w:rPr>
            </w:pPr>
            <w:r>
              <w:rPr>
                <w:rFonts w:ascii="Arial" w:cs="Arial" w:eastAsia="Arial" w:hAnsi="Arial"/>
                <w:sz w:val="14"/>
                <w:szCs w:val="14"/>
                <w:color w:val="auto"/>
              </w:rPr>
              <w:t>Capital contributions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48,600</w:t>
            </w:r>
          </w:p>
        </w:tc>
        <w:tc>
          <w:tcPr>
            <w:tcW w:w="840" w:type="dxa"/>
            <w:vAlign w:val="bottom"/>
          </w:tcPr>
          <w:p>
            <w:pPr>
              <w:spacing w:after="0"/>
              <w:rPr>
                <w:sz w:val="16"/>
                <w:szCs w:val="16"/>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14,200</w:t>
            </w: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62,800</w:t>
            </w:r>
          </w:p>
        </w:tc>
      </w:tr>
      <w:tr>
        <w:trPr>
          <w:trHeight w:val="195"/>
        </w:trPr>
        <w:tc>
          <w:tcPr>
            <w:tcW w:w="65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Proceeds from purchase of common stock</w:t>
            </w: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15,700</w:t>
            </w:r>
          </w:p>
        </w:tc>
        <w:tc>
          <w:tcPr>
            <w:tcW w:w="120" w:type="dxa"/>
            <w:vAlign w:val="bottom"/>
            <w:shd w:val="clear" w:color="auto" w:fill="CCFFCC"/>
          </w:tcPr>
          <w:p>
            <w:pPr>
              <w:spacing w:after="0"/>
              <w:rPr>
                <w:sz w:val="16"/>
                <w:szCs w:val="16"/>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21,700</w:t>
            </w:r>
          </w:p>
        </w:tc>
      </w:tr>
      <w:tr>
        <w:trPr>
          <w:trHeight w:val="216"/>
        </w:trPr>
        <w:tc>
          <w:tcPr>
            <w:tcW w:w="6540" w:type="dxa"/>
            <w:vAlign w:val="bottom"/>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2,400</w:t>
            </w:r>
          </w:p>
        </w:tc>
        <w:tc>
          <w:tcPr>
            <w:tcW w:w="8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r>
      <w:tr>
        <w:trPr>
          <w:trHeight w:val="186"/>
        </w:trPr>
        <w:tc>
          <w:tcPr>
            <w:tcW w:w="6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6"/>
        </w:trPr>
        <w:tc>
          <w:tcPr>
            <w:tcW w:w="6540" w:type="dxa"/>
            <w:vAlign w:val="bottom"/>
          </w:tcPr>
          <w:p>
            <w:pPr>
              <w:ind w:left="26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51,000</w:t>
            </w:r>
          </w:p>
        </w:tc>
        <w:tc>
          <w:tcPr>
            <w:tcW w:w="8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313,300</w:t>
            </w:r>
          </w:p>
        </w:tc>
      </w:tr>
      <w:tr>
        <w:trPr>
          <w:trHeight w:val="186"/>
        </w:trPr>
        <w:tc>
          <w:tcPr>
            <w:tcW w:w="6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6540" w:type="dxa"/>
            <w:vAlign w:val="bottom"/>
          </w:tcPr>
          <w:p>
            <w:pPr>
              <w:spacing w:after="0"/>
              <w:rPr>
                <w:sz w:val="20"/>
                <w:szCs w:val="20"/>
                <w:color w:val="auto"/>
              </w:rPr>
            </w:pPr>
            <w:r>
              <w:rPr>
                <w:rFonts w:ascii="Arial" w:cs="Arial" w:eastAsia="Arial" w:hAnsi="Arial"/>
                <w:sz w:val="14"/>
                <w:szCs w:val="14"/>
                <w:color w:val="auto"/>
              </w:rPr>
              <w:t>Net change in cash</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(4,662)</w:t>
            </w:r>
          </w:p>
        </w:tc>
        <w:tc>
          <w:tcPr>
            <w:tcW w:w="8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(28,792)</w:t>
            </w:r>
          </w:p>
        </w:tc>
        <w:tc>
          <w:tcPr>
            <w:tcW w:w="1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542</w:t>
            </w:r>
          </w:p>
        </w:tc>
      </w:tr>
      <w:tr>
        <w:trPr>
          <w:trHeight w:val="195"/>
        </w:trPr>
        <w:tc>
          <w:tcPr>
            <w:tcW w:w="6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5,204</w:t>
            </w:r>
          </w:p>
        </w:tc>
        <w:tc>
          <w:tcPr>
            <w:tcW w:w="8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33,996</w:t>
            </w: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86"/>
        </w:trPr>
        <w:tc>
          <w:tcPr>
            <w:tcW w:w="65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4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520" w:type="dxa"/>
            <w:vAlign w:val="bottom"/>
            <w:tcBorders>
              <w:top w:val="single" w:sz="8" w:color="auto"/>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2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r>
      <w:tr>
        <w:trPr>
          <w:trHeight w:val="194"/>
        </w:trPr>
        <w:tc>
          <w:tcPr>
            <w:tcW w:w="6540" w:type="dxa"/>
            <w:vAlign w:val="bottom"/>
          </w:tcPr>
          <w:p>
            <w:pPr>
              <w:spacing w:after="0"/>
              <w:rPr>
                <w:sz w:val="20"/>
                <w:szCs w:val="20"/>
                <w:color w:val="auto"/>
              </w:rPr>
            </w:pPr>
            <w:r>
              <w:rPr>
                <w:rFonts w:ascii="Arial" w:cs="Arial" w:eastAsia="Arial" w:hAnsi="Arial"/>
                <w:sz w:val="14"/>
                <w:szCs w:val="14"/>
                <w:color w:val="auto"/>
              </w:rPr>
              <w:t>Cash, end of period</w:t>
            </w:r>
          </w:p>
        </w:tc>
        <w:tc>
          <w:tcPr>
            <w:tcW w:w="108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542</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5,204</w:t>
            </w:r>
          </w:p>
        </w:tc>
        <w:tc>
          <w:tcPr>
            <w:tcW w:w="24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542</w:t>
            </w:r>
          </w:p>
        </w:tc>
      </w:tr>
      <w:tr>
        <w:trPr>
          <w:trHeight w:val="20"/>
        </w:trPr>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5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94"/>
        </w:trPr>
        <w:tc>
          <w:tcPr>
            <w:tcW w:w="6540" w:type="dxa"/>
            <w:vAlign w:val="bottom"/>
          </w:tcPr>
          <w:p>
            <w:pPr>
              <w:spacing w:after="0"/>
              <w:rPr>
                <w:sz w:val="20"/>
                <w:szCs w:val="20"/>
                <w:color w:val="auto"/>
              </w:rPr>
            </w:pPr>
            <w:r>
              <w:rPr>
                <w:rFonts w:ascii="Arial" w:cs="Arial" w:eastAsia="Arial" w:hAnsi="Arial"/>
                <w:sz w:val="14"/>
                <w:szCs w:val="14"/>
                <w:color w:val="auto"/>
              </w:rPr>
              <w:t>Supplemental disclosure of cash flow information: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Cash paid during the year for interest</w:t>
            </w:r>
          </w:p>
        </w:tc>
        <w:tc>
          <w:tcPr>
            <w:tcW w:w="1080" w:type="dxa"/>
            <w:vAlign w:val="bottom"/>
            <w:gridSpan w:val="2"/>
            <w:shd w:val="clear" w:color="auto" w:fill="CCFFCC"/>
          </w:tcPr>
          <w:p>
            <w:pPr>
              <w:jc w:val="right"/>
              <w:ind w:right="7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
        </w:trPr>
        <w:tc>
          <w:tcPr>
            <w:tcW w:w="65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67"/>
        </w:trPr>
        <w:tc>
          <w:tcPr>
            <w:tcW w:w="6540" w:type="dxa"/>
            <w:vAlign w:val="bottom"/>
          </w:tcPr>
          <w:p>
            <w:pPr>
              <w:ind w:left="260"/>
              <w:spacing w:after="0"/>
              <w:rPr>
                <w:sz w:val="20"/>
                <w:szCs w:val="20"/>
                <w:color w:val="auto"/>
              </w:rPr>
            </w:pPr>
            <w:r>
              <w:rPr>
                <w:rFonts w:ascii="Arial" w:cs="Arial" w:eastAsia="Arial" w:hAnsi="Arial"/>
                <w:sz w:val="14"/>
                <w:szCs w:val="14"/>
                <w:color w:val="auto"/>
              </w:rPr>
              <w:t>Cash paid during the year for income taxes</w:t>
            </w:r>
          </w:p>
        </w:tc>
        <w:tc>
          <w:tcPr>
            <w:tcW w:w="108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8"/>
        </w:trPr>
        <w:tc>
          <w:tcPr>
            <w:tcW w:w="65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194"/>
        </w:trPr>
        <w:tc>
          <w:tcPr>
            <w:tcW w:w="6540" w:type="dxa"/>
            <w:vAlign w:val="bottom"/>
          </w:tcPr>
          <w:p>
            <w:pPr>
              <w:spacing w:after="0"/>
              <w:rPr>
                <w:sz w:val="20"/>
                <w:szCs w:val="20"/>
                <w:color w:val="auto"/>
              </w:rPr>
            </w:pPr>
            <w:r>
              <w:rPr>
                <w:rFonts w:ascii="Arial" w:cs="Arial" w:eastAsia="Arial" w:hAnsi="Arial"/>
                <w:sz w:val="14"/>
                <w:szCs w:val="14"/>
                <w:color w:val="auto"/>
              </w:rPr>
              <w:t>Non-cash financing activity:</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40" w:type="dxa"/>
            <w:vAlign w:val="bottom"/>
            <w:shd w:val="clear" w:color="auto" w:fill="CCFFCC"/>
          </w:tcPr>
          <w:p>
            <w:pPr>
              <w:ind w:left="260"/>
              <w:spacing w:after="0"/>
              <w:rPr>
                <w:sz w:val="20"/>
                <w:szCs w:val="20"/>
                <w:color w:val="auto"/>
              </w:rPr>
            </w:pPr>
            <w:r>
              <w:rPr>
                <w:rFonts w:ascii="Arial" w:cs="Arial" w:eastAsia="Arial" w:hAnsi="Arial"/>
                <w:sz w:val="14"/>
                <w:szCs w:val="14"/>
                <w:color w:val="auto"/>
              </w:rPr>
              <w:t>Conversion of advances to notes payable to stockholders</w:t>
            </w:r>
          </w:p>
        </w:tc>
        <w:tc>
          <w:tcPr>
            <w:tcW w:w="1080" w:type="dxa"/>
            <w:vAlign w:val="bottom"/>
            <w:gridSpan w:val="2"/>
            <w:shd w:val="clear" w:color="auto" w:fill="CCFFCC"/>
          </w:tcPr>
          <w:p>
            <w:pPr>
              <w:jc w:val="right"/>
              <w:ind w:right="7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ind w:right="688"/>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8"/>
              </w:rPr>
              <w:t>196,300</w:t>
            </w:r>
          </w:p>
        </w:tc>
        <w:tc>
          <w:tcPr>
            <w:tcW w:w="2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0"/>
        </w:trPr>
        <w:tc>
          <w:tcPr>
            <w:tcW w:w="65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See report of independent registered public accounting firm and</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i w:val="1"/>
          <w:iCs w:val="1"/>
          <w:color w:val="auto"/>
        </w:rPr>
        <w:t>accompanying notes to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514" w:right="219" w:bottom="1440" w:gutter="0" w:footer="0" w:header="0"/>
        </w:sectPr>
      </w:pPr>
    </w:p>
    <w:bookmarkStart w:id="62" w:name="page63"/>
    <w:bookmarkEnd w:id="62"/>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9361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1 — ORGANIZATION AND NATURE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Organization and Nature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Trans-Pharma Corporation (the “Company”) was formed as a C Corporation under the laws of the State of Nevada on July 24, 1998 (“Inception”). The Company is based in San Diego, California.</w:t>
      </w: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is in the pharmaceutical industry and holds a U.S. patent that covers the Transdel™ technology for transdermal drug delivery. The patent was contributed by the founders upon formation of the Company. The Company’s lead topical drug candidate, Ketotransdel™, utilizes the proprietary Transdel™ cream formulation to facilitate the passage of ketoprofen, a non-steroidal anti-inflammatory drug (“NSAID”), through the epidermis and into underlying tissues. Ketotransdel™ provides an alternative to oral administration of cyclooxygenase-2 selective NSAIDs (“COX-2 inhibitors”) and non-selective NSAIDs, which when administered orally are associated with increased risk of adverse cardiovascular events, gastrointestinal and other adverse complications. The Company has successfully completed a clinical trial for acute soft-tissue pain and soreness with Ketotransdel™. The Company presently intends to conduct additional clinical studies and pharmacological and toxicological studies of Ketotransdel™. The Company plans to obtain approval from the Food and Drug Administration (“FDA”) in order to market and distribute this product.</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At present, all of the clinical, manufacturing and pharmacological and toxicological work will be managed by third party contractors and consultants. The Company will be exploring marketing or distribution arrangements or corporate partner arrangements to market and distribute its products. The Company is evaluating whether it is feasible to continue outsourcing significant business functions such as clinical trials, manufacturing and sales and marketing or if building its own infrastructure to carry out these functions is necessary or desirable. The Company has not generated any revenues and the Company does not anticipate that it will generate any revenues until one or more of its drug candidates are approved by the FDA and effective sales and marketing support is in place. The FDA approval process is highly uncertain and the Company cannot estimate when it will generate revenues, if at all.</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Going Concern</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accompanying financial statements have been prepared on a going-concern basis, which contemplates the realization of assets and the satisfaction of liabilities in the normal course of business. As shown in the financial statements, the Company has incurred recurring operating losses, had negative operating cash flows of $55,662 and $88,792 in 2006 and 2005, respectively, and has not recognized any revenue since Inception. In addition, the Company had a deficit accumulated during the development stage of $2,793,005 and negative working capital of $406,005 at December 31, 2006. These factors, among others, raise substantial doubt about the Company’s ability to continue as a going concern.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63" w:name="page64"/>
    <w:bookmarkEnd w:id="63"/>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 continued</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Company's continuation as a going concern is dependent on its ability to obtain additional financing to fund operations, implement its business model, and ultimately, to attain profitable operations. The Company intends to raise additional financing to fund its operations. However, there is no assurance that sufficient financing will be available or, if available, on terms that would be acceptable to the Company.</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Subsequent to December 31, 2006, the Company sold 25,700,000 shares of common stock for proceeds of $25,700 and issued convertible notes to various lenders for an aggregate of $1,500,000 (see Note 7).</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financial statements do not include any adjustments relating to the recoverability and classification of recorded asset amounts or the amounts and classification of liabilities that might be necessary should the Company be unable to continue as a going concern.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have been prepared in accordance with accounting principles generally accepted in the United States of America.</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Development Stage Enterprise</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 xml:space="preserve">The Company is a development stage company as defined in Statement of Financial Accounting Standards (“SFAS”) No. 7, </w:t>
      </w:r>
      <w:r>
        <w:rPr>
          <w:rFonts w:ascii="Arial" w:cs="Arial" w:eastAsia="Arial" w:hAnsi="Arial"/>
          <w:sz w:val="14"/>
          <w:szCs w:val="14"/>
          <w:i w:val="1"/>
          <w:iCs w:val="1"/>
          <w:color w:val="auto"/>
        </w:rPr>
        <w:t>Accounting and Reporting by Development Stage Enterprises</w:t>
      </w:r>
      <w:r>
        <w:rPr>
          <w:rFonts w:ascii="Arial" w:cs="Arial" w:eastAsia="Arial" w:hAnsi="Arial"/>
          <w:sz w:val="14"/>
          <w:szCs w:val="14"/>
          <w:color w:val="auto"/>
        </w:rPr>
        <w:t>.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Use of Estimates</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warrants and deferred taxes. Actual results could differ from those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Concentrations of Credit Risk</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Financial instruments that potentially subject the Company to significant concentration of credit risk consist primarily of cash. The Company maintains its cash balances at high-quality institutions that are insured by the Federal Deposit Insurance Corporation (“FDIC”) up to $100,000. At times, the Company’s cash balances may exceed the amount insured by the FDIC. At December 31, 2006, the Company had no cash balances which exceeded the insured limit.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4" w:name="page65"/>
    <w:bookmarkEnd w:id="64"/>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Fair Value of Financial Instruments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fair values of the Company’s cash, accounts payable and accrued expenses approximate carrying values due to their short maturities. The Company cannot determine the estimated fair value of notes payable to stockholders as the transactions originated with related parties and instruments similar to the notes payable could not be located.</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 Recognition</w:t>
      </w: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The Company will recognize revenues in accordance to the Securities and Exchange Commission Staff Accounting Bulletin (“SAB”) No. 101, </w:t>
      </w:r>
      <w:r>
        <w:rPr>
          <w:rFonts w:ascii="Arial" w:cs="Arial" w:eastAsia="Arial" w:hAnsi="Arial"/>
          <w:sz w:val="13"/>
          <w:szCs w:val="13"/>
          <w:i w:val="1"/>
          <w:iCs w:val="1"/>
          <w:color w:val="auto"/>
        </w:rPr>
        <w:t>Revenue Recognition</w:t>
      </w:r>
      <w:r>
        <w:rPr>
          <w:rFonts w:ascii="Arial" w:cs="Arial" w:eastAsia="Arial" w:hAnsi="Arial"/>
          <w:sz w:val="13"/>
          <w:szCs w:val="13"/>
          <w:color w:val="auto"/>
        </w:rPr>
        <w:t>, as amended by SAB No. 104. SAB No. 104 requires that four basic criteria must be met before revenue can be recognized: (1) persuasive evidence of an arrangement exists; (2) delivery has occurred; (3) the selling price is fixed and determinable; and (4) collectability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78" w:lineRule="exact"/>
        <w:rPr>
          <w:sz w:val="20"/>
          <w:szCs w:val="20"/>
          <w:color w:val="auto"/>
        </w:rPr>
      </w:pPr>
    </w:p>
    <w:p>
      <w:pPr>
        <w:jc w:val="both"/>
        <w:spacing w:after="0" w:line="330" w:lineRule="auto"/>
        <w:rPr>
          <w:sz w:val="20"/>
          <w:szCs w:val="20"/>
          <w:color w:val="auto"/>
        </w:rPr>
      </w:pPr>
      <w:r>
        <w:rPr>
          <w:rFonts w:ascii="Arial" w:cs="Arial" w:eastAsia="Arial" w:hAnsi="Arial"/>
          <w:sz w:val="13"/>
          <w:szCs w:val="13"/>
          <w:color w:val="auto"/>
        </w:rPr>
        <w:t>As of December 31, 2006, the Company had not generated any revenues and the Company does not anticipate that it will generate any revenues until one or more of its drug candidates are approved by the FDA and effective sales and marketing support are in place. The FDA approval process is highly uncertain and the Company cannot estimate when it will generate revenues at this time.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Income Taxes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 xml:space="preserve">The Company determines its income taxes under the asset and liability method in accordance with SFAS No. 109, </w:t>
      </w:r>
      <w:r>
        <w:rPr>
          <w:rFonts w:ascii="Arial" w:cs="Arial" w:eastAsia="Arial" w:hAnsi="Arial"/>
          <w:sz w:val="14"/>
          <w:szCs w:val="14"/>
          <w:i w:val="1"/>
          <w:iCs w:val="1"/>
          <w:color w:val="auto"/>
        </w:rPr>
        <w:t>Accounting for Income Taxes</w:t>
      </w:r>
      <w:r>
        <w:rPr>
          <w:rFonts w:ascii="Arial" w:cs="Arial" w:eastAsia="Arial" w:hAnsi="Arial"/>
          <w:sz w:val="14"/>
          <w:szCs w:val="14"/>
          <w:color w:val="auto"/>
        </w:rPr>
        <w:t>. Under the asset and liability method, deferred income tax assets and liabilities are calculated and recorded based upon the future tax consequences of temporary differences by applying enacted statutory tax rates applicable to future periods for differences between the financial statements carrying amounts and the tax basis of existing assets and liabilities. Generally, deferred income taxes are classified as current or non-current in accordance with the classification of the related asset or liability. Those not related to an asset or liability, are classified as current or non-current depending on the periods in which the temporary differences are expected to reverse. Valuation allowances are provided for significant deferred income tax assets when it is more likely than not that some or all of the deferred tax assets will not be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65" w:name="page66"/>
    <w:bookmarkEnd w:id="65"/>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Basic and Diluted Loss per Common Share</w:t>
      </w:r>
    </w:p>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Basic loss per share is calculated by dividing net loss by the weighted average common shares outstanding during the period. Diluted net loss per share reflects the potential dilution to basic loss per share that could occur upon conversion or exercise of securities, options or other such items to common shares using the treasury stock method, based upon the weighted average fair value of the Company’s common shares during the period. During the years ended December 31, 2006 and 2005, the Company did not have any potentially dilutive securities and no common stock equivalents were considered in the calculation of the weighted average number of shares outstanding because they would be anti-dilutive.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w:t>
      </w:r>
    </w:p>
    <w:p>
      <w:pPr>
        <w:spacing w:after="0" w:line="228"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 xml:space="preserve">In December 2004, the Financial Accounting Standards Board (“FASB”) issued SFAS No. 123 (revised 2004) (“SFAS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 xml:space="preserve">, to provide investors and other users of financial statements with more complete and neutral financial information by requiring that the compensation cost relating to share-based payment transactions be recognized in financial statements. That cost will be measured based on the fair value of the equity or liability instruments issued. SFAS No. 123(R) covers a wide range of share-based compensation arrangements including share options, restricted share plans, performance-based awards, share appreciation rights, and employee share purchase plans. SFAS No. 123(R) replaces SFAS No. 123, </w:t>
      </w:r>
      <w:r>
        <w:rPr>
          <w:rFonts w:ascii="Arial" w:cs="Arial" w:eastAsia="Arial" w:hAnsi="Arial"/>
          <w:sz w:val="13"/>
          <w:szCs w:val="13"/>
          <w:i w:val="1"/>
          <w:iCs w:val="1"/>
          <w:color w:val="auto"/>
        </w:rPr>
        <w:t>Accounting for Stock-Based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(“SFAS No. 123”), and supersedes Accounting Principles Board Opinion (“APB”) No. 25. SFAS No. 123, as originally issued in 1995, established as preferable a fair-value-based</w:t>
      </w:r>
      <w:r>
        <w:rPr>
          <w:rFonts w:ascii="Arial" w:cs="Arial" w:eastAsia="Arial" w:hAnsi="Arial"/>
          <w:sz w:val="13"/>
          <w:szCs w:val="13"/>
          <w:i w:val="1"/>
          <w:iCs w:val="1"/>
          <w:color w:val="auto"/>
        </w:rPr>
        <w:t xml:space="preserve"> </w:t>
      </w:r>
      <w:r>
        <w:rPr>
          <w:rFonts w:ascii="Arial" w:cs="Arial" w:eastAsia="Arial" w:hAnsi="Arial"/>
          <w:sz w:val="13"/>
          <w:szCs w:val="13"/>
          <w:color w:val="auto"/>
        </w:rPr>
        <w:t>method of accounting for share-based payment transactions with employees. However, that Statement permitted entities the option of continuing to apply the guidance in APB No. 25, as long as the footnotes to financial statements disclosed what net income (loss) would have been had the preferable fair-value-based method been used. There would have been no effect to the Company’s net loss had it been accounting for its stock based compensation under SFAS No. 123 during 2005.</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SFAS No. 123(R) requires companies to estimate the fair value of share-based payment awards on the date of grant using an option-pricing model. The value of the portion of the award that is ultimately expected to vest is recognized as expense over the requisite service periods in the Company's statement of operations, reduced for estimated forfeitures. SFAS No. 123(R) requires forfeitures to be estimated at the time of grant and revised, if necessary, in subsequent periods if actual forfeitures differ from those estimates. The Company adopted SFAS No. 123(R) in 2006. As a result of the adoption, the Company did not record any fair value-based compensation expense for options granted or vested during 2006.</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Prior to the adoption of SFAS No. 123(R), the Company accounted for stock-based awards to employees and directors using the intrinsic value method in accordance with APB No. 25 as allowed under SFAS No. 123. Under the intrinsic value method, stock-based compensation expense would be recognized in the Company's statements of operations for option grants to employees below the fair market value of the underlying stock at the date of grant.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66" w:name="page67"/>
    <w:bookmarkEnd w:id="66"/>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 continued</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SFAS No. 123(R) requires the cash flows resulting from the tax benefits resulting from tax deductions in excess of the compensation cost recognized for those options to be classified as financing cash flows. Due to the Company's loss position, there were no such tax benefits during the year ended December 31, 2006.</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Prior to the adoption of SFAS No. 123(R), those benefits would have been reported as operating cash flows had the Company received any tax benefits related to stock option exercises.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Description of 2005 Stock Plan</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Company's stock option plan provides for grant of options to employees and directors of the Company to purchase the Company's shares, as determined by management and the board of directors, at the fair value of such shares on the grant date. The options generally vest upon grant date and have a ten-year term. As of December 31, 2006, the Company is authorized to issue up to 5,000,000 shares under this plan and has approximately 2,400,000 shares available for future issuances.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Summary of Assumptions and Activity</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fair value of stock-based awards to employees and directors is calculated using the Black-Scholes option pricing model even though the model was developed to estimate the fair value of freely tradeable, fully transferable options without vesting restrictions, which differ significantly from the Company's stock options. The Black-Scholes model also requires subjective assumptions, including future stock price volatility and expected time to exercise, which greatly affect the calculated values. The expected term of options granted is derived from historical data on employee exercises and post-vesting employment termination behavior. The risk-free rate selected to value any particular grant is based on the U.S. Treasury rate that corresponds to the pricing term of the grant effective as of the date of the grant. The expected volatility is based on the historical volatility of publicly filing companies who are comparable to the Company and in a similar line of business. These factors could change in the future, affecting the determination of stock-based compensation expense in future periods. The fair value of options granted during 2006 and 2005 was estimated using the following weighted-average assumptions: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8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2006</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6"/>
                <w:szCs w:val="16"/>
                <w:color w:val="auto"/>
              </w:rPr>
            </w:pPr>
          </w:p>
        </w:tc>
      </w:tr>
      <w:tr>
        <w:trPr>
          <w:trHeight w:val="186"/>
        </w:trPr>
        <w:tc>
          <w:tcPr>
            <w:tcW w:w="93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Stock options:</w:t>
            </w:r>
          </w:p>
        </w:tc>
        <w:tc>
          <w:tcPr>
            <w:tcW w:w="36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4"/>
        </w:trPr>
        <w:tc>
          <w:tcPr>
            <w:tcW w:w="9380" w:type="dxa"/>
            <w:vAlign w:val="bottom"/>
            <w:gridSpan w:val="2"/>
          </w:tcPr>
          <w:p>
            <w:pPr>
              <w:ind w:left="260"/>
              <w:spacing w:after="0"/>
              <w:rPr>
                <w:sz w:val="20"/>
                <w:szCs w:val="20"/>
                <w:color w:val="auto"/>
              </w:rPr>
            </w:pPr>
            <w:r>
              <w:rPr>
                <w:rFonts w:ascii="Arial" w:cs="Arial" w:eastAsia="Arial" w:hAnsi="Arial"/>
                <w:sz w:val="14"/>
                <w:szCs w:val="14"/>
                <w:color w:val="auto"/>
              </w:rPr>
              <w:t>Expected term (in years)</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10.0</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10.0</w:t>
            </w:r>
          </w:p>
        </w:tc>
      </w:tr>
      <w:tr>
        <w:trPr>
          <w:trHeight w:val="195"/>
        </w:trPr>
        <w:tc>
          <w:tcPr>
            <w:tcW w:w="9380" w:type="dxa"/>
            <w:vAlign w:val="bottom"/>
            <w:gridSpan w:val="2"/>
            <w:shd w:val="clear" w:color="auto" w:fill="CCFFCC"/>
          </w:tcPr>
          <w:p>
            <w:pPr>
              <w:ind w:left="260"/>
              <w:spacing w:after="0"/>
              <w:rPr>
                <w:sz w:val="20"/>
                <w:szCs w:val="20"/>
                <w:color w:val="auto"/>
              </w:rPr>
            </w:pPr>
            <w:r>
              <w:rPr>
                <w:rFonts w:ascii="Arial" w:cs="Arial" w:eastAsia="Arial" w:hAnsi="Arial"/>
                <w:sz w:val="14"/>
                <w:szCs w:val="14"/>
                <w:color w:val="auto"/>
              </w:rPr>
              <w:t>Expected volatility</w:t>
            </w: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85%</w:t>
            </w:r>
          </w:p>
        </w:tc>
      </w:tr>
      <w:tr>
        <w:trPr>
          <w:trHeight w:val="194"/>
        </w:trPr>
        <w:tc>
          <w:tcPr>
            <w:tcW w:w="9380" w:type="dxa"/>
            <w:vAlign w:val="bottom"/>
            <w:gridSpan w:val="2"/>
          </w:tcPr>
          <w:p>
            <w:pPr>
              <w:ind w:left="260"/>
              <w:spacing w:after="0"/>
              <w:rPr>
                <w:sz w:val="20"/>
                <w:szCs w:val="20"/>
                <w:color w:val="auto"/>
              </w:rPr>
            </w:pPr>
            <w:r>
              <w:rPr>
                <w:rFonts w:ascii="Arial" w:cs="Arial" w:eastAsia="Arial" w:hAnsi="Arial"/>
                <w:sz w:val="14"/>
                <w:szCs w:val="14"/>
                <w:color w:val="auto"/>
              </w:rPr>
              <w:t>Risk-free interest rate</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5.23%</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4.50%</w:t>
            </w:r>
          </w:p>
        </w:tc>
      </w:tr>
      <w:tr>
        <w:trPr>
          <w:trHeight w:val="195"/>
        </w:trPr>
        <w:tc>
          <w:tcPr>
            <w:tcW w:w="9380" w:type="dxa"/>
            <w:vAlign w:val="bottom"/>
            <w:gridSpan w:val="2"/>
            <w:shd w:val="clear" w:color="auto" w:fill="CCFFCC"/>
          </w:tcPr>
          <w:p>
            <w:pPr>
              <w:ind w:left="260"/>
              <w:spacing w:after="0"/>
              <w:rPr>
                <w:sz w:val="20"/>
                <w:szCs w:val="20"/>
                <w:color w:val="auto"/>
              </w:rPr>
            </w:pPr>
            <w:r>
              <w:rPr>
                <w:rFonts w:ascii="Arial" w:cs="Arial" w:eastAsia="Arial" w:hAnsi="Arial"/>
                <w:sz w:val="14"/>
                <w:szCs w:val="14"/>
                <w:color w:val="auto"/>
              </w:rPr>
              <w:t>Dividend yield</w:t>
            </w:r>
          </w:p>
        </w:tc>
        <w:tc>
          <w:tcPr>
            <w:tcW w:w="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6"/>
                <w:szCs w:val="16"/>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6"/>
                <w:szCs w:val="16"/>
                <w:color w:val="auto"/>
              </w:rPr>
            </w:pPr>
          </w:p>
        </w:tc>
      </w:tr>
      <w:tr>
        <w:trPr>
          <w:trHeight w:val="388"/>
        </w:trPr>
        <w:tc>
          <w:tcPr>
            <w:tcW w:w="9380" w:type="dxa"/>
            <w:vAlign w:val="bottom"/>
            <w:gridSpan w:val="2"/>
          </w:tcPr>
          <w:p>
            <w:pPr>
              <w:ind w:left="5600"/>
              <w:spacing w:after="0"/>
              <w:rPr>
                <w:sz w:val="20"/>
                <w:szCs w:val="20"/>
                <w:color w:val="auto"/>
              </w:rPr>
            </w:pPr>
            <w:r>
              <w:rPr>
                <w:rFonts w:ascii="Arial" w:cs="Arial" w:eastAsia="Arial" w:hAnsi="Arial"/>
                <w:sz w:val="14"/>
                <w:szCs w:val="14"/>
                <w:color w:val="auto"/>
              </w:rPr>
              <w:t>F-26</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4"/>
        </w:trPr>
        <w:tc>
          <w:tcPr>
            <w:tcW w:w="8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67" w:name="page68"/>
    <w:bookmarkEnd w:id="67"/>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A summary of option activity as of December 31, 2006 and changes during each of the two years then ended, is presented below:</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December 31, 2006</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left="268"/>
              <w:spacing w:after="0" w:line="150"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left="248"/>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13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Exercise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CFFCC"/>
          </w:tcPr>
          <w:p>
            <w:pPr>
              <w:spacing w:after="0"/>
              <w:rPr>
                <w:sz w:val="20"/>
                <w:szCs w:val="20"/>
                <w:color w:val="auto"/>
              </w:rPr>
            </w:pPr>
            <w:r>
              <w:rPr>
                <w:rFonts w:ascii="Arial" w:cs="Arial" w:eastAsia="Arial" w:hAnsi="Arial"/>
                <w:sz w:val="14"/>
                <w:szCs w:val="14"/>
                <w:color w:val="auto"/>
              </w:rPr>
              <w:t>Options outstanding and exercisable at January 1, 2005</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20"/>
                <w:szCs w:val="20"/>
                <w:color w:val="auto"/>
              </w:rPr>
            </w:pPr>
            <w:r>
              <w:rPr>
                <w:rFonts w:ascii="Arial" w:cs="Arial" w:eastAsia="Arial" w:hAnsi="Arial"/>
                <w:sz w:val="14"/>
                <w:szCs w:val="14"/>
                <w:color w:val="auto"/>
              </w:rPr>
              <w:t>Options 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350,000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0.001</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shd w:val="clear" w:color="auto" w:fill="CCFFCC"/>
          </w:tcPr>
          <w:p>
            <w:pPr>
              <w:spacing w:after="0"/>
              <w:rPr>
                <w:sz w:val="20"/>
                <w:szCs w:val="20"/>
                <w:color w:val="auto"/>
              </w:rPr>
            </w:pPr>
            <w:r>
              <w:rPr>
                <w:rFonts w:ascii="Arial" w:cs="Arial" w:eastAsia="Arial" w:hAnsi="Arial"/>
                <w:sz w:val="14"/>
                <w:szCs w:val="14"/>
                <w:color w:val="auto"/>
              </w:rPr>
              <w:t>Options forfeited</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4"/>
                <w:szCs w:val="14"/>
                <w:color w:val="auto"/>
              </w:rPr>
              <w:t>Options exercised</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0.001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180" w:type="dxa"/>
            <w:vAlign w:val="bottom"/>
            <w:shd w:val="clear" w:color="auto" w:fill="CCFFCC"/>
          </w:tcPr>
          <w:p>
            <w:pPr>
              <w:spacing w:after="0"/>
              <w:rPr>
                <w:sz w:val="20"/>
                <w:szCs w:val="20"/>
                <w:color w:val="auto"/>
              </w:rPr>
            </w:pPr>
            <w:r>
              <w:rPr>
                <w:rFonts w:ascii="Arial" w:cs="Arial" w:eastAsia="Arial" w:hAnsi="Arial"/>
                <w:sz w:val="14"/>
                <w:szCs w:val="14"/>
                <w:color w:val="auto"/>
              </w:rPr>
              <w:t>Options outstanding and exercisable at December 31, 2005</w:t>
            </w:r>
          </w:p>
        </w:tc>
        <w:tc>
          <w:tcPr>
            <w:tcW w:w="13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250,000</w:t>
            </w: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6"/>
              </w:rPr>
              <w:t>0.001</w:t>
            </w:r>
          </w:p>
        </w:tc>
        <w:tc>
          <w:tcPr>
            <w:tcW w:w="220" w:type="dxa"/>
            <w:vAlign w:val="bottom"/>
            <w:shd w:val="clear" w:color="auto" w:fill="CCFFCC"/>
          </w:tcPr>
          <w:p>
            <w:pPr>
              <w:spacing w:after="0"/>
              <w:rPr>
                <w:sz w:val="16"/>
                <w:szCs w:val="16"/>
                <w:color w:val="auto"/>
              </w:rPr>
            </w:pPr>
          </w:p>
        </w:tc>
        <w:tc>
          <w:tcPr>
            <w:tcW w:w="11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20"/>
                <w:szCs w:val="20"/>
                <w:color w:val="auto"/>
              </w:rPr>
            </w:pPr>
            <w:r>
              <w:rPr>
                <w:rFonts w:ascii="Arial" w:cs="Arial" w:eastAsia="Arial" w:hAnsi="Arial"/>
                <w:sz w:val="14"/>
                <w:szCs w:val="14"/>
                <w:color w:val="auto"/>
              </w:rPr>
              <w:t>Options 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2,250,000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0.001</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80" w:type="dxa"/>
            <w:vAlign w:val="bottom"/>
            <w:shd w:val="clear" w:color="auto" w:fill="CCFFCC"/>
          </w:tcPr>
          <w:p>
            <w:pPr>
              <w:spacing w:after="0"/>
              <w:rPr>
                <w:sz w:val="20"/>
                <w:szCs w:val="20"/>
                <w:color w:val="auto"/>
              </w:rPr>
            </w:pPr>
            <w:r>
              <w:rPr>
                <w:rFonts w:ascii="Arial" w:cs="Arial" w:eastAsia="Arial" w:hAnsi="Arial"/>
                <w:sz w:val="14"/>
                <w:szCs w:val="14"/>
                <w:color w:val="auto"/>
              </w:rPr>
              <w:t>Options forfeited</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4"/>
                <w:szCs w:val="14"/>
                <w:color w:val="auto"/>
              </w:rPr>
              <w:t>Options exercised</w:t>
            </w: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(2,400,000)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0.001</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80" w:type="dxa"/>
            <w:vAlign w:val="bottom"/>
            <w:shd w:val="clear" w:color="auto" w:fill="CCFFCC"/>
          </w:tcPr>
          <w:p>
            <w:pPr>
              <w:spacing w:after="0"/>
              <w:rPr>
                <w:sz w:val="20"/>
                <w:szCs w:val="20"/>
                <w:color w:val="auto"/>
              </w:rPr>
            </w:pPr>
            <w:r>
              <w:rPr>
                <w:rFonts w:ascii="Arial" w:cs="Arial" w:eastAsia="Arial" w:hAnsi="Arial"/>
                <w:sz w:val="14"/>
                <w:szCs w:val="14"/>
                <w:color w:val="auto"/>
              </w:rPr>
              <w:t>Options outstanding and exercisable at December 31, 2006</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FFCC"/>
          </w:tcPr>
          <w:p>
            <w:pPr>
              <w:spacing w:after="0"/>
              <w:rPr>
                <w:sz w:val="17"/>
                <w:szCs w:val="17"/>
                <w:color w:val="auto"/>
              </w:rPr>
            </w:pP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spacing w:after="0"/>
              <w:rPr>
                <w:sz w:val="17"/>
                <w:szCs w:val="17"/>
                <w:color w:val="auto"/>
              </w:rPr>
            </w:pPr>
          </w:p>
        </w:tc>
        <w:tc>
          <w:tcPr>
            <w:tcW w:w="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w w:val="96"/>
              </w:rPr>
              <w:t>0.001</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8.6</w:t>
            </w:r>
          </w:p>
        </w:tc>
        <w:tc>
          <w:tcPr>
            <w:tcW w:w="4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The weighted-average grant date fair value of options granted during 2006 and 2005 was $0. Upon the exercise of options, the Company issues new shares from its authorized shares.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2006, there was $0 of total unrecognized compensation cost related to employee and director stock option compensation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 Accounting Pronouncements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 xml:space="preserve">In July 2006, the FASB issued FASB Interpretation No. 48, </w:t>
      </w:r>
      <w:r>
        <w:rPr>
          <w:rFonts w:ascii="Arial" w:cs="Arial" w:eastAsia="Arial" w:hAnsi="Arial"/>
          <w:sz w:val="13"/>
          <w:szCs w:val="13"/>
          <w:i w:val="1"/>
          <w:iCs w:val="1"/>
          <w:color w:val="auto"/>
        </w:rPr>
        <w:t>Accounting for Uncertainty in Income Taxes—an interpretation of FASB Statement No. 109</w:t>
      </w:r>
      <w:r>
        <w:rPr>
          <w:rFonts w:ascii="Arial" w:cs="Arial" w:eastAsia="Arial" w:hAnsi="Arial"/>
          <w:sz w:val="13"/>
          <w:szCs w:val="13"/>
          <w:color w:val="auto"/>
        </w:rPr>
        <w:t xml:space="preserve"> (“FIN 48”), which clarifies the accounting and disclosure for uncertainty in tax positions, as defined. FIN 48 seeks to reduce the diversity in practice associated with certain aspects of the recognition and measurement related to accounting for income taxes. The Company is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1998 remain subject to examination by the major tax jurisdictions in which the Company is subject to tax. The Company’s policy for recording interest and penalties associated with income-based tax audits is to record such items as a component of income taxes.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68" w:name="page69"/>
    <w:bookmarkEnd w:id="68"/>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2 — SUMMARY OF SIGNIFICANT ACCOUNTING POLICIES, continued</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In September 2006, the FASB issued SFAS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SFAS No. 157 defines fair value, establishes a framework for measuring fair value in generally accepted accounting principles and expands disclosures about fair value measurements. This Statement applies under other accounting pronouncements that require or permit fair value measurements, the FASB having previously concluded in those accounting pronouncements that fair value is the relevant measurement attribute. Accordingly, this Statement does not require any new fair value measurements. SFAS No. 157 is effective for fiscal years beginning after December 15, 2007. The Company plans to adopt SFAS No. 157 beginning in the first quarter of 2008. The Company is currently evaluating the impact, if any, that adoption of SFAS No. 157 will have on its operating income (loss) or net income (loss).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On February 15, 2007, the FASB issued SFAS No. 159, </w:t>
      </w:r>
      <w:r>
        <w:rPr>
          <w:rFonts w:ascii="Arial" w:cs="Arial" w:eastAsia="Arial" w:hAnsi="Arial"/>
          <w:sz w:val="14"/>
          <w:szCs w:val="14"/>
          <w:i w:val="1"/>
          <w:iCs w:val="1"/>
          <w:color w:val="auto"/>
        </w:rPr>
        <w:t>The Fair Value Option for Financial Assets and Financial Liabilities - Including an Amendment of FASB Statement No. 115.</w:t>
      </w:r>
      <w:r>
        <w:rPr>
          <w:rFonts w:ascii="Arial" w:cs="Arial" w:eastAsia="Arial" w:hAnsi="Arial"/>
          <w:sz w:val="14"/>
          <w:szCs w:val="14"/>
          <w:color w:val="auto"/>
        </w:rPr>
        <w:t xml:space="preserve"> SFAS No. 159 permits an entity to choose to measure many financial instruments and certain other items at fair value. Most of the provisions in SFAS No. 159 are elective; however, the amendment to FASB Statement No. 115, </w:t>
      </w:r>
      <w:r>
        <w:rPr>
          <w:rFonts w:ascii="Arial" w:cs="Arial" w:eastAsia="Arial" w:hAnsi="Arial"/>
          <w:sz w:val="14"/>
          <w:szCs w:val="14"/>
          <w:i w:val="1"/>
          <w:iCs w:val="1"/>
          <w:color w:val="auto"/>
        </w:rPr>
        <w:t>Accounting for Certain Investments in Debt and Equity Securities</w:t>
      </w:r>
      <w:r>
        <w:rPr>
          <w:rFonts w:ascii="Arial" w:cs="Arial" w:eastAsia="Arial" w:hAnsi="Arial"/>
          <w:sz w:val="14"/>
          <w:szCs w:val="14"/>
          <w:color w:val="auto"/>
        </w:rPr>
        <w:t xml:space="preserve">, applies to all entities with available-for-sale and trading securities. Some requirements apply differently to entities that do not report net income. The fair value option established by SFAS No. 159 permits all entities to choose to measure eligible items at fair value at specified election dates. A business entity will report unrealized gains and losses on items for which the fair value option has been elected in earnings at each subsequent reporting date. SFAS No. 159 is effective as of the beginning of an entity’s first fiscal year that begins after November 15, 2007. Early adoption is permitted as of the beginning of the previous fiscal year provided that the entity makes that choice in the first 120 days of that fiscal year and also elects to apply the provisions of SFAS No.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The adoption of this pronouncement is not expected to have material effect on the Company’s financial statements</w:t>
      </w:r>
      <w:r>
        <w:rPr>
          <w:rFonts w:ascii="Arial" w:cs="Arial" w:eastAsia="Arial" w:hAnsi="Arial"/>
          <w:sz w:val="14"/>
          <w:szCs w:val="14"/>
          <w:i w:val="1"/>
          <w:iCs w:val="1"/>
          <w:color w:val="auto"/>
        </w:rPr>
        <w:t>.</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recent accounting pronouncements issued by the FASB (including the Emerging Issues Task Force) and the American Institute of Certified Public Accountants did not or are not believed by management to have a material impact on the Company’s present or future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3 —NOTES PAYABLE TO STOCKHOLDERS</w:t>
      </w:r>
    </w:p>
    <w:p>
      <w:pPr>
        <w:spacing w:after="0" w:line="23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August 2005, the Company issued seven convertible promissory notes in the aggregate amount of $226,300 to various stockholders. The convertible notes bore interest at 4% per annum and were to mature on August 25, 2010 (the “Maturity Date”). If prior to the Maturity Date, the Company sells shares of its common stock for aggregate gross proceeds of not less than $1,000,000 ("Financing"), the Company shall cause the entire outstanding principal amount and accrued interest to convert into common stock at a conversion price equal to the per share offering price of the common stock sold in the Financing.</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issuance of the notes payable to stockholders, the Company granted warrants that are exercisable into an aggregate of 226,300 shares of the Company’s common stock. The warrants were determined to have an insignificant fair value (see Note 5).</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on these notes was $9,052, $3,199, and $12,251 for the years ended December 31, 2006 and 2005 and the period from Inception to December 31, 2006, respectively.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69" w:name="page70"/>
    <w:bookmarkEnd w:id="69"/>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3 —NOTES PAYABLE TO STOCKHOLDERS, continued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Subsequent to December 31, 2006, the notes payable with interest were forgiven and the related warrants to stockholders were forfeited (see Note 7).</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4 — INCOME TAXES</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At December 31, 2006, the Company has available for federal and state income tax purposes a net operating loss carryforwards of approximately $495,000, expiring through the year 2025, that may be used to offset future taxable income. The Company has provided a valuation reserve against the full amount of the net operating loss benefit, since in the opinion of management based upon the earnings history of the Company, it is more likely than not that the benefits will not be realized.</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Internal Revenue Code Sections 382 and 383, the use of the Company’s net operating loss and credit carryforwards may be limited if a cumulative change in ownership of more than 50% occurs within a three-year period. The annual limitation may result in the expiration of net operating losses and credits before utilization.</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Deferred tax assets consist primarily of the tax effect of net operating loss carryforwards. The Company has provided a full valuation allowance on the deferred tax assets because of the uncertainty regarding realizability. The valuation allowance increased approximately $20,000 and $15,000 during the years ended December 31, 2006 and 2005 respectively.</w:t>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Components of deferred tax assets as of December 31, 2006 are as follows:</w:t>
      </w: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273925" cy="1238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3925" cy="123825"/>
                    </a:xfrm>
                    <a:prstGeom prst="rect">
                      <a:avLst/>
                    </a:prstGeom>
                    <a:noFill/>
                  </pic:spPr>
                </pic:pic>
              </a:graphicData>
            </a:graphic>
          </wp:anchor>
        </w:drawing>
      </w:r>
    </w:p>
    <w:p>
      <w:pPr>
        <w:spacing w:after="0" w:line="14" w:lineRule="exact"/>
        <w:rPr>
          <w:sz w:val="20"/>
          <w:szCs w:val="20"/>
          <w:color w:val="auto"/>
        </w:rPr>
      </w:pPr>
    </w:p>
    <w:p>
      <w:pPr>
        <w:spacing w:after="0"/>
        <w:tabs>
          <w:tab w:leader="none" w:pos="9980" w:val="left"/>
          <w:tab w:leader="none" w:pos="10860" w:val="left"/>
        </w:tabs>
        <w:rPr>
          <w:sz w:val="20"/>
          <w:szCs w:val="20"/>
          <w:color w:val="auto"/>
        </w:rPr>
      </w:pPr>
      <w:r>
        <w:rPr>
          <w:rFonts w:ascii="Arial" w:cs="Arial" w:eastAsia="Arial" w:hAnsi="Arial"/>
          <w:sz w:val="14"/>
          <w:szCs w:val="14"/>
          <w:color w:val="auto"/>
        </w:rPr>
        <w:t>Net operating loss carry forward</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273925" cy="144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3925" cy="14414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Valuation allowance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Net deferred asset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(195,000)</w:t>
      </w:r>
    </w:p>
    <w:p>
      <w:pPr>
        <w:spacing w:after="0" w:line="66" w:lineRule="exact"/>
        <w:rPr>
          <w:sz w:val="20"/>
          <w:szCs w:val="20"/>
          <w:color w:val="auto"/>
        </w:rPr>
      </w:pPr>
    </w:p>
    <w:p>
      <w:pPr>
        <w:ind w:left="1310" w:hanging="1310"/>
        <w:spacing w:after="0"/>
        <w:tabs>
          <w:tab w:leader="none" w:pos="131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6550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6550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27940</wp:posOffset>
            </wp:positionV>
            <wp:extent cx="86550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6550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70" w:space="720"/>
            <w:col w:w="1470"/>
          </w:cols>
          <w:pgMar w:left="220" w:top="341" w:right="219" w:bottom="1440" w:gutter="0" w:footer="0" w:header="0"/>
          <w:type w:val="continuous"/>
        </w:sectPr>
      </w:pPr>
    </w:p>
    <w:p>
      <w:pPr>
        <w:spacing w:after="0" w:line="89"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b w:val="1"/>
          <w:bCs w:val="1"/>
          <w:u w:val="single" w:color="auto"/>
          <w:color w:val="auto"/>
        </w:rPr>
        <w:t>NOTE 5 — STOCKHOLDER</w:t>
      </w:r>
      <w:r>
        <w:rPr>
          <w:sz w:val="20"/>
          <w:szCs w:val="20"/>
          <w:color w:val="auto"/>
        </w:rPr>
        <w:tab/>
      </w:r>
      <w:r>
        <w:rPr>
          <w:rFonts w:ascii="Arial" w:cs="Arial" w:eastAsia="Arial" w:hAnsi="Arial"/>
          <w:sz w:val="14"/>
          <w:szCs w:val="14"/>
          <w:b w:val="1"/>
          <w:bCs w:val="1"/>
          <w:u w:val="single" w:color="auto"/>
          <w:color w:val="auto"/>
        </w:rPr>
        <w:t>S’ DEFICIT</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Common Stock and Capital Contributions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2006, the Company completed the following transactions:</w:t>
      </w:r>
    </w:p>
    <w:p>
      <w:pPr>
        <w:spacing w:after="0" w:line="228" w:lineRule="exact"/>
        <w:rPr>
          <w:sz w:val="20"/>
          <w:szCs w:val="20"/>
          <w:color w:val="auto"/>
        </w:rPr>
      </w:pPr>
    </w:p>
    <w:p>
      <w:pPr>
        <w:ind w:left="780" w:hanging="254"/>
        <w:spacing w:after="0"/>
        <w:tabs>
          <w:tab w:leader="none" w:pos="78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Issued 2,400,000 shares of common stock under stock options at a strike price of $0.001 per share for proceeds of $2,400.</w:t>
      </w:r>
    </w:p>
    <w:p>
      <w:pPr>
        <w:spacing w:after="0" w:line="294" w:lineRule="exact"/>
        <w:rPr>
          <w:rFonts w:ascii="Arial" w:cs="Arial" w:eastAsia="Arial" w:hAnsi="Arial"/>
          <w:sz w:val="12"/>
          <w:szCs w:val="12"/>
          <w:color w:val="auto"/>
        </w:rPr>
      </w:pPr>
    </w:p>
    <w:p>
      <w:pPr>
        <w:ind w:left="780" w:hanging="254"/>
        <w:spacing w:after="0"/>
        <w:tabs>
          <w:tab w:leader="none" w:pos="7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Received additional capital contributions of $48,600 made by the Company’s stockholders.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type w:val="continuous"/>
        </w:sectPr>
      </w:pPr>
    </w:p>
    <w:bookmarkStart w:id="70" w:name="page71"/>
    <w:bookmarkEnd w:id="70"/>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5 — STOCKHOLDER S’ DEFICIT, continued</w:t>
      </w:r>
    </w:p>
    <w:p>
      <w:pPr>
        <w:spacing w:after="0" w:line="232" w:lineRule="exact"/>
        <w:rPr>
          <w:sz w:val="20"/>
          <w:szCs w:val="20"/>
          <w:color w:val="auto"/>
        </w:rPr>
      </w:pPr>
    </w:p>
    <w:p>
      <w:pPr>
        <w:ind w:left="780" w:hanging="254"/>
        <w:spacing w:after="0" w:line="290" w:lineRule="auto"/>
        <w:tabs>
          <w:tab w:leader="none" w:pos="7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Recorded capital contributions of $400,000 (the estimated fair value of the services contributed) in connection with services contributed by stockholders, which is recorded as payroll and related in the accompanying statements of operations.</w:t>
      </w:r>
    </w:p>
    <w:p>
      <w:pPr>
        <w:spacing w:after="0" w:line="200" w:lineRule="exact"/>
        <w:rPr>
          <w:sz w:val="20"/>
          <w:szCs w:val="20"/>
          <w:color w:val="auto"/>
        </w:rPr>
      </w:pPr>
    </w:p>
    <w:p>
      <w:pPr>
        <w:spacing w:after="0" w:line="363" w:lineRule="exact"/>
        <w:rPr>
          <w:sz w:val="20"/>
          <w:szCs w:val="20"/>
          <w:color w:val="auto"/>
        </w:rPr>
      </w:pPr>
    </w:p>
    <w:p>
      <w:pPr>
        <w:ind w:left="780" w:hanging="254"/>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Sold 15,700,000 shares of common stock at a price of $0.001 per share for proceeds of $15,700.</w:t>
      </w:r>
    </w:p>
    <w:p>
      <w:pPr>
        <w:spacing w:after="0" w:line="271" w:lineRule="exact"/>
        <w:rPr>
          <w:rFonts w:ascii="Arial" w:cs="Arial" w:eastAsia="Arial" w:hAnsi="Arial"/>
          <w:sz w:val="14"/>
          <w:szCs w:val="14"/>
          <w:color w:val="auto"/>
        </w:rPr>
      </w:pPr>
    </w:p>
    <w:p>
      <w:pPr>
        <w:ind w:left="780" w:hanging="254"/>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Issued 100,000 shares of common stock under stock options at a strike price of $0.001 per share for proceeds of $100.</w:t>
      </w:r>
    </w:p>
    <w:p>
      <w:pPr>
        <w:spacing w:after="0" w:line="228" w:lineRule="exact"/>
        <w:rPr>
          <w:rFonts w:ascii="Arial" w:cs="Arial" w:eastAsia="Arial" w:hAnsi="Arial"/>
          <w:sz w:val="14"/>
          <w:szCs w:val="14"/>
          <w:color w:val="auto"/>
        </w:rPr>
      </w:pPr>
    </w:p>
    <w:p>
      <w:pPr>
        <w:ind w:left="780" w:hanging="254"/>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Received additional capital contributions of $14,200 from the Company’s stockholders.</w:t>
      </w:r>
    </w:p>
    <w:p>
      <w:pPr>
        <w:spacing w:after="0" w:line="228" w:lineRule="exact"/>
        <w:rPr>
          <w:rFonts w:ascii="Arial" w:cs="Arial" w:eastAsia="Arial" w:hAnsi="Arial"/>
          <w:sz w:val="14"/>
          <w:szCs w:val="14"/>
          <w:color w:val="auto"/>
        </w:rPr>
      </w:pPr>
    </w:p>
    <w:p>
      <w:pPr>
        <w:ind w:left="780" w:hanging="254"/>
        <w:spacing w:after="0" w:line="290"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Recorded capital contributions of $400,000 (the estimated fair value of the services contributed) in connection with services contributed by stockholders, which is recorded as payroll and related in the accompanying statements of operations.</w:t>
      </w:r>
    </w:p>
    <w:p>
      <w:pPr>
        <w:spacing w:after="0" w:line="200" w:lineRule="exact"/>
        <w:rPr>
          <w:sz w:val="20"/>
          <w:szCs w:val="20"/>
          <w:color w:val="auto"/>
        </w:rPr>
      </w:pPr>
    </w:p>
    <w:p>
      <w:pPr>
        <w:spacing w:after="0" w:line="363" w:lineRule="exact"/>
        <w:rPr>
          <w:sz w:val="20"/>
          <w:szCs w:val="20"/>
          <w:color w:val="auto"/>
        </w:rPr>
      </w:pPr>
    </w:p>
    <w:p>
      <w:pPr>
        <w:ind w:left="780" w:hanging="254"/>
        <w:spacing w:after="0"/>
        <w:tabs>
          <w:tab w:leader="none" w:pos="7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Recorded capital contributions of $400,000 (the estimated fair value of the services contributed) in connection with services contributed by stockholders.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80" w:hanging="254"/>
        <w:spacing w:after="0"/>
        <w:tabs>
          <w:tab w:leader="none" w:pos="7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Recorded capital contributions of $200,000 (the estimated fair value of the services contributed) in connection with services contributed by stockholders.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80" w:hanging="254"/>
        <w:spacing w:after="0"/>
        <w:tabs>
          <w:tab w:leader="none" w:pos="7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Recorded capital contributions of $200,000 (the estimated fair value of the services contributed) in connection with services contributed by stockholders.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00" w:right="1840" w:hanging="5074"/>
        <w:spacing w:after="0" w:line="644" w:lineRule="auto"/>
        <w:tabs>
          <w:tab w:leader="none" w:pos="788"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Recorded capital contributions of $200,000 (the estimated fair value of the services contributed) in connection with services contributed by stockholders. 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279640" cy="196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71" w:name="page72"/>
    <w:bookmarkEnd w:id="71"/>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5 — STOCKHOLDER S’ DEFICIT, continued</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2000, the Company completed the following transactions:</w:t>
      </w:r>
    </w:p>
    <w:p>
      <w:pPr>
        <w:spacing w:after="0" w:line="228" w:lineRule="exact"/>
        <w:rPr>
          <w:sz w:val="20"/>
          <w:szCs w:val="20"/>
          <w:color w:val="auto"/>
        </w:rPr>
      </w:pPr>
    </w:p>
    <w:p>
      <w:pPr>
        <w:ind w:left="780" w:hanging="254"/>
        <w:spacing w:after="0"/>
        <w:tabs>
          <w:tab w:leader="none" w:pos="780" w:val="left"/>
        </w:tabs>
        <w:numPr>
          <w:ilvl w:val="0"/>
          <w:numId w:val="37"/>
        </w:numPr>
        <w:rPr>
          <w:rFonts w:ascii="Arial" w:cs="Arial" w:eastAsia="Arial" w:hAnsi="Arial"/>
          <w:sz w:val="14"/>
          <w:szCs w:val="14"/>
          <w:b w:val="1"/>
          <w:bCs w:val="1"/>
          <w:color w:val="auto"/>
        </w:rPr>
      </w:pPr>
      <w:r>
        <w:rPr>
          <w:rFonts w:ascii="Arial" w:cs="Arial" w:eastAsia="Arial" w:hAnsi="Arial"/>
          <w:sz w:val="14"/>
          <w:szCs w:val="14"/>
          <w:color w:val="auto"/>
        </w:rPr>
        <w:t>Sold 6,000,000 shares of common stock at a price of $0.001 per share for proceeds of $6,000.</w:t>
      </w:r>
    </w:p>
    <w:p>
      <w:pPr>
        <w:spacing w:after="0" w:line="228" w:lineRule="exact"/>
        <w:rPr>
          <w:rFonts w:ascii="Arial" w:cs="Arial" w:eastAsia="Arial" w:hAnsi="Arial"/>
          <w:sz w:val="14"/>
          <w:szCs w:val="14"/>
          <w:b w:val="1"/>
          <w:bCs w:val="1"/>
          <w:color w:val="auto"/>
        </w:rPr>
      </w:pPr>
    </w:p>
    <w:p>
      <w:pPr>
        <w:ind w:left="780" w:hanging="254"/>
        <w:spacing w:after="0"/>
        <w:tabs>
          <w:tab w:leader="none" w:pos="7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Recorded capital contributions of $200,000 (the estimated fair value of the services contributed) in connection with services contributed by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1999, the Company completed the following transactions:</w:t>
      </w:r>
    </w:p>
    <w:p>
      <w:pPr>
        <w:spacing w:after="0" w:line="228" w:lineRule="exact"/>
        <w:rPr>
          <w:sz w:val="20"/>
          <w:szCs w:val="20"/>
          <w:color w:val="auto"/>
        </w:rPr>
      </w:pPr>
    </w:p>
    <w:p>
      <w:pPr>
        <w:ind w:left="780" w:hanging="254"/>
        <w:spacing w:after="0"/>
        <w:tabs>
          <w:tab w:leader="none" w:pos="7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Recorded capital contributions of $200,000 (the estimated fair value of the services contributed) in connection with services contributed by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During the period ended December 31, 1998, the Company completed the following transactions:</w:t>
      </w:r>
    </w:p>
    <w:p>
      <w:pPr>
        <w:spacing w:after="0" w:line="228" w:lineRule="exact"/>
        <w:rPr>
          <w:sz w:val="20"/>
          <w:szCs w:val="20"/>
          <w:color w:val="auto"/>
        </w:rPr>
      </w:pPr>
    </w:p>
    <w:p>
      <w:pPr>
        <w:ind w:left="780" w:hanging="254"/>
        <w:spacing w:after="0"/>
        <w:tabs>
          <w:tab w:leader="none" w:pos="7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Recorded capital contributions of $100,000 (the estimated fair value of the services contributed) in connection with services contributed by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Warrants</w:t>
      </w:r>
    </w:p>
    <w:p>
      <w:pPr>
        <w:spacing w:after="0" w:line="228" w:lineRule="exact"/>
        <w:rPr>
          <w:sz w:val="20"/>
          <w:szCs w:val="20"/>
          <w:color w:val="auto"/>
        </w:rPr>
      </w:pPr>
    </w:p>
    <w:p>
      <w:pPr>
        <w:spacing w:after="0" w:line="330" w:lineRule="auto"/>
        <w:rPr>
          <w:sz w:val="20"/>
          <w:szCs w:val="20"/>
          <w:color w:val="auto"/>
        </w:rPr>
      </w:pPr>
      <w:r>
        <w:rPr>
          <w:rFonts w:ascii="Arial" w:cs="Arial" w:eastAsia="Arial" w:hAnsi="Arial"/>
          <w:sz w:val="13"/>
          <w:szCs w:val="13"/>
          <w:color w:val="auto"/>
        </w:rPr>
        <w:t>In connection with the convertible notes payable issued in August 2005 (see Note 3), the Company granted warrants to purchase 226,300 shares of common stock. The warrants vested upon grant, have a weighted-average exercise price of $0.001 per share, and expire in August 2010. The weighted-average grant date fair value of warrants granted during 2005 was $0.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20"/>
                <w:szCs w:val="20"/>
                <w:color w:val="auto"/>
              </w:rPr>
            </w:pPr>
            <w:r>
              <w:rPr>
                <w:rFonts w:ascii="Arial" w:cs="Arial" w:eastAsia="Arial" w:hAnsi="Arial"/>
                <w:sz w:val="14"/>
                <w:szCs w:val="14"/>
                <w:color w:val="auto"/>
              </w:rPr>
              <w:t>The following summarizes the warrant activity during 2006 and 2005:</w:t>
            </w:r>
          </w:p>
        </w:tc>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6"/>
        </w:trPr>
        <w:tc>
          <w:tcPr>
            <w:tcW w:w="4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r>
      <w:tr>
        <w:trPr>
          <w:trHeight w:val="173"/>
        </w:trPr>
        <w:tc>
          <w:tcPr>
            <w:tcW w:w="48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73"/>
        </w:trPr>
        <w:tc>
          <w:tcPr>
            <w:tcW w:w="48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w:t>
            </w:r>
          </w:p>
        </w:tc>
      </w:tr>
      <w:tr>
        <w:trPr>
          <w:trHeight w:val="187"/>
        </w:trPr>
        <w:tc>
          <w:tcPr>
            <w:tcW w:w="48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 Shares</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r>
      <w:tr>
        <w:trPr>
          <w:trHeight w:val="186"/>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Outstanding—December 31, 2004</w:t>
            </w:r>
          </w:p>
        </w:tc>
        <w:tc>
          <w:tcPr>
            <w:tcW w:w="3560" w:type="dxa"/>
            <w:vAlign w:val="bottom"/>
            <w:shd w:val="clear" w:color="auto" w:fill="CCFFCC"/>
          </w:tcPr>
          <w:p>
            <w:pPr>
              <w:spacing w:after="0"/>
              <w:rPr>
                <w:sz w:val="16"/>
                <w:szCs w:val="16"/>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194"/>
        </w:trPr>
        <w:tc>
          <w:tcPr>
            <w:tcW w:w="4820" w:type="dxa"/>
            <w:vAlign w:val="bottom"/>
          </w:tcPr>
          <w:p>
            <w:pPr>
              <w:ind w:left="140"/>
              <w:spacing w:after="0"/>
              <w:rPr>
                <w:sz w:val="20"/>
                <w:szCs w:val="20"/>
                <w:color w:val="auto"/>
              </w:rPr>
            </w:pPr>
            <w:r>
              <w:rPr>
                <w:rFonts w:ascii="Arial" w:cs="Arial" w:eastAsia="Arial" w:hAnsi="Arial"/>
                <w:sz w:val="14"/>
                <w:szCs w:val="14"/>
                <w:color w:val="auto"/>
              </w:rPr>
              <w:t>Granted</w:t>
            </w:r>
          </w:p>
        </w:tc>
        <w:tc>
          <w:tcPr>
            <w:tcW w:w="4940" w:type="dxa"/>
            <w:vAlign w:val="bottom"/>
            <w:gridSpan w:val="2"/>
          </w:tcPr>
          <w:p>
            <w:pPr>
              <w:jc w:val="right"/>
              <w:spacing w:after="0"/>
              <w:rPr>
                <w:sz w:val="20"/>
                <w:szCs w:val="20"/>
                <w:color w:val="auto"/>
              </w:rPr>
            </w:pPr>
            <w:r>
              <w:rPr>
                <w:rFonts w:ascii="Arial" w:cs="Arial" w:eastAsia="Arial" w:hAnsi="Arial"/>
                <w:sz w:val="14"/>
                <w:szCs w:val="14"/>
                <w:color w:val="auto"/>
              </w:rPr>
              <w:t>226,300</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0.001</w:t>
            </w:r>
          </w:p>
        </w:tc>
      </w:tr>
      <w:tr>
        <w:trPr>
          <w:trHeight w:val="195"/>
        </w:trPr>
        <w:tc>
          <w:tcPr>
            <w:tcW w:w="4820" w:type="dxa"/>
            <w:vAlign w:val="bottom"/>
            <w:shd w:val="clear" w:color="auto" w:fill="CCFFCC"/>
          </w:tcPr>
          <w:p>
            <w:pPr>
              <w:ind w:left="140"/>
              <w:spacing w:after="0"/>
              <w:rPr>
                <w:sz w:val="20"/>
                <w:szCs w:val="20"/>
                <w:color w:val="auto"/>
              </w:rPr>
            </w:pPr>
            <w:r>
              <w:rPr>
                <w:rFonts w:ascii="Arial" w:cs="Arial" w:eastAsia="Arial" w:hAnsi="Arial"/>
                <w:sz w:val="14"/>
                <w:szCs w:val="14"/>
                <w:color w:val="auto"/>
              </w:rPr>
              <w:t>Exercised</w:t>
            </w:r>
          </w:p>
        </w:tc>
        <w:tc>
          <w:tcPr>
            <w:tcW w:w="3560" w:type="dxa"/>
            <w:vAlign w:val="bottom"/>
            <w:shd w:val="clear" w:color="auto" w:fill="CCFFCC"/>
          </w:tcPr>
          <w:p>
            <w:pPr>
              <w:spacing w:after="0"/>
              <w:rPr>
                <w:sz w:val="16"/>
                <w:szCs w:val="16"/>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4820" w:type="dxa"/>
            <w:vAlign w:val="bottom"/>
          </w:tcPr>
          <w:p>
            <w:pPr>
              <w:ind w:left="140"/>
              <w:spacing w:after="0"/>
              <w:rPr>
                <w:sz w:val="20"/>
                <w:szCs w:val="20"/>
                <w:color w:val="auto"/>
              </w:rPr>
            </w:pPr>
            <w:r>
              <w:rPr>
                <w:rFonts w:ascii="Arial" w:cs="Arial" w:eastAsia="Arial" w:hAnsi="Arial"/>
                <w:sz w:val="14"/>
                <w:szCs w:val="14"/>
                <w:color w:val="auto"/>
              </w:rPr>
              <w:t>Canceled</w:t>
            </w:r>
          </w:p>
        </w:tc>
        <w:tc>
          <w:tcPr>
            <w:tcW w:w="35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r>
      <w:tr>
        <w:trPr>
          <w:trHeight w:val="186"/>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Outstanding—December 31, 2005</w:t>
            </w:r>
          </w:p>
        </w:tc>
        <w:tc>
          <w:tcPr>
            <w:tcW w:w="49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226,300</w:t>
            </w:r>
          </w:p>
        </w:tc>
        <w:tc>
          <w:tcPr>
            <w:tcW w:w="4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0.001</w:t>
            </w:r>
          </w:p>
        </w:tc>
      </w:tr>
      <w:tr>
        <w:trPr>
          <w:trHeight w:val="194"/>
        </w:trPr>
        <w:tc>
          <w:tcPr>
            <w:tcW w:w="4820" w:type="dxa"/>
            <w:vAlign w:val="bottom"/>
          </w:tcPr>
          <w:p>
            <w:pPr>
              <w:ind w:left="140"/>
              <w:spacing w:after="0"/>
              <w:rPr>
                <w:sz w:val="20"/>
                <w:szCs w:val="20"/>
                <w:color w:val="auto"/>
              </w:rPr>
            </w:pPr>
            <w:r>
              <w:rPr>
                <w:rFonts w:ascii="Arial" w:cs="Arial" w:eastAsia="Arial" w:hAnsi="Arial"/>
                <w:sz w:val="14"/>
                <w:szCs w:val="14"/>
                <w:color w:val="auto"/>
              </w:rPr>
              <w:t>Granted</w:t>
            </w:r>
          </w:p>
        </w:tc>
        <w:tc>
          <w:tcPr>
            <w:tcW w:w="35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95"/>
        </w:trPr>
        <w:tc>
          <w:tcPr>
            <w:tcW w:w="4820" w:type="dxa"/>
            <w:vAlign w:val="bottom"/>
            <w:shd w:val="clear" w:color="auto" w:fill="CCFFCC"/>
          </w:tcPr>
          <w:p>
            <w:pPr>
              <w:ind w:left="140"/>
              <w:spacing w:after="0"/>
              <w:rPr>
                <w:sz w:val="20"/>
                <w:szCs w:val="20"/>
                <w:color w:val="auto"/>
              </w:rPr>
            </w:pPr>
            <w:r>
              <w:rPr>
                <w:rFonts w:ascii="Arial" w:cs="Arial" w:eastAsia="Arial" w:hAnsi="Arial"/>
                <w:sz w:val="14"/>
                <w:szCs w:val="14"/>
                <w:color w:val="auto"/>
              </w:rPr>
              <w:t>Exercised</w:t>
            </w:r>
          </w:p>
        </w:tc>
        <w:tc>
          <w:tcPr>
            <w:tcW w:w="3560" w:type="dxa"/>
            <w:vAlign w:val="bottom"/>
            <w:shd w:val="clear" w:color="auto" w:fill="CCFFCC"/>
          </w:tcPr>
          <w:p>
            <w:pPr>
              <w:spacing w:after="0"/>
              <w:rPr>
                <w:sz w:val="16"/>
                <w:szCs w:val="16"/>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r>
      <w:tr>
        <w:trPr>
          <w:trHeight w:val="216"/>
        </w:trPr>
        <w:tc>
          <w:tcPr>
            <w:tcW w:w="4820" w:type="dxa"/>
            <w:vAlign w:val="bottom"/>
          </w:tcPr>
          <w:p>
            <w:pPr>
              <w:ind w:left="140"/>
              <w:spacing w:after="0"/>
              <w:rPr>
                <w:sz w:val="20"/>
                <w:szCs w:val="20"/>
                <w:color w:val="auto"/>
              </w:rPr>
            </w:pPr>
            <w:r>
              <w:rPr>
                <w:rFonts w:ascii="Arial" w:cs="Arial" w:eastAsia="Arial" w:hAnsi="Arial"/>
                <w:sz w:val="14"/>
                <w:szCs w:val="14"/>
                <w:color w:val="auto"/>
              </w:rPr>
              <w:t>Canceled</w:t>
            </w:r>
          </w:p>
        </w:tc>
        <w:tc>
          <w:tcPr>
            <w:tcW w:w="35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r>
      <w:tr>
        <w:trPr>
          <w:trHeight w:val="226"/>
        </w:trPr>
        <w:tc>
          <w:tcPr>
            <w:tcW w:w="4820" w:type="dxa"/>
            <w:vAlign w:val="bottom"/>
            <w:shd w:val="clear" w:color="auto" w:fill="CCFFCC"/>
          </w:tcPr>
          <w:p>
            <w:pPr>
              <w:spacing w:after="0"/>
              <w:rPr>
                <w:sz w:val="20"/>
                <w:szCs w:val="20"/>
                <w:color w:val="auto"/>
              </w:rPr>
            </w:pPr>
            <w:r>
              <w:rPr>
                <w:rFonts w:ascii="Arial" w:cs="Arial" w:eastAsia="Arial" w:hAnsi="Arial"/>
                <w:sz w:val="14"/>
                <w:szCs w:val="14"/>
                <w:color w:val="auto"/>
              </w:rPr>
              <w:t>Outstanding—December 31, 2006</w:t>
            </w:r>
          </w:p>
        </w:tc>
        <w:tc>
          <w:tcPr>
            <w:tcW w:w="3560" w:type="dxa"/>
            <w:vAlign w:val="bottom"/>
            <w:shd w:val="clear" w:color="auto" w:fill="CCFFCC"/>
          </w:tcPr>
          <w:p>
            <w:pPr>
              <w:spacing w:after="0"/>
              <w:rPr>
                <w:sz w:val="19"/>
                <w:szCs w:val="19"/>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226,300</w:t>
            </w:r>
          </w:p>
        </w:tc>
        <w:tc>
          <w:tcPr>
            <w:tcW w:w="4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0.001</w:t>
            </w:r>
          </w:p>
        </w:tc>
      </w:tr>
      <w:tr>
        <w:trPr>
          <w:trHeight w:val="361"/>
        </w:trPr>
        <w:tc>
          <w:tcPr>
            <w:tcW w:w="4820" w:type="dxa"/>
            <w:vAlign w:val="bottom"/>
            <w:tcBorders>
              <w:top w:val="single" w:sz="8" w:color="CCFFCC"/>
            </w:tcBorders>
          </w:tcPr>
          <w:p>
            <w:pPr>
              <w:spacing w:after="0"/>
              <w:rPr>
                <w:sz w:val="24"/>
                <w:szCs w:val="24"/>
                <w:color w:val="auto"/>
              </w:rPr>
            </w:pPr>
          </w:p>
        </w:tc>
        <w:tc>
          <w:tcPr>
            <w:tcW w:w="3560" w:type="dxa"/>
            <w:vAlign w:val="bottom"/>
            <w:tcBorders>
              <w:top w:val="single" w:sz="8" w:color="CCFFCC"/>
            </w:tcBorders>
          </w:tcPr>
          <w:p>
            <w:pPr>
              <w:ind w:left="780"/>
              <w:spacing w:after="0"/>
              <w:rPr>
                <w:sz w:val="20"/>
                <w:szCs w:val="20"/>
                <w:color w:val="auto"/>
              </w:rPr>
            </w:pPr>
            <w:r>
              <w:rPr>
                <w:rFonts w:ascii="Arial" w:cs="Arial" w:eastAsia="Arial" w:hAnsi="Arial"/>
                <w:sz w:val="14"/>
                <w:szCs w:val="14"/>
                <w:color w:val="auto"/>
              </w:rPr>
              <w:t>F-31</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94"/>
        </w:trPr>
        <w:tc>
          <w:tcPr>
            <w:tcW w:w="482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3"/>
        </w:trPr>
        <w:tc>
          <w:tcPr>
            <w:tcW w:w="1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TRANS-PHARMA CORPORATION</w:t>
            </w:r>
          </w:p>
        </w:tc>
      </w:tr>
      <w:tr>
        <w:trPr>
          <w:trHeight w:val="186"/>
        </w:trPr>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(A DEVELOPMENT STAGE COMPANY)</w:t>
            </w:r>
          </w:p>
        </w:tc>
      </w:tr>
      <w:tr>
        <w:trPr>
          <w:trHeight w:val="389"/>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NOTES TO FINANCIAL STATEMENTS</w:t>
            </w:r>
          </w:p>
        </w:tc>
      </w:tr>
      <w:tr>
        <w:trPr>
          <w:trHeight w:val="376"/>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Years Ended December 31, 2006 and 2005 and</w:t>
            </w:r>
          </w:p>
        </w:tc>
      </w:tr>
      <w:tr>
        <w:trPr>
          <w:trHeight w:val="186"/>
        </w:trPr>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7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Period From July 24, 1998 (Inception) Through December 31, 2006</w:t>
            </w:r>
          </w:p>
        </w:tc>
      </w:tr>
      <w:tr>
        <w:trPr>
          <w:trHeight w:val="300"/>
        </w:trPr>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3"/>
        </w:trPr>
        <w:tc>
          <w:tcPr>
            <w:tcW w:w="186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6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50"/>
        </w:trPr>
        <w:tc>
          <w:tcPr>
            <w:tcW w:w="1860" w:type="dxa"/>
            <w:vAlign w:val="bottom"/>
          </w:tcPr>
          <w:p>
            <w:pPr>
              <w:spacing w:after="0"/>
              <w:rPr>
                <w:sz w:val="20"/>
                <w:szCs w:val="20"/>
                <w:color w:val="auto"/>
              </w:rPr>
            </w:pPr>
            <w:r>
              <w:rPr>
                <w:rFonts w:ascii="Arial" w:cs="Arial" w:eastAsia="Arial" w:hAnsi="Arial"/>
                <w:sz w:val="14"/>
                <w:szCs w:val="14"/>
                <w:b w:val="1"/>
                <w:bCs w:val="1"/>
                <w:color w:val="auto"/>
              </w:rPr>
              <w:t>NOTE 5 — STOCKHOLDER</w:t>
            </w:r>
          </w:p>
        </w:tc>
        <w:tc>
          <w:tcPr>
            <w:tcW w:w="9620" w:type="dxa"/>
            <w:vAlign w:val="bottom"/>
            <w:gridSpan w:val="6"/>
          </w:tcPr>
          <w:p>
            <w:pPr>
              <w:jc w:val="right"/>
              <w:ind w:right="7760"/>
              <w:spacing w:after="0"/>
              <w:rPr>
                <w:sz w:val="20"/>
                <w:szCs w:val="20"/>
                <w:color w:val="auto"/>
              </w:rPr>
            </w:pPr>
            <w:r>
              <w:rPr>
                <w:rFonts w:ascii="Arial" w:cs="Arial" w:eastAsia="Arial" w:hAnsi="Arial"/>
                <w:sz w:val="14"/>
                <w:szCs w:val="14"/>
                <w:b w:val="1"/>
                <w:bCs w:val="1"/>
                <w:color w:val="auto"/>
              </w:rPr>
              <w:t>S’ DEFICIT, continued</w:t>
            </w:r>
          </w:p>
        </w:tc>
      </w:tr>
      <w:tr>
        <w:trPr>
          <w:trHeight w:val="20"/>
        </w:trPr>
        <w:tc>
          <w:tcPr>
            <w:tcW w:w="1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760" w:type="dxa"/>
            <w:vAlign w:val="bottom"/>
            <w:gridSpan w:val="4"/>
          </w:tcPr>
          <w:p>
            <w:pPr>
              <w:spacing w:after="0" w:line="20" w:lineRule="exact"/>
              <w:rPr>
                <w:sz w:val="1"/>
                <w:szCs w:val="1"/>
                <w:color w:val="auto"/>
              </w:rPr>
            </w:pPr>
          </w:p>
        </w:tc>
      </w:tr>
      <w:tr>
        <w:trPr>
          <w:trHeight w:val="411"/>
        </w:trPr>
        <w:tc>
          <w:tcPr>
            <w:tcW w:w="11480" w:type="dxa"/>
            <w:vAlign w:val="bottom"/>
            <w:gridSpan w:val="7"/>
          </w:tcPr>
          <w:p>
            <w:pPr>
              <w:spacing w:after="0"/>
              <w:rPr>
                <w:sz w:val="20"/>
                <w:szCs w:val="20"/>
                <w:color w:val="auto"/>
              </w:rPr>
            </w:pPr>
            <w:r>
              <w:rPr>
                <w:rFonts w:ascii="Arial" w:cs="Arial" w:eastAsia="Arial" w:hAnsi="Arial"/>
                <w:sz w:val="14"/>
                <w:szCs w:val="14"/>
                <w:color w:val="auto"/>
              </w:rPr>
              <w:t>The fair value of warrants granted was estimated using the following weighted-average assumptions:</w:t>
            </w:r>
          </w:p>
        </w:tc>
      </w:tr>
      <w:tr>
        <w:trPr>
          <w:trHeight w:val="433"/>
        </w:trPr>
        <w:tc>
          <w:tcPr>
            <w:tcW w:w="1860" w:type="dxa"/>
            <w:vAlign w:val="bottom"/>
          </w:tcPr>
          <w:p>
            <w:pPr>
              <w:spacing w:after="0"/>
              <w:rPr>
                <w:sz w:val="24"/>
                <w:szCs w:val="24"/>
                <w:color w:val="auto"/>
              </w:rPr>
            </w:pPr>
          </w:p>
        </w:tc>
        <w:tc>
          <w:tcPr>
            <w:tcW w:w="8100" w:type="dxa"/>
            <w:vAlign w:val="bottom"/>
            <w:gridSpan w:val="3"/>
          </w:tcPr>
          <w:p>
            <w:pPr>
              <w:spacing w:after="0"/>
              <w:rPr>
                <w:sz w:val="24"/>
                <w:szCs w:val="24"/>
                <w:color w:val="auto"/>
              </w:rPr>
            </w:pPr>
          </w:p>
        </w:tc>
        <w:tc>
          <w:tcPr>
            <w:tcW w:w="13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1860" w:type="dxa"/>
            <w:vAlign w:val="bottom"/>
            <w:shd w:val="clear" w:color="auto" w:fill="CCFFCC"/>
          </w:tcPr>
          <w:p>
            <w:pPr>
              <w:spacing w:after="0"/>
              <w:rPr>
                <w:sz w:val="20"/>
                <w:szCs w:val="20"/>
                <w:color w:val="auto"/>
              </w:rPr>
            </w:pPr>
            <w:r>
              <w:rPr>
                <w:rFonts w:ascii="Arial" w:cs="Arial" w:eastAsia="Arial" w:hAnsi="Arial"/>
                <w:sz w:val="14"/>
                <w:szCs w:val="14"/>
                <w:color w:val="auto"/>
              </w:rPr>
              <w:t>Expected term (in years)</w:t>
            </w:r>
          </w:p>
        </w:tc>
        <w:tc>
          <w:tcPr>
            <w:tcW w:w="9600" w:type="dxa"/>
            <w:vAlign w:val="bottom"/>
            <w:gridSpan w:val="5"/>
            <w:shd w:val="clear" w:color="auto" w:fill="CCFFCC"/>
          </w:tcPr>
          <w:p>
            <w:pPr>
              <w:jc w:val="right"/>
              <w:ind w:right="120"/>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6"/>
                <w:szCs w:val="16"/>
                <w:color w:val="auto"/>
              </w:rPr>
            </w:pPr>
          </w:p>
        </w:tc>
      </w:tr>
      <w:tr>
        <w:trPr>
          <w:trHeight w:val="194"/>
        </w:trPr>
        <w:tc>
          <w:tcPr>
            <w:tcW w:w="1860" w:type="dxa"/>
            <w:vAlign w:val="bottom"/>
          </w:tcPr>
          <w:p>
            <w:pPr>
              <w:spacing w:after="0"/>
              <w:rPr>
                <w:sz w:val="20"/>
                <w:szCs w:val="20"/>
                <w:color w:val="auto"/>
              </w:rPr>
            </w:pPr>
            <w:r>
              <w:rPr>
                <w:rFonts w:ascii="Arial" w:cs="Arial" w:eastAsia="Arial" w:hAnsi="Arial"/>
                <w:sz w:val="14"/>
                <w:szCs w:val="14"/>
                <w:color w:val="auto"/>
              </w:rPr>
              <w:t>Expected volatility</w:t>
            </w:r>
          </w:p>
        </w:tc>
        <w:tc>
          <w:tcPr>
            <w:tcW w:w="9600" w:type="dxa"/>
            <w:vAlign w:val="bottom"/>
            <w:gridSpan w:val="5"/>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6"/>
                <w:szCs w:val="16"/>
                <w:color w:val="auto"/>
              </w:rPr>
            </w:pPr>
          </w:p>
        </w:tc>
      </w:tr>
      <w:tr>
        <w:trPr>
          <w:trHeight w:val="195"/>
        </w:trPr>
        <w:tc>
          <w:tcPr>
            <w:tcW w:w="1860" w:type="dxa"/>
            <w:vAlign w:val="bottom"/>
            <w:shd w:val="clear" w:color="auto" w:fill="CCFFCC"/>
          </w:tcPr>
          <w:p>
            <w:pPr>
              <w:spacing w:after="0"/>
              <w:rPr>
                <w:sz w:val="20"/>
                <w:szCs w:val="20"/>
                <w:color w:val="auto"/>
              </w:rPr>
            </w:pPr>
            <w:r>
              <w:rPr>
                <w:rFonts w:ascii="Arial" w:cs="Arial" w:eastAsia="Arial" w:hAnsi="Arial"/>
                <w:sz w:val="14"/>
                <w:szCs w:val="14"/>
                <w:color w:val="auto"/>
              </w:rPr>
              <w:t>Risk-free interest rate</w:t>
            </w:r>
          </w:p>
        </w:tc>
        <w:tc>
          <w:tcPr>
            <w:tcW w:w="9600" w:type="dxa"/>
            <w:vAlign w:val="bottom"/>
            <w:gridSpan w:val="5"/>
            <w:shd w:val="clear" w:color="auto" w:fill="CCFFCC"/>
          </w:tcPr>
          <w:p>
            <w:pPr>
              <w:jc w:val="right"/>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6"/>
                <w:szCs w:val="16"/>
                <w:color w:val="auto"/>
              </w:rPr>
            </w:pPr>
          </w:p>
        </w:tc>
      </w:tr>
      <w:tr>
        <w:trPr>
          <w:trHeight w:val="193"/>
        </w:trPr>
        <w:tc>
          <w:tcPr>
            <w:tcW w:w="1860" w:type="dxa"/>
            <w:vAlign w:val="bottom"/>
          </w:tcPr>
          <w:p>
            <w:pPr>
              <w:spacing w:after="0"/>
              <w:rPr>
                <w:sz w:val="20"/>
                <w:szCs w:val="20"/>
                <w:color w:val="auto"/>
              </w:rPr>
            </w:pPr>
            <w:r>
              <w:rPr>
                <w:rFonts w:ascii="Arial" w:cs="Arial" w:eastAsia="Arial" w:hAnsi="Arial"/>
                <w:sz w:val="14"/>
                <w:szCs w:val="14"/>
                <w:color w:val="auto"/>
              </w:rPr>
              <w:t>Dividend yield</w:t>
            </w:r>
          </w:p>
        </w:tc>
        <w:tc>
          <w:tcPr>
            <w:tcW w:w="94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Subsequent to December 31, 2006, all warrants were cancelled (see Note 7).</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6 — COMMITMENTS AND CONTINGENCIES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Indemnities and Guarantees</w:t>
      </w:r>
    </w:p>
    <w:p>
      <w:pPr>
        <w:spacing w:after="0" w:line="228"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The Company has made certain indemnities and guarantees, under which it may be required to make payments to a guaranteed or indemnified party, in relation to certain actions or transactions. The Company indemnifies its directors, officers, employees and agents, as permitted under the laws of the State of Nevada. The duration of the guarantees and indemnities varies, and is generally tied to the life of the agreement.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balance sheet.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Litigation</w:t>
      </w:r>
    </w:p>
    <w:p>
      <w:pPr>
        <w:spacing w:after="0" w:line="228"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The Company is, from time to time, involved in various legal and other proceedings which arise in the ordinary course of operating its business. In the opinion of management, the amount of ultimate liability, if any, with respect to these actions will not materially affect the financial position or results of operations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7 - SUBSEQUENT EVENTS</w:t>
      </w:r>
    </w:p>
    <w:p>
      <w:pPr>
        <w:spacing w:after="0" w:line="232"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In May 2007, the holders of the convertible notes payables and warrant agreements entered into on August 25, 2005 forgave the amounts due and forfeited the related warrants (see Note 3). In connection with the forgiveness, the Company will record additional paid in capital of approximately $241,000.</w:t>
      </w:r>
    </w:p>
    <w:p>
      <w:pPr>
        <w:spacing w:after="0" w:line="173" w:lineRule="exact"/>
        <w:rPr>
          <w:sz w:val="20"/>
          <w:szCs w:val="20"/>
          <w:color w:val="auto"/>
        </w:rPr>
      </w:pPr>
    </w:p>
    <w:p>
      <w:pPr>
        <w:jc w:val="both"/>
        <w:ind w:right="20"/>
        <w:spacing w:after="0" w:line="290" w:lineRule="auto"/>
        <w:rPr>
          <w:sz w:val="20"/>
          <w:szCs w:val="20"/>
          <w:color w:val="auto"/>
        </w:rPr>
      </w:pPr>
      <w:r>
        <w:rPr>
          <w:rFonts w:ascii="Arial" w:cs="Arial" w:eastAsia="Arial" w:hAnsi="Arial"/>
          <w:sz w:val="14"/>
          <w:szCs w:val="14"/>
          <w:color w:val="auto"/>
        </w:rPr>
        <w:t>On May 24, 2007, the Company entered into a mutual release agreement with a vendor, settling a balance of $170,914. In accordance with the mutual release agreement, the Company paid $81,000 and recognized a gain of $89,914</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80"/>
          </w:cols>
          <w:pgMar w:left="220" w:top="341" w:right="199" w:bottom="1440" w:gutter="0" w:footer="0" w:header="0"/>
        </w:sectPr>
      </w:pPr>
    </w:p>
    <w:bookmarkStart w:id="73" w:name="page74"/>
    <w:bookmarkEnd w:id="73"/>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7 - SUBSEQUENT EVENTS, continued</w:t>
      </w:r>
    </w:p>
    <w:p>
      <w:pPr>
        <w:spacing w:after="0" w:line="23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issued 25,700,000 shares of common stock for cash at a price of $0.001 per share for proceeds of $25,700, which includes the issuance of 200,000 shares upon the exercise of warrants for $200 of proceeds (see below), and received capital contributions in the aggregate amount of approximately $106,000 subsequent to December 31, 2006.</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Recorded capital contributions of $175,000 (the estimated fair value of the services contributed) in connection with services contributed by stockholders, which is recorded as payroll and related in the accompanying statements of operations.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February 27, 2007, the Company granted a warrant to purchase 200,000 shares of common stock in connection with services rendered. The warrant vested upon grant, had an exercise price of $0.001 per share, and expired in February 2012. In April 2007, the warrant was exercised.</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In May and June 2007, the Company issued convertible notes payable to various lenders for an aggregate amount of $1,500,000 (collectively, the “2007 Notes”). Each of the 2007 Notes bears interest at 7% per annum and matures on December 16, 2007 ("Maturity Date"). If prior to the Maturity Date, the Company merges with another company ("Pubco") that has a security approved for quotation on the OTC Bulletin Board ("Pubco Merger") or other trading market and Pubco simultaneously sells shares of its common stock for aggregate gross proceeds of not less than $2,500,000 ("Pubco Financing"), the Company shall cause the entire outstanding principal amount and accrued interest to convert into Pubco common stock at a conversion price equal to one-half of the per share offering price of the Pubco common stock sold in Pubco Financing. In the event of a Pubco Merger and Pubco Financing, the Company would record a debt discount of $1,500,000, which would be amortized immediately to interest expense upon the conversion of the 2007 Notes. If a Pubco Merger has not occurred by the Maturity Date, then at the option of the lender, each of the 2007 Notes shall convert into a pro rata portion of such number of shares of the Company's common stock that represents 15% of the Company's outstanding common stock on the Maturity Date. The 2007 Notes are not convertible until the earlier of the Pubco Merger and Pubco Financing or the Maturity Date.</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The Company entered into a lab agreement with DPT Laboratories (“DPT”) during May 2007 to produce the product Ketopfofen Cream. The agreement required the Company to pay DPT $50,000 upon signature, $150,000 after two weeks of the project start date, and $100,000 after fourteen weeks of the project start date. In May and July 2007, the Company paid and expensed, in the aggregate, $200,000 related to this agreement.</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In July 2007, the Company commenced a private offering (the “Offering”) for a minimum of 30 units and a maximum of 50 units of a to be identified publicly-traded company (“Pubco”) that would acquire all of the capital stock and business of the Company. Each unit is comprised of 50,000 shares of Pubco’s common stock and a detachable redeemable warrant to purchase 12,500 shares of Pubco’s common stock with a cash exercise price of $4.00 per share and a cashless exercise price of $5.00 per share, for a per unit purchase of $100,000.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74" w:name="page75"/>
    <w:bookmarkEnd w:id="74"/>
    <w:p>
      <w:pPr>
        <w:ind w:left="9160"/>
        <w:spacing w:after="0"/>
        <w:rPr>
          <w:sz w:val="20"/>
          <w:szCs w:val="20"/>
          <w:color w:val="auto"/>
        </w:rPr>
      </w:pPr>
      <w:r>
        <w:rPr>
          <w:rFonts w:ascii="Arial" w:cs="Arial" w:eastAsia="Arial" w:hAnsi="Arial"/>
          <w:sz w:val="14"/>
          <w:szCs w:val="14"/>
          <w:b w:val="1"/>
          <w:bCs w:val="1"/>
          <w:color w:val="auto"/>
        </w:rPr>
        <w:t>TRANS-PHARMA CORPORATION</w:t>
      </w:r>
    </w:p>
    <w:p>
      <w:pPr>
        <w:spacing w:after="0" w:line="25"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(A DEVELOPMENT STAGE COMPANY)</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NOTES TO FINANCIAL STATEMENTS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Years Ended December 31, 2006 and 2005 and</w:t>
      </w:r>
    </w:p>
    <w:p>
      <w:pPr>
        <w:spacing w:after="0" w:line="25" w:lineRule="exact"/>
        <w:rPr>
          <w:sz w:val="20"/>
          <w:szCs w:val="20"/>
          <w:color w:val="auto"/>
        </w:rPr>
      </w:pPr>
    </w:p>
    <w:p>
      <w:pPr>
        <w:ind w:left="6800"/>
        <w:spacing w:after="0"/>
        <w:rPr>
          <w:sz w:val="20"/>
          <w:szCs w:val="20"/>
          <w:color w:val="auto"/>
        </w:rPr>
      </w:pPr>
      <w:r>
        <w:rPr>
          <w:rFonts w:ascii="Arial" w:cs="Arial" w:eastAsia="Arial" w:hAnsi="Arial"/>
          <w:sz w:val="13"/>
          <w:szCs w:val="13"/>
          <w:b w:val="1"/>
          <w:bCs w:val="1"/>
          <w:color w:val="auto"/>
        </w:rPr>
        <w:t>For The Period From July 24, 1998 (Inception) Through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29361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3610" cy="4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 7 - SUBSEQUENT EVENTS, continued</w:t>
      </w:r>
    </w:p>
    <w:p>
      <w:pPr>
        <w:spacing w:after="0" w:line="232" w:lineRule="exact"/>
        <w:rPr>
          <w:sz w:val="20"/>
          <w:szCs w:val="20"/>
          <w:color w:val="auto"/>
        </w:rPr>
      </w:pPr>
    </w:p>
    <w:p>
      <w:pPr>
        <w:jc w:val="both"/>
        <w:spacing w:after="0" w:line="295" w:lineRule="auto"/>
        <w:rPr>
          <w:sz w:val="20"/>
          <w:szCs w:val="20"/>
          <w:color w:val="auto"/>
        </w:rPr>
      </w:pPr>
      <w:r>
        <w:rPr>
          <w:rFonts w:ascii="Arial" w:cs="Arial" w:eastAsia="Arial" w:hAnsi="Arial"/>
          <w:sz w:val="13"/>
          <w:szCs w:val="13"/>
          <w:color w:val="auto"/>
        </w:rPr>
        <w:t>Immediately prior to the initial closing of the Offering by Pubco, a wholly-owned subsidiary of Pubco will be merged with the Company in a transaction, intended to be tax-free, commonly referred to as a reverse merger. As a result, the Company will become a wholly-owned subsidiary of Pubco and all of the outstanding common stock of the Company will be converted into stock of Pubco. Immediately after the merger, the officers and directors of Pubco will resign and the management of the Company will control such positions; therefore, effecting a change of control. As a result, the transaction will be recorded as a reverse merger whereby the Company will be considered to be the accounting acquirer as it will retain control of Pubco after the merger.</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Effective August 21, 2007, the Company issued 50,000 shares of common stock in connection with the exercise of stock options at a price of $0.001 per share for proceeds of $50. Also, 50,000 stock options previously held were forfeited.</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August 22, 2007, the Company awarded and the Board of Directors approved issuing 1,250,000 shares of restricted stock to an officer of the Company. The restricted stock will 100% vest eighteen months following the consummation of a merger of the Company with a publicly traded company or a subsidiary of a publicly traded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PART II</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261"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Item 24.</w:t>
      </w:r>
      <w:r>
        <w:rPr>
          <w:sz w:val="20"/>
          <w:szCs w:val="20"/>
          <w:color w:val="auto"/>
        </w:rPr>
        <w:tab/>
      </w:r>
      <w:r>
        <w:rPr>
          <w:rFonts w:ascii="Arial" w:cs="Arial" w:eastAsia="Arial" w:hAnsi="Arial"/>
          <w:sz w:val="13"/>
          <w:szCs w:val="13"/>
          <w:b w:val="1"/>
          <w:bCs w:val="1"/>
          <w:color w:val="auto"/>
        </w:rPr>
        <w:t>Indemnification of Directors and Officers.</w:t>
      </w:r>
    </w:p>
    <w:p>
      <w:pPr>
        <w:spacing w:after="0" w:line="243" w:lineRule="exact"/>
        <w:rPr>
          <w:sz w:val="20"/>
          <w:szCs w:val="20"/>
          <w:color w:val="auto"/>
        </w:rPr>
      </w:pPr>
    </w:p>
    <w:p>
      <w:pPr>
        <w:ind w:right="40" w:firstLine="519"/>
        <w:spacing w:after="0" w:line="283" w:lineRule="auto"/>
        <w:rPr>
          <w:sz w:val="20"/>
          <w:szCs w:val="20"/>
          <w:color w:val="auto"/>
        </w:rPr>
      </w:pPr>
      <w:r>
        <w:rPr>
          <w:rFonts w:ascii="Arial" w:cs="Arial" w:eastAsia="Arial" w:hAnsi="Arial"/>
          <w:sz w:val="13"/>
          <w:szCs w:val="13"/>
          <w:color w:val="auto"/>
        </w:rPr>
        <w:t>Section 145 of the Delaware General Corporation Law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84" w:lineRule="exact"/>
        <w:rPr>
          <w:sz w:val="20"/>
          <w:szCs w:val="20"/>
          <w:color w:val="auto"/>
        </w:rPr>
      </w:pPr>
    </w:p>
    <w:p>
      <w:pPr>
        <w:ind w:right="60" w:firstLine="519"/>
        <w:spacing w:after="0" w:line="274" w:lineRule="auto"/>
        <w:rPr>
          <w:sz w:val="20"/>
          <w:szCs w:val="20"/>
          <w:color w:val="auto"/>
        </w:rPr>
      </w:pPr>
      <w:r>
        <w:rPr>
          <w:rFonts w:ascii="Arial" w:cs="Arial" w:eastAsia="Arial" w:hAnsi="Arial"/>
          <w:sz w:val="14"/>
          <w:szCs w:val="14"/>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84" w:lineRule="exact"/>
        <w:rPr>
          <w:sz w:val="20"/>
          <w:szCs w:val="20"/>
          <w:color w:val="auto"/>
        </w:rPr>
      </w:pPr>
    </w:p>
    <w:p>
      <w:pPr>
        <w:jc w:val="both"/>
        <w:ind w:right="100" w:firstLine="519"/>
        <w:spacing w:after="0" w:line="268" w:lineRule="auto"/>
        <w:rPr>
          <w:sz w:val="20"/>
          <w:szCs w:val="20"/>
          <w:color w:val="auto"/>
        </w:rPr>
      </w:pPr>
      <w:r>
        <w:rPr>
          <w:rFonts w:ascii="Arial" w:cs="Arial" w:eastAsia="Arial" w:hAnsi="Arial"/>
          <w:sz w:val="14"/>
          <w:szCs w:val="14"/>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“claim” (as such term is defined in the agreement) initiated by the indemnitee against us or our directors or officers unless we join or consent to the initiation of such claim, or the purchase and sale of securities by the indemnitee in violation of Section 16(b) of the Securities Exchange Act of 1934, as amended.</w:t>
      </w:r>
    </w:p>
    <w:p>
      <w:pPr>
        <w:spacing w:after="0" w:line="190" w:lineRule="exact"/>
        <w:rPr>
          <w:sz w:val="20"/>
          <w:szCs w:val="20"/>
          <w:color w:val="auto"/>
        </w:rPr>
      </w:pPr>
    </w:p>
    <w:p>
      <w:pPr>
        <w:ind w:right="240" w:firstLine="519"/>
        <w:spacing w:after="0" w:line="290" w:lineRule="auto"/>
        <w:rPr>
          <w:sz w:val="20"/>
          <w:szCs w:val="20"/>
          <w:color w:val="auto"/>
        </w:rPr>
      </w:pPr>
      <w:r>
        <w:rPr>
          <w:rFonts w:ascii="Arial" w:cs="Arial" w:eastAsia="Arial" w:hAnsi="Arial"/>
          <w:sz w:val="14"/>
          <w:szCs w:val="14"/>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3" w:lineRule="exact"/>
        <w:rPr>
          <w:sz w:val="20"/>
          <w:szCs w:val="20"/>
          <w:color w:val="auto"/>
        </w:rPr>
      </w:pPr>
    </w:p>
    <w:p>
      <w:pPr>
        <w:ind w:right="500" w:firstLine="519"/>
        <w:spacing w:after="0" w:line="290" w:lineRule="auto"/>
        <w:rPr>
          <w:sz w:val="20"/>
          <w:szCs w:val="20"/>
          <w:color w:val="auto"/>
        </w:rPr>
      </w:pPr>
      <w:r>
        <w:rPr>
          <w:rFonts w:ascii="Arial" w:cs="Arial" w:eastAsia="Arial" w:hAnsi="Arial"/>
          <w:sz w:val="14"/>
          <w:szCs w:val="14"/>
          <w:color w:val="auto"/>
        </w:rPr>
        <w:t>We are also permitted to apply for insurance on behalf of any director, officer, employee or other agent for liability arising out of his actions, whether or not the DGCL would permit indemnification.</w:t>
      </w:r>
    </w:p>
    <w:p>
      <w:pPr>
        <w:spacing w:after="0" w:line="202"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Other Expenses of Issuance and Distribution.</w:t>
      </w:r>
    </w:p>
    <w:p>
      <w:pPr>
        <w:spacing w:after="0" w:line="243" w:lineRule="exact"/>
        <w:rPr>
          <w:sz w:val="20"/>
          <w:szCs w:val="20"/>
          <w:color w:val="auto"/>
        </w:rPr>
      </w:pPr>
    </w:p>
    <w:p>
      <w:pPr>
        <w:ind w:right="20" w:firstLine="519"/>
        <w:spacing w:after="0" w:line="290" w:lineRule="auto"/>
        <w:rPr>
          <w:sz w:val="20"/>
          <w:szCs w:val="20"/>
          <w:color w:val="auto"/>
        </w:rPr>
      </w:pPr>
      <w:r>
        <w:rPr>
          <w:rFonts w:ascii="Arial" w:cs="Arial" w:eastAsia="Arial" w:hAnsi="Arial"/>
          <w:sz w:val="14"/>
          <w:szCs w:val="14"/>
          <w:color w:val="auto"/>
        </w:rPr>
        <w:t>We are paying all of the selling stockholders’ expenses related to this offering, except that the selling stockholders will pay any applicable underwriting discounts and commissions. The fees and expenses payable by us in connection with this Registration Statement are estimated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0" w:type="dxa"/>
            <w:vAlign w:val="bottom"/>
            <w:shd w:val="clear" w:color="auto" w:fill="CCFFCC"/>
          </w:tcPr>
          <w:p>
            <w:pPr>
              <w:spacing w:after="0"/>
              <w:rPr>
                <w:sz w:val="20"/>
                <w:szCs w:val="20"/>
                <w:color w:val="auto"/>
              </w:rPr>
            </w:pPr>
            <w:r>
              <w:rPr>
                <w:rFonts w:ascii="Arial" w:cs="Arial" w:eastAsia="Arial" w:hAnsi="Arial"/>
                <w:sz w:val="14"/>
                <w:szCs w:val="14"/>
                <w:color w:val="auto"/>
              </w:rPr>
              <w:t>SEC Registration Fee</w:t>
            </w:r>
          </w:p>
        </w:tc>
        <w:tc>
          <w:tcPr>
            <w:tcW w:w="420" w:type="dxa"/>
            <w:vAlign w:val="bottom"/>
            <w:shd w:val="clear" w:color="auto" w:fill="CCFFCC"/>
          </w:tcPr>
          <w:p>
            <w:pPr>
              <w:jc w:val="right"/>
              <w:ind w:right="30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352.27</w:t>
            </w:r>
          </w:p>
        </w:tc>
        <w:tc>
          <w:tcPr>
            <w:tcW w:w="100" w:type="dxa"/>
            <w:vAlign w:val="bottom"/>
            <w:shd w:val="clear" w:color="auto" w:fill="CCFFCC"/>
          </w:tcPr>
          <w:p>
            <w:pPr>
              <w:spacing w:after="0"/>
              <w:rPr>
                <w:sz w:val="16"/>
                <w:szCs w:val="16"/>
                <w:color w:val="auto"/>
              </w:rPr>
            </w:pPr>
          </w:p>
        </w:tc>
      </w:tr>
      <w:tr>
        <w:trPr>
          <w:trHeight w:val="194"/>
        </w:trPr>
        <w:tc>
          <w:tcPr>
            <w:tcW w:w="10000" w:type="dxa"/>
            <w:vAlign w:val="bottom"/>
          </w:tcPr>
          <w:p>
            <w:pPr>
              <w:spacing w:after="0"/>
              <w:rPr>
                <w:sz w:val="20"/>
                <w:szCs w:val="20"/>
                <w:color w:val="auto"/>
              </w:rPr>
            </w:pPr>
            <w:r>
              <w:rPr>
                <w:rFonts w:ascii="Arial" w:cs="Arial" w:eastAsia="Arial" w:hAnsi="Arial"/>
                <w:sz w:val="14"/>
                <w:szCs w:val="14"/>
                <w:color w:val="auto"/>
              </w:rPr>
              <w:t>Accounting Fees and Expenses</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r>
      <w:tr>
        <w:trPr>
          <w:trHeight w:val="195"/>
        </w:trPr>
        <w:tc>
          <w:tcPr>
            <w:tcW w:w="10000" w:type="dxa"/>
            <w:vAlign w:val="bottom"/>
            <w:shd w:val="clear" w:color="auto" w:fill="CCFFCC"/>
          </w:tcPr>
          <w:p>
            <w:pPr>
              <w:spacing w:after="0"/>
              <w:rPr>
                <w:sz w:val="20"/>
                <w:szCs w:val="20"/>
                <w:color w:val="auto"/>
              </w:rPr>
            </w:pPr>
            <w:r>
              <w:rPr>
                <w:rFonts w:ascii="Arial" w:cs="Arial" w:eastAsia="Arial" w:hAnsi="Arial"/>
                <w:sz w:val="14"/>
                <w:szCs w:val="14"/>
                <w:color w:val="auto"/>
              </w:rPr>
              <w:t>Legal Fees and Expenses</w:t>
            </w:r>
          </w:p>
        </w:tc>
        <w:tc>
          <w:tcPr>
            <w:tcW w:w="42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45,000.00</w:t>
            </w:r>
          </w:p>
        </w:tc>
        <w:tc>
          <w:tcPr>
            <w:tcW w:w="100" w:type="dxa"/>
            <w:vAlign w:val="bottom"/>
            <w:shd w:val="clear" w:color="auto" w:fill="CCFFCC"/>
          </w:tcPr>
          <w:p>
            <w:pPr>
              <w:spacing w:after="0"/>
              <w:rPr>
                <w:sz w:val="16"/>
                <w:szCs w:val="16"/>
                <w:color w:val="auto"/>
              </w:rPr>
            </w:pPr>
          </w:p>
        </w:tc>
      </w:tr>
      <w:tr>
        <w:trPr>
          <w:trHeight w:val="194"/>
        </w:trPr>
        <w:tc>
          <w:tcPr>
            <w:tcW w:w="10000" w:type="dxa"/>
            <w:vAlign w:val="bottom"/>
          </w:tcPr>
          <w:p>
            <w:pPr>
              <w:spacing w:after="0"/>
              <w:rPr>
                <w:sz w:val="20"/>
                <w:szCs w:val="20"/>
                <w:color w:val="auto"/>
              </w:rPr>
            </w:pPr>
            <w:r>
              <w:rPr>
                <w:rFonts w:ascii="Arial" w:cs="Arial" w:eastAsia="Arial" w:hAnsi="Arial"/>
                <w:sz w:val="14"/>
                <w:szCs w:val="14"/>
                <w:color w:val="auto"/>
              </w:rPr>
              <w:t>Miscellaneous Fees and Expenses</w:t>
            </w: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4,647.73</w:t>
            </w:r>
          </w:p>
        </w:tc>
        <w:tc>
          <w:tcPr>
            <w:tcW w:w="100" w:type="dxa"/>
            <w:vAlign w:val="bottom"/>
          </w:tcPr>
          <w:p>
            <w:pPr>
              <w:spacing w:after="0"/>
              <w:rPr>
                <w:sz w:val="16"/>
                <w:szCs w:val="16"/>
                <w:color w:val="auto"/>
              </w:rPr>
            </w:pPr>
          </w:p>
        </w:tc>
      </w:tr>
      <w:tr>
        <w:trPr>
          <w:trHeight w:val="226"/>
        </w:trPr>
        <w:tc>
          <w:tcPr>
            <w:tcW w:w="10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shd w:val="clear" w:color="auto" w:fill="CCFFCC"/>
          </w:tcPr>
          <w:p>
            <w:pPr>
              <w:jc w:val="right"/>
              <w:ind w:right="30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tcBorders>
              <w:bottom w:val="single" w:sz="8" w:color="CCFFCC"/>
            </w:tcBorders>
            <w:shd w:val="clear" w:color="auto" w:fill="CCFFCC"/>
          </w:tcPr>
          <w:p>
            <w:pPr>
              <w:spacing w:after="0"/>
              <w:rPr>
                <w:sz w:val="19"/>
                <w:szCs w:val="19"/>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76" w:name="page77"/>
    <w:bookmarkEnd w:id="76"/>
    <w:p>
      <w:pPr>
        <w:spacing w:after="0"/>
        <w:tabs>
          <w:tab w:leader="none" w:pos="136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Recent Sales of Unregistered Securities.</w:t>
      </w:r>
    </w:p>
    <w:p>
      <w:pPr>
        <w:spacing w:after="0" w:line="243" w:lineRule="exact"/>
        <w:rPr>
          <w:sz w:val="20"/>
          <w:szCs w:val="20"/>
          <w:color w:val="auto"/>
        </w:rPr>
      </w:pPr>
    </w:p>
    <w:p>
      <w:pPr>
        <w:jc w:val="both"/>
        <w:ind w:right="280" w:firstLine="519"/>
        <w:spacing w:after="0" w:line="274" w:lineRule="auto"/>
        <w:rPr>
          <w:sz w:val="20"/>
          <w:szCs w:val="20"/>
          <w:color w:val="auto"/>
        </w:rPr>
      </w:pPr>
      <w:r>
        <w:rPr>
          <w:rFonts w:ascii="Arial" w:cs="Arial" w:eastAsia="Arial" w:hAnsi="Arial"/>
          <w:sz w:val="14"/>
          <w:szCs w:val="14"/>
          <w:color w:val="auto"/>
        </w:rPr>
        <w:t>On September 17, 2007, we issued 1,530,177 shares of our common stock to 14 investors upon conversion of promissory notes in the aggregate principal and accrued interest amount of $1,530,177. The issuance of these shares was exempt from registration under the Securities Act of 1933, as amended, pursuant to Section 4(2) thereof. Each of the 14 investors is an “accredited investor” within the meaning of Rule 501(a) under the Securities Act of 1933, as amended.</w:t>
      </w:r>
    </w:p>
    <w:p>
      <w:pPr>
        <w:spacing w:after="0" w:line="184" w:lineRule="exact"/>
        <w:rPr>
          <w:sz w:val="20"/>
          <w:szCs w:val="20"/>
          <w:color w:val="auto"/>
        </w:rPr>
      </w:pPr>
    </w:p>
    <w:p>
      <w:pPr>
        <w:ind w:firstLine="519"/>
        <w:spacing w:after="0" w:line="274" w:lineRule="auto"/>
        <w:rPr>
          <w:sz w:val="20"/>
          <w:szCs w:val="20"/>
          <w:color w:val="auto"/>
        </w:rPr>
      </w:pPr>
      <w:r>
        <w:rPr>
          <w:rFonts w:ascii="Arial" w:cs="Arial" w:eastAsia="Arial" w:hAnsi="Arial"/>
          <w:sz w:val="14"/>
          <w:szCs w:val="14"/>
          <w:color w:val="auto"/>
        </w:rPr>
        <w:t>On September 17, 2007, we issued an aggregate of 275,000 shares of our common stock and a five-year redeemable warrant to purchase 18,750 shares of our common stock to three firms as compensation for investor relations services. The issuance of these shares was exempt from registration under the Securities Act of 1933, as amended, pursuant to Section 4(2) thereof. Each firm is an “accredited investor” within the meaning of Rule 501(a) under the Securities Act of 1933, as amended.</w:t>
      </w:r>
    </w:p>
    <w:p>
      <w:pPr>
        <w:spacing w:after="0" w:line="184" w:lineRule="exact"/>
        <w:rPr>
          <w:sz w:val="20"/>
          <w:szCs w:val="20"/>
          <w:color w:val="auto"/>
        </w:rPr>
      </w:pPr>
    </w:p>
    <w:p>
      <w:pPr>
        <w:ind w:right="80" w:firstLine="519"/>
        <w:spacing w:after="0" w:line="264" w:lineRule="auto"/>
        <w:rPr>
          <w:sz w:val="20"/>
          <w:szCs w:val="20"/>
          <w:color w:val="auto"/>
        </w:rPr>
      </w:pPr>
      <w:r>
        <w:rPr>
          <w:rFonts w:ascii="Arial" w:cs="Arial" w:eastAsia="Arial" w:hAnsi="Arial"/>
          <w:sz w:val="14"/>
          <w:szCs w:val="14"/>
          <w:color w:val="auto"/>
        </w:rPr>
        <w:t>On September 17, 2007, in connection with the September 2007 private offering, we accepted subscriptions for $3,993,667 or 39.9 units, with each unit consisting of 50,000 shares of common stock and a five-year redeemable warrant to purchase 12,500 shares of common stock at an initial cash exercise price of $4.00 per share and an initial cashless exercise price of $5.00 per share. Each unit was sold for $100,000 and we accepted subscriptions for partial units. In total, on September 17, 2007, we issued 1,996,834 shares of common stock and warrants to purchase up to 499,208 shares of common stock. The securities were offered and sold to investors in reliance upon exemptions from registration pursuant to Section 4(2) under the Securities Act of 1933, as amended, and Rule 506 promulgated thereunder. Each of the persons and/or entities receiving our securities is an “accredited investor” within the meaning of Rule 501(a) under the Securities Act of 1933, as amended.</w:t>
      </w:r>
    </w:p>
    <w:p>
      <w:pPr>
        <w:spacing w:after="0" w:line="192" w:lineRule="exact"/>
        <w:rPr>
          <w:sz w:val="20"/>
          <w:szCs w:val="20"/>
          <w:color w:val="auto"/>
        </w:rPr>
      </w:pPr>
    </w:p>
    <w:p>
      <w:pPr>
        <w:ind w:right="60" w:firstLine="519"/>
        <w:spacing w:after="0" w:line="304" w:lineRule="auto"/>
        <w:rPr>
          <w:sz w:val="20"/>
          <w:szCs w:val="20"/>
          <w:color w:val="auto"/>
        </w:rPr>
      </w:pPr>
      <w:r>
        <w:rPr>
          <w:rFonts w:ascii="Arial" w:cs="Arial" w:eastAsia="Arial" w:hAnsi="Arial"/>
          <w:sz w:val="13"/>
          <w:szCs w:val="13"/>
          <w:color w:val="auto"/>
        </w:rPr>
        <w:t>On September 17, 2007, we issued three-year redeemable warrants to purchase an aggregate of 33,750 shares of our common stock at an initial cash exercise price of $4.00 per share and an initial cashless exercise price of $5.00 per share to three placements agents in connection with the September 2007 private offering. The issuance of these securities was exempt from registration under the Securities Act of 1933, as amended, pursuant to Section 4(2) thereof. Each placement agent is an “accredited investor” within the meaning of Rule 501(a) under the Securities Act.</w:t>
      </w:r>
    </w:p>
    <w:p>
      <w:pPr>
        <w:spacing w:after="0" w:line="167" w:lineRule="exact"/>
        <w:rPr>
          <w:sz w:val="20"/>
          <w:szCs w:val="20"/>
          <w:color w:val="auto"/>
        </w:rPr>
      </w:pPr>
    </w:p>
    <w:p>
      <w:pPr>
        <w:ind w:right="160" w:firstLine="519"/>
        <w:spacing w:after="0" w:line="295" w:lineRule="auto"/>
        <w:rPr>
          <w:sz w:val="20"/>
          <w:szCs w:val="20"/>
          <w:color w:val="auto"/>
        </w:rPr>
      </w:pPr>
      <w:r>
        <w:rPr>
          <w:rFonts w:ascii="Arial" w:cs="Arial" w:eastAsia="Arial" w:hAnsi="Arial"/>
          <w:sz w:val="13"/>
          <w:szCs w:val="13"/>
          <w:color w:val="auto"/>
        </w:rPr>
        <w:t>On October 10, 2007, we accepted additional subscriptions for $150,000 or 1.5 units, resulting in the issuance of 75,000 shares of our common stock and five-year redeemable warrants to purchase up to 18,750 shares of common stock at an initial cash exercise price of $4.00 per share and an initial cashless exercise price of $5.00 per share. The securities were offered and sold to investors in reliance upon exemptions from registration pursuant to Section 4(2) under the Securities Act of 1933, as amended, and Rule 506 promulgated thereunder. Each of the persons and/or entities receiving our securities is an “accredited investor” within the meaning of Rule 501(a) under the Securities Act of 1933, as amended.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20"/>
                <w:szCs w:val="20"/>
                <w:color w:val="auto"/>
              </w:rPr>
            </w:pPr>
            <w:r>
              <w:rPr>
                <w:rFonts w:ascii="Arial" w:cs="Arial" w:eastAsia="Arial" w:hAnsi="Arial"/>
                <w:sz w:val="14"/>
                <w:szCs w:val="14"/>
                <w:b w:val="1"/>
                <w:bCs w:val="1"/>
                <w:color w:val="auto"/>
              </w:rPr>
              <w:t>Item 27.</w:t>
            </w:r>
          </w:p>
        </w:tc>
        <w:tc>
          <w:tcPr>
            <w:tcW w:w="103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Exhibits.</w:t>
            </w:r>
          </w:p>
        </w:tc>
      </w:tr>
      <w:tr>
        <w:trPr>
          <w:trHeight w:val="406"/>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03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Description</w:t>
            </w:r>
          </w:p>
        </w:tc>
      </w:tr>
      <w:tr>
        <w:trPr>
          <w:trHeight w:val="159"/>
        </w:trPr>
        <w:tc>
          <w:tcPr>
            <w:tcW w:w="116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color w:val="auto"/>
                <w:w w:val="92"/>
              </w:rPr>
              <w:t>2.1</w:t>
            </w:r>
          </w:p>
        </w:tc>
        <w:tc>
          <w:tcPr>
            <w:tcW w:w="240" w:type="dxa"/>
            <w:vAlign w:val="bottom"/>
          </w:tcPr>
          <w:p>
            <w:pPr>
              <w:spacing w:after="0"/>
              <w:rPr>
                <w:sz w:val="13"/>
                <w:szCs w:val="13"/>
                <w:color w:val="auto"/>
              </w:rPr>
            </w:pPr>
          </w:p>
        </w:tc>
        <w:tc>
          <w:tcPr>
            <w:tcW w:w="10060" w:type="dxa"/>
            <w:vAlign w:val="bottom"/>
            <w:tcBorders>
              <w:top w:val="single" w:sz="8" w:color="auto"/>
            </w:tcBorders>
          </w:tcPr>
          <w:p>
            <w:pPr>
              <w:spacing w:after="0" w:line="159" w:lineRule="exact"/>
              <w:rPr>
                <w:sz w:val="20"/>
                <w:szCs w:val="20"/>
                <w:color w:val="auto"/>
              </w:rPr>
            </w:pPr>
            <w:r>
              <w:rPr>
                <w:rFonts w:ascii="Arial" w:cs="Arial" w:eastAsia="Arial" w:hAnsi="Arial"/>
                <w:sz w:val="14"/>
                <w:szCs w:val="14"/>
                <w:color w:val="auto"/>
                <w:w w:val="93"/>
              </w:rPr>
              <w:t>Agreement and Plan of Merger, dated as of September 17, 2007, by and among Transdel Pharmaceuticals, Inc., Transdel Pharmaceuticals Holdings, Inc. and Trans-Pharma</w:t>
            </w:r>
          </w:p>
        </w:tc>
      </w:tr>
      <w:tr>
        <w:trPr>
          <w:trHeight w:val="173"/>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Acquisition Corp. Incorporation (incorporated herein by reference to Exhibit 2.1 the Current Report on Form 8-K of Transdel Pharmaceuticals, Inc. filed with the Securities</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and Exchange Commission on September 21, 2007).</w:t>
            </w:r>
          </w:p>
        </w:tc>
      </w:tr>
      <w:tr>
        <w:trPr>
          <w:trHeight w:val="358"/>
        </w:trPr>
        <w:tc>
          <w:tcPr>
            <w:tcW w:w="11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Amended and Restated Certificate of Incorporation (incorporated herein by reference to Exhibit 3.1 to the Company’s Current Report on Form 8-K filed with the Securities</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and Exchange Commission September 13, 2007)</w:t>
            </w:r>
          </w:p>
        </w:tc>
      </w:tr>
      <w:tr>
        <w:trPr>
          <w:trHeight w:val="389"/>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4"/>
                <w:szCs w:val="14"/>
                <w:color w:val="auto"/>
              </w:rPr>
              <w:t>II-2</w:t>
            </w:r>
          </w:p>
        </w:tc>
      </w:tr>
      <w:tr>
        <w:trPr>
          <w:trHeight w:val="94"/>
        </w:trPr>
        <w:tc>
          <w:tcPr>
            <w:tcW w:w="1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4"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3"/>
        </w:trPr>
        <w:tc>
          <w:tcPr>
            <w:tcW w:w="640" w:type="dxa"/>
            <w:vAlign w:val="bottom"/>
          </w:tcPr>
          <w:p>
            <w:pPr>
              <w:ind w:left="20"/>
              <w:spacing w:after="0"/>
              <w:rPr>
                <w:sz w:val="20"/>
                <w:szCs w:val="20"/>
                <w:color w:val="auto"/>
              </w:rPr>
            </w:pPr>
            <w:r>
              <w:rPr>
                <w:rFonts w:ascii="Arial" w:cs="Arial" w:eastAsia="Arial" w:hAnsi="Arial"/>
                <w:sz w:val="14"/>
                <w:szCs w:val="14"/>
                <w:color w:val="auto"/>
              </w:rPr>
              <w:t>3.2</w:t>
            </w:r>
          </w:p>
        </w:tc>
        <w:tc>
          <w:tcPr>
            <w:tcW w:w="10320" w:type="dxa"/>
            <w:vAlign w:val="bottom"/>
          </w:tcPr>
          <w:p>
            <w:pPr>
              <w:ind w:left="300"/>
              <w:spacing w:after="0"/>
              <w:rPr>
                <w:sz w:val="20"/>
                <w:szCs w:val="20"/>
                <w:color w:val="auto"/>
              </w:rPr>
            </w:pPr>
            <w:r>
              <w:rPr>
                <w:rFonts w:ascii="Arial" w:cs="Arial" w:eastAsia="Arial" w:hAnsi="Arial"/>
                <w:sz w:val="14"/>
                <w:szCs w:val="14"/>
                <w:color w:val="auto"/>
                <w:w w:val="97"/>
              </w:rPr>
              <w:t>Amended and Restated Bylaws (incorporated herein by reference to Exhibit 3.2 to the Company’s Current Report on Form 8-K filed with the Securities and Exchange</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Commissions September 13, 2007)</w:t>
            </w:r>
          </w:p>
        </w:tc>
      </w:tr>
      <w:tr>
        <w:trPr>
          <w:trHeight w:val="389"/>
        </w:trPr>
        <w:tc>
          <w:tcPr>
            <w:tcW w:w="640" w:type="dxa"/>
            <w:vAlign w:val="bottom"/>
          </w:tcPr>
          <w:p>
            <w:pPr>
              <w:ind w:left="20"/>
              <w:spacing w:after="0"/>
              <w:rPr>
                <w:sz w:val="20"/>
                <w:szCs w:val="20"/>
                <w:color w:val="auto"/>
              </w:rPr>
            </w:pPr>
            <w:r>
              <w:rPr>
                <w:rFonts w:ascii="Arial" w:cs="Arial" w:eastAsia="Arial" w:hAnsi="Arial"/>
                <w:sz w:val="14"/>
                <w:szCs w:val="14"/>
                <w:color w:val="auto"/>
              </w:rPr>
              <w:t>5.1**</w:t>
            </w:r>
          </w:p>
        </w:tc>
        <w:tc>
          <w:tcPr>
            <w:tcW w:w="10320" w:type="dxa"/>
            <w:vAlign w:val="bottom"/>
          </w:tcPr>
          <w:p>
            <w:pPr>
              <w:ind w:left="300"/>
              <w:spacing w:after="0"/>
              <w:rPr>
                <w:sz w:val="20"/>
                <w:szCs w:val="20"/>
                <w:color w:val="auto"/>
              </w:rPr>
            </w:pPr>
            <w:r>
              <w:rPr>
                <w:rFonts w:ascii="Arial" w:cs="Arial" w:eastAsia="Arial" w:hAnsi="Arial"/>
                <w:sz w:val="14"/>
                <w:szCs w:val="14"/>
                <w:color w:val="auto"/>
              </w:rPr>
              <w:t>Opinion of Haynes and Boone, LLP</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10.1</w:t>
            </w:r>
          </w:p>
        </w:tc>
        <w:tc>
          <w:tcPr>
            <w:tcW w:w="10320" w:type="dxa"/>
            <w:vAlign w:val="bottom"/>
          </w:tcPr>
          <w:p>
            <w:pPr>
              <w:ind w:left="300"/>
              <w:spacing w:after="0"/>
              <w:rPr>
                <w:sz w:val="20"/>
                <w:szCs w:val="20"/>
                <w:color w:val="auto"/>
              </w:rPr>
            </w:pPr>
            <w:r>
              <w:rPr>
                <w:rFonts w:ascii="Arial" w:cs="Arial" w:eastAsia="Arial" w:hAnsi="Arial"/>
                <w:sz w:val="14"/>
                <w:szCs w:val="14"/>
                <w:color w:val="auto"/>
                <w:w w:val="95"/>
              </w:rPr>
              <w:t>Form of September 2007 and October 2007 Private Offering Subscription Agreement (incorporated herein by reference to Exhibit 10.1 the Current Report on Form 8-K of</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Transdel Pharmaceuticals, 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10.2</w:t>
            </w:r>
          </w:p>
        </w:tc>
        <w:tc>
          <w:tcPr>
            <w:tcW w:w="10320" w:type="dxa"/>
            <w:vAlign w:val="bottom"/>
          </w:tcPr>
          <w:p>
            <w:pPr>
              <w:ind w:left="300"/>
              <w:spacing w:after="0"/>
              <w:rPr>
                <w:sz w:val="20"/>
                <w:szCs w:val="20"/>
                <w:color w:val="auto"/>
              </w:rPr>
            </w:pPr>
            <w:r>
              <w:rPr>
                <w:rFonts w:ascii="Arial" w:cs="Arial" w:eastAsia="Arial" w:hAnsi="Arial"/>
                <w:sz w:val="14"/>
                <w:szCs w:val="14"/>
                <w:color w:val="auto"/>
                <w:w w:val="94"/>
              </w:rPr>
              <w:t>Form of Warrant to purchase Common Stock (incorporated herein by reference to Exhibit 10.2 the Current Report on Form 8-K of Transdel Pharmaceuticals, Inc. filed with</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10.3</w:t>
            </w:r>
          </w:p>
        </w:tc>
        <w:tc>
          <w:tcPr>
            <w:tcW w:w="10320" w:type="dxa"/>
            <w:vAlign w:val="bottom"/>
          </w:tcPr>
          <w:p>
            <w:pPr>
              <w:ind w:left="300"/>
              <w:spacing w:after="0"/>
              <w:rPr>
                <w:sz w:val="20"/>
                <w:szCs w:val="20"/>
                <w:color w:val="auto"/>
              </w:rPr>
            </w:pPr>
            <w:r>
              <w:rPr>
                <w:rFonts w:ascii="Arial" w:cs="Arial" w:eastAsia="Arial" w:hAnsi="Arial"/>
                <w:sz w:val="14"/>
                <w:szCs w:val="14"/>
                <w:color w:val="auto"/>
                <w:w w:val="94"/>
              </w:rPr>
              <w:t>Registration Rights Agreement dated October 10, 2007, by and between Transdel Pharmaceuticals, Inc. and each of the investors signatory thereto (incorporated herein by</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w w:val="96"/>
              </w:rPr>
              <w:t>reference to Exhibit 10.3 the Current Report on Form 8-K of Transdel Pharmaceuticals, 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10.5</w:t>
            </w:r>
          </w:p>
        </w:tc>
        <w:tc>
          <w:tcPr>
            <w:tcW w:w="10320" w:type="dxa"/>
            <w:vAlign w:val="bottom"/>
          </w:tcPr>
          <w:p>
            <w:pPr>
              <w:ind w:left="300"/>
              <w:spacing w:after="0"/>
              <w:rPr>
                <w:sz w:val="20"/>
                <w:szCs w:val="20"/>
                <w:color w:val="auto"/>
              </w:rPr>
            </w:pPr>
            <w:r>
              <w:rPr>
                <w:rFonts w:ascii="Arial" w:cs="Arial" w:eastAsia="Arial" w:hAnsi="Arial"/>
                <w:sz w:val="14"/>
                <w:szCs w:val="14"/>
                <w:color w:val="auto"/>
                <w:w w:val="97"/>
              </w:rPr>
              <w:t>Placement Agent Agreement, dated September 17, 2007, between Transdel Pharmaceuticals Holdings, Inc. and Granite Financial Group, LLC (incorporated herein by</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w w:val="96"/>
              </w:rPr>
              <w:t>reference to Exhibit 10.5 the Current Report on Form 8-K of Transdel Pharmaceuticals, 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10.6</w:t>
            </w:r>
          </w:p>
        </w:tc>
        <w:tc>
          <w:tcPr>
            <w:tcW w:w="10320" w:type="dxa"/>
            <w:vAlign w:val="bottom"/>
          </w:tcPr>
          <w:p>
            <w:pPr>
              <w:ind w:left="300"/>
              <w:spacing w:after="0"/>
              <w:rPr>
                <w:sz w:val="20"/>
                <w:szCs w:val="20"/>
                <w:color w:val="auto"/>
              </w:rPr>
            </w:pPr>
            <w:r>
              <w:rPr>
                <w:rFonts w:ascii="Arial" w:cs="Arial" w:eastAsia="Arial" w:hAnsi="Arial"/>
                <w:sz w:val="14"/>
                <w:szCs w:val="14"/>
                <w:color w:val="auto"/>
                <w:w w:val="93"/>
              </w:rPr>
              <w:t>Placement Agent Agreement, dated September 17, 2007, between Transdel Pharmaceuticals Holdings, Inc. and WFG Investments, Inc. (incorporated herein by reference to</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Exhibit 10.6 the Current Report on Form 8-K of Transdel Pharmaceuticals, 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10.7</w:t>
            </w:r>
          </w:p>
        </w:tc>
        <w:tc>
          <w:tcPr>
            <w:tcW w:w="10320" w:type="dxa"/>
            <w:vAlign w:val="bottom"/>
          </w:tcPr>
          <w:p>
            <w:pPr>
              <w:ind w:left="300"/>
              <w:spacing w:after="0"/>
              <w:rPr>
                <w:sz w:val="20"/>
                <w:szCs w:val="20"/>
                <w:color w:val="auto"/>
              </w:rPr>
            </w:pPr>
            <w:r>
              <w:rPr>
                <w:rFonts w:ascii="Arial" w:cs="Arial" w:eastAsia="Arial" w:hAnsi="Arial"/>
                <w:sz w:val="14"/>
                <w:szCs w:val="14"/>
                <w:color w:val="auto"/>
                <w:w w:val="93"/>
              </w:rPr>
              <w:t>Placement Agent Agreement, dated September 17, 2007, by and between Transdel Pharmaceuticals Holdings, Inc. and Palladium Capital Advisors, LLC (incorporated herein</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w w:val="94"/>
              </w:rPr>
              <w:t>by reference to Exhibit 10.7 the Current Report on Form 8-K of Transdel Pharmaceuticals, 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10.8</w:t>
            </w:r>
          </w:p>
        </w:tc>
        <w:tc>
          <w:tcPr>
            <w:tcW w:w="10320" w:type="dxa"/>
            <w:vAlign w:val="bottom"/>
          </w:tcPr>
          <w:p>
            <w:pPr>
              <w:ind w:left="300"/>
              <w:spacing w:after="0"/>
              <w:rPr>
                <w:sz w:val="20"/>
                <w:szCs w:val="20"/>
                <w:color w:val="auto"/>
              </w:rPr>
            </w:pPr>
            <w:r>
              <w:rPr>
                <w:rFonts w:ascii="Arial" w:cs="Arial" w:eastAsia="Arial" w:hAnsi="Arial"/>
                <w:sz w:val="14"/>
                <w:szCs w:val="14"/>
                <w:color w:val="auto"/>
                <w:w w:val="95"/>
              </w:rPr>
              <w:t>Form of Directors and Officers Indemnification Agreement (incorporated herein by reference to Exhibit 10.8 the Current Report on Form 8-K of Transdel Pharmaceuticals,</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10.9</w:t>
            </w:r>
          </w:p>
        </w:tc>
        <w:tc>
          <w:tcPr>
            <w:tcW w:w="10320" w:type="dxa"/>
            <w:vAlign w:val="bottom"/>
          </w:tcPr>
          <w:p>
            <w:pPr>
              <w:ind w:left="300"/>
              <w:spacing w:after="0"/>
              <w:rPr>
                <w:sz w:val="20"/>
                <w:szCs w:val="20"/>
                <w:color w:val="auto"/>
              </w:rPr>
            </w:pPr>
            <w:r>
              <w:rPr>
                <w:rFonts w:ascii="Arial" w:cs="Arial" w:eastAsia="Arial" w:hAnsi="Arial"/>
                <w:sz w:val="14"/>
                <w:szCs w:val="14"/>
                <w:color w:val="auto"/>
                <w:w w:val="93"/>
              </w:rPr>
              <w:t>Assignment of Employment Agreement, dated September 17, by and among Transdel Pharmaceuticals Holdings, Inc., Transdel Pharmaceuticals, Inc. and Juliet Singh, Ph.D.</w:t>
            </w:r>
          </w:p>
        </w:tc>
      </w:tr>
      <w:tr>
        <w:trPr>
          <w:trHeight w:val="173"/>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w w:val="94"/>
              </w:rPr>
              <w:t>(incorporated herein by reference to Exhibit 10.9 the Current Report on Form 8-K of Transdel Pharmaceuticals, Inc. filed with the Securities and Exchange Commission on</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10.10</w:t>
            </w:r>
          </w:p>
        </w:tc>
        <w:tc>
          <w:tcPr>
            <w:tcW w:w="10320" w:type="dxa"/>
            <w:vAlign w:val="bottom"/>
          </w:tcPr>
          <w:p>
            <w:pPr>
              <w:ind w:left="300"/>
              <w:spacing w:after="0"/>
              <w:rPr>
                <w:sz w:val="20"/>
                <w:szCs w:val="20"/>
                <w:color w:val="auto"/>
              </w:rPr>
            </w:pPr>
            <w:r>
              <w:rPr>
                <w:rFonts w:ascii="Arial" w:cs="Arial" w:eastAsia="Arial" w:hAnsi="Arial"/>
                <w:sz w:val="14"/>
                <w:szCs w:val="14"/>
                <w:color w:val="auto"/>
                <w:w w:val="93"/>
              </w:rPr>
              <w:t>Employment Agreement, dated June 27, 2007, by and between Transdel Pharmaceuticals Holdings, Inc. and Juliet Singh, Ph.D. (incorporated herein by reference to Exhibit</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10.10 the Current Report on Form 8-K of Transdel Pharmaceuticals, Inc. filed with the Securities and Exchange Commission on September 21, 2007)</w:t>
            </w:r>
          </w:p>
        </w:tc>
      </w:tr>
      <w:tr>
        <w:trPr>
          <w:trHeight w:val="380"/>
        </w:trPr>
        <w:tc>
          <w:tcPr>
            <w:tcW w:w="640" w:type="dxa"/>
            <w:vAlign w:val="bottom"/>
          </w:tcPr>
          <w:p>
            <w:pPr>
              <w:spacing w:after="0"/>
              <w:rPr>
                <w:sz w:val="20"/>
                <w:szCs w:val="20"/>
                <w:color w:val="auto"/>
              </w:rPr>
            </w:pPr>
            <w:r>
              <w:rPr>
                <w:rFonts w:ascii="Arial" w:cs="Arial" w:eastAsia="Arial" w:hAnsi="Arial"/>
                <w:sz w:val="14"/>
                <w:szCs w:val="14"/>
                <w:color w:val="auto"/>
              </w:rPr>
              <w:t>10.11</w:t>
            </w:r>
          </w:p>
        </w:tc>
        <w:tc>
          <w:tcPr>
            <w:tcW w:w="10320" w:type="dxa"/>
            <w:vAlign w:val="bottom"/>
          </w:tcPr>
          <w:p>
            <w:pPr>
              <w:ind w:left="300"/>
              <w:spacing w:after="0"/>
              <w:rPr>
                <w:sz w:val="20"/>
                <w:szCs w:val="20"/>
                <w:color w:val="auto"/>
              </w:rPr>
            </w:pPr>
            <w:r>
              <w:rPr>
                <w:rFonts w:ascii="Arial" w:cs="Arial" w:eastAsia="Arial" w:hAnsi="Arial"/>
                <w:sz w:val="14"/>
                <w:szCs w:val="14"/>
                <w:color w:val="auto"/>
                <w:w w:val="97"/>
              </w:rPr>
              <w:t>Transdel Pharmaceuticals, Inc. 2007 Incentive Stock and Awards Plan (incorporated herein by reference to Exhibit 10.11 the Current Report on Form 8-K of Transdel</w:t>
            </w:r>
          </w:p>
        </w:tc>
      </w:tr>
      <w:tr>
        <w:trPr>
          <w:trHeight w:val="182"/>
        </w:trPr>
        <w:tc>
          <w:tcPr>
            <w:tcW w:w="640" w:type="dxa"/>
            <w:vAlign w:val="bottom"/>
          </w:tcPr>
          <w:p>
            <w:pPr>
              <w:spacing w:after="0"/>
              <w:rPr>
                <w:sz w:val="15"/>
                <w:szCs w:val="15"/>
                <w:color w:val="auto"/>
              </w:rPr>
            </w:pPr>
          </w:p>
        </w:tc>
        <w:tc>
          <w:tcPr>
            <w:tcW w:w="10320" w:type="dxa"/>
            <w:vAlign w:val="bottom"/>
          </w:tcPr>
          <w:p>
            <w:pPr>
              <w:ind w:left="300"/>
              <w:spacing w:after="0"/>
              <w:rPr>
                <w:sz w:val="20"/>
                <w:szCs w:val="20"/>
                <w:color w:val="auto"/>
              </w:rPr>
            </w:pPr>
            <w:r>
              <w:rPr>
                <w:rFonts w:ascii="Arial" w:cs="Arial" w:eastAsia="Arial" w:hAnsi="Arial"/>
                <w:sz w:val="14"/>
                <w:szCs w:val="14"/>
                <w:color w:val="auto"/>
              </w:rPr>
              <w:t>Pharmaceuticals, Inc. filed with the Securities and Exchange Commission on September 21, 2007)</w:t>
            </w:r>
          </w:p>
        </w:tc>
      </w:tr>
    </w:tbl>
    <w:p>
      <w:pPr>
        <w:spacing w:after="0" w:line="200" w:lineRule="exact"/>
        <w:rPr>
          <w:sz w:val="20"/>
          <w:szCs w:val="20"/>
          <w:color w:val="auto"/>
        </w:rPr>
      </w:pPr>
    </w:p>
    <w:p>
      <w:pPr>
        <w:spacing w:after="0" w:line="223"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66675</wp:posOffset>
            </wp:positionV>
            <wp:extent cx="7279640"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0960"/>
          </w:cols>
          <w:pgMar w:left="680" w:top="345" w:right="259" w:bottom="1440" w:gutter="0" w:footer="0" w:header="0"/>
        </w:sectPr>
      </w:pPr>
    </w:p>
    <w:bookmarkStart w:id="78" w:name="page79"/>
    <w:bookmarkEnd w:id="78"/>
    <w:tbl>
      <w:tblPr>
        <w:tblLayout w:type="fixed"/>
        <w:tblInd w:w="260" w:type="dxa"/>
        <w:tblCellMar>
          <w:top w:w="0" w:type="dxa"/>
          <w:left w:w="0" w:type="dxa"/>
          <w:bottom w:w="0" w:type="dxa"/>
          <w:right w:w="0" w:type="dxa"/>
        </w:tblCellMar>
      </w:tblPr>
      <w:tr>
        <w:trPr>
          <w:trHeight w:val="173"/>
        </w:trPr>
        <w:tc>
          <w:tcPr>
            <w:tcW w:w="960" w:type="dxa"/>
            <w:vAlign w:val="bottom"/>
          </w:tcPr>
          <w:p>
            <w:pPr>
              <w:spacing w:after="0"/>
              <w:rPr>
                <w:sz w:val="20"/>
                <w:szCs w:val="20"/>
                <w:color w:val="auto"/>
              </w:rPr>
            </w:pPr>
            <w:r>
              <w:rPr>
                <w:rFonts w:ascii="Arial" w:cs="Arial" w:eastAsia="Arial" w:hAnsi="Arial"/>
                <w:sz w:val="14"/>
                <w:szCs w:val="14"/>
                <w:color w:val="auto"/>
              </w:rPr>
              <w:t>10.12</w:t>
            </w:r>
          </w:p>
        </w:tc>
        <w:tc>
          <w:tcPr>
            <w:tcW w:w="10080" w:type="dxa"/>
            <w:vAlign w:val="bottom"/>
          </w:tcPr>
          <w:p>
            <w:pPr>
              <w:ind w:left="400"/>
              <w:spacing w:after="0"/>
              <w:rPr>
                <w:sz w:val="20"/>
                <w:szCs w:val="20"/>
                <w:color w:val="auto"/>
              </w:rPr>
            </w:pPr>
            <w:r>
              <w:rPr>
                <w:rFonts w:ascii="Arial" w:cs="Arial" w:eastAsia="Arial" w:hAnsi="Arial"/>
                <w:sz w:val="14"/>
                <w:szCs w:val="14"/>
                <w:color w:val="auto"/>
                <w:w w:val="94"/>
              </w:rPr>
              <w:t>Form of 2007 Incentive Stock Option Agreement (incorporated herein by reference to Exhibit 10.12 the Current Report on Form 8-K of Transdel Pharmaceuticals, Inc.</w:t>
            </w:r>
          </w:p>
        </w:tc>
      </w:tr>
      <w:tr>
        <w:trPr>
          <w:trHeight w:val="182"/>
        </w:trPr>
        <w:tc>
          <w:tcPr>
            <w:tcW w:w="960" w:type="dxa"/>
            <w:vAlign w:val="bottom"/>
          </w:tcPr>
          <w:p>
            <w:pPr>
              <w:spacing w:after="0"/>
              <w:rPr>
                <w:sz w:val="15"/>
                <w:szCs w:val="15"/>
                <w:color w:val="auto"/>
              </w:rPr>
            </w:pPr>
          </w:p>
        </w:tc>
        <w:tc>
          <w:tcPr>
            <w:tcW w:w="10080" w:type="dxa"/>
            <w:vAlign w:val="bottom"/>
          </w:tcPr>
          <w:p>
            <w:pPr>
              <w:ind w:left="400"/>
              <w:spacing w:after="0"/>
              <w:rPr>
                <w:sz w:val="20"/>
                <w:szCs w:val="20"/>
                <w:color w:val="auto"/>
              </w:rPr>
            </w:pPr>
            <w:r>
              <w:rPr>
                <w:rFonts w:ascii="Arial" w:cs="Arial" w:eastAsia="Arial" w:hAnsi="Arial"/>
                <w:sz w:val="14"/>
                <w:szCs w:val="14"/>
                <w:color w:val="auto"/>
              </w:rPr>
              <w:t>filed with the Securities and Exchange Commission on September 21, 2007)</w:t>
            </w:r>
          </w:p>
        </w:tc>
      </w:tr>
      <w:tr>
        <w:trPr>
          <w:trHeight w:val="380"/>
        </w:trPr>
        <w:tc>
          <w:tcPr>
            <w:tcW w:w="960" w:type="dxa"/>
            <w:vAlign w:val="bottom"/>
          </w:tcPr>
          <w:p>
            <w:pPr>
              <w:spacing w:after="0"/>
              <w:rPr>
                <w:sz w:val="20"/>
                <w:szCs w:val="20"/>
                <w:color w:val="auto"/>
              </w:rPr>
            </w:pPr>
            <w:r>
              <w:rPr>
                <w:rFonts w:ascii="Arial" w:cs="Arial" w:eastAsia="Arial" w:hAnsi="Arial"/>
                <w:sz w:val="14"/>
                <w:szCs w:val="14"/>
                <w:color w:val="auto"/>
              </w:rPr>
              <w:t>10.13</w:t>
            </w:r>
          </w:p>
        </w:tc>
        <w:tc>
          <w:tcPr>
            <w:tcW w:w="10080" w:type="dxa"/>
            <w:vAlign w:val="bottom"/>
          </w:tcPr>
          <w:p>
            <w:pPr>
              <w:ind w:left="400"/>
              <w:spacing w:after="0"/>
              <w:rPr>
                <w:sz w:val="20"/>
                <w:szCs w:val="20"/>
                <w:color w:val="auto"/>
              </w:rPr>
            </w:pPr>
            <w:r>
              <w:rPr>
                <w:rFonts w:ascii="Arial" w:cs="Arial" w:eastAsia="Arial" w:hAnsi="Arial"/>
                <w:sz w:val="14"/>
                <w:szCs w:val="14"/>
                <w:color w:val="auto"/>
                <w:w w:val="94"/>
              </w:rPr>
              <w:t>Form of 2007 Non-Qualified Stock Option Agreement (incorporated herein by reference to Exhibit 10.13 the Current Report on Form 8-K of Transdel Pharmaceuticals,</w:t>
            </w:r>
          </w:p>
        </w:tc>
      </w:tr>
      <w:tr>
        <w:trPr>
          <w:trHeight w:val="182"/>
        </w:trPr>
        <w:tc>
          <w:tcPr>
            <w:tcW w:w="960" w:type="dxa"/>
            <w:vAlign w:val="bottom"/>
          </w:tcPr>
          <w:p>
            <w:pPr>
              <w:spacing w:after="0"/>
              <w:rPr>
                <w:sz w:val="15"/>
                <w:szCs w:val="15"/>
                <w:color w:val="auto"/>
              </w:rPr>
            </w:pPr>
          </w:p>
        </w:tc>
        <w:tc>
          <w:tcPr>
            <w:tcW w:w="10080" w:type="dxa"/>
            <w:vAlign w:val="bottom"/>
          </w:tcPr>
          <w:p>
            <w:pPr>
              <w:ind w:left="400"/>
              <w:spacing w:after="0"/>
              <w:rPr>
                <w:sz w:val="20"/>
                <w:szCs w:val="20"/>
                <w:color w:val="auto"/>
              </w:rPr>
            </w:pPr>
            <w:r>
              <w:rPr>
                <w:rFonts w:ascii="Arial" w:cs="Arial" w:eastAsia="Arial" w:hAnsi="Arial"/>
                <w:sz w:val="14"/>
                <w:szCs w:val="14"/>
                <w:color w:val="auto"/>
              </w:rPr>
              <w:t>Inc. filed with the Securities and Exchange Commission on September 21, 2007)</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10.14**</w:t>
            </w:r>
          </w:p>
        </w:tc>
        <w:tc>
          <w:tcPr>
            <w:tcW w:w="10080" w:type="dxa"/>
            <w:vAlign w:val="bottom"/>
          </w:tcPr>
          <w:p>
            <w:pPr>
              <w:ind w:left="400"/>
              <w:spacing w:after="0"/>
              <w:rPr>
                <w:sz w:val="20"/>
                <w:szCs w:val="20"/>
                <w:color w:val="auto"/>
              </w:rPr>
            </w:pPr>
            <w:r>
              <w:rPr>
                <w:rFonts w:ascii="Arial" w:cs="Arial" w:eastAsia="Arial" w:hAnsi="Arial"/>
                <w:sz w:val="14"/>
                <w:szCs w:val="14"/>
                <w:color w:val="auto"/>
              </w:rPr>
              <w:t>Stock Purchase Agreement, dated as of September 17, 2007, by and between Transdel Pharmaceuticals, Inc. and Rolf Harms</w:t>
            </w:r>
          </w:p>
        </w:tc>
      </w:tr>
      <w:tr>
        <w:trPr>
          <w:trHeight w:val="380"/>
        </w:trPr>
        <w:tc>
          <w:tcPr>
            <w:tcW w:w="960" w:type="dxa"/>
            <w:vAlign w:val="bottom"/>
          </w:tcPr>
          <w:p>
            <w:pPr>
              <w:spacing w:after="0"/>
              <w:rPr>
                <w:sz w:val="20"/>
                <w:szCs w:val="20"/>
                <w:color w:val="auto"/>
              </w:rPr>
            </w:pPr>
            <w:r>
              <w:rPr>
                <w:rFonts w:ascii="Arial" w:cs="Arial" w:eastAsia="Arial" w:hAnsi="Arial"/>
                <w:sz w:val="14"/>
                <w:szCs w:val="14"/>
                <w:color w:val="auto"/>
              </w:rPr>
              <w:t>10.15**</w:t>
            </w:r>
          </w:p>
        </w:tc>
        <w:tc>
          <w:tcPr>
            <w:tcW w:w="10080" w:type="dxa"/>
            <w:vAlign w:val="bottom"/>
          </w:tcPr>
          <w:p>
            <w:pPr>
              <w:ind w:left="400"/>
              <w:spacing w:after="0"/>
              <w:rPr>
                <w:sz w:val="20"/>
                <w:szCs w:val="20"/>
                <w:color w:val="auto"/>
              </w:rPr>
            </w:pPr>
            <w:r>
              <w:rPr>
                <w:rFonts w:ascii="Arial" w:cs="Arial" w:eastAsia="Arial" w:hAnsi="Arial"/>
                <w:sz w:val="14"/>
                <w:szCs w:val="14"/>
                <w:color w:val="auto"/>
              </w:rPr>
              <w:t>Agreement of Conveyance, Transfer and Assignment of Assets and Assumption of Obligations, dated as of September 17, 2007, by and between Transdel</w:t>
            </w:r>
          </w:p>
        </w:tc>
      </w:tr>
      <w:tr>
        <w:trPr>
          <w:trHeight w:val="182"/>
        </w:trPr>
        <w:tc>
          <w:tcPr>
            <w:tcW w:w="960" w:type="dxa"/>
            <w:vAlign w:val="bottom"/>
          </w:tcPr>
          <w:p>
            <w:pPr>
              <w:spacing w:after="0"/>
              <w:rPr>
                <w:sz w:val="15"/>
                <w:szCs w:val="15"/>
                <w:color w:val="auto"/>
              </w:rPr>
            </w:pPr>
          </w:p>
        </w:tc>
        <w:tc>
          <w:tcPr>
            <w:tcW w:w="10080" w:type="dxa"/>
            <w:vAlign w:val="bottom"/>
          </w:tcPr>
          <w:p>
            <w:pPr>
              <w:ind w:left="400"/>
              <w:spacing w:after="0"/>
              <w:rPr>
                <w:sz w:val="20"/>
                <w:szCs w:val="20"/>
                <w:color w:val="auto"/>
              </w:rPr>
            </w:pPr>
            <w:r>
              <w:rPr>
                <w:rFonts w:ascii="Arial" w:cs="Arial" w:eastAsia="Arial" w:hAnsi="Arial"/>
                <w:sz w:val="14"/>
                <w:szCs w:val="14"/>
                <w:color w:val="auto"/>
              </w:rPr>
              <w:t>Pharmaceuticals, Inc. and Bywater Resources Holdings Inc.</w:t>
            </w:r>
          </w:p>
        </w:tc>
      </w:tr>
      <w:tr>
        <w:trPr>
          <w:trHeight w:val="380"/>
        </w:trPr>
        <w:tc>
          <w:tcPr>
            <w:tcW w:w="960" w:type="dxa"/>
            <w:vAlign w:val="bottom"/>
          </w:tcPr>
          <w:p>
            <w:pPr>
              <w:spacing w:after="0"/>
              <w:rPr>
                <w:sz w:val="20"/>
                <w:szCs w:val="20"/>
                <w:color w:val="auto"/>
              </w:rPr>
            </w:pPr>
            <w:r>
              <w:rPr>
                <w:rFonts w:ascii="Arial" w:cs="Arial" w:eastAsia="Arial" w:hAnsi="Arial"/>
                <w:sz w:val="14"/>
                <w:szCs w:val="14"/>
                <w:color w:val="auto"/>
              </w:rPr>
              <w:t>10.16</w:t>
            </w:r>
          </w:p>
        </w:tc>
        <w:tc>
          <w:tcPr>
            <w:tcW w:w="10080" w:type="dxa"/>
            <w:vAlign w:val="bottom"/>
          </w:tcPr>
          <w:p>
            <w:pPr>
              <w:ind w:left="400"/>
              <w:spacing w:after="0"/>
              <w:rPr>
                <w:sz w:val="20"/>
                <w:szCs w:val="20"/>
                <w:color w:val="auto"/>
              </w:rPr>
            </w:pPr>
            <w:r>
              <w:rPr>
                <w:rFonts w:ascii="Arial" w:cs="Arial" w:eastAsia="Arial" w:hAnsi="Arial"/>
                <w:sz w:val="14"/>
                <w:szCs w:val="14"/>
                <w:color w:val="auto"/>
                <w:w w:val="97"/>
              </w:rPr>
              <w:t>Form of Lock-Up Agreement (incorporated herein by reference to Exhibit 10.4 to the Current Report on Form 8-K of Transdel Pharmaceuticals, Inc. filed with the</w:t>
            </w:r>
          </w:p>
        </w:tc>
      </w:tr>
      <w:tr>
        <w:trPr>
          <w:trHeight w:val="182"/>
        </w:trPr>
        <w:tc>
          <w:tcPr>
            <w:tcW w:w="960" w:type="dxa"/>
            <w:vAlign w:val="bottom"/>
          </w:tcPr>
          <w:p>
            <w:pPr>
              <w:spacing w:after="0"/>
              <w:rPr>
                <w:sz w:val="15"/>
                <w:szCs w:val="15"/>
                <w:color w:val="auto"/>
              </w:rPr>
            </w:pPr>
          </w:p>
        </w:tc>
        <w:tc>
          <w:tcPr>
            <w:tcW w:w="10080" w:type="dxa"/>
            <w:vAlign w:val="bottom"/>
          </w:tcPr>
          <w:p>
            <w:pPr>
              <w:ind w:left="400"/>
              <w:spacing w:after="0"/>
              <w:rPr>
                <w:sz w:val="20"/>
                <w:szCs w:val="20"/>
                <w:color w:val="auto"/>
              </w:rPr>
            </w:pPr>
            <w:r>
              <w:rPr>
                <w:rFonts w:ascii="Arial" w:cs="Arial" w:eastAsia="Arial" w:hAnsi="Arial"/>
                <w:sz w:val="14"/>
                <w:szCs w:val="14"/>
                <w:color w:val="auto"/>
              </w:rPr>
              <w:t>Securities and Exchange Commission on September 21, 2007)</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10.17**#</w:t>
            </w:r>
          </w:p>
        </w:tc>
        <w:tc>
          <w:tcPr>
            <w:tcW w:w="10080" w:type="dxa"/>
            <w:vAlign w:val="bottom"/>
          </w:tcPr>
          <w:p>
            <w:pPr>
              <w:ind w:left="400"/>
              <w:spacing w:after="0"/>
              <w:rPr>
                <w:sz w:val="20"/>
                <w:szCs w:val="20"/>
                <w:color w:val="auto"/>
              </w:rPr>
            </w:pPr>
            <w:r>
              <w:rPr>
                <w:rFonts w:ascii="Arial" w:cs="Arial" w:eastAsia="Arial" w:hAnsi="Arial"/>
                <w:sz w:val="14"/>
                <w:szCs w:val="14"/>
                <w:color w:val="auto"/>
                <w:w w:val="97"/>
              </w:rPr>
              <w:t>Research and Development Services Agreement, dated October 11, 2007, by and between DPT Laboratories, Ltd. And Transdel Pharmaceuticals Holdings, Inc.</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10.18**#</w:t>
            </w:r>
          </w:p>
        </w:tc>
        <w:tc>
          <w:tcPr>
            <w:tcW w:w="10080" w:type="dxa"/>
            <w:vAlign w:val="bottom"/>
          </w:tcPr>
          <w:p>
            <w:pPr>
              <w:ind w:left="400"/>
              <w:spacing w:after="0"/>
              <w:rPr>
                <w:sz w:val="20"/>
                <w:szCs w:val="20"/>
                <w:color w:val="auto"/>
              </w:rPr>
            </w:pPr>
            <w:r>
              <w:rPr>
                <w:rFonts w:ascii="Arial" w:cs="Arial" w:eastAsia="Arial" w:hAnsi="Arial"/>
                <w:sz w:val="14"/>
                <w:szCs w:val="14"/>
                <w:color w:val="auto"/>
              </w:rPr>
              <w:t>Project Scope Document, effective May 30, 2007, by and between DPT Laboratories, Ltd. and Transdel Pharmaceuticals Holdings, Inc.</w:t>
            </w:r>
          </w:p>
        </w:tc>
      </w:tr>
      <w:tr>
        <w:trPr>
          <w:trHeight w:val="368"/>
        </w:trPr>
        <w:tc>
          <w:tcPr>
            <w:tcW w:w="960" w:type="dxa"/>
            <w:vAlign w:val="bottom"/>
          </w:tcPr>
          <w:p>
            <w:pPr>
              <w:spacing w:after="0"/>
              <w:rPr>
                <w:sz w:val="20"/>
                <w:szCs w:val="20"/>
                <w:color w:val="auto"/>
              </w:rPr>
            </w:pPr>
            <w:r>
              <w:rPr>
                <w:rFonts w:ascii="Arial" w:cs="Arial" w:eastAsia="Arial" w:hAnsi="Arial"/>
                <w:sz w:val="14"/>
                <w:szCs w:val="14"/>
                <w:color w:val="auto"/>
              </w:rPr>
              <w:t>14**</w:t>
            </w:r>
          </w:p>
        </w:tc>
        <w:tc>
          <w:tcPr>
            <w:tcW w:w="10080" w:type="dxa"/>
            <w:vAlign w:val="bottom"/>
          </w:tcPr>
          <w:p>
            <w:pPr>
              <w:ind w:left="400"/>
              <w:spacing w:after="0"/>
              <w:rPr>
                <w:sz w:val="20"/>
                <w:szCs w:val="20"/>
                <w:color w:val="auto"/>
              </w:rPr>
            </w:pPr>
            <w:r>
              <w:rPr>
                <w:rFonts w:ascii="Arial" w:cs="Arial" w:eastAsia="Arial" w:hAnsi="Arial"/>
                <w:sz w:val="14"/>
                <w:szCs w:val="14"/>
                <w:color w:val="auto"/>
              </w:rPr>
              <w:t>Amended and Restated Code of Ethics and Business Conduct</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21**</w:t>
            </w:r>
          </w:p>
        </w:tc>
        <w:tc>
          <w:tcPr>
            <w:tcW w:w="10080" w:type="dxa"/>
            <w:vAlign w:val="bottom"/>
          </w:tcPr>
          <w:p>
            <w:pPr>
              <w:ind w:left="400"/>
              <w:spacing w:after="0"/>
              <w:rPr>
                <w:sz w:val="20"/>
                <w:szCs w:val="20"/>
                <w:color w:val="auto"/>
              </w:rPr>
            </w:pPr>
            <w:r>
              <w:rPr>
                <w:rFonts w:ascii="Arial" w:cs="Arial" w:eastAsia="Arial" w:hAnsi="Arial"/>
                <w:sz w:val="14"/>
                <w:szCs w:val="14"/>
                <w:color w:val="auto"/>
              </w:rPr>
              <w:t>List of Subsidiaries</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23.1*</w:t>
            </w:r>
          </w:p>
        </w:tc>
        <w:tc>
          <w:tcPr>
            <w:tcW w:w="10080" w:type="dxa"/>
            <w:vAlign w:val="bottom"/>
          </w:tcPr>
          <w:p>
            <w:pPr>
              <w:ind w:left="400"/>
              <w:spacing w:after="0"/>
              <w:rPr>
                <w:sz w:val="20"/>
                <w:szCs w:val="20"/>
                <w:color w:val="auto"/>
              </w:rPr>
            </w:pPr>
            <w:r>
              <w:rPr>
                <w:rFonts w:ascii="Arial" w:cs="Arial" w:eastAsia="Arial" w:hAnsi="Arial"/>
                <w:sz w:val="14"/>
                <w:szCs w:val="14"/>
                <w:color w:val="auto"/>
              </w:rPr>
              <w:t>Consent of KMJ Corbin &amp; Company LLP</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23.2**</w:t>
            </w:r>
          </w:p>
        </w:tc>
        <w:tc>
          <w:tcPr>
            <w:tcW w:w="10080" w:type="dxa"/>
            <w:vAlign w:val="bottom"/>
          </w:tcPr>
          <w:p>
            <w:pPr>
              <w:ind w:left="400"/>
              <w:spacing w:after="0"/>
              <w:rPr>
                <w:sz w:val="20"/>
                <w:szCs w:val="20"/>
                <w:color w:val="auto"/>
              </w:rPr>
            </w:pPr>
            <w:r>
              <w:rPr>
                <w:rFonts w:ascii="Arial" w:cs="Arial" w:eastAsia="Arial" w:hAnsi="Arial"/>
                <w:sz w:val="14"/>
                <w:szCs w:val="14"/>
                <w:color w:val="auto"/>
              </w:rPr>
              <w:t>Consent of Haynes and Boone, LLP (included in Exhibit 5.1)</w:t>
            </w:r>
          </w:p>
        </w:tc>
      </w:tr>
      <w:tr>
        <w:trPr>
          <w:trHeight w:val="389"/>
        </w:trPr>
        <w:tc>
          <w:tcPr>
            <w:tcW w:w="960" w:type="dxa"/>
            <w:vAlign w:val="bottom"/>
          </w:tcPr>
          <w:p>
            <w:pPr>
              <w:spacing w:after="0"/>
              <w:rPr>
                <w:sz w:val="20"/>
                <w:szCs w:val="20"/>
                <w:color w:val="auto"/>
              </w:rPr>
            </w:pPr>
            <w:r>
              <w:rPr>
                <w:rFonts w:ascii="Arial" w:cs="Arial" w:eastAsia="Arial" w:hAnsi="Arial"/>
                <w:sz w:val="14"/>
                <w:szCs w:val="14"/>
                <w:color w:val="auto"/>
              </w:rPr>
              <w:t>24.1**</w:t>
            </w:r>
          </w:p>
        </w:tc>
        <w:tc>
          <w:tcPr>
            <w:tcW w:w="10080" w:type="dxa"/>
            <w:vAlign w:val="bottom"/>
          </w:tcPr>
          <w:p>
            <w:pPr>
              <w:ind w:left="400"/>
              <w:spacing w:after="0"/>
              <w:rPr>
                <w:sz w:val="20"/>
                <w:szCs w:val="20"/>
                <w:color w:val="auto"/>
              </w:rPr>
            </w:pPr>
            <w:r>
              <w:rPr>
                <w:rFonts w:ascii="Arial" w:cs="Arial" w:eastAsia="Arial" w:hAnsi="Arial"/>
                <w:sz w:val="14"/>
                <w:szCs w:val="14"/>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110553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05535" cy="6985"/>
                    </a:xfrm>
                    <a:prstGeom prst="rect">
                      <a:avLst/>
                    </a:prstGeom>
                    <a:noFill/>
                  </pic:spPr>
                </pic:pic>
              </a:graphicData>
            </a:graphic>
          </wp:anchor>
        </w:drawing>
      </w:r>
    </w:p>
    <w:p>
      <w:pPr>
        <w:spacing w:after="0" w:line="371" w:lineRule="exact"/>
        <w:rPr>
          <w:sz w:val="20"/>
          <w:szCs w:val="20"/>
          <w:color w:val="auto"/>
        </w:rPr>
      </w:pPr>
    </w:p>
    <w:p>
      <w:pPr>
        <w:ind w:right="10320" w:firstLine="7"/>
        <w:spacing w:after="0" w:line="265" w:lineRule="auto"/>
        <w:tabs>
          <w:tab w:leader="none" w:pos="108"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filed herewith ** previously filed</w:t>
      </w:r>
    </w:p>
    <w:p>
      <w:pPr>
        <w:spacing w:after="0"/>
        <w:rPr>
          <w:rFonts w:ascii="Arial" w:cs="Arial" w:eastAsia="Arial" w:hAnsi="Arial"/>
          <w:sz w:val="14"/>
          <w:szCs w:val="14"/>
          <w:color w:val="auto"/>
        </w:rPr>
      </w:pPr>
      <w:r>
        <w:rPr>
          <w:rFonts w:ascii="Arial" w:cs="Arial" w:eastAsia="Arial" w:hAnsi="Arial"/>
          <w:sz w:val="14"/>
          <w:szCs w:val="14"/>
          <w:color w:val="auto"/>
        </w:rPr>
        <w:t># We have requested confidential treatment with respect to the referenced exhibit</w:t>
      </w:r>
    </w:p>
    <w:p>
      <w:pPr>
        <w:spacing w:after="0" w:line="200" w:lineRule="exact"/>
        <w:rPr>
          <w:sz w:val="20"/>
          <w:szCs w:val="20"/>
          <w:color w:val="auto"/>
        </w:rPr>
      </w:pPr>
    </w:p>
    <w:p>
      <w:pPr>
        <w:spacing w:after="0" w:line="264"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3"/>
          <w:szCs w:val="13"/>
          <w:b w:val="1"/>
          <w:bCs w:val="1"/>
          <w:color w:val="auto"/>
        </w:rPr>
        <w:t>Undertakings.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undersigned registrant hereby undertakes that it will:</w:t>
      </w:r>
    </w:p>
    <w:p>
      <w:pPr>
        <w:spacing w:after="0" w:line="228" w:lineRule="exact"/>
        <w:rPr>
          <w:sz w:val="20"/>
          <w:szCs w:val="20"/>
          <w:color w:val="auto"/>
        </w:rPr>
      </w:pPr>
    </w:p>
    <w:p>
      <w:pPr>
        <w:ind w:left="680" w:hanging="154"/>
        <w:spacing w:after="0"/>
        <w:tabs>
          <w:tab w:leader="none" w:pos="6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File, during any period in which it offers or sells securities, a post-effective amendment to this registration statement to:</w:t>
      </w:r>
    </w:p>
    <w:p>
      <w:pPr>
        <w:spacing w:after="0" w:line="228" w:lineRule="exact"/>
        <w:rPr>
          <w:rFonts w:ascii="Arial" w:cs="Arial" w:eastAsia="Arial" w:hAnsi="Arial"/>
          <w:sz w:val="14"/>
          <w:szCs w:val="14"/>
          <w:color w:val="auto"/>
        </w:rPr>
      </w:pPr>
    </w:p>
    <w:p>
      <w:pPr>
        <w:ind w:left="1160" w:hanging="115"/>
        <w:spacing w:after="0"/>
        <w:tabs>
          <w:tab w:leader="none" w:pos="1160" w:val="left"/>
        </w:tabs>
        <w:numPr>
          <w:ilvl w:val="1"/>
          <w:numId w:val="41"/>
        </w:numPr>
        <w:rPr>
          <w:rFonts w:ascii="Arial" w:cs="Arial" w:eastAsia="Arial" w:hAnsi="Arial"/>
          <w:sz w:val="14"/>
          <w:szCs w:val="14"/>
          <w:color w:val="auto"/>
        </w:rPr>
      </w:pPr>
      <w:r>
        <w:rPr>
          <w:rFonts w:ascii="Arial" w:cs="Arial" w:eastAsia="Arial" w:hAnsi="Arial"/>
          <w:sz w:val="14"/>
          <w:szCs w:val="14"/>
          <w:color w:val="auto"/>
        </w:rPr>
        <w:t>Include any prospectus required by Section 10(a)(3) of the Securities Act of 1933, as amended;</w:t>
      </w:r>
    </w:p>
    <w:p>
      <w:pPr>
        <w:spacing w:after="0" w:line="228" w:lineRule="exact"/>
        <w:rPr>
          <w:rFonts w:ascii="Arial" w:cs="Arial" w:eastAsia="Arial" w:hAnsi="Arial"/>
          <w:sz w:val="14"/>
          <w:szCs w:val="14"/>
          <w:color w:val="auto"/>
        </w:rPr>
      </w:pPr>
    </w:p>
    <w:p>
      <w:pPr>
        <w:ind w:firstLine="1045"/>
        <w:spacing w:after="0" w:line="295" w:lineRule="auto"/>
        <w:tabs>
          <w:tab w:leader="none" w:pos="1190" w:val="left"/>
        </w:tabs>
        <w:numPr>
          <w:ilvl w:val="1"/>
          <w:numId w:val="41"/>
        </w:numPr>
        <w:rPr>
          <w:rFonts w:ascii="Arial" w:cs="Arial" w:eastAsia="Arial" w:hAnsi="Arial"/>
          <w:sz w:val="13"/>
          <w:szCs w:val="13"/>
          <w:color w:val="auto"/>
        </w:rPr>
      </w:pPr>
      <w:r>
        <w:rPr>
          <w:rFonts w:ascii="Arial" w:cs="Arial" w:eastAsia="Arial" w:hAnsi="Arial"/>
          <w:sz w:val="13"/>
          <w:szCs w:val="13"/>
          <w:color w:val="auto"/>
        </w:rPr>
        <w:t>Reflect in the prospectus any facts or events which, individually or together, represent a fundamental change in the information in the registration statement. Notwithstanding the forgoing,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73" w:lineRule="exact"/>
        <w:rPr>
          <w:rFonts w:ascii="Arial" w:cs="Arial" w:eastAsia="Arial" w:hAnsi="Arial"/>
          <w:sz w:val="13"/>
          <w:szCs w:val="13"/>
          <w:color w:val="auto"/>
        </w:rPr>
      </w:pPr>
    </w:p>
    <w:p>
      <w:pPr>
        <w:ind w:left="1240" w:hanging="195"/>
        <w:spacing w:after="0"/>
        <w:tabs>
          <w:tab w:leader="none" w:pos="1240" w:val="left"/>
        </w:tabs>
        <w:numPr>
          <w:ilvl w:val="1"/>
          <w:numId w:val="41"/>
        </w:numPr>
        <w:rPr>
          <w:rFonts w:ascii="Arial" w:cs="Arial" w:eastAsia="Arial" w:hAnsi="Arial"/>
          <w:sz w:val="14"/>
          <w:szCs w:val="14"/>
          <w:color w:val="auto"/>
        </w:rPr>
      </w:pPr>
      <w:r>
        <w:rPr>
          <w:rFonts w:ascii="Arial" w:cs="Arial" w:eastAsia="Arial" w:hAnsi="Arial"/>
          <w:sz w:val="14"/>
          <w:szCs w:val="14"/>
          <w:color w:val="auto"/>
        </w:rPr>
        <w:t>Include any additional or changed material information on the plan of distribution.</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20"/>
          </w:cols>
          <w:pgMar w:left="220" w:top="345" w:right="259" w:bottom="1440" w:gutter="0" w:footer="0" w:header="0"/>
        </w:sectPr>
      </w:pPr>
    </w:p>
    <w:bookmarkStart w:id="79" w:name="page80"/>
    <w:bookmarkEnd w:id="79"/>
    <w:p>
      <w:pPr>
        <w:ind w:right="40" w:firstLine="526"/>
        <w:spacing w:after="0" w:line="290" w:lineRule="auto"/>
        <w:tabs>
          <w:tab w:leader="none" w:pos="663"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For determining any liability under the Securities Act of 1933, as amended, treat each post-effective amendment as a new registration statement for the securities offered, and the offering of the securities at that time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of those securities.</w:t>
      </w:r>
    </w:p>
    <w:p>
      <w:pPr>
        <w:spacing w:after="0" w:line="173" w:lineRule="exact"/>
        <w:rPr>
          <w:rFonts w:ascii="Arial" w:cs="Arial" w:eastAsia="Arial" w:hAnsi="Arial"/>
          <w:sz w:val="14"/>
          <w:szCs w:val="14"/>
          <w:color w:val="auto"/>
        </w:rPr>
      </w:pPr>
    </w:p>
    <w:p>
      <w:pPr>
        <w:ind w:left="680" w:hanging="154"/>
        <w:spacing w:after="0"/>
        <w:tabs>
          <w:tab w:leader="none" w:pos="6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File a post-effective amendment to remove from registration any of the securities that remain unsold at the end of the offering.</w:t>
      </w:r>
    </w:p>
    <w:p>
      <w:pPr>
        <w:spacing w:after="0" w:line="228" w:lineRule="exact"/>
        <w:rPr>
          <w:rFonts w:ascii="Arial" w:cs="Arial" w:eastAsia="Arial" w:hAnsi="Arial"/>
          <w:sz w:val="14"/>
          <w:szCs w:val="14"/>
          <w:color w:val="auto"/>
        </w:rPr>
      </w:pPr>
    </w:p>
    <w:p>
      <w:pPr>
        <w:ind w:right="40" w:firstLine="526"/>
        <w:spacing w:after="0" w:line="268" w:lineRule="auto"/>
        <w:tabs>
          <w:tab w:leader="none" w:pos="663" w:val="left"/>
        </w:tabs>
        <w:numPr>
          <w:ilvl w:val="0"/>
          <w:numId w:val="42"/>
        </w:numPr>
        <w:rPr>
          <w:rFonts w:ascii="Arial" w:cs="Arial" w:eastAsia="Arial" w:hAnsi="Arial"/>
          <w:sz w:val="14"/>
          <w:szCs w:val="14"/>
          <w:color w:val="auto"/>
        </w:rPr>
      </w:pPr>
      <w:r>
        <w:rPr>
          <w:rFonts w:ascii="Arial" w:cs="Arial" w:eastAsia="Arial" w:hAnsi="Arial"/>
          <w:sz w:val="14"/>
          <w:szCs w:val="14"/>
          <w:color w:val="auto"/>
        </w:rPr>
        <w:t>For determining liability of the undersigned small business issuer under the Securities Act of 1933, as amended, to any purchaser in the initial distribution of the securities, the undersigned small business issuer undertakes that in a primary offering of securities of the undersigned small business issuer pursuant to this registration statement, regardless of the underwriting method used to sell the securities to the purchaser, if the securities are offered or sold to such purchaser by means of any of the following communications, the undersigned small business issuer will be a seller to the purchaser and will be considered to offer or sell such securities to such purchaser:</w:t>
      </w:r>
    </w:p>
    <w:p>
      <w:pPr>
        <w:spacing w:after="0" w:line="189" w:lineRule="exact"/>
        <w:rPr>
          <w:rFonts w:ascii="Arial" w:cs="Arial" w:eastAsia="Arial" w:hAnsi="Arial"/>
          <w:sz w:val="14"/>
          <w:szCs w:val="14"/>
          <w:color w:val="auto"/>
        </w:rPr>
      </w:pPr>
    </w:p>
    <w:p>
      <w:pPr>
        <w:ind w:left="1160" w:hanging="115"/>
        <w:spacing w:after="0"/>
        <w:tabs>
          <w:tab w:leader="none" w:pos="1160"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small business issuer relating to the offering required to be filed pursuant to Rule 424;</w:t>
      </w:r>
    </w:p>
    <w:p>
      <w:pPr>
        <w:spacing w:after="0" w:line="228" w:lineRule="exact"/>
        <w:rPr>
          <w:rFonts w:ascii="Arial" w:cs="Arial" w:eastAsia="Arial" w:hAnsi="Arial"/>
          <w:sz w:val="14"/>
          <w:szCs w:val="14"/>
          <w:color w:val="auto"/>
        </w:rPr>
      </w:pPr>
    </w:p>
    <w:p>
      <w:pPr>
        <w:ind w:left="1200" w:hanging="155"/>
        <w:spacing w:after="0"/>
        <w:tabs>
          <w:tab w:leader="none" w:pos="120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Any free writing prospectus relating to the offering prepared by or on behalf of the undersigned small business issuer or used or referred to by the undersigned small business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issuer;</w:t>
      </w:r>
    </w:p>
    <w:p>
      <w:pPr>
        <w:spacing w:after="0" w:line="219" w:lineRule="exact"/>
        <w:rPr>
          <w:rFonts w:ascii="Arial" w:cs="Arial" w:eastAsia="Arial" w:hAnsi="Arial"/>
          <w:sz w:val="13"/>
          <w:szCs w:val="13"/>
          <w:color w:val="auto"/>
        </w:rPr>
      </w:pPr>
    </w:p>
    <w:p>
      <w:pPr>
        <w:ind w:right="40" w:firstLine="1045"/>
        <w:spacing w:after="0" w:line="290" w:lineRule="auto"/>
        <w:tabs>
          <w:tab w:leader="none" w:pos="1231" w:val="left"/>
        </w:tabs>
        <w:numPr>
          <w:ilvl w:val="1"/>
          <w:numId w:val="42"/>
        </w:numPr>
        <w:rPr>
          <w:rFonts w:ascii="Arial" w:cs="Arial" w:eastAsia="Arial" w:hAnsi="Arial"/>
          <w:sz w:val="14"/>
          <w:szCs w:val="14"/>
          <w:color w:val="auto"/>
        </w:rPr>
      </w:pPr>
      <w:r>
        <w:rPr>
          <w:rFonts w:ascii="Arial" w:cs="Arial" w:eastAsia="Arial" w:hAnsi="Arial"/>
          <w:sz w:val="14"/>
          <w:szCs w:val="14"/>
          <w:color w:val="auto"/>
        </w:rPr>
        <w:t>The portion of any other free writing prospectus relating to the offering containing material information about the undersigned small business issuer or its securities provided by or on behalf of the undersigned small business issuer; and</w:t>
      </w:r>
    </w:p>
    <w:p>
      <w:pPr>
        <w:spacing w:after="0" w:line="173" w:lineRule="exact"/>
        <w:rPr>
          <w:rFonts w:ascii="Arial" w:cs="Arial" w:eastAsia="Arial" w:hAnsi="Arial"/>
          <w:sz w:val="14"/>
          <w:szCs w:val="14"/>
          <w:color w:val="auto"/>
        </w:rPr>
      </w:pPr>
    </w:p>
    <w:p>
      <w:pPr>
        <w:ind w:left="1220" w:hanging="175"/>
        <w:spacing w:after="0"/>
        <w:tabs>
          <w:tab w:leader="none" w:pos="12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small business issuer to the purchaser.</w:t>
      </w:r>
    </w:p>
    <w:p>
      <w:pPr>
        <w:spacing w:after="0" w:line="228" w:lineRule="exact"/>
        <w:rPr>
          <w:rFonts w:ascii="Arial" w:cs="Arial" w:eastAsia="Arial" w:hAnsi="Arial"/>
          <w:sz w:val="14"/>
          <w:szCs w:val="14"/>
          <w:color w:val="auto"/>
        </w:rPr>
      </w:pPr>
    </w:p>
    <w:p>
      <w:pPr>
        <w:jc w:val="both"/>
        <w:ind w:right="120" w:firstLine="526"/>
        <w:spacing w:after="0" w:line="274" w:lineRule="auto"/>
        <w:tabs>
          <w:tab w:leader="none" w:pos="663"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Insofar as indemnification for liabilities arising under the Securities Act of 1933, as amended, may be permitted to directors, officers and controlling persons of the small business issuer pursuant to the foregoing provisions, or otherwise, the small business issuer has been advised that in the opinion of the Securities and Exchange Commission such indemnification is against public policy as express in the Securities Act of 1933, as amended and is, therefore, unenforceable.</w:t>
      </w:r>
    </w:p>
    <w:p>
      <w:pPr>
        <w:spacing w:after="0" w:line="184" w:lineRule="exact"/>
        <w:rPr>
          <w:rFonts w:ascii="Arial" w:cs="Arial" w:eastAsia="Arial" w:hAnsi="Arial"/>
          <w:sz w:val="14"/>
          <w:szCs w:val="14"/>
          <w:color w:val="auto"/>
        </w:rPr>
      </w:pPr>
    </w:p>
    <w:p>
      <w:pPr>
        <w:ind w:firstLine="526"/>
        <w:spacing w:after="0" w:line="266" w:lineRule="auto"/>
        <w:tabs>
          <w:tab w:leader="none" w:pos="663" w:val="left"/>
        </w:tabs>
        <w:numPr>
          <w:ilvl w:val="0"/>
          <w:numId w:val="42"/>
        </w:numPr>
        <w:rPr>
          <w:rFonts w:ascii="Arial" w:cs="Arial" w:eastAsia="Arial" w:hAnsi="Arial"/>
          <w:sz w:val="14"/>
          <w:szCs w:val="14"/>
          <w:color w:val="auto"/>
        </w:rPr>
      </w:pPr>
      <w:r>
        <w:rPr>
          <w:rFonts w:ascii="Arial" w:cs="Arial" w:eastAsia="Arial" w:hAnsi="Arial"/>
          <w:sz w:val="14"/>
          <w:szCs w:val="14"/>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279640"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440"/>
          </w:cols>
          <w:pgMar w:left="220" w:top="34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color w:val="auto"/>
        </w:rPr>
        <w:t>SIGNATURES</w:t>
      </w:r>
    </w:p>
    <w:p>
      <w:pPr>
        <w:spacing w:after="0" w:line="232" w:lineRule="exact"/>
        <w:rPr>
          <w:sz w:val="20"/>
          <w:szCs w:val="20"/>
          <w:color w:val="auto"/>
        </w:rPr>
      </w:pPr>
    </w:p>
    <w:p>
      <w:pPr>
        <w:ind w:right="20" w:firstLine="519"/>
        <w:spacing w:after="0" w:line="290" w:lineRule="auto"/>
        <w:rPr>
          <w:sz w:val="20"/>
          <w:szCs w:val="20"/>
          <w:color w:val="auto"/>
        </w:rPr>
      </w:pPr>
      <w:r>
        <w:rPr>
          <w:rFonts w:ascii="Arial" w:cs="Arial" w:eastAsia="Arial" w:hAnsi="Arial"/>
          <w:sz w:val="14"/>
          <w:szCs w:val="14"/>
          <w:color w:val="auto"/>
        </w:rPr>
        <w:t>In accordance with the requirements of the Securities Act of 1933, the registrant certifies that it has reasonable grounds to believe that it meets all of the requirements of filing on Form SB-2 and authorized this registration statement to be signed on its behalf by the undersigned, in the City of La Jolla, State of California on January 24, 2008.</w:t>
      </w:r>
    </w:p>
    <w:p>
      <w:pPr>
        <w:spacing w:after="0" w:line="173"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TRANSDEL PHARMACEUTICALS, INC.</w:t>
      </w:r>
    </w:p>
    <w:p>
      <w:pPr>
        <w:spacing w:after="0" w:line="228" w:lineRule="exact"/>
        <w:rPr>
          <w:sz w:val="20"/>
          <w:szCs w:val="20"/>
          <w:color w:val="auto"/>
        </w:rPr>
      </w:pPr>
    </w:p>
    <w:p>
      <w:pPr>
        <w:ind w:left="6320"/>
        <w:spacing w:after="0"/>
        <w:tabs>
          <w:tab w:leader="none" w:pos="6700" w:val="left"/>
        </w:tabs>
        <w:rPr>
          <w:sz w:val="20"/>
          <w:szCs w:val="20"/>
          <w:color w:val="auto"/>
        </w:rPr>
      </w:pPr>
      <w:r>
        <w:rPr>
          <w:rFonts w:ascii="Arial" w:cs="Arial" w:eastAsia="Arial" w:hAnsi="Arial"/>
          <w:sz w:val="14"/>
          <w:szCs w:val="14"/>
          <w:color w:val="auto"/>
        </w:rPr>
        <w:t>By:</w:t>
        <w:tab/>
        <w:t>/s/ Juliet Singh,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4262755</wp:posOffset>
            </wp:positionH>
            <wp:positionV relativeFrom="paragraph">
              <wp:posOffset>21590</wp:posOffset>
            </wp:positionV>
            <wp:extent cx="265811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58110" cy="6985"/>
                    </a:xfrm>
                    <a:prstGeom prst="rect">
                      <a:avLst/>
                    </a:prstGeom>
                    <a:noFill/>
                  </pic:spPr>
                </pic:pic>
              </a:graphicData>
            </a:graphic>
          </wp:anchor>
        </w:drawing>
      </w:r>
    </w:p>
    <w:p>
      <w:pPr>
        <w:spacing w:after="0" w:line="1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Name: Juliet Singh, Ph.D.</w:t>
      </w:r>
    </w:p>
    <w:p>
      <w:pPr>
        <w:spacing w:after="0" w:line="3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Title: Chief Executive Officer</w:t>
      </w:r>
    </w:p>
    <w:p>
      <w:pPr>
        <w:spacing w:after="0" w:line="200" w:lineRule="exact"/>
        <w:rPr>
          <w:sz w:val="20"/>
          <w:szCs w:val="20"/>
          <w:color w:val="auto"/>
        </w:rPr>
      </w:pPr>
    </w:p>
    <w:p>
      <w:pPr>
        <w:spacing w:after="0" w:line="26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accordance with the requirements of the Securities Act of 1933, this registration statement has been signed by the following persons in the capacities and on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6"/>
                <w:szCs w:val="16"/>
                <w:color w:val="auto"/>
              </w:rPr>
            </w:pPr>
          </w:p>
        </w:tc>
        <w:tc>
          <w:tcPr>
            <w:tcW w:w="560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6"/>
                <w:szCs w:val="16"/>
                <w:color w:val="auto"/>
              </w:rPr>
            </w:pPr>
          </w:p>
        </w:tc>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5"/>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Juliet Singh, Ph.D.</w:t>
            </w:r>
          </w:p>
        </w:tc>
        <w:tc>
          <w:tcPr>
            <w:tcW w:w="5880" w:type="dxa"/>
            <w:vAlign w:val="bottom"/>
            <w:gridSpan w:val="2"/>
            <w:vMerge w:val="restart"/>
          </w:tcPr>
          <w:p>
            <w:pPr>
              <w:ind w:left="280"/>
              <w:spacing w:after="0"/>
              <w:rPr>
                <w:sz w:val="20"/>
                <w:szCs w:val="20"/>
                <w:color w:val="auto"/>
              </w:rPr>
            </w:pPr>
            <w:r>
              <w:rPr>
                <w:rFonts w:ascii="Arial" w:cs="Arial" w:eastAsia="Arial" w:hAnsi="Arial"/>
                <w:sz w:val="14"/>
                <w:szCs w:val="14"/>
                <w:color w:val="auto"/>
              </w:rPr>
              <w:t>President, Chief Executive Officer and Director</w:t>
            </w:r>
          </w:p>
        </w:tc>
        <w:tc>
          <w:tcPr>
            <w:tcW w:w="2580" w:type="dxa"/>
            <w:vAlign w:val="bottom"/>
            <w:gridSpan w:val="2"/>
          </w:tcPr>
          <w:p>
            <w:pPr>
              <w:ind w:left="280"/>
              <w:spacing w:after="0"/>
              <w:rPr>
                <w:sz w:val="20"/>
                <w:szCs w:val="20"/>
                <w:color w:val="auto"/>
              </w:rPr>
            </w:pPr>
            <w:r>
              <w:rPr>
                <w:rFonts w:ascii="Arial" w:cs="Arial" w:eastAsia="Arial" w:hAnsi="Arial"/>
                <w:sz w:val="14"/>
                <w:szCs w:val="14"/>
                <w:color w:val="auto"/>
              </w:rPr>
              <w:t>January 24, 2008</w:t>
            </w:r>
          </w:p>
        </w:tc>
        <w:tc>
          <w:tcPr>
            <w:tcW w:w="0" w:type="dxa"/>
            <w:vAlign w:val="bottom"/>
          </w:tcPr>
          <w:p>
            <w:pPr>
              <w:spacing w:after="0"/>
              <w:rPr>
                <w:sz w:val="1"/>
                <w:szCs w:val="1"/>
                <w:color w:val="auto"/>
              </w:rPr>
            </w:pPr>
          </w:p>
        </w:tc>
      </w:tr>
      <w:tr>
        <w:trPr>
          <w:trHeight w:val="153"/>
        </w:trPr>
        <w:tc>
          <w:tcPr>
            <w:tcW w:w="3000" w:type="dxa"/>
            <w:vAlign w:val="bottom"/>
            <w:gridSpan w:val="2"/>
          </w:tcPr>
          <w:p>
            <w:pPr>
              <w:spacing w:after="0" w:line="153" w:lineRule="exact"/>
              <w:rPr>
                <w:sz w:val="20"/>
                <w:szCs w:val="20"/>
                <w:color w:val="auto"/>
              </w:rPr>
            </w:pPr>
            <w:r>
              <w:rPr>
                <w:rFonts w:ascii="Arial" w:cs="Arial" w:eastAsia="Arial" w:hAnsi="Arial"/>
                <w:sz w:val="14"/>
                <w:szCs w:val="14"/>
                <w:color w:val="auto"/>
              </w:rPr>
              <w:t>Juliet Singh, Ph.D.</w:t>
            </w:r>
          </w:p>
        </w:tc>
        <w:tc>
          <w:tcPr>
            <w:tcW w:w="5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80" w:type="dxa"/>
            <w:vAlign w:val="bottom"/>
            <w:gridSpan w:val="2"/>
          </w:tcPr>
          <w:p>
            <w:pPr>
              <w:ind w:left="280"/>
              <w:spacing w:after="0"/>
              <w:rPr>
                <w:sz w:val="20"/>
                <w:szCs w:val="20"/>
                <w:color w:val="auto"/>
              </w:rPr>
            </w:pPr>
            <w:r>
              <w:rPr>
                <w:rFonts w:ascii="Arial" w:cs="Arial" w:eastAsia="Arial" w:hAnsi="Arial"/>
                <w:sz w:val="14"/>
                <w:szCs w:val="14"/>
                <w:color w:val="auto"/>
              </w:rPr>
              <w:t>(Principal Executive Officer)</w:t>
            </w: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John T. Lomoro</w:t>
            </w:r>
          </w:p>
        </w:tc>
        <w:tc>
          <w:tcPr>
            <w:tcW w:w="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580" w:type="dxa"/>
            <w:vAlign w:val="bottom"/>
            <w:gridSpan w:val="2"/>
          </w:tcPr>
          <w:p>
            <w:pPr>
              <w:ind w:left="280"/>
              <w:spacing w:after="0"/>
              <w:rPr>
                <w:sz w:val="20"/>
                <w:szCs w:val="20"/>
                <w:color w:val="auto"/>
              </w:rPr>
            </w:pPr>
            <w:r>
              <w:rPr>
                <w:rFonts w:ascii="Arial" w:cs="Arial" w:eastAsia="Arial" w:hAnsi="Arial"/>
                <w:sz w:val="14"/>
                <w:szCs w:val="14"/>
                <w:color w:val="auto"/>
              </w:rPr>
              <w:t>January 24, 2008</w:t>
            </w: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John T. Lomoro</w:t>
            </w:r>
          </w:p>
        </w:tc>
        <w:tc>
          <w:tcPr>
            <w:tcW w:w="5880" w:type="dxa"/>
            <w:vAlign w:val="bottom"/>
            <w:gridSpan w:val="2"/>
          </w:tcPr>
          <w:p>
            <w:pPr>
              <w:ind w:left="280"/>
              <w:spacing w:after="0"/>
              <w:rPr>
                <w:sz w:val="20"/>
                <w:szCs w:val="20"/>
                <w:color w:val="auto"/>
              </w:rPr>
            </w:pPr>
            <w:r>
              <w:rPr>
                <w:rFonts w:ascii="Arial" w:cs="Arial" w:eastAsia="Arial" w:hAnsi="Arial"/>
                <w:sz w:val="14"/>
                <w:szCs w:val="14"/>
                <w:color w:val="auto"/>
              </w:rPr>
              <w:t>Chief Financial Officer (Principal Accounting and Financial Officer)</w:t>
            </w: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w:t>
            </w:r>
          </w:p>
        </w:tc>
        <w:tc>
          <w:tcPr>
            <w:tcW w:w="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580" w:type="dxa"/>
            <w:vAlign w:val="bottom"/>
            <w:gridSpan w:val="2"/>
          </w:tcPr>
          <w:p>
            <w:pPr>
              <w:ind w:left="280"/>
              <w:spacing w:after="0"/>
              <w:rPr>
                <w:sz w:val="20"/>
                <w:szCs w:val="20"/>
                <w:color w:val="auto"/>
              </w:rPr>
            </w:pPr>
            <w:r>
              <w:rPr>
                <w:rFonts w:ascii="Arial" w:cs="Arial" w:eastAsia="Arial" w:hAnsi="Arial"/>
                <w:sz w:val="14"/>
                <w:szCs w:val="14"/>
                <w:color w:val="auto"/>
              </w:rPr>
              <w:t>January 24, 2008</w:t>
            </w: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Jeffrey J. Abrams, M.D.</w:t>
            </w:r>
          </w:p>
        </w:tc>
        <w:tc>
          <w:tcPr>
            <w:tcW w:w="5880" w:type="dxa"/>
            <w:vAlign w:val="bottom"/>
            <w:gridSpan w:val="2"/>
          </w:tcPr>
          <w:p>
            <w:pPr>
              <w:ind w:left="28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w:t>
            </w:r>
          </w:p>
        </w:tc>
        <w:tc>
          <w:tcPr>
            <w:tcW w:w="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580" w:type="dxa"/>
            <w:vAlign w:val="bottom"/>
            <w:gridSpan w:val="2"/>
          </w:tcPr>
          <w:p>
            <w:pPr>
              <w:ind w:left="280"/>
              <w:spacing w:after="0"/>
              <w:rPr>
                <w:sz w:val="20"/>
                <w:szCs w:val="20"/>
                <w:color w:val="auto"/>
              </w:rPr>
            </w:pPr>
            <w:r>
              <w:rPr>
                <w:rFonts w:ascii="Arial" w:cs="Arial" w:eastAsia="Arial" w:hAnsi="Arial"/>
                <w:sz w:val="14"/>
                <w:szCs w:val="14"/>
                <w:color w:val="auto"/>
              </w:rPr>
              <w:t>January 24, 2008</w:t>
            </w: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4"/>
                <w:szCs w:val="14"/>
                <w:color w:val="auto"/>
              </w:rPr>
              <w:t>Anthony S. Thornley</w:t>
            </w:r>
          </w:p>
        </w:tc>
        <w:tc>
          <w:tcPr>
            <w:tcW w:w="5880" w:type="dxa"/>
            <w:vAlign w:val="bottom"/>
            <w:gridSpan w:val="2"/>
          </w:tcPr>
          <w:p>
            <w:pPr>
              <w:ind w:left="28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2320" w:type="dxa"/>
            <w:vAlign w:val="bottom"/>
            <w:tcBorders>
              <w:bottom w:val="single" w:sz="8" w:color="808080"/>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3000" w:type="dxa"/>
            <w:vAlign w:val="bottom"/>
            <w:gridSpan w:val="2"/>
          </w:tcPr>
          <w:p>
            <w:pPr>
              <w:spacing w:after="0"/>
              <w:rPr>
                <w:sz w:val="20"/>
                <w:szCs w:val="20"/>
                <w:color w:val="auto"/>
              </w:rPr>
            </w:pPr>
            <w:r>
              <w:rPr>
                <w:rFonts w:ascii="Arial" w:cs="Arial" w:eastAsia="Arial" w:hAnsi="Arial"/>
                <w:sz w:val="14"/>
                <w:szCs w:val="14"/>
                <w:color w:val="auto"/>
                <w:w w:val="97"/>
              </w:rPr>
              <w:t>* Signed by Juliet Singh, Ph.D. as attorney-in-fact</w:t>
            </w:r>
          </w:p>
        </w:tc>
        <w:tc>
          <w:tcPr>
            <w:tcW w:w="280" w:type="dxa"/>
            <w:vAlign w:val="bottom"/>
          </w:tcPr>
          <w:p>
            <w:pPr>
              <w:spacing w:after="0"/>
              <w:rPr>
                <w:sz w:val="21"/>
                <w:szCs w:val="21"/>
                <w:color w:val="auto"/>
              </w:rPr>
            </w:pPr>
          </w:p>
        </w:tc>
        <w:tc>
          <w:tcPr>
            <w:tcW w:w="5600" w:type="dxa"/>
            <w:vAlign w:val="bottom"/>
            <w:vMerge w:val="restart"/>
          </w:tcPr>
          <w:p>
            <w:pPr>
              <w:ind w:left="2340"/>
              <w:spacing w:after="0"/>
              <w:rPr>
                <w:sz w:val="20"/>
                <w:szCs w:val="20"/>
                <w:color w:val="auto"/>
              </w:rPr>
            </w:pPr>
            <w:r>
              <w:rPr>
                <w:rFonts w:ascii="Arial" w:cs="Arial" w:eastAsia="Arial" w:hAnsi="Arial"/>
                <w:sz w:val="14"/>
                <w:szCs w:val="14"/>
                <w:color w:val="auto"/>
              </w:rPr>
              <w:t>II-6</w:t>
            </w:r>
          </w:p>
        </w:tc>
        <w:tc>
          <w:tcPr>
            <w:tcW w:w="2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3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20" w:right="2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60" w:type="dxa"/>
            <w:vAlign w:val="bottom"/>
          </w:tcPr>
          <w:p>
            <w:pPr>
              <w:ind w:left="3780"/>
              <w:spacing w:after="0"/>
              <w:rPr>
                <w:sz w:val="20"/>
                <w:szCs w:val="20"/>
                <w:color w:val="auto"/>
              </w:rPr>
            </w:pPr>
            <w:r>
              <w:rPr>
                <w:rFonts w:ascii="Arial" w:cs="Arial" w:eastAsia="Arial" w:hAnsi="Arial"/>
                <w:sz w:val="14"/>
                <w:szCs w:val="14"/>
                <w:b w:val="1"/>
                <w:bCs w:val="1"/>
                <w:color w:val="auto"/>
              </w:rPr>
              <w:t>EXHIBIT INDEX</w:t>
            </w:r>
          </w:p>
        </w:tc>
      </w:tr>
      <w:tr>
        <w:trPr>
          <w:trHeight w:val="395"/>
        </w:trPr>
        <w:tc>
          <w:tcPr>
            <w:tcW w:w="1160" w:type="dxa"/>
            <w:vAlign w:val="bottom"/>
          </w:tcPr>
          <w:p>
            <w:pPr>
              <w:ind w:left="220"/>
              <w:spacing w:after="0"/>
              <w:rPr>
                <w:sz w:val="20"/>
                <w:szCs w:val="20"/>
                <w:color w:val="auto"/>
              </w:rPr>
            </w:pPr>
            <w:r>
              <w:rPr>
                <w:rFonts w:ascii="Arial" w:cs="Arial" w:eastAsia="Arial" w:hAnsi="Arial"/>
                <w:sz w:val="14"/>
                <w:szCs w:val="14"/>
                <w:b w:val="1"/>
                <w:bCs w:val="1"/>
                <w:color w:val="auto"/>
              </w:rPr>
              <w:t>Exhibit No.</w:t>
            </w:r>
          </w:p>
        </w:tc>
        <w:tc>
          <w:tcPr>
            <w:tcW w:w="10300" w:type="dxa"/>
            <w:vAlign w:val="bottom"/>
            <w:gridSpan w:val="2"/>
          </w:tcPr>
          <w:p>
            <w:pPr>
              <w:ind w:left="2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60" w:type="dxa"/>
            <w:vAlign w:val="bottom"/>
            <w:shd w:val="clear" w:color="auto" w:fill="000000"/>
          </w:tcPr>
          <w:p>
            <w:pPr>
              <w:spacing w:after="0" w:line="20" w:lineRule="exact"/>
              <w:rPr>
                <w:sz w:val="1"/>
                <w:szCs w:val="1"/>
                <w:color w:val="auto"/>
              </w:rPr>
            </w:pPr>
          </w:p>
        </w:tc>
      </w:tr>
      <w:tr>
        <w:trPr>
          <w:trHeight w:val="354"/>
        </w:trPr>
        <w:tc>
          <w:tcPr>
            <w:tcW w:w="1160" w:type="dxa"/>
            <w:vAlign w:val="bottom"/>
          </w:tcPr>
          <w:p>
            <w:pPr>
              <w:ind w:left="260"/>
              <w:spacing w:after="0"/>
              <w:rPr>
                <w:sz w:val="20"/>
                <w:szCs w:val="20"/>
                <w:color w:val="auto"/>
              </w:rPr>
            </w:pPr>
            <w:r>
              <w:rPr>
                <w:rFonts w:ascii="Arial" w:cs="Arial" w:eastAsia="Arial" w:hAnsi="Arial"/>
                <w:sz w:val="14"/>
                <w:szCs w:val="14"/>
                <w:color w:val="auto"/>
              </w:rPr>
              <w:t>2.1</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3"/>
              </w:rPr>
              <w:t>Agreement and Plan of Merger, dated as of September 17, 2007, by and among Transdel Pharmaceuticals, Inc., Transdel Pharmaceuticals Holdings, Inc. and Trans-Pharma</w:t>
            </w:r>
          </w:p>
        </w:tc>
      </w:tr>
      <w:tr>
        <w:trPr>
          <w:trHeight w:val="173"/>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Acquisition Corp. Incorporation (incorporated herein by reference to Exhibit 2.1 the Current Report on Form 8-K of Transdel Pharmaceuticals, Inc. filed with the Securities</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3.1</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Amended and Restated Certificate of Incorporation (incorporated herein by reference to Exhibit 3.1 to the Company’s Current Report on Form 8-K filed with the Securities</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and Exchange Commission September 13,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3.2</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8"/>
              </w:rPr>
              <w:t>Amended and Restated Bylaws (incorporated herein by reference to Exhibit 3.2 to the Company’s Current Report on Form 8-K filed with the Securities and Exchange</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Commissions September 13, 2007)</w:t>
            </w:r>
          </w:p>
        </w:tc>
      </w:tr>
      <w:tr>
        <w:trPr>
          <w:trHeight w:val="389"/>
        </w:trPr>
        <w:tc>
          <w:tcPr>
            <w:tcW w:w="1160" w:type="dxa"/>
            <w:vAlign w:val="bottom"/>
          </w:tcPr>
          <w:p>
            <w:pPr>
              <w:ind w:left="260"/>
              <w:spacing w:after="0"/>
              <w:rPr>
                <w:sz w:val="20"/>
                <w:szCs w:val="20"/>
                <w:color w:val="auto"/>
              </w:rPr>
            </w:pPr>
            <w:r>
              <w:rPr>
                <w:rFonts w:ascii="Arial" w:cs="Arial" w:eastAsia="Arial" w:hAnsi="Arial"/>
                <w:sz w:val="14"/>
                <w:szCs w:val="14"/>
                <w:color w:val="auto"/>
              </w:rPr>
              <w:t>5.1**</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Opinion of Haynes and Boone, LLP</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10.1</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Form of September 2007 and October 2007 Private Offering Subscription Agreement (incorporated herein by reference to Exhibit 10.1 the Current Report on Form 8-K of</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Transdel Pharmaceuticals, Inc. filed with the Securities 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10.2</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Form of Warrant to purchase Common Stock (incorporated herein by reference to Exhibit 10.2 the Current Report on Form 8-K of Transdel Pharmaceuticals, Inc. filed with</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the Securities 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10.3</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4"/>
              </w:rPr>
              <w:t>Registration Rights Agreement dated October 10, 2007, by and between Transdel Pharmaceuticals, Inc. and each of the investors signatory thereto (incorporated herein by</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6"/>
              </w:rPr>
              <w:t>reference to Exhibit 10.3 the Current Report on Form 8-K of Transdel Pharmaceuticals, Inc. filed with the Securities 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10.5</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7"/>
              </w:rPr>
              <w:t>Placement Agent Agreement, dated September 17, 2007, between Transdel Pharmaceuticals Holdings, Inc. and Granite Financial Group, LLC (incorporated herein by</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6"/>
              </w:rPr>
              <w:t>reference to Exhibit 10.5 the Current Report on Form 8-K of Transdel Pharmaceuticals, Inc. filed with the Securities 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10.6</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4"/>
              </w:rPr>
              <w:t>Placement Agent Agreement, dated September 17, 2007, between Transdel Pharmaceuticals Holdings, Inc. and WFG Investments, Inc. (incorporated herein by reference to</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Exhibit 10.6 the Current Report on Form 8-K of Transdel Pharmaceuticals, Inc. filed with the Securities 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10.7</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3"/>
              </w:rPr>
              <w:t>Placement Agent Agreement, dated September 17, 2007, by and between Transdel Pharmaceuticals Holdings, Inc. and Palladium Capital Advisors, LLC (incorporated herein</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4"/>
              </w:rPr>
              <w:t>by reference to Exhibit 10.7 the Current Report on Form 8-K of Transdel Pharmaceuticals, Inc. filed with the Securities and Exchange Commission on September 21, 2007)</w:t>
            </w:r>
          </w:p>
        </w:tc>
      </w:tr>
      <w:tr>
        <w:trPr>
          <w:trHeight w:val="380"/>
        </w:trPr>
        <w:tc>
          <w:tcPr>
            <w:tcW w:w="1160" w:type="dxa"/>
            <w:vAlign w:val="bottom"/>
          </w:tcPr>
          <w:p>
            <w:pPr>
              <w:ind w:left="260"/>
              <w:spacing w:after="0"/>
              <w:rPr>
                <w:sz w:val="20"/>
                <w:szCs w:val="20"/>
                <w:color w:val="auto"/>
              </w:rPr>
            </w:pPr>
            <w:r>
              <w:rPr>
                <w:rFonts w:ascii="Arial" w:cs="Arial" w:eastAsia="Arial" w:hAnsi="Arial"/>
                <w:sz w:val="14"/>
                <w:szCs w:val="14"/>
                <w:color w:val="auto"/>
              </w:rPr>
              <w:t>10.8</w:t>
            </w: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w w:val="95"/>
              </w:rPr>
              <w:t>Form of Directors and Officers Indemnification Agreement (incorporated herein by reference to Exhibit 10.8 the Current Report on Form 8-K of Transdel Pharmaceuticals,</w:t>
            </w:r>
          </w:p>
        </w:tc>
      </w:tr>
      <w:tr>
        <w:trPr>
          <w:trHeight w:val="182"/>
        </w:trPr>
        <w:tc>
          <w:tcPr>
            <w:tcW w:w="1160" w:type="dxa"/>
            <w:vAlign w:val="bottom"/>
          </w:tcPr>
          <w:p>
            <w:pPr>
              <w:spacing w:after="0"/>
              <w:rPr>
                <w:sz w:val="15"/>
                <w:szCs w:val="15"/>
                <w:color w:val="auto"/>
              </w:rPr>
            </w:pPr>
          </w:p>
        </w:tc>
        <w:tc>
          <w:tcPr>
            <w:tcW w:w="10300" w:type="dxa"/>
            <w:vAlign w:val="bottom"/>
            <w:gridSpan w:val="2"/>
          </w:tcPr>
          <w:p>
            <w:pPr>
              <w:ind w:left="240"/>
              <w:spacing w:after="0"/>
              <w:rPr>
                <w:sz w:val="20"/>
                <w:szCs w:val="20"/>
                <w:color w:val="auto"/>
              </w:rPr>
            </w:pPr>
            <w:r>
              <w:rPr>
                <w:rFonts w:ascii="Arial" w:cs="Arial" w:eastAsia="Arial" w:hAnsi="Arial"/>
                <w:sz w:val="14"/>
                <w:szCs w:val="14"/>
                <w:color w:val="auto"/>
              </w:rPr>
              <w:t>Inc. filed with the Securities and Exchange Commission on September 21, 2007)</w:t>
            </w:r>
          </w:p>
        </w:tc>
      </w:tr>
      <w:tr>
        <w:trPr>
          <w:trHeight w:val="527"/>
        </w:trPr>
        <w:tc>
          <w:tcPr>
            <w:tcW w:w="1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7268210</wp:posOffset>
            </wp:positionH>
            <wp:positionV relativeFrom="paragraph">
              <wp:posOffset>-12700</wp:posOffset>
            </wp:positionV>
            <wp:extent cx="12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1270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19" w:right="219" w:bottom="1440" w:gutter="0" w:footer="0" w:header="0"/>
        </w:sectPr>
      </w:pPr>
    </w:p>
    <w:bookmarkStart w:id="82" w:name="page83"/>
    <w:bookmarkEnd w:id="82"/>
    <w:tbl>
      <w:tblPr>
        <w:tblLayout w:type="fixed"/>
        <w:tblInd w:w="260" w:type="dxa"/>
        <w:tblCellMar>
          <w:top w:w="0" w:type="dxa"/>
          <w:left w:w="0" w:type="dxa"/>
          <w:bottom w:w="0" w:type="dxa"/>
          <w:right w:w="0" w:type="dxa"/>
        </w:tblCellMar>
      </w:tblPr>
      <w:tr>
        <w:trPr>
          <w:trHeight w:val="173"/>
        </w:trPr>
        <w:tc>
          <w:tcPr>
            <w:tcW w:w="840" w:type="dxa"/>
            <w:vAlign w:val="bottom"/>
          </w:tcPr>
          <w:p>
            <w:pPr>
              <w:spacing w:after="0"/>
              <w:rPr>
                <w:sz w:val="20"/>
                <w:szCs w:val="20"/>
                <w:color w:val="auto"/>
              </w:rPr>
            </w:pPr>
            <w:r>
              <w:rPr>
                <w:rFonts w:ascii="Arial" w:cs="Arial" w:eastAsia="Arial" w:hAnsi="Arial"/>
                <w:sz w:val="14"/>
                <w:szCs w:val="14"/>
                <w:color w:val="auto"/>
              </w:rPr>
              <w:t>10.9</w:t>
            </w:r>
          </w:p>
        </w:tc>
        <w:tc>
          <w:tcPr>
            <w:tcW w:w="10280" w:type="dxa"/>
            <w:vAlign w:val="bottom"/>
          </w:tcPr>
          <w:p>
            <w:pPr>
              <w:ind w:left="300"/>
              <w:spacing w:after="0"/>
              <w:rPr>
                <w:sz w:val="20"/>
                <w:szCs w:val="20"/>
                <w:color w:val="auto"/>
              </w:rPr>
            </w:pPr>
            <w:r>
              <w:rPr>
                <w:rFonts w:ascii="Arial" w:cs="Arial" w:eastAsia="Arial" w:hAnsi="Arial"/>
                <w:sz w:val="14"/>
                <w:szCs w:val="14"/>
                <w:color w:val="auto"/>
                <w:w w:val="92"/>
              </w:rPr>
              <w:t>Assignment of Employment Agreement, dated September 17, by and among Transdel Pharmaceuticals Holdings, Inc., Transdel Pharmaceuticals, Inc. and Juliet Singh, Ph.D.</w:t>
            </w:r>
          </w:p>
        </w:tc>
      </w:tr>
      <w:tr>
        <w:trPr>
          <w:trHeight w:val="173"/>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w w:val="94"/>
              </w:rPr>
              <w:t>(incorporated herein by reference to Exhibit 10.9 the Current Report on Form 8-K of Transdel Pharmaceuticals, Inc. filed with the Securities and Exchange Commission on</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September 21, 2007)</w:t>
            </w:r>
          </w:p>
        </w:tc>
      </w:tr>
      <w:tr>
        <w:trPr>
          <w:trHeight w:val="380"/>
        </w:trPr>
        <w:tc>
          <w:tcPr>
            <w:tcW w:w="840" w:type="dxa"/>
            <w:vAlign w:val="bottom"/>
          </w:tcPr>
          <w:p>
            <w:pPr>
              <w:spacing w:after="0"/>
              <w:rPr>
                <w:sz w:val="20"/>
                <w:szCs w:val="20"/>
                <w:color w:val="auto"/>
              </w:rPr>
            </w:pPr>
            <w:r>
              <w:rPr>
                <w:rFonts w:ascii="Arial" w:cs="Arial" w:eastAsia="Arial" w:hAnsi="Arial"/>
                <w:sz w:val="14"/>
                <w:szCs w:val="14"/>
                <w:color w:val="auto"/>
              </w:rPr>
              <w:t>10.10</w:t>
            </w:r>
          </w:p>
        </w:tc>
        <w:tc>
          <w:tcPr>
            <w:tcW w:w="10280" w:type="dxa"/>
            <w:vAlign w:val="bottom"/>
          </w:tcPr>
          <w:p>
            <w:pPr>
              <w:ind w:left="300"/>
              <w:spacing w:after="0"/>
              <w:rPr>
                <w:sz w:val="20"/>
                <w:szCs w:val="20"/>
                <w:color w:val="auto"/>
              </w:rPr>
            </w:pPr>
            <w:r>
              <w:rPr>
                <w:rFonts w:ascii="Arial" w:cs="Arial" w:eastAsia="Arial" w:hAnsi="Arial"/>
                <w:sz w:val="14"/>
                <w:szCs w:val="14"/>
                <w:color w:val="auto"/>
                <w:w w:val="93"/>
              </w:rPr>
              <w:t>Employment Agreement, dated June 27, 2007, by and between Transdel Pharmaceuticals Holdings, Inc. and Juliet Singh, Ph.D. (incorporated herein by reference to Exhibit</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10.10 the Current Report on Form 8-K of Transdel Pharmaceuticals, Inc. filed with the Securities and Exchange Commission on September 21, 2007)</w:t>
            </w:r>
          </w:p>
        </w:tc>
      </w:tr>
      <w:tr>
        <w:trPr>
          <w:trHeight w:val="380"/>
        </w:trPr>
        <w:tc>
          <w:tcPr>
            <w:tcW w:w="840" w:type="dxa"/>
            <w:vAlign w:val="bottom"/>
          </w:tcPr>
          <w:p>
            <w:pPr>
              <w:spacing w:after="0"/>
              <w:rPr>
                <w:sz w:val="20"/>
                <w:szCs w:val="20"/>
                <w:color w:val="auto"/>
              </w:rPr>
            </w:pPr>
            <w:r>
              <w:rPr>
                <w:rFonts w:ascii="Arial" w:cs="Arial" w:eastAsia="Arial" w:hAnsi="Arial"/>
                <w:sz w:val="14"/>
                <w:szCs w:val="14"/>
                <w:color w:val="auto"/>
              </w:rPr>
              <w:t>10.11</w:t>
            </w:r>
          </w:p>
        </w:tc>
        <w:tc>
          <w:tcPr>
            <w:tcW w:w="10280" w:type="dxa"/>
            <w:vAlign w:val="bottom"/>
          </w:tcPr>
          <w:p>
            <w:pPr>
              <w:ind w:left="300"/>
              <w:spacing w:after="0"/>
              <w:rPr>
                <w:sz w:val="20"/>
                <w:szCs w:val="20"/>
                <w:color w:val="auto"/>
              </w:rPr>
            </w:pPr>
            <w:r>
              <w:rPr>
                <w:rFonts w:ascii="Arial" w:cs="Arial" w:eastAsia="Arial" w:hAnsi="Arial"/>
                <w:sz w:val="14"/>
                <w:szCs w:val="14"/>
                <w:color w:val="auto"/>
                <w:w w:val="97"/>
              </w:rPr>
              <w:t>Transdel Pharmaceuticals, Inc. 2007 Incentive Stock and Awards Plan (incorporated herein by reference to Exhibit 10.11 the Current Report on Form 8-K of Transdel</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Pharmaceuticals, Inc. filed with the Securities and Exchange Commission on September 21, 2007)</w:t>
            </w:r>
          </w:p>
        </w:tc>
      </w:tr>
      <w:tr>
        <w:trPr>
          <w:trHeight w:val="380"/>
        </w:trPr>
        <w:tc>
          <w:tcPr>
            <w:tcW w:w="840" w:type="dxa"/>
            <w:vAlign w:val="bottom"/>
          </w:tcPr>
          <w:p>
            <w:pPr>
              <w:spacing w:after="0"/>
              <w:rPr>
                <w:sz w:val="20"/>
                <w:szCs w:val="20"/>
                <w:color w:val="auto"/>
              </w:rPr>
            </w:pPr>
            <w:r>
              <w:rPr>
                <w:rFonts w:ascii="Arial" w:cs="Arial" w:eastAsia="Arial" w:hAnsi="Arial"/>
                <w:sz w:val="14"/>
                <w:szCs w:val="14"/>
                <w:color w:val="auto"/>
              </w:rPr>
              <w:t>10.12</w:t>
            </w:r>
          </w:p>
        </w:tc>
        <w:tc>
          <w:tcPr>
            <w:tcW w:w="10280" w:type="dxa"/>
            <w:vAlign w:val="bottom"/>
          </w:tcPr>
          <w:p>
            <w:pPr>
              <w:ind w:left="300"/>
              <w:spacing w:after="0"/>
              <w:rPr>
                <w:sz w:val="20"/>
                <w:szCs w:val="20"/>
                <w:color w:val="auto"/>
              </w:rPr>
            </w:pPr>
            <w:r>
              <w:rPr>
                <w:rFonts w:ascii="Arial" w:cs="Arial" w:eastAsia="Arial" w:hAnsi="Arial"/>
                <w:sz w:val="14"/>
                <w:szCs w:val="14"/>
                <w:color w:val="auto"/>
                <w:w w:val="94"/>
              </w:rPr>
              <w:t>Form of 2007 Incentive Stock Option Agreement (incorporated herein by reference to Exhibit 10.12 the Current Report on Form 8-K of Transdel Pharmaceuticals, Inc. filed</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with the Securities and Exchange Commission on September 21, 2007)</w:t>
            </w:r>
          </w:p>
        </w:tc>
      </w:tr>
      <w:tr>
        <w:trPr>
          <w:trHeight w:val="380"/>
        </w:trPr>
        <w:tc>
          <w:tcPr>
            <w:tcW w:w="840" w:type="dxa"/>
            <w:vAlign w:val="bottom"/>
          </w:tcPr>
          <w:p>
            <w:pPr>
              <w:spacing w:after="0"/>
              <w:rPr>
                <w:sz w:val="20"/>
                <w:szCs w:val="20"/>
                <w:color w:val="auto"/>
              </w:rPr>
            </w:pPr>
            <w:r>
              <w:rPr>
                <w:rFonts w:ascii="Arial" w:cs="Arial" w:eastAsia="Arial" w:hAnsi="Arial"/>
                <w:sz w:val="14"/>
                <w:szCs w:val="14"/>
                <w:color w:val="auto"/>
              </w:rPr>
              <w:t>10.13</w:t>
            </w:r>
          </w:p>
        </w:tc>
        <w:tc>
          <w:tcPr>
            <w:tcW w:w="10280" w:type="dxa"/>
            <w:vAlign w:val="bottom"/>
          </w:tcPr>
          <w:p>
            <w:pPr>
              <w:ind w:left="300"/>
              <w:spacing w:after="0"/>
              <w:rPr>
                <w:sz w:val="20"/>
                <w:szCs w:val="20"/>
                <w:color w:val="auto"/>
              </w:rPr>
            </w:pPr>
            <w:r>
              <w:rPr>
                <w:rFonts w:ascii="Arial" w:cs="Arial" w:eastAsia="Arial" w:hAnsi="Arial"/>
                <w:sz w:val="14"/>
                <w:szCs w:val="14"/>
                <w:color w:val="auto"/>
                <w:w w:val="94"/>
              </w:rPr>
              <w:t>Form of 2007 Non-Qualified Stock Option Agreement (incorporated herein by reference to Exhibit 10.13 the Current Report on Form 8-K of Transdel Pharmaceuticals, Inc.</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filed with the Securities and Exchange Commission on September 21, 2007)</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10.14**</w:t>
            </w:r>
          </w:p>
        </w:tc>
        <w:tc>
          <w:tcPr>
            <w:tcW w:w="10280" w:type="dxa"/>
            <w:vAlign w:val="bottom"/>
          </w:tcPr>
          <w:p>
            <w:pPr>
              <w:ind w:left="300"/>
              <w:spacing w:after="0"/>
              <w:rPr>
                <w:sz w:val="20"/>
                <w:szCs w:val="20"/>
                <w:color w:val="auto"/>
              </w:rPr>
            </w:pPr>
            <w:r>
              <w:rPr>
                <w:rFonts w:ascii="Arial" w:cs="Arial" w:eastAsia="Arial" w:hAnsi="Arial"/>
                <w:sz w:val="14"/>
                <w:szCs w:val="14"/>
                <w:color w:val="auto"/>
              </w:rPr>
              <w:t>Stock Purchase Agreement, dated as of September 17, 2007, by and between Transdel Pharmaceuticals, Inc. and Rolf Harms</w:t>
            </w:r>
          </w:p>
        </w:tc>
      </w:tr>
      <w:tr>
        <w:trPr>
          <w:trHeight w:val="380"/>
        </w:trPr>
        <w:tc>
          <w:tcPr>
            <w:tcW w:w="840" w:type="dxa"/>
            <w:vAlign w:val="bottom"/>
          </w:tcPr>
          <w:p>
            <w:pPr>
              <w:spacing w:after="0"/>
              <w:rPr>
                <w:sz w:val="20"/>
                <w:szCs w:val="20"/>
                <w:color w:val="auto"/>
              </w:rPr>
            </w:pPr>
            <w:r>
              <w:rPr>
                <w:rFonts w:ascii="Arial" w:cs="Arial" w:eastAsia="Arial" w:hAnsi="Arial"/>
                <w:sz w:val="14"/>
                <w:szCs w:val="14"/>
                <w:color w:val="auto"/>
              </w:rPr>
              <w:t>10.15**</w:t>
            </w:r>
          </w:p>
        </w:tc>
        <w:tc>
          <w:tcPr>
            <w:tcW w:w="10280" w:type="dxa"/>
            <w:vAlign w:val="bottom"/>
          </w:tcPr>
          <w:p>
            <w:pPr>
              <w:ind w:left="300"/>
              <w:spacing w:after="0"/>
              <w:rPr>
                <w:sz w:val="20"/>
                <w:szCs w:val="20"/>
                <w:color w:val="auto"/>
              </w:rPr>
            </w:pPr>
            <w:r>
              <w:rPr>
                <w:rFonts w:ascii="Arial" w:cs="Arial" w:eastAsia="Arial" w:hAnsi="Arial"/>
                <w:sz w:val="14"/>
                <w:szCs w:val="14"/>
                <w:color w:val="auto"/>
                <w:w w:val="93"/>
              </w:rPr>
              <w:t>Agreement of Conveyance, Transfer and Assignment of Assets and Assumption of Obligations, dated as of September 17, 2007, by and between Transdel Pharmaceuticals,</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Inc. and Bywater Resources Holdings Inc.</w:t>
            </w:r>
          </w:p>
        </w:tc>
      </w:tr>
      <w:tr>
        <w:trPr>
          <w:trHeight w:val="380"/>
        </w:trPr>
        <w:tc>
          <w:tcPr>
            <w:tcW w:w="840" w:type="dxa"/>
            <w:vAlign w:val="bottom"/>
          </w:tcPr>
          <w:p>
            <w:pPr>
              <w:spacing w:after="0"/>
              <w:rPr>
                <w:sz w:val="20"/>
                <w:szCs w:val="20"/>
                <w:color w:val="auto"/>
              </w:rPr>
            </w:pPr>
            <w:r>
              <w:rPr>
                <w:rFonts w:ascii="Arial" w:cs="Arial" w:eastAsia="Arial" w:hAnsi="Arial"/>
                <w:sz w:val="14"/>
                <w:szCs w:val="14"/>
                <w:color w:val="auto"/>
              </w:rPr>
              <w:t>10.16</w:t>
            </w:r>
          </w:p>
        </w:tc>
        <w:tc>
          <w:tcPr>
            <w:tcW w:w="10280" w:type="dxa"/>
            <w:vAlign w:val="bottom"/>
          </w:tcPr>
          <w:p>
            <w:pPr>
              <w:ind w:left="300"/>
              <w:spacing w:after="0"/>
              <w:rPr>
                <w:sz w:val="20"/>
                <w:szCs w:val="20"/>
                <w:color w:val="auto"/>
              </w:rPr>
            </w:pPr>
            <w:r>
              <w:rPr>
                <w:rFonts w:ascii="Arial" w:cs="Arial" w:eastAsia="Arial" w:hAnsi="Arial"/>
                <w:sz w:val="14"/>
                <w:szCs w:val="14"/>
                <w:color w:val="auto"/>
                <w:w w:val="94"/>
              </w:rPr>
              <w:t>Form of Lock-Up Agreement (incorporated herein by reference to Exhibit 10.4 to the Current Report on Form 8-K of Transdel Pharmaceuticals, Inc. filed with the Securities</w:t>
            </w:r>
          </w:p>
        </w:tc>
      </w:tr>
      <w:tr>
        <w:trPr>
          <w:trHeight w:val="182"/>
        </w:trPr>
        <w:tc>
          <w:tcPr>
            <w:tcW w:w="840" w:type="dxa"/>
            <w:vAlign w:val="bottom"/>
          </w:tcPr>
          <w:p>
            <w:pPr>
              <w:spacing w:after="0"/>
              <w:rPr>
                <w:sz w:val="15"/>
                <w:szCs w:val="15"/>
                <w:color w:val="auto"/>
              </w:rPr>
            </w:pPr>
          </w:p>
        </w:tc>
        <w:tc>
          <w:tcPr>
            <w:tcW w:w="10280" w:type="dxa"/>
            <w:vAlign w:val="bottom"/>
          </w:tcPr>
          <w:p>
            <w:pPr>
              <w:ind w:left="300"/>
              <w:spacing w:after="0"/>
              <w:rPr>
                <w:sz w:val="20"/>
                <w:szCs w:val="20"/>
                <w:color w:val="auto"/>
              </w:rPr>
            </w:pPr>
            <w:r>
              <w:rPr>
                <w:rFonts w:ascii="Arial" w:cs="Arial" w:eastAsia="Arial" w:hAnsi="Arial"/>
                <w:sz w:val="14"/>
                <w:szCs w:val="14"/>
                <w:color w:val="auto"/>
              </w:rPr>
              <w:t>and Exchange Commission on September 21, 2007)</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10.17**#</w:t>
            </w:r>
          </w:p>
        </w:tc>
        <w:tc>
          <w:tcPr>
            <w:tcW w:w="10280" w:type="dxa"/>
            <w:vAlign w:val="bottom"/>
          </w:tcPr>
          <w:p>
            <w:pPr>
              <w:ind w:left="300"/>
              <w:spacing w:after="0"/>
              <w:rPr>
                <w:sz w:val="20"/>
                <w:szCs w:val="20"/>
                <w:color w:val="auto"/>
              </w:rPr>
            </w:pPr>
            <w:r>
              <w:rPr>
                <w:rFonts w:ascii="Arial" w:cs="Arial" w:eastAsia="Arial" w:hAnsi="Arial"/>
                <w:sz w:val="14"/>
                <w:szCs w:val="14"/>
                <w:color w:val="auto"/>
              </w:rPr>
              <w:t>Research and Development Services Agreement, dated October 11, 2007, by and between DPT Laboratories, Ltd. And Transdel Pharmaceuticals Holdings, Inc.</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10.18**#</w:t>
            </w:r>
          </w:p>
        </w:tc>
        <w:tc>
          <w:tcPr>
            <w:tcW w:w="10280" w:type="dxa"/>
            <w:vAlign w:val="bottom"/>
          </w:tcPr>
          <w:p>
            <w:pPr>
              <w:ind w:left="300"/>
              <w:spacing w:after="0"/>
              <w:rPr>
                <w:sz w:val="20"/>
                <w:szCs w:val="20"/>
                <w:color w:val="auto"/>
              </w:rPr>
            </w:pPr>
            <w:r>
              <w:rPr>
                <w:rFonts w:ascii="Arial" w:cs="Arial" w:eastAsia="Arial" w:hAnsi="Arial"/>
                <w:sz w:val="14"/>
                <w:szCs w:val="14"/>
                <w:color w:val="auto"/>
              </w:rPr>
              <w:t>Project Scope Document, effective May 30, 2007, by and between DPT Laboratories, Ltd. and Transdel Pharmaceuticals Holdings, Inc.</w:t>
            </w:r>
          </w:p>
        </w:tc>
      </w:tr>
      <w:tr>
        <w:trPr>
          <w:trHeight w:val="368"/>
        </w:trPr>
        <w:tc>
          <w:tcPr>
            <w:tcW w:w="840" w:type="dxa"/>
            <w:vAlign w:val="bottom"/>
          </w:tcPr>
          <w:p>
            <w:pPr>
              <w:spacing w:after="0"/>
              <w:rPr>
                <w:sz w:val="20"/>
                <w:szCs w:val="20"/>
                <w:color w:val="auto"/>
              </w:rPr>
            </w:pPr>
            <w:r>
              <w:rPr>
                <w:rFonts w:ascii="Arial" w:cs="Arial" w:eastAsia="Arial" w:hAnsi="Arial"/>
                <w:sz w:val="14"/>
                <w:szCs w:val="14"/>
                <w:color w:val="auto"/>
              </w:rPr>
              <w:t>14**</w:t>
            </w:r>
          </w:p>
        </w:tc>
        <w:tc>
          <w:tcPr>
            <w:tcW w:w="10280" w:type="dxa"/>
            <w:vAlign w:val="bottom"/>
          </w:tcPr>
          <w:p>
            <w:pPr>
              <w:ind w:left="300"/>
              <w:spacing w:after="0"/>
              <w:rPr>
                <w:sz w:val="20"/>
                <w:szCs w:val="20"/>
                <w:color w:val="auto"/>
              </w:rPr>
            </w:pPr>
            <w:r>
              <w:rPr>
                <w:rFonts w:ascii="Arial" w:cs="Arial" w:eastAsia="Arial" w:hAnsi="Arial"/>
                <w:sz w:val="14"/>
                <w:szCs w:val="14"/>
                <w:color w:val="auto"/>
              </w:rPr>
              <w:t>Amended and Restated Code of Ethics and Business Conduct</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21**</w:t>
            </w:r>
          </w:p>
        </w:tc>
        <w:tc>
          <w:tcPr>
            <w:tcW w:w="10280" w:type="dxa"/>
            <w:vAlign w:val="bottom"/>
          </w:tcPr>
          <w:p>
            <w:pPr>
              <w:ind w:left="300"/>
              <w:spacing w:after="0"/>
              <w:rPr>
                <w:sz w:val="20"/>
                <w:szCs w:val="20"/>
                <w:color w:val="auto"/>
              </w:rPr>
            </w:pPr>
            <w:r>
              <w:rPr>
                <w:rFonts w:ascii="Arial" w:cs="Arial" w:eastAsia="Arial" w:hAnsi="Arial"/>
                <w:sz w:val="14"/>
                <w:szCs w:val="14"/>
                <w:color w:val="auto"/>
              </w:rPr>
              <w:t>List of Subsidiaries</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23.1*</w:t>
            </w:r>
          </w:p>
        </w:tc>
        <w:tc>
          <w:tcPr>
            <w:tcW w:w="10280" w:type="dxa"/>
            <w:vAlign w:val="bottom"/>
          </w:tcPr>
          <w:p>
            <w:pPr>
              <w:ind w:left="300"/>
              <w:spacing w:after="0"/>
              <w:rPr>
                <w:sz w:val="20"/>
                <w:szCs w:val="20"/>
                <w:color w:val="auto"/>
              </w:rPr>
            </w:pPr>
            <w:r>
              <w:rPr>
                <w:rFonts w:ascii="Arial" w:cs="Arial" w:eastAsia="Arial" w:hAnsi="Arial"/>
                <w:sz w:val="14"/>
                <w:szCs w:val="14"/>
                <w:color w:val="auto"/>
              </w:rPr>
              <w:t>Consent of KMJ Corbin &amp; Company LLP</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23.2**</w:t>
            </w:r>
          </w:p>
        </w:tc>
        <w:tc>
          <w:tcPr>
            <w:tcW w:w="10280" w:type="dxa"/>
            <w:vAlign w:val="bottom"/>
          </w:tcPr>
          <w:p>
            <w:pPr>
              <w:ind w:left="300"/>
              <w:spacing w:after="0"/>
              <w:rPr>
                <w:sz w:val="20"/>
                <w:szCs w:val="20"/>
                <w:color w:val="auto"/>
              </w:rPr>
            </w:pPr>
            <w:r>
              <w:rPr>
                <w:rFonts w:ascii="Arial" w:cs="Arial" w:eastAsia="Arial" w:hAnsi="Arial"/>
                <w:sz w:val="14"/>
                <w:szCs w:val="14"/>
                <w:color w:val="auto"/>
              </w:rPr>
              <w:t>Consent of Haynes and Boone, LLP (included in Exhibit 5.1)</w:t>
            </w:r>
          </w:p>
        </w:tc>
      </w:tr>
      <w:tr>
        <w:trPr>
          <w:trHeight w:val="389"/>
        </w:trPr>
        <w:tc>
          <w:tcPr>
            <w:tcW w:w="840" w:type="dxa"/>
            <w:vAlign w:val="bottom"/>
          </w:tcPr>
          <w:p>
            <w:pPr>
              <w:spacing w:after="0"/>
              <w:rPr>
                <w:sz w:val="20"/>
                <w:szCs w:val="20"/>
                <w:color w:val="auto"/>
              </w:rPr>
            </w:pPr>
            <w:r>
              <w:rPr>
                <w:rFonts w:ascii="Arial" w:cs="Arial" w:eastAsia="Arial" w:hAnsi="Arial"/>
                <w:sz w:val="14"/>
                <w:szCs w:val="14"/>
                <w:color w:val="auto"/>
              </w:rPr>
              <w:t>24.1**</w:t>
            </w:r>
          </w:p>
        </w:tc>
        <w:tc>
          <w:tcPr>
            <w:tcW w:w="10280" w:type="dxa"/>
            <w:vAlign w:val="bottom"/>
          </w:tcPr>
          <w:p>
            <w:pPr>
              <w:ind w:left="300"/>
              <w:spacing w:after="0"/>
              <w:rPr>
                <w:sz w:val="20"/>
                <w:szCs w:val="20"/>
                <w:color w:val="auto"/>
              </w:rPr>
            </w:pPr>
            <w:r>
              <w:rPr>
                <w:rFonts w:ascii="Arial" w:cs="Arial" w:eastAsia="Arial" w:hAnsi="Arial"/>
                <w:sz w:val="14"/>
                <w:szCs w:val="14"/>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110553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5535" cy="6985"/>
                    </a:xfrm>
                    <a:prstGeom prst="rect">
                      <a:avLst/>
                    </a:prstGeom>
                    <a:noFill/>
                  </pic:spPr>
                </pic:pic>
              </a:graphicData>
            </a:graphic>
          </wp:anchor>
        </w:drawing>
      </w:r>
    </w:p>
    <w:p>
      <w:pPr>
        <w:spacing w:after="0" w:line="371" w:lineRule="exact"/>
        <w:rPr>
          <w:sz w:val="20"/>
          <w:szCs w:val="20"/>
          <w:color w:val="auto"/>
        </w:rPr>
      </w:pPr>
    </w:p>
    <w:p>
      <w:pPr>
        <w:ind w:right="10280" w:firstLine="7"/>
        <w:spacing w:after="0" w:line="265" w:lineRule="auto"/>
        <w:tabs>
          <w:tab w:leader="none" w:pos="108"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filed herewith ** previously filed</w:t>
      </w:r>
    </w:p>
    <w:p>
      <w:pPr>
        <w:spacing w:after="0"/>
        <w:rPr>
          <w:rFonts w:ascii="Arial" w:cs="Arial" w:eastAsia="Arial" w:hAnsi="Arial"/>
          <w:sz w:val="14"/>
          <w:szCs w:val="14"/>
          <w:color w:val="auto"/>
        </w:rPr>
      </w:pPr>
      <w:r>
        <w:rPr>
          <w:rFonts w:ascii="Arial" w:cs="Arial" w:eastAsia="Arial" w:hAnsi="Arial"/>
          <w:sz w:val="14"/>
          <w:szCs w:val="14"/>
          <w:color w:val="auto"/>
        </w:rPr>
        <w:t># We have requested confidential treatment with respect to the referenced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79640" cy="19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9640" cy="19685"/>
                    </a:xfrm>
                    <a:prstGeom prst="rect">
                      <a:avLst/>
                    </a:prstGeom>
                    <a:noFill/>
                  </pic:spPr>
                </pic:pic>
              </a:graphicData>
            </a:graphic>
          </wp:anchor>
        </w:drawing>
      </w:r>
    </w:p>
    <w:p>
      <w:pPr>
        <w:sectPr>
          <w:pgSz w:w="11900" w:h="16838" w:orient="portrait"/>
          <w:cols w:equalWidth="0" w:num="1">
            <w:col w:w="11380"/>
          </w:cols>
          <w:pgMar w:left="220" w:top="345" w:right="299" w:bottom="1440" w:gutter="0" w:footer="0" w:header="0"/>
        </w:sectPr>
      </w:pPr>
    </w:p>
    <w:bookmarkStart w:id="83" w:name="page84"/>
    <w:bookmarkEnd w:id="83"/>
    <w:p>
      <w:pPr>
        <w:spacing w:after="0" w:line="2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5604510</wp:posOffset>
            </wp:positionH>
            <wp:positionV relativeFrom="page">
              <wp:posOffset>88900</wp:posOffset>
            </wp:positionV>
            <wp:extent cx="1799590" cy="6178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1799590" cy="6178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consent to the inclusion in this Prospectus, which is part of the Registration Statement #333-147930 of Transdel Pharmaceuticals, Inc. (the “Company”) of Amendment No. 3 on Form SB-2 of our report, dated July 27, 2007, except for Note 7, as to which the date is September 11, 2007, on the financial statements of the Company as of December 31, 2006 and for each of the years in the two-year period then ended. We also consent to the use of our name is it appears under the caption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5464810</wp:posOffset>
            </wp:positionH>
            <wp:positionV relativeFrom="paragraph">
              <wp:posOffset>235585</wp:posOffset>
            </wp:positionV>
            <wp:extent cx="1332230" cy="247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32230" cy="24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600"/>
        <w:spacing w:after="0"/>
        <w:rPr>
          <w:sz w:val="20"/>
          <w:szCs w:val="20"/>
          <w:color w:val="auto"/>
        </w:rPr>
      </w:pPr>
      <w:r>
        <w:rPr>
          <w:rFonts w:ascii="Arial" w:cs="Arial" w:eastAsia="Arial" w:hAnsi="Arial"/>
          <w:sz w:val="14"/>
          <w:szCs w:val="14"/>
          <w:color w:val="auto"/>
        </w:rPr>
        <w:t>KMJ | Corbin &amp; Company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Irvine, California</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January 24,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0" w:type="dxa"/>
            <w:vAlign w:val="bottom"/>
          </w:tcPr>
          <w:p>
            <w:pPr>
              <w:spacing w:after="0"/>
              <w:rPr>
                <w:sz w:val="20"/>
                <w:szCs w:val="20"/>
                <w:color w:val="auto"/>
              </w:rPr>
            </w:pPr>
            <w:r>
              <w:rPr>
                <w:rFonts w:ascii="Arial" w:cs="Arial" w:eastAsia="Arial" w:hAnsi="Arial"/>
                <w:sz w:val="11"/>
                <w:szCs w:val="11"/>
                <w:color w:val="auto"/>
              </w:rPr>
              <w:t>p</w:t>
            </w:r>
          </w:p>
        </w:tc>
        <w:tc>
          <w:tcPr>
            <w:tcW w:w="540" w:type="dxa"/>
            <w:vAlign w:val="bottom"/>
          </w:tcPr>
          <w:p>
            <w:pPr>
              <w:jc w:val="right"/>
              <w:ind w:right="146"/>
              <w:spacing w:after="0"/>
              <w:rPr>
                <w:sz w:val="20"/>
                <w:szCs w:val="20"/>
                <w:color w:val="auto"/>
              </w:rPr>
            </w:pPr>
            <w:r>
              <w:rPr>
                <w:rFonts w:ascii="Arial" w:cs="Arial" w:eastAsia="Arial" w:hAnsi="Arial"/>
                <w:sz w:val="11"/>
                <w:szCs w:val="11"/>
                <w:color w:val="auto"/>
              </w:rPr>
              <w:t>949</w:t>
            </w: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296</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9700</w:t>
            </w:r>
          </w:p>
        </w:tc>
        <w:tc>
          <w:tcPr>
            <w:tcW w:w="820" w:type="dxa"/>
            <w:vAlign w:val="bottom"/>
          </w:tcPr>
          <w:p>
            <w:pPr>
              <w:ind w:left="280"/>
              <w:spacing w:after="0"/>
              <w:rPr>
                <w:sz w:val="20"/>
                <w:szCs w:val="20"/>
                <w:color w:val="auto"/>
              </w:rPr>
            </w:pPr>
            <w:r>
              <w:rPr>
                <w:rFonts w:ascii="Arial" w:cs="Arial" w:eastAsia="Arial" w:hAnsi="Arial"/>
                <w:sz w:val="11"/>
                <w:szCs w:val="11"/>
                <w:color w:val="auto"/>
              </w:rPr>
              <w:t>f 949</w:t>
            </w:r>
          </w:p>
        </w:tc>
        <w:tc>
          <w:tcPr>
            <w:tcW w:w="680" w:type="dxa"/>
            <w:vAlign w:val="bottom"/>
          </w:tcPr>
          <w:p>
            <w:pPr>
              <w:jc w:val="right"/>
              <w:ind w:right="166"/>
              <w:spacing w:after="0"/>
              <w:rPr>
                <w:sz w:val="20"/>
                <w:szCs w:val="20"/>
                <w:color w:val="auto"/>
              </w:rPr>
            </w:pPr>
            <w:r>
              <w:rPr>
                <w:rFonts w:ascii="Arial" w:cs="Arial" w:eastAsia="Arial" w:hAnsi="Arial"/>
                <w:sz w:val="11"/>
                <w:szCs w:val="11"/>
                <w:color w:val="auto"/>
              </w:rPr>
              <w:t>296</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9701</w:t>
            </w:r>
          </w:p>
        </w:tc>
        <w:tc>
          <w:tcPr>
            <w:tcW w:w="540" w:type="dxa"/>
            <w:vAlign w:val="bottom"/>
          </w:tcPr>
          <w:p>
            <w:pPr>
              <w:jc w:val="right"/>
              <w:spacing w:after="0"/>
              <w:rPr>
                <w:sz w:val="20"/>
                <w:szCs w:val="20"/>
                <w:color w:val="auto"/>
              </w:rPr>
            </w:pPr>
            <w:r>
              <w:rPr>
                <w:rFonts w:ascii="Arial" w:cs="Arial" w:eastAsia="Arial" w:hAnsi="Arial"/>
                <w:sz w:val="11"/>
                <w:szCs w:val="11"/>
                <w:color w:val="auto"/>
              </w:rPr>
              <w:t>2603</w:t>
            </w:r>
          </w:p>
        </w:tc>
        <w:tc>
          <w:tcPr>
            <w:tcW w:w="2340" w:type="dxa"/>
            <w:vAlign w:val="bottom"/>
          </w:tcPr>
          <w:p>
            <w:pPr>
              <w:ind w:left="20"/>
              <w:spacing w:after="0"/>
              <w:rPr>
                <w:sz w:val="20"/>
                <w:szCs w:val="20"/>
                <w:color w:val="auto"/>
              </w:rPr>
            </w:pPr>
            <w:r>
              <w:rPr>
                <w:rFonts w:ascii="Arial" w:cs="Arial" w:eastAsia="Arial" w:hAnsi="Arial"/>
                <w:sz w:val="11"/>
                <w:szCs w:val="11"/>
                <w:color w:val="auto"/>
              </w:rPr>
              <w:t>Main Street, Suite 600 Irvine</w:t>
            </w:r>
          </w:p>
        </w:tc>
        <w:tc>
          <w:tcPr>
            <w:tcW w:w="2380" w:type="dxa"/>
            <w:vAlign w:val="bottom"/>
          </w:tcPr>
          <w:p>
            <w:pPr>
              <w:ind w:left="900"/>
              <w:spacing w:after="0"/>
              <w:rPr>
                <w:sz w:val="20"/>
                <w:szCs w:val="20"/>
                <w:color w:val="auto"/>
              </w:rPr>
            </w:pPr>
            <w:r>
              <w:rPr>
                <w:rFonts w:ascii="Arial" w:cs="Arial" w:eastAsia="Arial" w:hAnsi="Arial"/>
                <w:sz w:val="11"/>
                <w:szCs w:val="11"/>
                <w:color w:val="auto"/>
                <w:w w:val="96"/>
              </w:rPr>
              <w:t>CA 92614 kmjpartnerscpa.com</w:t>
            </w:r>
          </w:p>
        </w:tc>
      </w:tr>
      <w:tr>
        <w:trPr>
          <w:trHeight w:val="206"/>
        </w:trPr>
        <w:tc>
          <w:tcPr>
            <w:tcW w:w="200" w:type="dxa"/>
            <w:vAlign w:val="bottom"/>
          </w:tcPr>
          <w:p>
            <w:pPr>
              <w:spacing w:after="0"/>
              <w:rPr>
                <w:sz w:val="20"/>
                <w:szCs w:val="20"/>
                <w:color w:val="auto"/>
              </w:rPr>
            </w:pPr>
            <w:r>
              <w:rPr>
                <w:rFonts w:ascii="Arial" w:cs="Arial" w:eastAsia="Arial" w:hAnsi="Arial"/>
                <w:sz w:val="11"/>
                <w:szCs w:val="11"/>
                <w:color w:val="auto"/>
              </w:rPr>
              <w:t>p</w:t>
            </w:r>
          </w:p>
        </w:tc>
        <w:tc>
          <w:tcPr>
            <w:tcW w:w="540" w:type="dxa"/>
            <w:vAlign w:val="bottom"/>
          </w:tcPr>
          <w:p>
            <w:pPr>
              <w:jc w:val="right"/>
              <w:ind w:right="146"/>
              <w:spacing w:after="0"/>
              <w:rPr>
                <w:sz w:val="20"/>
                <w:szCs w:val="20"/>
                <w:color w:val="auto"/>
              </w:rPr>
            </w:pPr>
            <w:r>
              <w:rPr>
                <w:rFonts w:ascii="Arial" w:cs="Arial" w:eastAsia="Arial" w:hAnsi="Arial"/>
                <w:sz w:val="11"/>
                <w:szCs w:val="11"/>
                <w:color w:val="auto"/>
              </w:rPr>
              <w:t>760</w:t>
            </w: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431</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5465</w:t>
            </w:r>
          </w:p>
        </w:tc>
        <w:tc>
          <w:tcPr>
            <w:tcW w:w="820" w:type="dxa"/>
            <w:vAlign w:val="bottom"/>
          </w:tcPr>
          <w:p>
            <w:pPr>
              <w:ind w:left="280"/>
              <w:spacing w:after="0"/>
              <w:rPr>
                <w:sz w:val="20"/>
                <w:szCs w:val="20"/>
                <w:color w:val="auto"/>
              </w:rPr>
            </w:pPr>
            <w:r>
              <w:rPr>
                <w:rFonts w:ascii="Arial" w:cs="Arial" w:eastAsia="Arial" w:hAnsi="Arial"/>
                <w:sz w:val="11"/>
                <w:szCs w:val="11"/>
                <w:color w:val="auto"/>
              </w:rPr>
              <w:t>f 760</w:t>
            </w:r>
          </w:p>
        </w:tc>
        <w:tc>
          <w:tcPr>
            <w:tcW w:w="680" w:type="dxa"/>
            <w:vAlign w:val="bottom"/>
          </w:tcPr>
          <w:p>
            <w:pPr>
              <w:jc w:val="right"/>
              <w:ind w:right="166"/>
              <w:spacing w:after="0"/>
              <w:rPr>
                <w:sz w:val="20"/>
                <w:szCs w:val="20"/>
                <w:color w:val="auto"/>
              </w:rPr>
            </w:pPr>
            <w:r>
              <w:rPr>
                <w:rFonts w:ascii="Arial" w:cs="Arial" w:eastAsia="Arial" w:hAnsi="Arial"/>
                <w:sz w:val="11"/>
                <w:szCs w:val="11"/>
                <w:color w:val="auto"/>
              </w:rPr>
              <w:t>431</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5466</w:t>
            </w:r>
          </w:p>
        </w:tc>
        <w:tc>
          <w:tcPr>
            <w:tcW w:w="540" w:type="dxa"/>
            <w:vAlign w:val="bottom"/>
          </w:tcPr>
          <w:p>
            <w:pPr>
              <w:jc w:val="right"/>
              <w:spacing w:after="0"/>
              <w:rPr>
                <w:sz w:val="20"/>
                <w:szCs w:val="20"/>
                <w:color w:val="auto"/>
              </w:rPr>
            </w:pPr>
            <w:r>
              <w:rPr>
                <w:rFonts w:ascii="Arial" w:cs="Arial" w:eastAsia="Arial" w:hAnsi="Arial"/>
                <w:sz w:val="11"/>
                <w:szCs w:val="11"/>
                <w:color w:val="auto"/>
              </w:rPr>
              <w:t>2768</w:t>
            </w:r>
          </w:p>
        </w:tc>
        <w:tc>
          <w:tcPr>
            <w:tcW w:w="2340" w:type="dxa"/>
            <w:vAlign w:val="bottom"/>
          </w:tcPr>
          <w:p>
            <w:pPr>
              <w:ind w:left="20"/>
              <w:spacing w:after="0"/>
              <w:rPr>
                <w:sz w:val="20"/>
                <w:szCs w:val="20"/>
                <w:color w:val="auto"/>
              </w:rPr>
            </w:pPr>
            <w:r>
              <w:rPr>
                <w:rFonts w:ascii="Arial" w:cs="Arial" w:eastAsia="Arial" w:hAnsi="Arial"/>
                <w:sz w:val="11"/>
                <w:szCs w:val="11"/>
                <w:color w:val="auto"/>
              </w:rPr>
              <w:t>Loker Avenue West Suite 101</w:t>
            </w:r>
          </w:p>
        </w:tc>
        <w:tc>
          <w:tcPr>
            <w:tcW w:w="2380" w:type="dxa"/>
            <w:vAlign w:val="bottom"/>
          </w:tcPr>
          <w:p>
            <w:pPr>
              <w:ind w:left="900"/>
              <w:spacing w:after="0"/>
              <w:rPr>
                <w:sz w:val="20"/>
                <w:szCs w:val="20"/>
                <w:color w:val="auto"/>
              </w:rPr>
            </w:pPr>
            <w:r>
              <w:rPr>
                <w:rFonts w:ascii="Arial" w:cs="Arial" w:eastAsia="Arial" w:hAnsi="Arial"/>
                <w:sz w:val="11"/>
                <w:szCs w:val="11"/>
                <w:color w:val="auto"/>
              </w:rPr>
              <w:t>Carlsbad CA 92010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0" w:type="dxa"/>
            <w:vAlign w:val="bottom"/>
          </w:tcPr>
          <w:p>
            <w:pPr>
              <w:spacing w:after="0"/>
              <w:rPr>
                <w:sz w:val="20"/>
                <w:szCs w:val="20"/>
                <w:color w:val="auto"/>
              </w:rPr>
            </w:pPr>
            <w:r>
              <w:rPr>
                <w:rFonts w:ascii="Arial" w:cs="Arial" w:eastAsia="Arial" w:hAnsi="Arial"/>
                <w:sz w:val="11"/>
                <w:szCs w:val="11"/>
                <w:color w:val="auto"/>
              </w:rPr>
              <w:t>p</w:t>
            </w:r>
          </w:p>
        </w:tc>
        <w:tc>
          <w:tcPr>
            <w:tcW w:w="540" w:type="dxa"/>
            <w:vAlign w:val="bottom"/>
          </w:tcPr>
          <w:p>
            <w:pPr>
              <w:jc w:val="right"/>
              <w:ind w:right="146"/>
              <w:spacing w:after="0"/>
              <w:rPr>
                <w:sz w:val="20"/>
                <w:szCs w:val="20"/>
                <w:color w:val="auto"/>
              </w:rPr>
            </w:pPr>
            <w:r>
              <w:rPr>
                <w:rFonts w:ascii="Arial" w:cs="Arial" w:eastAsia="Arial" w:hAnsi="Arial"/>
                <w:sz w:val="11"/>
                <w:szCs w:val="11"/>
                <w:color w:val="auto"/>
              </w:rPr>
              <w:t>949</w:t>
            </w: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296</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9700</w:t>
            </w:r>
          </w:p>
        </w:tc>
        <w:tc>
          <w:tcPr>
            <w:tcW w:w="820" w:type="dxa"/>
            <w:vAlign w:val="bottom"/>
          </w:tcPr>
          <w:p>
            <w:pPr>
              <w:ind w:left="280"/>
              <w:spacing w:after="0"/>
              <w:rPr>
                <w:sz w:val="20"/>
                <w:szCs w:val="20"/>
                <w:color w:val="auto"/>
              </w:rPr>
            </w:pPr>
            <w:r>
              <w:rPr>
                <w:rFonts w:ascii="Arial" w:cs="Arial" w:eastAsia="Arial" w:hAnsi="Arial"/>
                <w:sz w:val="11"/>
                <w:szCs w:val="11"/>
                <w:color w:val="auto"/>
              </w:rPr>
              <w:t>f 949</w:t>
            </w:r>
          </w:p>
        </w:tc>
        <w:tc>
          <w:tcPr>
            <w:tcW w:w="680" w:type="dxa"/>
            <w:vAlign w:val="bottom"/>
          </w:tcPr>
          <w:p>
            <w:pPr>
              <w:jc w:val="right"/>
              <w:ind w:right="166"/>
              <w:spacing w:after="0"/>
              <w:rPr>
                <w:sz w:val="20"/>
                <w:szCs w:val="20"/>
                <w:color w:val="auto"/>
              </w:rPr>
            </w:pPr>
            <w:r>
              <w:rPr>
                <w:rFonts w:ascii="Arial" w:cs="Arial" w:eastAsia="Arial" w:hAnsi="Arial"/>
                <w:sz w:val="11"/>
                <w:szCs w:val="11"/>
                <w:color w:val="auto"/>
              </w:rPr>
              <w:t>296</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9701</w:t>
            </w:r>
          </w:p>
        </w:tc>
        <w:tc>
          <w:tcPr>
            <w:tcW w:w="540" w:type="dxa"/>
            <w:vAlign w:val="bottom"/>
          </w:tcPr>
          <w:p>
            <w:pPr>
              <w:jc w:val="right"/>
              <w:spacing w:after="0"/>
              <w:rPr>
                <w:sz w:val="20"/>
                <w:szCs w:val="20"/>
                <w:color w:val="auto"/>
              </w:rPr>
            </w:pPr>
            <w:r>
              <w:rPr>
                <w:rFonts w:ascii="Arial" w:cs="Arial" w:eastAsia="Arial" w:hAnsi="Arial"/>
                <w:sz w:val="11"/>
                <w:szCs w:val="11"/>
                <w:color w:val="auto"/>
              </w:rPr>
              <w:t>2603</w:t>
            </w:r>
          </w:p>
        </w:tc>
        <w:tc>
          <w:tcPr>
            <w:tcW w:w="2340" w:type="dxa"/>
            <w:vAlign w:val="bottom"/>
          </w:tcPr>
          <w:p>
            <w:pPr>
              <w:ind w:left="20"/>
              <w:spacing w:after="0"/>
              <w:rPr>
                <w:sz w:val="20"/>
                <w:szCs w:val="20"/>
                <w:color w:val="auto"/>
              </w:rPr>
            </w:pPr>
            <w:r>
              <w:rPr>
                <w:rFonts w:ascii="Arial" w:cs="Arial" w:eastAsia="Arial" w:hAnsi="Arial"/>
                <w:sz w:val="11"/>
                <w:szCs w:val="11"/>
                <w:color w:val="auto"/>
              </w:rPr>
              <w:t>Main Street, Suite 600 Irvine</w:t>
            </w:r>
          </w:p>
        </w:tc>
        <w:tc>
          <w:tcPr>
            <w:tcW w:w="2380" w:type="dxa"/>
            <w:vAlign w:val="bottom"/>
          </w:tcPr>
          <w:p>
            <w:pPr>
              <w:ind w:left="900"/>
              <w:spacing w:after="0"/>
              <w:rPr>
                <w:sz w:val="20"/>
                <w:szCs w:val="20"/>
                <w:color w:val="auto"/>
              </w:rPr>
            </w:pPr>
            <w:r>
              <w:rPr>
                <w:rFonts w:ascii="Arial" w:cs="Arial" w:eastAsia="Arial" w:hAnsi="Arial"/>
                <w:sz w:val="11"/>
                <w:szCs w:val="11"/>
                <w:color w:val="auto"/>
                <w:w w:val="96"/>
              </w:rPr>
              <w:t>CA 92614 kmjpartnerscpa.com</w:t>
            </w:r>
          </w:p>
        </w:tc>
      </w:tr>
      <w:tr>
        <w:trPr>
          <w:trHeight w:val="206"/>
        </w:trPr>
        <w:tc>
          <w:tcPr>
            <w:tcW w:w="200" w:type="dxa"/>
            <w:vAlign w:val="bottom"/>
          </w:tcPr>
          <w:p>
            <w:pPr>
              <w:spacing w:after="0"/>
              <w:rPr>
                <w:sz w:val="20"/>
                <w:szCs w:val="20"/>
                <w:color w:val="auto"/>
              </w:rPr>
            </w:pPr>
            <w:r>
              <w:rPr>
                <w:rFonts w:ascii="Arial" w:cs="Arial" w:eastAsia="Arial" w:hAnsi="Arial"/>
                <w:sz w:val="11"/>
                <w:szCs w:val="11"/>
                <w:color w:val="auto"/>
              </w:rPr>
              <w:t>p</w:t>
            </w:r>
          </w:p>
        </w:tc>
        <w:tc>
          <w:tcPr>
            <w:tcW w:w="540" w:type="dxa"/>
            <w:vAlign w:val="bottom"/>
          </w:tcPr>
          <w:p>
            <w:pPr>
              <w:jc w:val="right"/>
              <w:ind w:right="146"/>
              <w:spacing w:after="0"/>
              <w:rPr>
                <w:sz w:val="20"/>
                <w:szCs w:val="20"/>
                <w:color w:val="auto"/>
              </w:rPr>
            </w:pPr>
            <w:r>
              <w:rPr>
                <w:rFonts w:ascii="Arial" w:cs="Arial" w:eastAsia="Arial" w:hAnsi="Arial"/>
                <w:sz w:val="11"/>
                <w:szCs w:val="11"/>
                <w:color w:val="auto"/>
              </w:rPr>
              <w:t>760</w:t>
            </w:r>
          </w:p>
        </w:tc>
        <w:tc>
          <w:tcPr>
            <w:tcW w:w="580" w:type="dxa"/>
            <w:vAlign w:val="bottom"/>
          </w:tcPr>
          <w:p>
            <w:pPr>
              <w:jc w:val="right"/>
              <w:ind w:right="146"/>
              <w:spacing w:after="0"/>
              <w:rPr>
                <w:sz w:val="20"/>
                <w:szCs w:val="20"/>
                <w:color w:val="auto"/>
              </w:rPr>
            </w:pPr>
            <w:r>
              <w:rPr>
                <w:rFonts w:ascii="Arial" w:cs="Arial" w:eastAsia="Arial" w:hAnsi="Arial"/>
                <w:sz w:val="11"/>
                <w:szCs w:val="11"/>
                <w:color w:val="auto"/>
              </w:rPr>
              <w:t>431</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5465</w:t>
            </w:r>
          </w:p>
        </w:tc>
        <w:tc>
          <w:tcPr>
            <w:tcW w:w="820" w:type="dxa"/>
            <w:vAlign w:val="bottom"/>
          </w:tcPr>
          <w:p>
            <w:pPr>
              <w:ind w:left="280"/>
              <w:spacing w:after="0"/>
              <w:rPr>
                <w:sz w:val="20"/>
                <w:szCs w:val="20"/>
                <w:color w:val="auto"/>
              </w:rPr>
            </w:pPr>
            <w:r>
              <w:rPr>
                <w:rFonts w:ascii="Arial" w:cs="Arial" w:eastAsia="Arial" w:hAnsi="Arial"/>
                <w:sz w:val="11"/>
                <w:szCs w:val="11"/>
                <w:color w:val="auto"/>
              </w:rPr>
              <w:t>f 760</w:t>
            </w:r>
          </w:p>
        </w:tc>
        <w:tc>
          <w:tcPr>
            <w:tcW w:w="680" w:type="dxa"/>
            <w:vAlign w:val="bottom"/>
          </w:tcPr>
          <w:p>
            <w:pPr>
              <w:jc w:val="right"/>
              <w:ind w:right="166"/>
              <w:spacing w:after="0"/>
              <w:rPr>
                <w:sz w:val="20"/>
                <w:szCs w:val="20"/>
                <w:color w:val="auto"/>
              </w:rPr>
            </w:pPr>
            <w:r>
              <w:rPr>
                <w:rFonts w:ascii="Arial" w:cs="Arial" w:eastAsia="Arial" w:hAnsi="Arial"/>
                <w:sz w:val="11"/>
                <w:szCs w:val="11"/>
                <w:color w:val="auto"/>
              </w:rPr>
              <w:t>431</w:t>
            </w:r>
          </w:p>
        </w:tc>
        <w:tc>
          <w:tcPr>
            <w:tcW w:w="740" w:type="dxa"/>
            <w:vAlign w:val="bottom"/>
          </w:tcPr>
          <w:p>
            <w:pPr>
              <w:jc w:val="right"/>
              <w:ind w:right="246"/>
              <w:spacing w:after="0"/>
              <w:rPr>
                <w:sz w:val="20"/>
                <w:szCs w:val="20"/>
                <w:color w:val="auto"/>
              </w:rPr>
            </w:pPr>
            <w:r>
              <w:rPr>
                <w:rFonts w:ascii="Arial" w:cs="Arial" w:eastAsia="Arial" w:hAnsi="Arial"/>
                <w:sz w:val="11"/>
                <w:szCs w:val="11"/>
                <w:color w:val="auto"/>
              </w:rPr>
              <w:t>5466</w:t>
            </w:r>
          </w:p>
        </w:tc>
        <w:tc>
          <w:tcPr>
            <w:tcW w:w="540" w:type="dxa"/>
            <w:vAlign w:val="bottom"/>
          </w:tcPr>
          <w:p>
            <w:pPr>
              <w:jc w:val="right"/>
              <w:spacing w:after="0"/>
              <w:rPr>
                <w:sz w:val="20"/>
                <w:szCs w:val="20"/>
                <w:color w:val="auto"/>
              </w:rPr>
            </w:pPr>
            <w:r>
              <w:rPr>
                <w:rFonts w:ascii="Arial" w:cs="Arial" w:eastAsia="Arial" w:hAnsi="Arial"/>
                <w:sz w:val="11"/>
                <w:szCs w:val="11"/>
                <w:color w:val="auto"/>
              </w:rPr>
              <w:t>2768</w:t>
            </w:r>
          </w:p>
        </w:tc>
        <w:tc>
          <w:tcPr>
            <w:tcW w:w="2340" w:type="dxa"/>
            <w:vAlign w:val="bottom"/>
          </w:tcPr>
          <w:p>
            <w:pPr>
              <w:ind w:left="20"/>
              <w:spacing w:after="0"/>
              <w:rPr>
                <w:sz w:val="20"/>
                <w:szCs w:val="20"/>
                <w:color w:val="auto"/>
              </w:rPr>
            </w:pPr>
            <w:r>
              <w:rPr>
                <w:rFonts w:ascii="Arial" w:cs="Arial" w:eastAsia="Arial" w:hAnsi="Arial"/>
                <w:sz w:val="11"/>
                <w:szCs w:val="11"/>
                <w:color w:val="auto"/>
              </w:rPr>
              <w:t>Loker Avenue West Suite 101</w:t>
            </w:r>
          </w:p>
        </w:tc>
        <w:tc>
          <w:tcPr>
            <w:tcW w:w="2380" w:type="dxa"/>
            <w:vAlign w:val="bottom"/>
          </w:tcPr>
          <w:p>
            <w:pPr>
              <w:ind w:left="900"/>
              <w:spacing w:after="0"/>
              <w:rPr>
                <w:sz w:val="20"/>
                <w:szCs w:val="20"/>
                <w:color w:val="auto"/>
              </w:rPr>
            </w:pPr>
            <w:r>
              <w:rPr>
                <w:rFonts w:ascii="Arial" w:cs="Arial" w:eastAsia="Arial" w:hAnsi="Arial"/>
                <w:sz w:val="11"/>
                <w:szCs w:val="11"/>
                <w:color w:val="auto"/>
              </w:rPr>
              <w:t>Carlsbad CA 92010</w:t>
            </w:r>
          </w:p>
        </w:tc>
      </w:tr>
    </w:tbl>
    <w:p>
      <w:pPr>
        <w:sectPr>
          <w:pgSz w:w="11900" w:h="16838" w:orient="portrait"/>
          <w:cols w:equalWidth="0" w:num="1">
            <w:col w:w="11300"/>
          </w:cols>
          <w:pgMar w:left="220" w:top="1440" w:right="379" w:bottom="1440" w:gutter="0" w:footer="0" w:header="0"/>
        </w:sectPr>
      </w:pPr>
    </w:p>
    <w:bookmarkStart w:id="84" w:name="page85"/>
    <w:bookmarkEnd w:id="84"/>
    <w:p>
      <w:pPr>
        <w:jc w:val="right"/>
        <w:spacing w:after="0"/>
        <w:rPr>
          <w:sz w:val="20"/>
          <w:szCs w:val="20"/>
          <w:color w:val="auto"/>
        </w:rPr>
      </w:pPr>
      <w:r>
        <w:rPr>
          <w:rFonts w:ascii="Arial" w:cs="Arial" w:eastAsia="Arial" w:hAnsi="Arial"/>
          <w:sz w:val="13"/>
          <w:szCs w:val="13"/>
          <w:color w:val="auto"/>
        </w:rPr>
        <w:t>Direct Dial: 212-659-4974</w:t>
      </w:r>
    </w:p>
    <w:p>
      <w:pPr>
        <w:spacing w:after="0" w:line="14" w:lineRule="exact"/>
        <w:rPr>
          <w:sz w:val="20"/>
          <w:szCs w:val="20"/>
          <w:color w:val="auto"/>
        </w:rPr>
      </w:pPr>
    </w:p>
    <w:p>
      <w:pPr>
        <w:ind w:left="10100"/>
        <w:spacing w:after="0"/>
        <w:rPr>
          <w:sz w:val="20"/>
          <w:szCs w:val="20"/>
          <w:color w:val="auto"/>
        </w:rPr>
      </w:pPr>
      <w:r>
        <w:rPr>
          <w:rFonts w:ascii="Arial" w:cs="Arial" w:eastAsia="Arial" w:hAnsi="Arial"/>
          <w:sz w:val="11"/>
          <w:szCs w:val="11"/>
          <w:color w:val="auto"/>
        </w:rPr>
        <w:t>Direct Fax: 212-884-8234</w:t>
      </w:r>
    </w:p>
    <w:p>
      <w:pPr>
        <w:spacing w:after="0" w:line="36" w:lineRule="exact"/>
        <w:rPr>
          <w:sz w:val="20"/>
          <w:szCs w:val="20"/>
          <w:color w:val="auto"/>
        </w:rPr>
      </w:pPr>
    </w:p>
    <w:p>
      <w:pPr>
        <w:ind w:left="9780"/>
        <w:spacing w:after="0"/>
        <w:rPr>
          <w:sz w:val="20"/>
          <w:szCs w:val="20"/>
          <w:color w:val="auto"/>
        </w:rPr>
      </w:pPr>
      <w:r>
        <w:rPr>
          <w:rFonts w:ascii="Arial" w:cs="Arial" w:eastAsia="Arial" w:hAnsi="Arial"/>
          <w:sz w:val="11"/>
          <w:szCs w:val="11"/>
          <w:color w:val="auto"/>
        </w:rPr>
        <w:t>greg.kramer@haynesboone.com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January 24, 2008</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Jeffrey P. Riedler</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Assistant Director</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100 F Street, NE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Washington, D.C. 20549</w:t>
      </w:r>
    </w:p>
    <w:p>
      <w:pPr>
        <w:sectPr>
          <w:pgSz w:w="11900" w:h="16838" w:orient="portrait"/>
          <w:cols w:equalWidth="0" w:num="1">
            <w:col w:w="11460"/>
          </w:cols>
          <w:pgMar w:left="220" w:top="327" w:right="2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Transdel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Amendment No. 2 to Registration Statement on Form SB-2</w:t>
      </w:r>
    </w:p>
    <w:p>
      <w:pPr>
        <w:spacing w:after="0" w:line="69" w:lineRule="exact"/>
        <w:rPr>
          <w:sz w:val="20"/>
          <w:szCs w:val="20"/>
          <w:color w:val="auto"/>
        </w:rPr>
      </w:pPr>
    </w:p>
    <w:p>
      <w:pPr>
        <w:sectPr>
          <w:pgSz w:w="11900" w:h="16838" w:orient="portrait"/>
          <w:cols w:equalWidth="0" w:num="2">
            <w:col w:w="220" w:space="300"/>
            <w:col w:w="10940"/>
          </w:cols>
          <w:pgMar w:left="220" w:top="327" w:right="219" w:bottom="1440" w:gutter="0" w:footer="0" w:header="0"/>
          <w:type w:val="continuous"/>
        </w:sectPr>
      </w:pPr>
    </w:p>
    <w:p>
      <w:pPr>
        <w:ind w:left="520"/>
        <w:spacing w:after="0"/>
        <w:rPr>
          <w:sz w:val="20"/>
          <w:szCs w:val="20"/>
          <w:color w:val="auto"/>
        </w:rPr>
      </w:pPr>
      <w:r>
        <w:rPr>
          <w:rFonts w:ascii="Arial" w:cs="Arial" w:eastAsia="Arial" w:hAnsi="Arial"/>
          <w:sz w:val="13"/>
          <w:szCs w:val="13"/>
          <w:b w:val="1"/>
          <w:bCs w:val="1"/>
          <w:i w:val="1"/>
          <w:iCs w:val="1"/>
          <w:color w:val="auto"/>
        </w:rPr>
        <w:t>Filed January 22, 2008</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File No. 333-147930</w:t>
      </w:r>
    </w:p>
    <w:p>
      <w:pPr>
        <w:sectPr>
          <w:pgSz w:w="11900" w:h="16838" w:orient="portrait"/>
          <w:cols w:equalWidth="0" w:num="1">
            <w:col w:w="11460"/>
          </w:cols>
          <w:pgMar w:left="220" w:top="327" w:right="21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Dear Mr. Riedler:</w:t>
      </w:r>
    </w:p>
    <w:p>
      <w:pPr>
        <w:spacing w:after="0" w:line="228" w:lineRule="exact"/>
        <w:rPr>
          <w:sz w:val="20"/>
          <w:szCs w:val="20"/>
          <w:color w:val="auto"/>
        </w:rPr>
      </w:pPr>
    </w:p>
    <w:p>
      <w:pPr>
        <w:jc w:val="both"/>
        <w:ind w:right="180" w:firstLine="519"/>
        <w:spacing w:after="0" w:line="274" w:lineRule="auto"/>
        <w:rPr>
          <w:sz w:val="20"/>
          <w:szCs w:val="20"/>
          <w:color w:val="auto"/>
        </w:rPr>
      </w:pPr>
      <w:r>
        <w:rPr>
          <w:rFonts w:ascii="Arial" w:cs="Arial" w:eastAsia="Arial" w:hAnsi="Arial"/>
          <w:sz w:val="14"/>
          <w:szCs w:val="14"/>
          <w:color w:val="auto"/>
        </w:rPr>
        <w:t>Reference is made to the letter dated January 23, 2008 (the “</w:t>
      </w:r>
      <w:r>
        <w:rPr>
          <w:rFonts w:ascii="Arial" w:cs="Arial" w:eastAsia="Arial" w:hAnsi="Arial"/>
          <w:sz w:val="14"/>
          <w:szCs w:val="14"/>
          <w:u w:val="single" w:color="auto"/>
          <w:color w:val="auto"/>
        </w:rPr>
        <w:t>Comment Letter</w:t>
      </w:r>
      <w:r>
        <w:rPr>
          <w:rFonts w:ascii="Arial" w:cs="Arial" w:eastAsia="Arial" w:hAnsi="Arial"/>
          <w:sz w:val="14"/>
          <w:szCs w:val="14"/>
          <w:color w:val="auto"/>
        </w:rPr>
        <w:t>”) addressed to Dr. Juliet Singh, Chief Executive Officer of Transdel Pharmaceuticals, Inc. (the “</w:t>
      </w:r>
      <w:r>
        <w:rPr>
          <w:rFonts w:ascii="Arial" w:cs="Arial" w:eastAsia="Arial" w:hAnsi="Arial"/>
          <w:sz w:val="14"/>
          <w:szCs w:val="14"/>
          <w:u w:val="single" w:color="auto"/>
          <w:color w:val="auto"/>
        </w:rPr>
        <w:t>Company</w:t>
      </w:r>
      <w:r>
        <w:rPr>
          <w:rFonts w:ascii="Arial" w:cs="Arial" w:eastAsia="Arial" w:hAnsi="Arial"/>
          <w:sz w:val="14"/>
          <w:szCs w:val="14"/>
          <w:color w:val="auto"/>
        </w:rPr>
        <w:t>”), setting forth the comments of the staff of the Division of Corporation Finance of the Securities and Exchange Commission (the “</w:t>
      </w:r>
      <w:r>
        <w:rPr>
          <w:rFonts w:ascii="Arial" w:cs="Arial" w:eastAsia="Arial" w:hAnsi="Arial"/>
          <w:sz w:val="14"/>
          <w:szCs w:val="14"/>
          <w:u w:val="single" w:color="auto"/>
          <w:color w:val="auto"/>
        </w:rPr>
        <w:t>Staff</w:t>
      </w:r>
      <w:r>
        <w:rPr>
          <w:rFonts w:ascii="Arial" w:cs="Arial" w:eastAsia="Arial" w:hAnsi="Arial"/>
          <w:sz w:val="14"/>
          <w:szCs w:val="14"/>
          <w:color w:val="auto"/>
        </w:rPr>
        <w:t>”) regarding Amendment No.2 to the Company’s Registration Statement on Form SB-2 filed by the Company on January 22, 2008 with the Securities and Exchange Commission (the “</w:t>
      </w:r>
      <w:r>
        <w:rPr>
          <w:rFonts w:ascii="Arial" w:cs="Arial" w:eastAsia="Arial" w:hAnsi="Arial"/>
          <w:sz w:val="14"/>
          <w:szCs w:val="14"/>
          <w:u w:val="single" w:color="auto"/>
          <w:color w:val="auto"/>
        </w:rPr>
        <w:t>Commission</w:t>
      </w:r>
      <w:r>
        <w:rPr>
          <w:rFonts w:ascii="Arial" w:cs="Arial" w:eastAsia="Arial" w:hAnsi="Arial"/>
          <w:sz w:val="14"/>
          <w:szCs w:val="14"/>
          <w:color w:val="auto"/>
        </w:rPr>
        <w:t>”).</w:t>
      </w:r>
    </w:p>
    <w:p>
      <w:pPr>
        <w:spacing w:after="0" w:line="184" w:lineRule="exact"/>
        <w:rPr>
          <w:sz w:val="20"/>
          <w:szCs w:val="20"/>
          <w:color w:val="auto"/>
        </w:rPr>
      </w:pPr>
    </w:p>
    <w:p>
      <w:pPr>
        <w:ind w:right="120" w:firstLine="519"/>
        <w:spacing w:after="0" w:line="290" w:lineRule="auto"/>
        <w:rPr>
          <w:sz w:val="20"/>
          <w:szCs w:val="20"/>
          <w:color w:val="auto"/>
        </w:rPr>
      </w:pPr>
      <w:r>
        <w:rPr>
          <w:rFonts w:ascii="Arial" w:cs="Arial" w:eastAsia="Arial" w:hAnsi="Arial"/>
          <w:sz w:val="14"/>
          <w:szCs w:val="14"/>
          <w:color w:val="auto"/>
        </w:rPr>
        <w:t>This letter sets forth the Company’s responses to the Staff’s comments. For your convenience, each of the Staff’s comments contained in the Comment Letter has been restated below in its entirety, with the Company’s response set forth immediately under such comment. We are also sending courtesy copies of this letter to you by Federal Express.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Comment No. 1:</w:t>
      </w:r>
    </w:p>
    <w:p>
      <w:pPr>
        <w:spacing w:after="0" w:line="232" w:lineRule="exact"/>
        <w:rPr>
          <w:sz w:val="20"/>
          <w:szCs w:val="20"/>
          <w:color w:val="auto"/>
        </w:rPr>
      </w:pPr>
    </w:p>
    <w:p>
      <w:pPr>
        <w:ind w:left="260" w:right="80" w:firstLine="260"/>
        <w:spacing w:after="0" w:line="290" w:lineRule="auto"/>
        <w:rPr>
          <w:sz w:val="20"/>
          <w:szCs w:val="20"/>
          <w:color w:val="auto"/>
        </w:rPr>
      </w:pPr>
      <w:r>
        <w:rPr>
          <w:rFonts w:ascii="Arial" w:cs="Arial" w:eastAsia="Arial" w:hAnsi="Arial"/>
          <w:sz w:val="14"/>
          <w:szCs w:val="14"/>
          <w:color w:val="auto"/>
        </w:rPr>
        <w:t>We note that you have submitted a confidential treatment request. Please note that all confidential treatment issues must be resolved before we will consider a request for acceleration of the registration statement.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Response: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acknowledges the Staff’s comment one and will not seek acceleration of effectiveness until all confidential treatment issues have been resolved.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Comment No. 2</w:t>
      </w:r>
    </w:p>
    <w:p>
      <w:pPr>
        <w:spacing w:after="0" w:line="232" w:lineRule="exact"/>
        <w:rPr>
          <w:sz w:val="20"/>
          <w:szCs w:val="20"/>
          <w:color w:val="auto"/>
        </w:rPr>
      </w:pPr>
    </w:p>
    <w:p>
      <w:pPr>
        <w:ind w:left="260" w:firstLine="260"/>
        <w:spacing w:after="0" w:line="330" w:lineRule="auto"/>
        <w:rPr>
          <w:sz w:val="20"/>
          <w:szCs w:val="20"/>
          <w:color w:val="auto"/>
        </w:rPr>
      </w:pPr>
      <w:r>
        <w:rPr>
          <w:rFonts w:ascii="Arial" w:cs="Arial" w:eastAsia="Arial" w:hAnsi="Arial"/>
          <w:sz w:val="13"/>
          <w:szCs w:val="13"/>
          <w:color w:val="auto"/>
        </w:rPr>
        <w:t>We note footnote 36 to the Selling Stockholders table indicates that Granite Financial Group, LLC “may be” deemed an underwriter. Please revise this footnote to state that Granite Financial Group, LLC is an underwriter. Additionally, revise the Plan of Distribution section on page 35 such that it identifies Granite Financial Group, LLC as a broker-dealer and an underwriter.</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Response:</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has revised footnote 36 to the Selling Stockholder table and the Plan of Distribution section on page 35 accordingly.</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Should you have any questions regarding the foregoing, please do not hesitate to contact the undersigned at (212) 659-4974.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/s/ Rick A. Werner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Rick A. Werner</w:t>
      </w:r>
    </w:p>
    <w:sectPr>
      <w:pgSz w:w="11900" w:h="16838" w:orient="portrait"/>
      <w:cols w:equalWidth="0" w:num="1">
        <w:col w:w="11460"/>
      </w:cols>
      <w:pgMar w:left="220" w:top="327"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7"/>
    </w:lvl>
  </w:abstractNum>
  <w:abstractNum w:abstractNumId="18">
    <w:nsid w:val="7C3DBD3D"/>
    <w:multiLevelType w:val="hybridMultilevel"/>
    <w:lvl w:ilvl="0">
      <w:lvlJc w:val="left"/>
      <w:lvlText w:val="(%1)"/>
      <w:numFmt w:val="decimal"/>
      <w:start w:val="26"/>
    </w:lvl>
  </w:abstractNum>
  <w:abstractNum w:abstractNumId="19">
    <w:nsid w:val="737B8DDC"/>
    <w:multiLevelType w:val="hybridMultilevel"/>
    <w:lvl w:ilvl="0">
      <w:lvlJc w:val="left"/>
      <w:lvlText w:val="(%1)"/>
      <w:numFmt w:val="decimal"/>
      <w:start w:val="45"/>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3"/>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1."/>
      <w:numFmt w:val="decimal"/>
      <w:start w:val="1"/>
    </w:lvl>
    <w:lvl w:ilvl="1">
      <w:lvlJc w:val="left"/>
      <w:lvlText w:val="%2."/>
      <w:numFmt w:val="lowerRoman"/>
      <w:start w:val="1"/>
    </w:lvl>
  </w:abstractNum>
  <w:abstractNum w:abstractNumId="41">
    <w:nsid w:val="6A2342EC"/>
    <w:multiLevelType w:val="hybridMultilevel"/>
    <w:lvl w:ilvl="0">
      <w:lvlJc w:val="left"/>
      <w:lvlText w:val="%1."/>
      <w:numFmt w:val="decimal"/>
      <w:start w:val="2"/>
    </w:lvl>
    <w:lvl w:ilvl="1">
      <w:lvlJc w:val="left"/>
      <w:lvlText w:val="%2."/>
      <w:numFmt w:val="lowerRoman"/>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2020-02-21T09:17:21Z</dcterms:created>
  <dcterms:modified xsi:type="dcterms:W3CDTF">2020-02-21T09:17:21Z</dcterms:modified>
</cp:coreProperties>
</file>