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4262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26212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BAUM MARK 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HARROW,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1A BURTON HILLS BLVD, SUITE 200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HARROW,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HROW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496"/>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3"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NASHVILLE</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TN</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37215</w:t>
            </w:r>
          </w:p>
        </w:tc>
      </w:tr>
      <w:tr>
        <w:trPr>
          <w:trHeight w:val="146"/>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RSU</w:t>
            </w:r>
            <w:r>
              <w:rPr>
                <w:rFonts w:ascii="Times New Roman" w:cs="Times New Roman" w:eastAsia="Times New Roman" w:hAnsi="Times New Roman"/>
                <w:sz w:val="21"/>
                <w:szCs w:val="21"/>
                <w:color w:val="008000"/>
                <w:vertAlign w:val="superscript"/>
              </w:rPr>
              <w:t>(1)</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07/01/2025</w:t>
            </w:r>
          </w:p>
        </w:tc>
        <w:tc>
          <w:tcPr>
            <w:tcW w:w="1060" w:type="dxa"/>
            <w:vAlign w:val="bottom"/>
          </w:tcPr>
          <w:p>
            <w:pPr>
              <w:spacing w:after="0"/>
              <w:rPr>
                <w:sz w:val="21"/>
                <w:szCs w:val="21"/>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889,500</w:t>
            </w:r>
          </w:p>
        </w:tc>
        <w:tc>
          <w:tcPr>
            <w:tcW w:w="220" w:type="dxa"/>
            <w:vAlign w:val="bottom"/>
          </w:tcPr>
          <w:p>
            <w:pPr>
              <w:spacing w:after="0"/>
              <w:rPr>
                <w:sz w:val="21"/>
                <w:szCs w:val="21"/>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889,500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889,500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160"/>
        <w:spacing w:after="0" w:line="235"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stock units ("PSUs") granted under the Issuer's 2025 Stock Incentive and Awards Plan, (the "Plan"). Each PSU represents a contingent right to receive one share of common stock of the Issuer upon vesting. The vesting of the PSUs (granted in lieu of service only stock option and restricted stock unit awards) require (i) a minimum of a three-year service period, and (ii) the achievement and maintenance of Harrow common stock price targets of $50 (causing the vesting of 124,530 PSU shares), $60 (causing the vesting of 186,795 PSU shares), $75 (causing the vesting of 257,955 PSU shares), $100 (causing the vesting of 320,220 PSU shares).</w:t>
      </w:r>
    </w:p>
    <w:p>
      <w:pPr>
        <w:spacing w:after="0" w:line="34"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Mark L. Baum</w:t>
            </w:r>
          </w:p>
        </w:tc>
        <w:tc>
          <w:tcPr>
            <w:tcW w:w="10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07/01/2025</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74282"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2025-07-01T15:54:36Z</dcterms:created>
  <dcterms:modified xsi:type="dcterms:W3CDTF">2025-07-01T15:54:36Z</dcterms:modified>
</cp:coreProperties>
</file>