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300" w:before="0" w:after="0"/>
        <w:ind w:left="0" w:right="0" w:hanging="0"/>
        <w:jc w:val="center"/>
        <w:rPr>
          <w:rFonts w:ascii="Times New Roman" w:hAnsi="Times New Roman"/>
          <w:sz w:val="20"/>
        </w:rPr>
      </w:pPr>
      <w:bookmarkStart w:id="0" w:name="filename1.htm"/>
      <w:bookmarkStart w:id="1" w:name="ksfilename1"/>
      <w:bookmarkEnd w:id="0"/>
      <w:bookmarkEnd w:id="1"/>
      <w:r>
        <w:rPr>
          <w:rFonts w:ascii="Times New Roman" w:hAnsi="Times New Roman"/>
          <w:sz w:val="20"/>
        </w:rPr>
        <w:t>TRANSDEL PHARMACEUTICALS, INC.</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4225 Executive Square, Suite 460</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 xml:space="preserve">La Jolla, California 92037 </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February 7, 2008</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United States Securities and Exchange Commission</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100 F. Street, N.E.</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Washington, D.C. 20549</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Attn: Jeffrey P. Riedler</w:t>
      </w:r>
    </w:p>
    <w:p>
      <w:pPr>
        <w:pStyle w:val="TextBody"/>
        <w:spacing w:lineRule="auto" w:line="300" w:before="0" w:after="0"/>
        <w:ind w:left="0" w:right="0" w:hanging="0"/>
        <w:jc w:val="left"/>
        <w:rPr/>
      </w:pPr>
      <w:r>
        <w:rPr/>
        <w:t> </w:t>
      </w:r>
    </w:p>
    <w:p>
      <w:pPr>
        <w:pStyle w:val="Normal"/>
        <w:spacing w:before="0" w:after="0"/>
        <w:rPr>
          <w:sz w:val="4"/>
          <w:szCs w:val="4"/>
        </w:rPr>
      </w:pPr>
      <w:r>
        <w:rPr>
          <w:sz w:val="4"/>
          <w:szCs w:val="4"/>
        </w:rPr>
      </w:r>
      <w:bookmarkStart w:id="2" w:name="hangingindent"/>
      <w:bookmarkStart w:id="3" w:name="hangingindent"/>
      <w:bookmarkEnd w:id="3"/>
    </w:p>
    <w:tbl>
      <w:tblPr>
        <w:tblW w:w="5000" w:type="pct"/>
        <w:jc w:val="center"/>
        <w:tblInd w:w="0" w:type="dxa"/>
        <w:tblCellMar>
          <w:top w:w="0" w:type="dxa"/>
          <w:left w:w="0" w:type="dxa"/>
          <w:bottom w:w="0" w:type="dxa"/>
          <w:right w:w="0" w:type="dxa"/>
        </w:tblCellMar>
      </w:tblPr>
      <w:tblGrid>
        <w:gridCol w:w="83"/>
        <w:gridCol w:w="1108"/>
        <w:gridCol w:w="9014"/>
      </w:tblGrid>
      <w:tr>
        <w:trPr/>
        <w:tc>
          <w:tcPr>
            <w:tcW w:w="83" w:type="dxa"/>
            <w:tcBorders/>
            <w:shd w:fill="auto" w:val="clear"/>
          </w:tcPr>
          <w:p>
            <w:pPr>
              <w:pStyle w:val="TableContents"/>
              <w:spacing w:before="0" w:after="283"/>
              <w:rPr>
                <w:sz w:val="4"/>
                <w:szCs w:val="4"/>
              </w:rPr>
            </w:pPr>
            <w:r>
              <w:rPr>
                <w:sz w:val="4"/>
                <w:szCs w:val="4"/>
              </w:rPr>
            </w:r>
          </w:p>
        </w:tc>
        <w:tc>
          <w:tcPr>
            <w:tcW w:w="11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Re:</w:t>
            </w:r>
          </w:p>
        </w:tc>
        <w:tc>
          <w:tcPr>
            <w:tcW w:w="901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Transdel Pharmaceuticals, Inc.</w:t>
            </w:r>
          </w:p>
        </w:tc>
      </w:tr>
    </w:tbl>
    <w:p>
      <w:pPr>
        <w:pStyle w:val="Normal"/>
        <w:spacing w:before="0" w:after="0"/>
        <w:rPr>
          <w:sz w:val="4"/>
          <w:szCs w:val="4"/>
        </w:rPr>
      </w:pPr>
      <w:r>
        <w:rPr>
          <w:sz w:val="4"/>
          <w:szCs w:val="4"/>
        </w:rPr>
      </w:r>
      <w:bookmarkStart w:id="4" w:name="hangingindent1"/>
      <w:bookmarkStart w:id="5" w:name="hangingindent1"/>
      <w:bookmarkEnd w:id="5"/>
    </w:p>
    <w:tbl>
      <w:tblPr>
        <w:tblW w:w="5000" w:type="pct"/>
        <w:jc w:val="center"/>
        <w:tblInd w:w="0" w:type="dxa"/>
        <w:tblCellMar>
          <w:top w:w="0" w:type="dxa"/>
          <w:left w:w="0" w:type="dxa"/>
          <w:bottom w:w="0" w:type="dxa"/>
          <w:right w:w="0" w:type="dxa"/>
        </w:tblCellMar>
      </w:tblPr>
      <w:tblGrid>
        <w:gridCol w:w="125"/>
        <w:gridCol w:w="125"/>
        <w:gridCol w:w="9955"/>
      </w:tblGrid>
      <w:tr>
        <w:trPr/>
        <w:tc>
          <w:tcPr>
            <w:tcW w:w="12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left"/>
              <w:rPr/>
            </w:pPr>
            <w:r>
              <w:rPr/>
              <w:t> </w:t>
            </w:r>
          </w:p>
        </w:tc>
        <w:tc>
          <w:tcPr>
            <w:tcW w:w="9955"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Amendment No. 5 to Registration Statement on Form SB-2</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Filed February 7, 2008</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File No. 333-147930</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Ladies and Gentlemen:</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6" w:name="TAB1"/>
      <w:bookmarkEnd w:id="6"/>
      <w:r>
        <w:rPr>
          <w:rFonts w:ascii="Times New Roman" w:hAnsi="Times New Roman"/>
          <w:sz w:val="20"/>
        </w:rPr>
        <w:t xml:space="preserve">The undersigned Registrant hereby requests that the effective date for the registration statement referred to above be accelerated so that the registration statement will become effective at 4:00 p.m. Eastern Time on February 8, 2008, or as soon as practicable thereafter.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acknowledge that:</w:t>
      </w:r>
    </w:p>
    <w:p>
      <w:pPr>
        <w:pStyle w:val="TextBody"/>
        <w:spacing w:lineRule="auto" w:line="300" w:before="0" w:after="0"/>
        <w:ind w:left="0" w:right="0" w:firstLine="720"/>
        <w:jc w:val="both"/>
        <w:rPr/>
      </w:pPr>
      <w:r>
        <w:rPr/>
      </w:r>
    </w:p>
    <w:p>
      <w:pPr>
        <w:pStyle w:val="Normal"/>
        <w:spacing w:before="0" w:after="0"/>
        <w:rPr>
          <w:sz w:val="4"/>
          <w:szCs w:val="4"/>
        </w:rPr>
      </w:pPr>
      <w:r>
        <w:rPr>
          <w:sz w:val="4"/>
          <w:szCs w:val="4"/>
        </w:rPr>
      </w:r>
      <w:bookmarkStart w:id="7" w:name="list"/>
      <w:bookmarkStart w:id="8" w:name="list"/>
      <w:bookmarkEnd w:id="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283"/>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should the Commission or the staff, acting pursuant to delegated authority, declare the filing effective, it does not foreclose the Commission from taking any action with respect to the filing; </w:t>
            </w:r>
          </w:p>
        </w:tc>
      </w:tr>
    </w:tbl>
    <w:p>
      <w:pPr>
        <w:pStyle w:val="TextBody"/>
        <w:spacing w:lineRule="auto" w:line="300" w:before="0" w:after="0"/>
        <w:ind w:left="1080" w:right="0" w:hanging="0"/>
        <w:jc w:val="left"/>
        <w:rPr/>
      </w:pPr>
      <w:r>
        <w:rPr/>
      </w:r>
    </w:p>
    <w:p>
      <w:pPr>
        <w:pStyle w:val="Normal"/>
        <w:spacing w:before="0" w:after="0"/>
        <w:rPr>
          <w:sz w:val="4"/>
          <w:szCs w:val="4"/>
        </w:rPr>
      </w:pPr>
      <w:r>
        <w:rPr>
          <w:sz w:val="4"/>
          <w:szCs w:val="4"/>
        </w:rPr>
      </w:r>
      <w:bookmarkStart w:id="9" w:name="list1"/>
      <w:bookmarkStart w:id="10" w:name="list1"/>
      <w:bookmarkEnd w:id="1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283"/>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action of the Commission or the staff, acting pursuant to delegated authority, in declaring the filing effective, does not relieve the company from its full responsibility for the adequacy and accuracy of the disclosure in the filing; and </w:t>
            </w:r>
          </w:p>
        </w:tc>
      </w:tr>
    </w:tbl>
    <w:p>
      <w:pPr>
        <w:pStyle w:val="TextBody"/>
        <w:spacing w:lineRule="auto" w:line="300" w:before="0" w:after="0"/>
        <w:ind w:left="1080" w:right="0" w:hanging="0"/>
        <w:jc w:val="left"/>
        <w:rPr/>
      </w:pPr>
      <w:r>
        <w:rPr/>
      </w:r>
    </w:p>
    <w:p>
      <w:pPr>
        <w:pStyle w:val="Normal"/>
        <w:spacing w:before="0" w:after="0"/>
        <w:rPr>
          <w:sz w:val="4"/>
          <w:szCs w:val="4"/>
        </w:rPr>
      </w:pPr>
      <w:r>
        <w:rPr>
          <w:sz w:val="4"/>
          <w:szCs w:val="4"/>
        </w:rPr>
      </w:r>
      <w:bookmarkStart w:id="11" w:name="list2"/>
      <w:bookmarkStart w:id="12" w:name="list2"/>
      <w:bookmarkEnd w:id="1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283"/>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 may not assert the declaration of effectiveness as a defense in any proceeding initiated by the Commission or any person under the federal securities laws of the United States.</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4351"/>
        <w:gridCol w:w="873"/>
        <w:gridCol w:w="4981"/>
      </w:tblGrid>
      <w:tr>
        <w:trPr/>
        <w:tc>
          <w:tcPr>
            <w:tcW w:w="4351" w:type="dxa"/>
            <w:tcBorders/>
            <w:shd w:fill="FFFFFF" w:val="clear"/>
            <w:vAlign w:val="center"/>
          </w:tcPr>
          <w:p>
            <w:pPr>
              <w:pStyle w:val="TableContents"/>
              <w:spacing w:before="0" w:after="283"/>
              <w:rPr/>
            </w:pPr>
            <w:r>
              <w:rPr/>
              <w:t> </w:t>
            </w:r>
          </w:p>
        </w:tc>
        <w:tc>
          <w:tcPr>
            <w:tcW w:w="5854" w:type="dxa"/>
            <w:gridSpan w:val="2"/>
            <w:tcBorders/>
            <w:shd w:fill="FFFFFF" w:val="clear"/>
            <w:vAlign w:val="center"/>
          </w:tcPr>
          <w:p>
            <w:pPr>
              <w:pStyle w:val="TableContents"/>
              <w:spacing w:before="0" w:after="283"/>
              <w:rPr>
                <w:sz w:val="20"/>
              </w:rPr>
            </w:pPr>
            <w:r>
              <w:rPr>
                <w:sz w:val="20"/>
              </w:rPr>
              <w:t>Very truly yours,</w:t>
            </w:r>
          </w:p>
        </w:tc>
      </w:tr>
      <w:tr>
        <w:trPr/>
        <w:tc>
          <w:tcPr>
            <w:tcW w:w="4351" w:type="dxa"/>
            <w:tcBorders/>
            <w:shd w:fill="FFFFFF" w:val="clear"/>
            <w:vAlign w:val="center"/>
          </w:tcPr>
          <w:p>
            <w:pPr>
              <w:pStyle w:val="TableContents"/>
              <w:spacing w:before="0" w:after="283"/>
              <w:rPr/>
            </w:pPr>
            <w:r>
              <w:rPr/>
              <w:t> </w:t>
            </w:r>
          </w:p>
        </w:tc>
        <w:tc>
          <w:tcPr>
            <w:tcW w:w="873" w:type="dxa"/>
            <w:tcBorders/>
            <w:shd w:fill="FFFFFF" w:val="clear"/>
            <w:vAlign w:val="center"/>
          </w:tcPr>
          <w:p>
            <w:pPr>
              <w:pStyle w:val="TableContents"/>
              <w:spacing w:before="0" w:after="283"/>
              <w:rPr/>
            </w:pPr>
            <w:r>
              <w:rPr/>
              <w:t> </w:t>
            </w:r>
          </w:p>
        </w:tc>
        <w:tc>
          <w:tcPr>
            <w:tcW w:w="4981" w:type="dxa"/>
            <w:tcBorders/>
            <w:shd w:fill="FFFFFF" w:val="clear"/>
            <w:vAlign w:val="center"/>
          </w:tcPr>
          <w:p>
            <w:pPr>
              <w:pStyle w:val="TableContents"/>
              <w:spacing w:before="0" w:after="283"/>
              <w:rPr/>
            </w:pPr>
            <w:r>
              <w:rPr/>
              <w:t> </w:t>
            </w:r>
          </w:p>
        </w:tc>
      </w:tr>
      <w:tr>
        <w:trPr/>
        <w:tc>
          <w:tcPr>
            <w:tcW w:w="4351" w:type="dxa"/>
            <w:tcBorders/>
            <w:shd w:fill="FFFFFF" w:val="clear"/>
            <w:vAlign w:val="center"/>
          </w:tcPr>
          <w:p>
            <w:pPr>
              <w:pStyle w:val="TableContents"/>
              <w:spacing w:before="0" w:after="283"/>
              <w:rPr/>
            </w:pPr>
            <w:r>
              <w:rPr/>
              <w:t> </w:t>
            </w:r>
          </w:p>
        </w:tc>
        <w:tc>
          <w:tcPr>
            <w:tcW w:w="5854" w:type="dxa"/>
            <w:gridSpan w:val="2"/>
            <w:tcBorders/>
            <w:shd w:fill="FFFFFF" w:val="clear"/>
            <w:vAlign w:val="center"/>
          </w:tcPr>
          <w:p>
            <w:pPr>
              <w:pStyle w:val="TableContents"/>
              <w:spacing w:before="0" w:after="283"/>
              <w:rPr>
                <w:sz w:val="20"/>
              </w:rPr>
            </w:pPr>
            <w:r>
              <w:rPr>
                <w:sz w:val="20"/>
              </w:rPr>
              <w:t>TRANSDEL PHARMACEUTICALS, INC.</w:t>
            </w:r>
          </w:p>
        </w:tc>
      </w:tr>
      <w:tr>
        <w:trPr/>
        <w:tc>
          <w:tcPr>
            <w:tcW w:w="4351" w:type="dxa"/>
            <w:tcBorders/>
            <w:shd w:fill="FFFFFF" w:val="clear"/>
            <w:vAlign w:val="center"/>
          </w:tcPr>
          <w:p>
            <w:pPr>
              <w:pStyle w:val="TableContents"/>
              <w:spacing w:before="0" w:after="283"/>
              <w:rPr/>
            </w:pPr>
            <w:r>
              <w:rPr/>
              <w:t> </w:t>
            </w:r>
          </w:p>
        </w:tc>
        <w:tc>
          <w:tcPr>
            <w:tcW w:w="873" w:type="dxa"/>
            <w:tcBorders/>
            <w:shd w:fill="FFFFFF" w:val="clear"/>
            <w:vAlign w:val="center"/>
          </w:tcPr>
          <w:p>
            <w:pPr>
              <w:pStyle w:val="TableContents"/>
              <w:spacing w:before="0" w:after="283"/>
              <w:rPr/>
            </w:pPr>
            <w:r>
              <w:rPr/>
              <w:t> </w:t>
            </w:r>
          </w:p>
        </w:tc>
        <w:tc>
          <w:tcPr>
            <w:tcW w:w="4981" w:type="dxa"/>
            <w:tcBorders/>
            <w:shd w:fill="FFFFFF" w:val="clear"/>
            <w:vAlign w:val="center"/>
          </w:tcPr>
          <w:p>
            <w:pPr>
              <w:pStyle w:val="TableContents"/>
              <w:spacing w:before="0" w:after="283"/>
              <w:rPr/>
            </w:pPr>
            <w:r>
              <w:rPr/>
              <w:t> </w:t>
            </w:r>
          </w:p>
        </w:tc>
      </w:tr>
    </w:tbl>
    <w:p>
      <w:pPr>
        <w:pStyle w:val="TextBody"/>
        <w:spacing w:lineRule="auto" w:line="300"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001"/>
        <w:gridCol w:w="305"/>
        <w:gridCol w:w="4899"/>
      </w:tblGrid>
      <w:tr>
        <w:trPr/>
        <w:tc>
          <w:tcPr>
            <w:tcW w:w="500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By:</w:t>
            </w:r>
          </w:p>
        </w:tc>
        <w:tc>
          <w:tcPr>
            <w:tcW w:w="489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John Lomoro</w:t>
            </w:r>
          </w:p>
        </w:tc>
      </w:tr>
      <w:tr>
        <w:trPr/>
        <w:tc>
          <w:tcPr>
            <w:tcW w:w="500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4899" w:type="dxa"/>
            <w:tcBorders/>
            <w:shd w:fill="auto" w:val="clear"/>
          </w:tcPr>
          <w:p>
            <w:pPr>
              <w:pStyle w:val="HorizontalLine"/>
              <w:pBdr>
                <w:bottom w:val="single" w:sz="12" w:space="0" w:color="808080"/>
              </w:pBdr>
              <w:spacing w:lineRule="auto" w:line="300"/>
              <w:jc w:val="left"/>
              <w:rPr/>
            </w:pPr>
            <w:r>
              <w:rPr/>
            </w:r>
          </w:p>
          <w:p>
            <w:pPr>
              <w:pStyle w:val="TableContents"/>
              <w:spacing w:lineRule="auto" w:line="300" w:before="0" w:after="0"/>
              <w:jc w:val="left"/>
              <w:rPr>
                <w:rFonts w:ascii="Times New Roman" w:hAnsi="Times New Roman"/>
                <w:sz w:val="20"/>
              </w:rPr>
            </w:pPr>
            <w:r>
              <w:rPr>
                <w:rFonts w:ascii="Times New Roman" w:hAnsi="Times New Roman"/>
                <w:sz w:val="20"/>
              </w:rPr>
              <w:t>John Lomoro</w:t>
            </w:r>
          </w:p>
        </w:tc>
      </w:tr>
      <w:tr>
        <w:trPr/>
        <w:tc>
          <w:tcPr>
            <w:tcW w:w="500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489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Chief Financial Officer</w:t>
            </w:r>
          </w:p>
        </w:tc>
      </w:tr>
    </w:tbl>
    <w:p>
      <w:pPr>
        <w:pStyle w:val="TextBody"/>
        <w:spacing w:lineRule="auto" w:line="300" w:before="0" w:after="0"/>
        <w:ind w:left="0" w:right="0" w:hanging="0"/>
        <w:jc w:val="left"/>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217</Words>
  <CharactersWithSpaces>1413</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