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11,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15, 2022, Harrow 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 Riley Securities, Inc., as representative of the several underwriters named therein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pursuant to which the Company agreed to sell to the Underwriters $35,000,000 aggregate principal amount of 11.875% Senior Notes due 2027 (the “</w:t>
      </w:r>
      <w:r>
        <w:rPr>
          <w:rFonts w:ascii="Times New Roman" w:cs="Times New Roman" w:eastAsia="Times New Roman" w:hAnsi="Times New Roman"/>
          <w:sz w:val="18"/>
          <w:szCs w:val="18"/>
          <w:u w:val="single" w:color="auto"/>
          <w:color w:val="auto"/>
        </w:rPr>
        <w:t>Firm Notes</w:t>
      </w:r>
      <w:r>
        <w:rPr>
          <w:rFonts w:ascii="Times New Roman" w:cs="Times New Roman" w:eastAsia="Times New Roman" w:hAnsi="Times New Roman"/>
          <w:sz w:val="18"/>
          <w:szCs w:val="18"/>
          <w:color w:val="auto"/>
        </w:rPr>
        <w:t>”) plus up to an additional $5,250,000 aggregate principal amount of 11.875% Senior Notes due 2027 pursuant to the option to purchase additional Notes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Firm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sale of the Firm Notes closed on December 20, 2022.</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January 11, 2023, the Company issued an additional $5,250,000 aggregate principal amount of 11.875% Senior Notes due 2027 upon the exercise in full of the Underwriters’ option to purchase the Additional Notes. As of the closing of the issuance of the Additional Notes, a total of $40,250,000 aggregate principal amount of the Notes have been issued. The net proceeds from the issuance of Notes are expected to be used to fund a portion of the purchase price of a previously announced acquisition.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newly issued Additional Notes have the identical terms as the Firm Notes and are governed by the indenture dated as of April 20, 2021 as supplemented by the second supplemental indenture dated as of December 20, 2022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with U.S. Bank Trust Company, National Association (as successor to U.S. Bank National Association), as trustee. The Indenture establishes the form, and provides for the issuance, of the Notes. The Indenture and the Notes are more fully described in the Company’s Current Report on Form 8-K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December 20, 2022.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were offered pursuant to the Company’s shelf registration statement on Form S-3 (Registration No. 333-265244), which was declared effective by the Commission on June 6, 2022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Exhibit 5</w:t>
      </w:r>
      <w:r>
        <w:rPr>
          <w:rFonts w:ascii="Times New Roman" w:cs="Times New Roman" w:eastAsia="Times New Roman" w:hAnsi="Times New Roman"/>
          <w:sz w:val="18"/>
          <w:szCs w:val="18"/>
          <w:color w:val="auto"/>
        </w:rPr>
        <w:t xml:space="preserve"> to this report and incorporated herein by reference is a copy of the opinion of Waller Lansden Dortch &amp; Davis, LLP, relating to the validity of the Additional Notes sold in the offering (the “</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Legal Opinion is also filed with reference to, and is hereby incorporated by reference into,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of Waller Lansden Dortch &amp; Davis, LLP</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Waller Lansden Dortch &amp; Davis, LLP (included in Exhibit 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12,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29" w:lineRule="exact"/>
        <w:rPr>
          <w:sz w:val="20"/>
          <w:szCs w:val="20"/>
          <w:color w:val="auto"/>
        </w:rPr>
      </w:pPr>
    </w:p>
    <w:tbl>
      <w:tblPr>
        <w:tblLayout w:type="fixed"/>
        <w:tblInd w:w="474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Waller Lansden Dortch &amp; Davis, LLP</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511 Union Street, Suite 2700</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615.244.6380</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main</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 Box 198966</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615.244.6804</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fax</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Nashville, TN 37219-8966</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wallerlaw.com</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1371600"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0" cy="36830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37205</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capacity as special securities counsel to Harrow Health, Inc., a Delaware corporation (the “Company”), in connection with the issuance of $5,250,000 aggregate principal amount of the Company’s 11.875% Senior Notes due 2027 (the “Notes”), we have examined (i) the Registration Statement on Form S-3 (Registration No. 333-265244) filed by the Company under the Securities Act of 1933, as amended, which was declared effective by the Securities and Exchange Commission on June 6, 2022, and the related base prospectus contained therein (the “Prospectus”), (ii) the Prospectus Supplement, dated December 15, 2022 (the “Prospectus Supplement”), and (iii) the base Indenture, dated as of April 20, 2021 (the “Base Indenture”), between the Company and U.S. Bank Trust Company, National Association (as successor to U.S. Bank National Association) (the “Trustee”), as supplemented by a second supplemental indenture dated as of December 20, 2022 (the “Second Supplemental Indenture” and, together with the Base Indenture, the “Indenture”). In this regard,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assume for purposes of this opinion that: the Trustee is duly organized, validly existing and in good standing under the laws of its jurisdiction of organization; the Trustee is duly qualified to engage in activities contemplated by the Indenture; the Indenture has been duly authorized, executed and delivered by the Trustee and constitutes the legally valid and binding obligation of the Trustee enforceable against the Trustee in accordance with its terms; the Trustee is in compliance, with respect to acting as a trustee under the Indenture, with all applicable laws and regulations; and the Trustee has the requisite organizational and legal power and authority to perform its obligations under the Indenture.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Based upon the foregoing, we are of the opinion that the Notes have been duly authorized by all necessary corporate action on the part of the Company and, when authenticated and delivered by the Trustee and issued by the Company in accordance with the terms of the Indenture and the Underwriting Agreement, dated December 15, 2022 (the “Underwriting Agreement”), by and between the Company and B. Riley Securities, Inc., as representative of the several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the Underwriting Agreement, and in the manner and on the terms described in the Prospectus and the Prospectus Supplement, the Notes will be valid and binding obligations of the Company enforceable in accordance with their terms, except as enforceability may be limited by bankruptcy, insolvency, reorganization or other similar laws relating to creditors’ rights or by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opinion is limited to matters arising under the laws of the State of New York and the General Corporation Law of the State of Delaware as in effect on the date hereof. 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to be filed with the Prospectus or the Prospectus Supplement under the provisions of the Securities Act of 1933, as amended, or the rules and regulations of the Securities and Exchange Commission promulgated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2023-01-12T15:07:43Z</dcterms:created>
  <dcterms:modified xsi:type="dcterms:W3CDTF">2023-01-12T15:07:43Z</dcterms:modified>
</cp:coreProperties>
</file>